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10D" w:rsidRDefault="00847291" w:rsidP="004F298C">
      <w:permStart w:id="1281851252" w:edGrp="everyone"/>
      <w:r>
        <w:rPr>
          <w:rFonts w:ascii="Calibri" w:hAnsi="Calibri" w:cs="OpenSans-Bold"/>
          <w:b/>
          <w:bCs/>
          <w:noProof/>
          <w:color w:val="3D484C"/>
          <w:sz w:val="80"/>
          <w:szCs w:val="80"/>
        </w:rPr>
        <w:drawing>
          <wp:anchor distT="0" distB="0" distL="114300" distR="114300" simplePos="0" relativeHeight="251658240" behindDoc="1" locked="0" layoutInCell="1" allowOverlap="1" wp14:anchorId="307AC2ED" wp14:editId="7094D024">
            <wp:simplePos x="0" y="0"/>
            <wp:positionH relativeFrom="page">
              <wp:posOffset>15240</wp:posOffset>
            </wp:positionH>
            <wp:positionV relativeFrom="page">
              <wp:posOffset>137160</wp:posOffset>
            </wp:positionV>
            <wp:extent cx="7772400" cy="100584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ermEnd w:id="1281851252"/>
    </w:p>
    <w:p w:rsidR="00954CD5" w:rsidRPr="00954CD5" w:rsidRDefault="00954CD5" w:rsidP="00954CD5"/>
    <w:p w:rsidR="00954CD5" w:rsidRPr="00954CD5" w:rsidRDefault="00954CD5" w:rsidP="00954CD5"/>
    <w:p w:rsidR="00954CD5" w:rsidRPr="00954CD5" w:rsidRDefault="00954CD5" w:rsidP="00954CD5"/>
    <w:p w:rsidR="00954CD5" w:rsidRPr="00954CD5" w:rsidRDefault="00954CD5" w:rsidP="00954CD5"/>
    <w:p w:rsidR="00954CD5" w:rsidRPr="00954CD5" w:rsidRDefault="00225B89" w:rsidP="00954CD5">
      <w:r>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14:anchorId="1801F150" wp14:editId="1D9343D6">
                <wp:simplePos x="0" y="0"/>
                <wp:positionH relativeFrom="margin">
                  <wp:posOffset>260350</wp:posOffset>
                </wp:positionH>
                <wp:positionV relativeFrom="paragraph">
                  <wp:posOffset>158750</wp:posOffset>
                </wp:positionV>
                <wp:extent cx="5797550" cy="3234690"/>
                <wp:effectExtent l="0" t="0" r="0" b="381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23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A39" w:rsidRPr="00596940" w:rsidRDefault="00D03A39" w:rsidP="00C445C2">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w:t>
                            </w:r>
                            <w:r>
                              <w:rPr>
                                <w:rFonts w:ascii="Calibri" w:hAnsi="Calibri" w:cs="OpenSans-Bold"/>
                                <w:b/>
                                <w:bCs/>
                                <w:color w:val="62777F"/>
                                <w:sz w:val="72"/>
                                <w:szCs w:val="72"/>
                              </w:rPr>
                              <w:t>7</w:t>
                            </w:r>
                            <w:r w:rsidRPr="00596940">
                              <w:rPr>
                                <w:rFonts w:ascii="Calibri" w:hAnsi="Calibri" w:cs="OpenSans-Bold"/>
                                <w:b/>
                                <w:bCs/>
                                <w:color w:val="62777F"/>
                                <w:sz w:val="72"/>
                                <w:szCs w:val="72"/>
                              </w:rPr>
                              <w:t xml:space="preserve"> Economic Study:</w:t>
                            </w:r>
                            <w:r w:rsidRPr="00596940">
                              <w:rPr>
                                <w:rFonts w:ascii="Calibri" w:hAnsi="Calibri" w:cs="OpenSans-Bold"/>
                                <w:b/>
                                <w:bCs/>
                                <w:color w:val="62777F"/>
                                <w:sz w:val="72"/>
                                <w:szCs w:val="72"/>
                              </w:rPr>
                              <w:br/>
                            </w:r>
                            <w:r>
                              <w:rPr>
                                <w:rFonts w:ascii="Calibri" w:hAnsi="Calibri" w:cs="OpenSans-Bold"/>
                                <w:b/>
                                <w:bCs/>
                                <w:color w:val="62777F"/>
                                <w:sz w:val="72"/>
                                <w:szCs w:val="72"/>
                              </w:rPr>
                              <w:t>Exploration of Least-Cost Emissions-Compliant Scenarios</w:t>
                            </w:r>
                          </w:p>
                          <w:p w:rsidR="00D03A39" w:rsidRPr="00A53E17" w:rsidRDefault="00D03A39" w:rsidP="00C445C2">
                            <w:pPr>
                              <w:pStyle w:val="body"/>
                              <w:spacing w:before="0" w:after="120" w:line="192" w:lineRule="auto"/>
                              <w:rPr>
                                <w:rFonts w:ascii="Calibri" w:hAnsi="Calibri" w:cs="OpenSans-Bold"/>
                                <w:b/>
                                <w:bCs/>
                                <w:color w:val="62777F"/>
                                <w:spacing w:val="-2"/>
                                <w:sz w:val="28"/>
                                <w:szCs w:val="28"/>
                              </w:rPr>
                            </w:pPr>
                          </w:p>
                          <w:p w:rsidR="00D03A39" w:rsidRPr="00D03A39" w:rsidRDefault="00D03A39" w:rsidP="00C445C2">
                            <w:pPr>
                              <w:pStyle w:val="body"/>
                              <w:spacing w:before="0" w:line="192" w:lineRule="auto"/>
                              <w:ind w:left="90"/>
                              <w:rPr>
                                <w:rFonts w:ascii="Calibri" w:hAnsi="Calibri" w:cs="OpenSans-Bold"/>
                                <w:b/>
                                <w:bCs/>
                                <w:caps/>
                                <w:color w:val="62777F"/>
                                <w:sz w:val="24"/>
                                <w:szCs w:val="24"/>
                              </w:rPr>
                            </w:pPr>
                            <w:r w:rsidRPr="00D03A39">
                              <w:rPr>
                                <w:rFonts w:ascii="Calibri" w:hAnsi="Calibri" w:cs="OpenSans-Bold"/>
                                <w:b/>
                                <w:bCs/>
                                <w:color w:val="62777F"/>
                                <w:spacing w:val="-2"/>
                                <w:sz w:val="32"/>
                                <w:szCs w:val="32"/>
                              </w:rPr>
                              <w:t>© ISO New England Inc.</w:t>
                            </w:r>
                          </w:p>
                          <w:p w:rsidR="00D03A39" w:rsidRPr="00716539" w:rsidRDefault="00D03A39" w:rsidP="00D03A39">
                            <w:pPr>
                              <w:pStyle w:val="body"/>
                              <w:spacing w:before="0" w:line="192" w:lineRule="auto"/>
                              <w:ind w:left="90"/>
                              <w:rPr>
                                <w:color w:val="62777F"/>
                              </w:rPr>
                            </w:pPr>
                            <w:r w:rsidRPr="00D03A39">
                              <w:rPr>
                                <w:rFonts w:ascii="Calibri" w:hAnsi="Calibri" w:cs="OpenSans-Bold"/>
                                <w:b/>
                                <w:bCs/>
                                <w:caps/>
                                <w:color w:val="62777F"/>
                                <w:sz w:val="24"/>
                                <w:szCs w:val="24"/>
                              </w:rPr>
                              <w:t>october 29,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1F150" id="_x0000_t202" coordsize="21600,21600" o:spt="202" path="m,l,21600r21600,l21600,xe">
                <v:stroke joinstyle="miter"/>
                <v:path gradientshapeok="t" o:connecttype="rect"/>
              </v:shapetype>
              <v:shape id="Text Box 3" o:spid="_x0000_s1026" type="#_x0000_t202" style="position:absolute;margin-left:20.5pt;margin-top:12.5pt;width:456.5pt;height:25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uhuA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" filled="f" stroked="f">
                <v:textbox>
                  <w:txbxContent>
                    <w:p w:rsidR="00D03A39" w:rsidRPr="00596940" w:rsidRDefault="00D03A39" w:rsidP="00C445C2">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w:t>
                      </w:r>
                      <w:r>
                        <w:rPr>
                          <w:rFonts w:ascii="Calibri" w:hAnsi="Calibri" w:cs="OpenSans-Bold"/>
                          <w:b/>
                          <w:bCs/>
                          <w:color w:val="62777F"/>
                          <w:sz w:val="72"/>
                          <w:szCs w:val="72"/>
                        </w:rPr>
                        <w:t>7</w:t>
                      </w:r>
                      <w:r w:rsidRPr="00596940">
                        <w:rPr>
                          <w:rFonts w:ascii="Calibri" w:hAnsi="Calibri" w:cs="OpenSans-Bold"/>
                          <w:b/>
                          <w:bCs/>
                          <w:color w:val="62777F"/>
                          <w:sz w:val="72"/>
                          <w:szCs w:val="72"/>
                        </w:rPr>
                        <w:t xml:space="preserve"> Economic Study:</w:t>
                      </w:r>
                      <w:r w:rsidRPr="00596940">
                        <w:rPr>
                          <w:rFonts w:ascii="Calibri" w:hAnsi="Calibri" w:cs="OpenSans-Bold"/>
                          <w:b/>
                          <w:bCs/>
                          <w:color w:val="62777F"/>
                          <w:sz w:val="72"/>
                          <w:szCs w:val="72"/>
                        </w:rPr>
                        <w:br/>
                      </w:r>
                      <w:r>
                        <w:rPr>
                          <w:rFonts w:ascii="Calibri" w:hAnsi="Calibri" w:cs="OpenSans-Bold"/>
                          <w:b/>
                          <w:bCs/>
                          <w:color w:val="62777F"/>
                          <w:sz w:val="72"/>
                          <w:szCs w:val="72"/>
                        </w:rPr>
                        <w:t>Exploration of Least-Cost Emissions-Compliant Scenarios</w:t>
                      </w:r>
                    </w:p>
                    <w:p w:rsidR="00D03A39" w:rsidRPr="00A53E17" w:rsidRDefault="00D03A39" w:rsidP="00C445C2">
                      <w:pPr>
                        <w:pStyle w:val="body"/>
                        <w:spacing w:before="0" w:after="120" w:line="192" w:lineRule="auto"/>
                        <w:rPr>
                          <w:rFonts w:ascii="Calibri" w:hAnsi="Calibri" w:cs="OpenSans-Bold"/>
                          <w:b/>
                          <w:bCs/>
                          <w:color w:val="62777F"/>
                          <w:spacing w:val="-2"/>
                          <w:sz w:val="28"/>
                          <w:szCs w:val="28"/>
                        </w:rPr>
                      </w:pPr>
                    </w:p>
                    <w:p w:rsidR="00D03A39" w:rsidRPr="00D03A39" w:rsidRDefault="00D03A39" w:rsidP="00C445C2">
                      <w:pPr>
                        <w:pStyle w:val="body"/>
                        <w:spacing w:before="0" w:line="192" w:lineRule="auto"/>
                        <w:ind w:left="90"/>
                        <w:rPr>
                          <w:rFonts w:ascii="Calibri" w:hAnsi="Calibri" w:cs="OpenSans-Bold"/>
                          <w:b/>
                          <w:bCs/>
                          <w:caps/>
                          <w:color w:val="62777F"/>
                          <w:sz w:val="24"/>
                          <w:szCs w:val="24"/>
                        </w:rPr>
                      </w:pPr>
                      <w:r w:rsidRPr="00D03A39">
                        <w:rPr>
                          <w:rFonts w:ascii="Calibri" w:hAnsi="Calibri" w:cs="OpenSans-Bold"/>
                          <w:b/>
                          <w:bCs/>
                          <w:color w:val="62777F"/>
                          <w:spacing w:val="-2"/>
                          <w:sz w:val="32"/>
                          <w:szCs w:val="32"/>
                        </w:rPr>
                        <w:t>© ISO New England Inc.</w:t>
                      </w:r>
                    </w:p>
                    <w:p w:rsidR="00D03A39" w:rsidRPr="00716539" w:rsidRDefault="00D03A39" w:rsidP="00D03A39">
                      <w:pPr>
                        <w:pStyle w:val="body"/>
                        <w:spacing w:before="0" w:line="192" w:lineRule="auto"/>
                        <w:ind w:left="90"/>
                        <w:rPr>
                          <w:color w:val="62777F"/>
                        </w:rPr>
                      </w:pPr>
                      <w:r w:rsidRPr="00D03A39">
                        <w:rPr>
                          <w:rFonts w:ascii="Calibri" w:hAnsi="Calibri" w:cs="OpenSans-Bold"/>
                          <w:b/>
                          <w:bCs/>
                          <w:caps/>
                          <w:color w:val="62777F"/>
                          <w:sz w:val="24"/>
                          <w:szCs w:val="24"/>
                        </w:rPr>
                        <w:t>october 29, 2018</w:t>
                      </w:r>
                    </w:p>
                  </w:txbxContent>
                </v:textbox>
                <w10:wrap anchorx="margin"/>
              </v:shape>
            </w:pict>
          </mc:Fallback>
        </mc:AlternateContent>
      </w:r>
    </w:p>
    <w:p w:rsidR="00954CD5" w:rsidRDefault="00954CD5" w:rsidP="00954CD5">
      <w:pPr>
        <w:tabs>
          <w:tab w:val="left" w:pos="1548"/>
        </w:tabs>
      </w:pPr>
      <w:r>
        <w:tab/>
      </w:r>
    </w:p>
    <w:p w:rsidR="00954CD5" w:rsidRDefault="00C445C2" w:rsidP="00954CD5">
      <w:r>
        <w:rPr>
          <w:rFonts w:ascii="Calibri" w:hAnsi="Calibri" w:cs="OpenSans-Bold"/>
          <w:b/>
          <w:bCs/>
          <w:noProof/>
          <w:color w:val="3D484C"/>
          <w:sz w:val="80"/>
          <w:szCs w:val="80"/>
        </w:rPr>
        <mc:AlternateContent>
          <mc:Choice Requires="wps">
            <w:drawing>
              <wp:anchor distT="0" distB="0" distL="114300" distR="114300" simplePos="0" relativeHeight="251660288" behindDoc="0" locked="0" layoutInCell="1" allowOverlap="1" wp14:anchorId="359E1DF1" wp14:editId="0DEF7F0B">
                <wp:simplePos x="0" y="0"/>
                <wp:positionH relativeFrom="margin">
                  <wp:align>center</wp:align>
                </wp:positionH>
                <wp:positionV relativeFrom="paragraph">
                  <wp:posOffset>4061460</wp:posOffset>
                </wp:positionV>
                <wp:extent cx="7299960" cy="243840"/>
                <wp:effectExtent l="0" t="0" r="0" b="38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9960" cy="2438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D03A39" w:rsidRPr="00716539" w:rsidRDefault="00D03A39" w:rsidP="00017E7E">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D03A39" w:rsidRPr="004759C4" w:rsidRDefault="00D03A39" w:rsidP="00017E7E">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9E1DF1" id="Text Box 12" o:spid="_x0000_s1027" type="#_x0000_t202" style="position:absolute;margin-left:0;margin-top:319.8pt;width:574.8pt;height:19.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" filled="f" stroked="f">
                <v:path arrowok="t"/>
                <v:textbox>
                  <w:txbxContent>
                    <w:p w:rsidR="00D03A39" w:rsidRPr="00716539" w:rsidRDefault="00D03A39" w:rsidP="00017E7E">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D03A39" w:rsidRPr="004759C4" w:rsidRDefault="00D03A39" w:rsidP="00017E7E">
                      <w:pPr>
                        <w:rPr>
                          <w:rFonts w:ascii="Calibri" w:hAnsi="Calibri"/>
                          <w:color w:val="787B7F"/>
                          <w:sz w:val="14"/>
                          <w:szCs w:val="14"/>
                        </w:rPr>
                      </w:pPr>
                    </w:p>
                  </w:txbxContent>
                </v:textbox>
                <w10:wrap type="square" anchorx="margin"/>
              </v:shape>
            </w:pict>
          </mc:Fallback>
        </mc:AlternateContent>
      </w:r>
    </w:p>
    <w:p w:rsidR="00400EA4" w:rsidRPr="00954CD5" w:rsidRDefault="00400EA4" w:rsidP="00AD76C4">
      <w:pPr>
        <w:sectPr w:rsidR="00400EA4" w:rsidRPr="00954CD5" w:rsidSect="004C3378">
          <w:headerReference w:type="default" r:id="rId9"/>
          <w:pgSz w:w="12240" w:h="15840" w:code="1"/>
          <w:pgMar w:top="1440" w:right="1440" w:bottom="1440" w:left="1440" w:header="720" w:footer="720" w:gutter="0"/>
          <w:pgNumType w:fmt="lowerRoman" w:start="2"/>
          <w:cols w:space="720"/>
          <w:docGrid w:linePitch="360"/>
        </w:sectPr>
      </w:pPr>
    </w:p>
    <w:p w:rsidR="00D85494" w:rsidRDefault="00D85494" w:rsidP="00E401C4">
      <w:pPr>
        <w:adjustRightInd/>
        <w:spacing w:line="240" w:lineRule="auto"/>
        <w:textAlignment w:val="auto"/>
        <w:outlineLvl w:val="0"/>
        <w:rPr>
          <w:rFonts w:ascii="Calibri" w:hAnsi="Calibri" w:cs="Arial"/>
          <w:b/>
          <w:bCs/>
          <w:color w:val="0C95D2"/>
          <w:sz w:val="36"/>
          <w:szCs w:val="36"/>
        </w:rPr>
        <w:sectPr w:rsidR="00D85494" w:rsidSect="004C3378">
          <w:headerReference w:type="default" r:id="rId10"/>
          <w:footerReference w:type="default" r:id="rId11"/>
          <w:pgSz w:w="12240" w:h="15840" w:code="1"/>
          <w:pgMar w:top="1440" w:right="1440" w:bottom="1440" w:left="1440" w:header="720" w:footer="720" w:gutter="0"/>
          <w:pgNumType w:fmt="lowerRoman"/>
          <w:cols w:space="720"/>
          <w:docGrid w:linePitch="360"/>
        </w:sectPr>
      </w:pPr>
      <w:bookmarkStart w:id="0" w:name="_Toc477187093"/>
      <w:bookmarkStart w:id="1" w:name="_Toc477794591"/>
      <w:bookmarkStart w:id="2" w:name="_Toc486405945"/>
      <w:bookmarkStart w:id="3" w:name="_Toc497394705"/>
      <w:bookmarkStart w:id="4" w:name="_Toc497812733"/>
      <w:bookmarkStart w:id="5" w:name="_Toc517681482"/>
    </w:p>
    <w:p w:rsidR="00302948" w:rsidRDefault="00302948" w:rsidP="00E401C4">
      <w:pPr>
        <w:adjustRightInd/>
        <w:spacing w:line="240" w:lineRule="auto"/>
        <w:textAlignment w:val="auto"/>
        <w:outlineLvl w:val="0"/>
        <w:rPr>
          <w:rFonts w:ascii="Calibri" w:hAnsi="Calibri" w:cs="Arial"/>
          <w:b/>
          <w:bCs/>
          <w:color w:val="0C95D2"/>
          <w:sz w:val="36"/>
          <w:szCs w:val="36"/>
        </w:rPr>
      </w:pPr>
    </w:p>
    <w:p w:rsidR="00D85494" w:rsidRDefault="00D85494">
      <w:pPr>
        <w:adjustRightInd/>
        <w:spacing w:after="0" w:line="240" w:lineRule="auto"/>
        <w:textAlignment w:val="auto"/>
        <w:rPr>
          <w:rFonts w:ascii="Calibri" w:hAnsi="Calibri" w:cs="Arial"/>
          <w:b/>
          <w:bCs/>
          <w:color w:val="0C95D2"/>
          <w:sz w:val="36"/>
          <w:szCs w:val="36"/>
        </w:rPr>
        <w:sectPr w:rsidR="00D85494" w:rsidSect="00D85494">
          <w:type w:val="continuous"/>
          <w:pgSz w:w="12240" w:h="15840" w:code="1"/>
          <w:pgMar w:top="1440" w:right="1440" w:bottom="1440" w:left="1440" w:header="720" w:footer="720" w:gutter="0"/>
          <w:pgNumType w:fmt="lowerRoman"/>
          <w:cols w:space="720"/>
          <w:docGrid w:linePitch="360"/>
        </w:sectPr>
      </w:pPr>
    </w:p>
    <w:p w:rsidR="00F565D2" w:rsidRPr="00E401C4" w:rsidRDefault="00F565D2" w:rsidP="00E401C4">
      <w:pPr>
        <w:adjustRightInd/>
        <w:spacing w:line="240" w:lineRule="auto"/>
        <w:textAlignment w:val="auto"/>
        <w:outlineLvl w:val="0"/>
        <w:rPr>
          <w:rFonts w:ascii="Calibri" w:hAnsi="Calibri" w:cs="Arial"/>
          <w:b/>
          <w:bCs/>
          <w:color w:val="0C95D2"/>
          <w:sz w:val="36"/>
          <w:szCs w:val="36"/>
        </w:rPr>
      </w:pPr>
      <w:bookmarkStart w:id="6" w:name="_Toc518562629"/>
      <w:bookmarkStart w:id="7" w:name="_Toc528571170"/>
      <w:r w:rsidRPr="00B64774">
        <w:rPr>
          <w:rFonts w:ascii="Calibri" w:hAnsi="Calibri" w:cs="Arial"/>
          <w:b/>
          <w:bCs/>
          <w:color w:val="0C95D2"/>
          <w:sz w:val="36"/>
          <w:szCs w:val="36"/>
        </w:rPr>
        <w:t>Table of Contents</w:t>
      </w:r>
      <w:bookmarkEnd w:id="0"/>
      <w:bookmarkEnd w:id="1"/>
      <w:bookmarkEnd w:id="2"/>
      <w:bookmarkEnd w:id="3"/>
      <w:bookmarkEnd w:id="4"/>
      <w:bookmarkEnd w:id="5"/>
      <w:bookmarkEnd w:id="6"/>
      <w:bookmarkEnd w:id="7"/>
    </w:p>
    <w:p w:rsidR="00D03A39" w:rsidRPr="00D03A39" w:rsidRDefault="00CD7DBD" w:rsidP="00D03A39">
      <w:pPr>
        <w:pStyle w:val="TOC1"/>
        <w:rPr>
          <w:rFonts w:asciiTheme="majorHAnsi" w:eastAsiaTheme="minorEastAsia" w:hAnsiTheme="majorHAnsi" w:cstheme="minorBidi"/>
          <w:b w:val="0"/>
          <w:bCs w:val="0"/>
        </w:rPr>
      </w:pPr>
      <w:r w:rsidRPr="00D03A39">
        <w:rPr>
          <w:rFonts w:asciiTheme="majorHAnsi" w:hAnsiTheme="majorHAnsi"/>
        </w:rPr>
        <w:fldChar w:fldCharType="begin"/>
      </w:r>
      <w:r w:rsidRPr="00D03A39">
        <w:rPr>
          <w:rFonts w:asciiTheme="majorHAnsi" w:hAnsiTheme="majorHAnsi"/>
        </w:rPr>
        <w:instrText xml:space="preserve"> TOC \o "1-3" \h \z \u </w:instrText>
      </w:r>
      <w:r w:rsidRPr="00D03A39">
        <w:rPr>
          <w:rFonts w:asciiTheme="majorHAnsi" w:hAnsiTheme="majorHAnsi"/>
        </w:rPr>
        <w:fldChar w:fldCharType="separate"/>
      </w:r>
      <w:hyperlink w:anchor="_Toc528571171" w:history="1">
        <w:r w:rsidR="00D03A39" w:rsidRPr="00D03A39">
          <w:rPr>
            <w:rStyle w:val="Hyperlink"/>
            <w:rFonts w:asciiTheme="majorHAnsi" w:hAnsiTheme="majorHAnsi"/>
          </w:rPr>
          <w:t>Figures</w:t>
        </w:r>
        <w:r w:rsidR="00D03A39" w:rsidRPr="00D03A39">
          <w:rPr>
            <w:rFonts w:asciiTheme="majorHAnsi" w:hAnsiTheme="majorHAnsi"/>
            <w:webHidden/>
          </w:rPr>
          <w:tab/>
        </w:r>
        <w:r w:rsidR="00D03A39" w:rsidRPr="00D03A39">
          <w:rPr>
            <w:rFonts w:asciiTheme="majorHAnsi" w:hAnsiTheme="majorHAnsi"/>
            <w:webHidden/>
          </w:rPr>
          <w:fldChar w:fldCharType="begin"/>
        </w:r>
        <w:r w:rsidR="00D03A39" w:rsidRPr="00D03A39">
          <w:rPr>
            <w:rFonts w:asciiTheme="majorHAnsi" w:hAnsiTheme="majorHAnsi"/>
            <w:webHidden/>
          </w:rPr>
          <w:instrText xml:space="preserve"> PAGEREF _Toc528571171 \h </w:instrText>
        </w:r>
        <w:r w:rsidR="00D03A39" w:rsidRPr="00D03A39">
          <w:rPr>
            <w:rFonts w:asciiTheme="majorHAnsi" w:hAnsiTheme="majorHAnsi"/>
            <w:webHidden/>
          </w:rPr>
        </w:r>
        <w:r w:rsidR="00D03A39" w:rsidRPr="00D03A39">
          <w:rPr>
            <w:rFonts w:asciiTheme="majorHAnsi" w:hAnsiTheme="majorHAnsi"/>
            <w:webHidden/>
          </w:rPr>
          <w:fldChar w:fldCharType="separate"/>
        </w:r>
        <w:r w:rsidR="00872A95">
          <w:rPr>
            <w:rFonts w:asciiTheme="majorHAnsi" w:hAnsiTheme="majorHAnsi"/>
            <w:webHidden/>
          </w:rPr>
          <w:t>vi</w:t>
        </w:r>
        <w:r w:rsidR="00D03A39"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72" w:history="1">
        <w:r w:rsidRPr="00D03A39">
          <w:rPr>
            <w:rStyle w:val="Hyperlink"/>
            <w:rFonts w:asciiTheme="majorHAnsi" w:hAnsiTheme="majorHAnsi"/>
          </w:rPr>
          <w:t>Tables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_Toc528571172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vii</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73" w:history="1">
        <w:r w:rsidRPr="00D03A39">
          <w:rPr>
            <w:rStyle w:val="Hyperlink"/>
            <w:rFonts w:asciiTheme="majorHAnsi" w:hAnsiTheme="majorHAnsi"/>
          </w:rPr>
          <w:t>Nomenclature</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_Toc528571173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ix</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74" w:history="1">
        <w:r w:rsidRPr="00D03A39">
          <w:rPr>
            <w:rStyle w:val="Hyperlink"/>
            <w:rFonts w:asciiTheme="majorHAnsi" w:hAnsiTheme="majorHAnsi"/>
          </w:rPr>
          <w:t>Section 1</w:t>
        </w:r>
        <w:r w:rsidRPr="00D03A39">
          <w:rPr>
            <w:rStyle w:val="Hyperlink"/>
            <w:rFonts w:asciiTheme="majorHAnsi" w:hAnsiTheme="majorHAnsi"/>
          </w:rPr>
          <w:br/>
          <w:t>Executive Summary</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75" w:history="1">
        <w:r w:rsidRPr="00D03A39">
          <w:rPr>
            <w:rStyle w:val="Hyperlink"/>
            <w:rFonts w:asciiTheme="majorHAnsi" w:hAnsiTheme="majorHAnsi"/>
          </w:rPr>
          <w:t>1.1 Purpose of the 2017 Economic Study and Metrics Analyzed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_Toc528571175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76" w:history="1">
        <w:r w:rsidRPr="00D03A39">
          <w:rPr>
            <w:rStyle w:val="Hyperlink"/>
            <w:rFonts w:asciiTheme="majorHAnsi" w:hAnsiTheme="majorHAnsi"/>
          </w:rPr>
          <w:t>1.2 Scenarios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_Toc528571176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77" w:history="1">
        <w:r w:rsidRPr="00D03A39">
          <w:rPr>
            <w:rStyle w:val="Hyperlink"/>
            <w:rFonts w:asciiTheme="majorHAnsi" w:hAnsiTheme="majorHAnsi"/>
          </w:rPr>
          <w:t>1.3 Methodology and Assumptions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_Toc528571177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3</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78" w:history="1">
        <w:r w:rsidRPr="00D03A39">
          <w:rPr>
            <w:rStyle w:val="Hyperlink"/>
            <w:rFonts w:asciiTheme="majorHAnsi" w:hAnsiTheme="majorHAnsi"/>
          </w:rPr>
          <w:t>1.4 Key Observations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_Toc528571178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8</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179" w:history="1">
        <w:r w:rsidRPr="00D03A39">
          <w:rPr>
            <w:rStyle w:val="Hyperlink"/>
            <w:rFonts w:asciiTheme="majorHAnsi" w:hAnsiTheme="majorHAnsi"/>
            <w:noProof/>
            <w14:scene3d>
              <w14:camera w14:prst="orthographicFront"/>
              <w14:lightRig w14:rig="threePt" w14:dir="t">
                <w14:rot w14:lat="0" w14:lon="0" w14:rev="0"/>
              </w14:lightRig>
            </w14:scene3d>
          </w:rPr>
          <w:t>1.4.1</w:t>
        </w:r>
        <w:r w:rsidRPr="00D03A39">
          <w:rPr>
            <w:rStyle w:val="Hyperlink"/>
            <w:rFonts w:asciiTheme="majorHAnsi" w:hAnsiTheme="majorHAnsi"/>
            <w:noProof/>
          </w:rPr>
          <w:t xml:space="preserve"> Major Results Overall</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_Toc528571179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8</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180" w:history="1">
        <w:r w:rsidRPr="00D03A39">
          <w:rPr>
            <w:rStyle w:val="Hyperlink"/>
            <w:rFonts w:asciiTheme="majorHAnsi" w:hAnsiTheme="majorHAnsi"/>
            <w:noProof/>
            <w14:scene3d>
              <w14:camera w14:prst="orthographicFront"/>
              <w14:lightRig w14:rig="threePt" w14:dir="t">
                <w14:rot w14:lat="0" w14:lon="0" w14:rev="0"/>
              </w14:lightRig>
            </w14:scene3d>
          </w:rPr>
          <w:t>1.4.2</w:t>
        </w:r>
        <w:r w:rsidRPr="00D03A39">
          <w:rPr>
            <w:rStyle w:val="Hyperlink"/>
            <w:rFonts w:asciiTheme="majorHAnsi" w:hAnsiTheme="majorHAnsi"/>
            <w:noProof/>
          </w:rPr>
          <w:t xml:space="preserve"> High-Order-of-Magnitude Transmission Costs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_Toc528571180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9</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181" w:history="1">
        <w:r w:rsidRPr="00D03A39">
          <w:rPr>
            <w:rStyle w:val="Hyperlink"/>
            <w:rFonts w:asciiTheme="majorHAnsi" w:hAnsiTheme="majorHAnsi"/>
            <w:noProof/>
            <w14:scene3d>
              <w14:camera w14:prst="orthographicFront"/>
              <w14:lightRig w14:rig="threePt" w14:dir="t">
                <w14:rot w14:lat="0" w14:lon="0" w14:rev="0"/>
              </w14:lightRig>
            </w14:scene3d>
          </w:rPr>
          <w:t>1.4.3</w:t>
        </w:r>
        <w:r w:rsidRPr="00D03A39">
          <w:rPr>
            <w:rStyle w:val="Hyperlink"/>
            <w:rFonts w:asciiTheme="majorHAnsi" w:hAnsiTheme="majorHAnsi"/>
            <w:noProof/>
          </w:rPr>
          <w:t xml:space="preserve"> Relative Annual Resource Costs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_Toc528571181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10</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182" w:history="1">
        <w:r w:rsidRPr="00D03A39">
          <w:rPr>
            <w:rStyle w:val="Hyperlink"/>
            <w:rFonts w:asciiTheme="majorHAnsi" w:hAnsiTheme="majorHAnsi"/>
            <w:noProof/>
            <w14:scene3d>
              <w14:camera w14:prst="orthographicFront"/>
              <w14:lightRig w14:rig="threePt" w14:dir="t">
                <w14:rot w14:lat="0" w14:lon="0" w14:rev="0"/>
              </w14:lightRig>
            </w14:scene3d>
          </w:rPr>
          <w:t>1.4.4</w:t>
        </w:r>
        <w:r w:rsidRPr="00D03A39">
          <w:rPr>
            <w:rStyle w:val="Hyperlink"/>
            <w:rFonts w:asciiTheme="majorHAnsi" w:hAnsiTheme="majorHAnsi"/>
            <w:noProof/>
          </w:rPr>
          <w:t xml:space="preserve"> CO</w:t>
        </w:r>
        <w:r w:rsidRPr="00D03A39">
          <w:rPr>
            <w:rStyle w:val="Hyperlink"/>
            <w:rFonts w:asciiTheme="majorHAnsi" w:hAnsiTheme="majorHAnsi"/>
            <w:noProof/>
            <w:vertAlign w:val="subscript"/>
          </w:rPr>
          <w:t>2</w:t>
        </w:r>
        <w:r w:rsidRPr="00D03A39">
          <w:rPr>
            <w:rStyle w:val="Hyperlink"/>
            <w:rFonts w:asciiTheme="majorHAnsi" w:hAnsiTheme="majorHAnsi"/>
            <w:noProof/>
          </w:rPr>
          <w:t xml:space="preserve"> Emissions Compared with RGGI Targets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_Toc528571182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12</w:t>
        </w:r>
        <w:r w:rsidRPr="00D03A39">
          <w:rPr>
            <w:rFonts w:asciiTheme="majorHAnsi" w:hAnsiTheme="majorHAnsi"/>
            <w:noProof/>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83" w:history="1">
        <w:r w:rsidRPr="00D03A39">
          <w:rPr>
            <w:rStyle w:val="Hyperlink"/>
            <w:rFonts w:asciiTheme="majorHAnsi" w:hAnsiTheme="majorHAnsi"/>
          </w:rPr>
          <w:t>1.5 Conclusions and Next Steps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_Toc528571183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13</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84" w:history="1">
        <w:r w:rsidRPr="00D03A39">
          <w:rPr>
            <w:rStyle w:val="Hyperlink"/>
            <w:rFonts w:asciiTheme="majorHAnsi" w:hAnsiTheme="majorHAnsi"/>
          </w:rPr>
          <w:t>Section 2</w:t>
        </w:r>
        <w:r w:rsidRPr="00D03A39">
          <w:rPr>
            <w:rStyle w:val="Hyperlink"/>
            <w:rFonts w:asciiTheme="majorHAnsi" w:hAnsiTheme="majorHAnsi"/>
          </w:rPr>
          <w:br/>
          <w:t>Introduction</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15</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85" w:history="1">
        <w:r w:rsidRPr="00D03A39">
          <w:rPr>
            <w:rStyle w:val="Hyperlink"/>
            <w:rFonts w:asciiTheme="majorHAnsi" w:hAnsiTheme="majorHAnsi"/>
          </w:rPr>
          <w:t>2.1 Economic Study Process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_Toc528571185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15</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86" w:history="1">
        <w:r w:rsidRPr="00D03A39">
          <w:rPr>
            <w:rStyle w:val="Hyperlink"/>
            <w:rFonts w:asciiTheme="majorHAnsi" w:hAnsiTheme="majorHAnsi"/>
          </w:rPr>
          <w:t>2.2 Disclaimer</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_Toc528571186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15</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87" w:history="1">
        <w:r w:rsidRPr="00D03A39">
          <w:rPr>
            <w:rStyle w:val="Hyperlink"/>
            <w:rFonts w:asciiTheme="majorHAnsi" w:hAnsiTheme="majorHAnsi"/>
          </w:rPr>
          <w:t>2.3 2016 NEPOOL Scenario Analysis Process and Goals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_Toc528571187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16</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88" w:history="1">
        <w:r w:rsidRPr="00D03A39">
          <w:rPr>
            <w:rStyle w:val="Hyperlink"/>
            <w:rFonts w:asciiTheme="majorHAnsi" w:hAnsiTheme="majorHAnsi"/>
          </w:rPr>
          <w:t>2.4 Topics Addressed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_Toc528571188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16</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89" w:history="1">
        <w:r w:rsidRPr="00D03A39">
          <w:rPr>
            <w:rStyle w:val="Hyperlink"/>
            <w:rFonts w:asciiTheme="majorHAnsi" w:hAnsiTheme="majorHAnsi"/>
          </w:rPr>
          <w:t>Section 3</w:t>
        </w:r>
        <w:r w:rsidRPr="00D03A39">
          <w:rPr>
            <w:rStyle w:val="Hyperlink"/>
            <w:rFonts w:asciiTheme="majorHAnsi" w:hAnsiTheme="majorHAnsi"/>
          </w:rPr>
          <w:br/>
          <w:t>Description of the Scenarios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_Toc528571189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0" w:history="1">
        <w:r w:rsidRPr="00D03A39">
          <w:rPr>
            <w:rStyle w:val="Hyperlink"/>
            <w:rFonts w:asciiTheme="majorHAnsi" w:hAnsiTheme="majorHAnsi"/>
          </w:rPr>
          <w:t>3.1 Scenario 3—“Renewables Plus” (also “Renew Plus”)—Generation Fleet Meets Existing RPSs,</w:t>
        </w:r>
        <w:r w:rsidRPr="00D03A39">
          <w:rPr>
            <w:rStyle w:val="Hyperlink"/>
            <w:rFonts w:asciiTheme="majorHAnsi" w:hAnsiTheme="majorHAnsi"/>
          </w:rPr>
          <w:br/>
          <w:t>and Additional Renewable/Clean Energy Resources Are Used Above the Existing RPS Targets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_Toc528571190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1" w:history="1">
        <w:r w:rsidRPr="00D03A39">
          <w:rPr>
            <w:rStyle w:val="Hyperlink"/>
            <w:rFonts w:asciiTheme="majorHAnsi" w:hAnsiTheme="majorHAnsi"/>
          </w:rPr>
          <w:t>3.2 Scenario A—“EE + Offshore”—Change in Mix of New Renewable/Clean Energy Resources,</w:t>
        </w:r>
        <w:r w:rsidRPr="00D03A39">
          <w:rPr>
            <w:rStyle w:val="Hyperlink"/>
            <w:rFonts w:asciiTheme="majorHAnsi" w:hAnsiTheme="majorHAnsi"/>
          </w:rPr>
          <w:br/>
          <w:t>with Emphasis on Energy Efficiency and Offshore Wind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_Toc528571191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2" w:history="1">
        <w:r w:rsidRPr="00D03A39">
          <w:rPr>
            <w:rStyle w:val="Hyperlink"/>
            <w:rFonts w:asciiTheme="majorHAnsi" w:hAnsiTheme="majorHAnsi"/>
          </w:rPr>
          <w:t>3.3 Scenario B—“Onshore Less EE/PV”—Change in Mix of New Renewable/Clean Energy Resources,</w:t>
        </w:r>
        <w:r w:rsidRPr="00D03A39">
          <w:rPr>
            <w:rStyle w:val="Hyperlink"/>
            <w:rFonts w:asciiTheme="majorHAnsi" w:hAnsiTheme="majorHAnsi"/>
          </w:rPr>
          <w:br/>
          <w:t>with Emphasis on Onshore Wind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_Toc528571192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3" w:history="1">
        <w:r w:rsidRPr="00D03A39">
          <w:rPr>
            <w:rStyle w:val="Hyperlink"/>
            <w:rFonts w:asciiTheme="majorHAnsi" w:hAnsiTheme="majorHAnsi"/>
          </w:rPr>
          <w:t>3.4 Scenario C—“Wind Less Nuclear”—Replacement of Some of the Baseload Nuclear Generation with Renewable/Clean Energy Resources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_Toc528571193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18</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4" w:history="1">
        <w:r w:rsidRPr="00D03A39">
          <w:rPr>
            <w:rStyle w:val="Hyperlink"/>
            <w:rFonts w:asciiTheme="majorHAnsi" w:hAnsiTheme="majorHAnsi"/>
          </w:rPr>
          <w:t>3.5 Overview of Scenario Parameters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18</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95" w:history="1">
        <w:r w:rsidRPr="00D03A39">
          <w:rPr>
            <w:rStyle w:val="Hyperlink"/>
            <w:rFonts w:asciiTheme="majorHAnsi" w:hAnsiTheme="majorHAnsi"/>
          </w:rPr>
          <w:t>Section 4</w:t>
        </w:r>
        <w:r w:rsidRPr="00D03A39">
          <w:rPr>
            <w:rStyle w:val="Hyperlink"/>
            <w:rFonts w:asciiTheme="majorHAnsi" w:hAnsiTheme="majorHAnsi"/>
          </w:rPr>
          <w:br/>
          <w:t>Methodology and Metrics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_Toc528571195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21</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6" w:history="1">
        <w:r w:rsidRPr="00D03A39">
          <w:rPr>
            <w:rStyle w:val="Hyperlink"/>
            <w:rFonts w:asciiTheme="majorHAnsi" w:hAnsiTheme="majorHAnsi"/>
          </w:rPr>
          <w:t>4.1 Methodology</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_Toc528571196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21</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7" w:history="1">
        <w:r w:rsidRPr="00D03A39">
          <w:rPr>
            <w:rStyle w:val="Hyperlink"/>
            <w:rFonts w:asciiTheme="majorHAnsi" w:hAnsiTheme="majorHAnsi"/>
          </w:rPr>
          <w:t>4.2 Metrics Analyzed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_Toc528571197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21</w:t>
        </w:r>
        <w:r w:rsidRPr="00D03A39">
          <w:rPr>
            <w:rFonts w:asciiTheme="majorHAnsi" w:hAnsiTheme="majorHAnsi"/>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198" w:history="1">
        <w:r w:rsidRPr="00D03A39">
          <w:rPr>
            <w:rStyle w:val="Hyperlink"/>
            <w:rFonts w:asciiTheme="majorHAnsi" w:hAnsiTheme="majorHAnsi"/>
          </w:rPr>
          <w:t>Section 5</w:t>
        </w:r>
        <w:r w:rsidRPr="00D03A39">
          <w:rPr>
            <w:rStyle w:val="Hyperlink"/>
            <w:rFonts w:asciiTheme="majorHAnsi" w:hAnsiTheme="majorHAnsi"/>
          </w:rPr>
          <w:br/>
          <w:t>Assumptions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_Toc528571198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23</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199" w:history="1">
        <w:r w:rsidRPr="00D03A39">
          <w:rPr>
            <w:rStyle w:val="Hyperlink"/>
            <w:rFonts w:asciiTheme="majorHAnsi" w:hAnsiTheme="majorHAnsi"/>
          </w:rPr>
          <w:t>5.1 Public Policies Assumed</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_Toc528571199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23</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00" w:history="1">
        <w:r w:rsidRPr="00D03A39">
          <w:rPr>
            <w:rStyle w:val="Hyperlink"/>
            <w:rFonts w:asciiTheme="majorHAnsi" w:hAnsiTheme="majorHAnsi"/>
          </w:rPr>
          <w:t xml:space="preserve">5.2 Peak </w:t>
        </w:r>
        <w:r w:rsidRPr="00D03A39">
          <w:rPr>
            <w:rStyle w:val="Hyperlink"/>
            <w:rFonts w:asciiTheme="majorHAnsi" w:hAnsiTheme="majorHAnsi"/>
            <w:iCs/>
          </w:rPr>
          <w:t>Demand,</w:t>
        </w:r>
        <w:r w:rsidRPr="00D03A39">
          <w:rPr>
            <w:rStyle w:val="Hyperlink"/>
            <w:rFonts w:asciiTheme="majorHAnsi" w:hAnsiTheme="majorHAnsi"/>
          </w:rPr>
          <w:t xml:space="preserve"> Annual Energy Use, and Demand Modifiers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_Toc528571200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24</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1" w:history="1">
        <w:r w:rsidRPr="00D03A39">
          <w:rPr>
            <w:rStyle w:val="Hyperlink"/>
            <w:rFonts w:asciiTheme="majorHAnsi" w:hAnsiTheme="majorHAnsi"/>
            <w:noProof/>
            <w14:scene3d>
              <w14:camera w14:prst="orthographicFront"/>
              <w14:lightRig w14:rig="threePt" w14:dir="t">
                <w14:rot w14:lat="0" w14:lon="0" w14:rev="0"/>
              </w14:lightRig>
            </w14:scene3d>
          </w:rPr>
          <w:t>5.2.1</w:t>
        </w:r>
        <w:r w:rsidRPr="00D03A39">
          <w:rPr>
            <w:rStyle w:val="Hyperlink"/>
            <w:rFonts w:asciiTheme="majorHAnsi" w:hAnsiTheme="majorHAnsi"/>
            <w:bCs/>
            <w:noProof/>
          </w:rPr>
          <w:t xml:space="preserve"> Peak Demand</w:t>
        </w:r>
        <w:r w:rsidRPr="00D03A39">
          <w:rPr>
            <w:rStyle w:val="Hyperlink"/>
            <w:rFonts w:asciiTheme="majorHAnsi" w:hAnsiTheme="majorHAnsi"/>
            <w:noProof/>
          </w:rPr>
          <w:t xml:space="preserve"> and Annual Energy Use</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_Toc528571201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24</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2" w:history="1">
        <w:r w:rsidRPr="00D03A39">
          <w:rPr>
            <w:rStyle w:val="Hyperlink"/>
            <w:rFonts w:asciiTheme="majorHAnsi" w:hAnsiTheme="majorHAnsi"/>
            <w:noProof/>
            <w14:scene3d>
              <w14:camera w14:prst="orthographicFront"/>
              <w14:lightRig w14:rig="threePt" w14:dir="t">
                <w14:rot w14:lat="0" w14:lon="0" w14:rev="0"/>
              </w14:lightRig>
            </w14:scene3d>
          </w:rPr>
          <w:t>5.2.2</w:t>
        </w:r>
        <w:r w:rsidRPr="00D03A39">
          <w:rPr>
            <w:rStyle w:val="Hyperlink"/>
            <w:rFonts w:asciiTheme="majorHAnsi" w:hAnsiTheme="majorHAnsi"/>
            <w:noProof/>
          </w:rPr>
          <w:t xml:space="preserve"> Passive Demand and Behind-the Meter PV Resources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_Toc528571202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25</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3" w:history="1">
        <w:r w:rsidRPr="00D03A39">
          <w:rPr>
            <w:rStyle w:val="Hyperlink"/>
            <w:rFonts w:asciiTheme="majorHAnsi" w:hAnsiTheme="majorHAnsi"/>
            <w:noProof/>
            <w14:scene3d>
              <w14:camera w14:prst="orthographicFront"/>
              <w14:lightRig w14:rig="threePt" w14:dir="t">
                <w14:rot w14:lat="0" w14:lon="0" w14:rev="0"/>
              </w14:lightRig>
            </w14:scene3d>
          </w:rPr>
          <w:t>5.2.3</w:t>
        </w:r>
        <w:r w:rsidRPr="00D03A39">
          <w:rPr>
            <w:rStyle w:val="Hyperlink"/>
            <w:rFonts w:asciiTheme="majorHAnsi" w:hAnsiTheme="majorHAnsi"/>
            <w:bCs/>
            <w:noProof/>
          </w:rPr>
          <w:t xml:space="preserve"> Plug-In Hybrid</w:t>
        </w:r>
        <w:r w:rsidRPr="00D03A39">
          <w:rPr>
            <w:rStyle w:val="Hyperlink"/>
            <w:rFonts w:asciiTheme="majorHAnsi" w:hAnsiTheme="majorHAnsi"/>
            <w:noProof/>
          </w:rPr>
          <w:t xml:space="preserve"> Electric Vehicles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_Toc528571203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25</w:t>
        </w:r>
        <w:r w:rsidRPr="00D03A39">
          <w:rPr>
            <w:rFonts w:asciiTheme="majorHAnsi" w:hAnsiTheme="majorHAnsi"/>
            <w:noProof/>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04" w:history="1">
        <w:r w:rsidRPr="00D03A39">
          <w:rPr>
            <w:rStyle w:val="Hyperlink"/>
            <w:rFonts w:asciiTheme="majorHAnsi" w:hAnsiTheme="majorHAnsi"/>
          </w:rPr>
          <w:t>5.3 Capacity Assumptions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_Toc528571204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27</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5" w:history="1">
        <w:r w:rsidRPr="00D03A39">
          <w:rPr>
            <w:rStyle w:val="Hyperlink"/>
            <w:rFonts w:asciiTheme="majorHAnsi" w:hAnsiTheme="majorHAnsi"/>
            <w:noProof/>
            <w14:scene3d>
              <w14:camera w14:prst="orthographicFront"/>
              <w14:lightRig w14:rig="threePt" w14:dir="t">
                <w14:rot w14:lat="0" w14:lon="0" w14:rev="0"/>
              </w14:lightRig>
            </w14:scene3d>
          </w:rPr>
          <w:t>5.3.1</w:t>
        </w:r>
        <w:r w:rsidRPr="00D03A39">
          <w:rPr>
            <w:rStyle w:val="Hyperlink"/>
            <w:rFonts w:asciiTheme="majorHAnsi" w:hAnsiTheme="majorHAnsi"/>
            <w:noProof/>
          </w:rPr>
          <w:t xml:space="preserve"> Capacity Value Assumptions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_Toc528571205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29</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6" w:history="1">
        <w:r w:rsidRPr="00D03A39">
          <w:rPr>
            <w:rStyle w:val="Hyperlink"/>
            <w:rFonts w:asciiTheme="majorHAnsi" w:hAnsiTheme="majorHAnsi"/>
            <w:noProof/>
            <w14:scene3d>
              <w14:camera w14:prst="orthographicFront"/>
              <w14:lightRig w14:rig="threePt" w14:dir="t">
                <w14:rot w14:lat="0" w14:lon="0" w14:rev="0"/>
              </w14:lightRig>
            </w14:scene3d>
          </w:rPr>
          <w:t>5.3.2</w:t>
        </w:r>
        <w:r w:rsidRPr="00D03A39">
          <w:rPr>
            <w:rStyle w:val="Hyperlink"/>
            <w:rFonts w:asciiTheme="majorHAnsi" w:hAnsiTheme="majorHAnsi"/>
            <w:noProof/>
          </w:rPr>
          <w:t xml:space="preserve"> Wind Generation</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_Toc528571206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31</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7" w:history="1">
        <w:r w:rsidRPr="00D03A39">
          <w:rPr>
            <w:rStyle w:val="Hyperlink"/>
            <w:rFonts w:asciiTheme="majorHAnsi" w:hAnsiTheme="majorHAnsi"/>
            <w:noProof/>
            <w14:scene3d>
              <w14:camera w14:prst="orthographicFront"/>
              <w14:lightRig w14:rig="threePt" w14:dir="t">
                <w14:rot w14:lat="0" w14:lon="0" w14:rev="0"/>
              </w14:lightRig>
            </w14:scene3d>
          </w:rPr>
          <w:t>5.3.3</w:t>
        </w:r>
        <w:r w:rsidRPr="00D03A39">
          <w:rPr>
            <w:rStyle w:val="Hyperlink"/>
            <w:rFonts w:asciiTheme="majorHAnsi" w:hAnsiTheme="majorHAnsi"/>
            <w:noProof/>
          </w:rPr>
          <w:t xml:space="preserve"> Resource Retirements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_Toc528571207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32</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8" w:history="1">
        <w:r w:rsidRPr="00D03A39">
          <w:rPr>
            <w:rStyle w:val="Hyperlink"/>
            <w:rFonts w:asciiTheme="majorHAnsi" w:hAnsiTheme="majorHAnsi"/>
            <w:noProof/>
            <w14:scene3d>
              <w14:camera w14:prst="orthographicFront"/>
              <w14:lightRig w14:rig="threePt" w14:dir="t">
                <w14:rot w14:lat="0" w14:lon="0" w14:rev="0"/>
              </w14:lightRig>
            </w14:scene3d>
          </w:rPr>
          <w:t>5.3.4</w:t>
        </w:r>
        <w:r w:rsidRPr="00D03A39">
          <w:rPr>
            <w:rStyle w:val="Hyperlink"/>
            <w:rFonts w:asciiTheme="majorHAnsi" w:hAnsiTheme="majorHAnsi"/>
            <w:noProof/>
          </w:rPr>
          <w:t xml:space="preserve"> Renewable Portfolio Standards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_Toc528571208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33</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09" w:history="1">
        <w:r w:rsidRPr="00D03A39">
          <w:rPr>
            <w:rStyle w:val="Hyperlink"/>
            <w:rFonts w:asciiTheme="majorHAnsi" w:hAnsiTheme="majorHAnsi"/>
            <w:noProof/>
            <w14:scene3d>
              <w14:camera w14:prst="orthographicFront"/>
              <w14:lightRig w14:rig="threePt" w14:dir="t">
                <w14:rot w14:lat="0" w14:lon="0" w14:rev="0"/>
              </w14:lightRig>
            </w14:scene3d>
          </w:rPr>
          <w:t>5.3.5</w:t>
        </w:r>
        <w:r w:rsidRPr="00D03A39">
          <w:rPr>
            <w:rStyle w:val="Hyperlink"/>
            <w:rFonts w:asciiTheme="majorHAnsi" w:hAnsiTheme="majorHAnsi"/>
            <w:noProof/>
          </w:rPr>
          <w:t xml:space="preserve"> Active Demand Resources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_Toc528571209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33</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0" w:history="1">
        <w:r w:rsidRPr="00D03A39">
          <w:rPr>
            <w:rStyle w:val="Hyperlink"/>
            <w:rFonts w:asciiTheme="majorHAnsi" w:hAnsiTheme="majorHAnsi"/>
            <w:noProof/>
            <w14:scene3d>
              <w14:camera w14:prst="orthographicFront"/>
              <w14:lightRig w14:rig="threePt" w14:dir="t">
                <w14:rot w14:lat="0" w14:lon="0" w14:rev="0"/>
              </w14:lightRig>
            </w14:scene3d>
          </w:rPr>
          <w:t>5.3.6</w:t>
        </w:r>
        <w:r w:rsidRPr="00D03A39">
          <w:rPr>
            <w:rStyle w:val="Hyperlink"/>
            <w:rFonts w:asciiTheme="majorHAnsi" w:hAnsiTheme="majorHAnsi"/>
            <w:noProof/>
          </w:rPr>
          <w:t xml:space="preserve"> New England Hydroelectric Generation</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_Toc528571210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34</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1" w:history="1">
        <w:r w:rsidRPr="00D03A39">
          <w:rPr>
            <w:rStyle w:val="Hyperlink"/>
            <w:rFonts w:asciiTheme="majorHAnsi" w:hAnsiTheme="majorHAnsi"/>
            <w:noProof/>
            <w14:scene3d>
              <w14:camera w14:prst="orthographicFront"/>
              <w14:lightRig w14:rig="threePt" w14:dir="t">
                <w14:rot w14:lat="0" w14:lon="0" w14:rev="0"/>
              </w14:lightRig>
            </w14:scene3d>
          </w:rPr>
          <w:t>5.3.7</w:t>
        </w:r>
        <w:r w:rsidRPr="00D03A39">
          <w:rPr>
            <w:rStyle w:val="Hyperlink"/>
            <w:rFonts w:asciiTheme="majorHAnsi" w:hAnsiTheme="majorHAnsi"/>
            <w:noProof/>
          </w:rPr>
          <w:t xml:space="preserve"> Pumped Storage and Battery Storage</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_Toc528571211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34</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2" w:history="1">
        <w:r w:rsidRPr="00D03A39">
          <w:rPr>
            <w:rStyle w:val="Hyperlink"/>
            <w:rFonts w:asciiTheme="majorHAnsi" w:hAnsiTheme="majorHAnsi"/>
            <w:noProof/>
            <w14:scene3d>
              <w14:camera w14:prst="orthographicFront"/>
              <w14:lightRig w14:rig="threePt" w14:dir="t">
                <w14:rot w14:lat="0" w14:lon="0" w14:rev="0"/>
              </w14:lightRig>
            </w14:scene3d>
          </w:rPr>
          <w:t>5.3.8</w:t>
        </w:r>
        <w:r w:rsidRPr="00D03A39">
          <w:rPr>
            <w:rStyle w:val="Hyperlink"/>
            <w:rFonts w:asciiTheme="majorHAnsi" w:hAnsiTheme="majorHAnsi"/>
            <w:noProof/>
          </w:rPr>
          <w:t xml:space="preserve"> Transmission Interface Limits and Interchanges with Neighboring Systems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_Toc528571212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34</w:t>
        </w:r>
        <w:r w:rsidRPr="00D03A39">
          <w:rPr>
            <w:rFonts w:asciiTheme="majorHAnsi" w:hAnsiTheme="majorHAnsi"/>
            <w:noProof/>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13" w:history="1">
        <w:r w:rsidRPr="00D03A39">
          <w:rPr>
            <w:rStyle w:val="Hyperlink"/>
            <w:rFonts w:asciiTheme="majorHAnsi" w:hAnsiTheme="majorHAnsi"/>
          </w:rPr>
          <w:t>5.4 Fuel Prices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_Toc528571213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37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14" w:history="1">
        <w:r w:rsidRPr="00D03A39">
          <w:rPr>
            <w:rStyle w:val="Hyperlink"/>
            <w:rFonts w:asciiTheme="majorHAnsi" w:hAnsiTheme="majorHAnsi"/>
          </w:rPr>
          <w:t>5.5 Threshold Prices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_Toc528571214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39</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15" w:history="1">
        <w:r w:rsidRPr="00D03A39">
          <w:rPr>
            <w:rStyle w:val="Hyperlink"/>
            <w:rFonts w:asciiTheme="majorHAnsi" w:hAnsiTheme="majorHAnsi"/>
          </w:rPr>
          <w:t>5.6 Environmental Emissions Allowance Assumptions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_Toc528571215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39</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16" w:history="1">
        <w:r w:rsidRPr="00D03A39">
          <w:rPr>
            <w:rStyle w:val="Hyperlink"/>
            <w:rFonts w:asciiTheme="majorHAnsi" w:hAnsiTheme="majorHAnsi"/>
          </w:rPr>
          <w:t>5.7 Annual Carrying Charges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_Toc528571216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40</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7" w:history="1">
        <w:r w:rsidRPr="00D03A39">
          <w:rPr>
            <w:rStyle w:val="Hyperlink"/>
            <w:rFonts w:asciiTheme="majorHAnsi" w:hAnsiTheme="majorHAnsi"/>
            <w:noProof/>
            <w14:scene3d>
              <w14:camera w14:prst="orthographicFront"/>
              <w14:lightRig w14:rig="threePt" w14:dir="t">
                <w14:rot w14:lat="0" w14:lon="0" w14:rev="0"/>
              </w14:lightRig>
            </w14:scene3d>
          </w:rPr>
          <w:t>5.7.1</w:t>
        </w:r>
        <w:r w:rsidRPr="00D03A39">
          <w:rPr>
            <w:rStyle w:val="Hyperlink"/>
            <w:rFonts w:asciiTheme="majorHAnsi" w:hAnsiTheme="majorHAnsi"/>
            <w:noProof/>
          </w:rPr>
          <w:t xml:space="preserve"> Annual Carrying Charges for New Resources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_Toc528571217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40</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8" w:history="1">
        <w:r w:rsidRPr="00D03A39">
          <w:rPr>
            <w:rStyle w:val="Hyperlink"/>
            <w:rFonts w:asciiTheme="majorHAnsi" w:hAnsiTheme="majorHAnsi"/>
            <w:noProof/>
            <w14:scene3d>
              <w14:camera w14:prst="orthographicFront"/>
              <w14:lightRig w14:rig="threePt" w14:dir="t">
                <w14:rot w14:lat="0" w14:lon="0" w14:rev="0"/>
              </w14:lightRig>
            </w14:scene3d>
          </w:rPr>
          <w:t>5.7.2</w:t>
        </w:r>
        <w:r w:rsidRPr="00D03A39">
          <w:rPr>
            <w:rStyle w:val="Hyperlink"/>
            <w:rFonts w:asciiTheme="majorHAnsi" w:hAnsiTheme="majorHAnsi"/>
            <w:noProof/>
          </w:rPr>
          <w:t xml:space="preserve"> Transmission Development Costs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_Toc528571218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41</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19" w:history="1">
        <w:r w:rsidRPr="00D03A39">
          <w:rPr>
            <w:rStyle w:val="Hyperlink"/>
            <w:rFonts w:asciiTheme="majorHAnsi" w:hAnsiTheme="majorHAnsi"/>
            <w:noProof/>
            <w14:scene3d>
              <w14:camera w14:prst="orthographicFront"/>
              <w14:lightRig w14:rig="threePt" w14:dir="t">
                <w14:rot w14:lat="0" w14:lon="0" w14:rev="0"/>
              </w14:lightRig>
            </w14:scene3d>
          </w:rPr>
          <w:t>5.7.3</w:t>
        </w:r>
        <w:r w:rsidRPr="00D03A39">
          <w:rPr>
            <w:rStyle w:val="Hyperlink"/>
            <w:rFonts w:asciiTheme="majorHAnsi" w:hAnsiTheme="majorHAnsi"/>
            <w:noProof/>
          </w:rPr>
          <w:t xml:space="preserve"> High-Order-of-Magnitude Cost Estimates for Integrating Renewable Resources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_Toc528571219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47</w:t>
        </w:r>
        <w:r w:rsidRPr="00D03A39">
          <w:rPr>
            <w:rFonts w:asciiTheme="majorHAnsi" w:hAnsiTheme="majorHAnsi"/>
            <w:noProof/>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220" w:history="1">
        <w:r w:rsidRPr="00D03A39">
          <w:rPr>
            <w:rStyle w:val="Hyperlink"/>
            <w:rFonts w:asciiTheme="majorHAnsi" w:hAnsiTheme="majorHAnsi"/>
          </w:rPr>
          <w:t>Section 6</w:t>
        </w:r>
        <w:r w:rsidRPr="00D03A39">
          <w:rPr>
            <w:rStyle w:val="Hyperlink"/>
            <w:rFonts w:asciiTheme="majorHAnsi" w:hAnsiTheme="majorHAnsi"/>
          </w:rPr>
          <w:br/>
          <w:t>Results and Observations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_Toc528571220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49</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21" w:history="1">
        <w:r w:rsidRPr="00D03A39">
          <w:rPr>
            <w:rStyle w:val="Hyperlink"/>
            <w:rFonts w:asciiTheme="majorHAnsi" w:hAnsiTheme="majorHAnsi"/>
          </w:rPr>
          <w:t>6.1 Economic Results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_Toc528571221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49</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2" w:history="1">
        <w:r w:rsidRPr="00D03A39">
          <w:rPr>
            <w:rStyle w:val="Hyperlink"/>
            <w:rFonts w:asciiTheme="majorHAnsi" w:hAnsiTheme="majorHAnsi"/>
            <w:noProof/>
            <w14:scene3d>
              <w14:camera w14:prst="orthographicFront"/>
              <w14:lightRig w14:rig="threePt" w14:dir="t">
                <w14:rot w14:lat="0" w14:lon="0" w14:rev="0"/>
              </w14:lightRig>
            </w14:scene3d>
          </w:rPr>
          <w:t>6.1.1</w:t>
        </w:r>
        <w:r w:rsidRPr="00D03A39">
          <w:rPr>
            <w:rStyle w:val="Hyperlink"/>
            <w:rFonts w:asciiTheme="majorHAnsi" w:hAnsiTheme="majorHAnsi"/>
            <w:noProof/>
          </w:rPr>
          <w:t xml:space="preserve"> Total Energy Production by Resource (Fuel) Type, Including Imports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_Toc528571222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49</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3" w:history="1">
        <w:r w:rsidRPr="00D03A39">
          <w:rPr>
            <w:rStyle w:val="Hyperlink"/>
            <w:rFonts w:asciiTheme="majorHAnsi" w:hAnsiTheme="majorHAnsi"/>
            <w:noProof/>
            <w14:scene3d>
              <w14:camera w14:prst="orthographicFront"/>
              <w14:lightRig w14:rig="threePt" w14:dir="t">
                <w14:rot w14:lat="0" w14:lon="0" w14:rev="0"/>
              </w14:lightRig>
            </w14:scene3d>
          </w:rPr>
          <w:t>6.1.2</w:t>
        </w:r>
        <w:r w:rsidRPr="00D03A39">
          <w:rPr>
            <w:rStyle w:val="Hyperlink"/>
            <w:rFonts w:asciiTheme="majorHAnsi" w:hAnsiTheme="majorHAnsi"/>
            <w:noProof/>
          </w:rPr>
          <w:t xml:space="preserve"> Systemwide Production Costs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_Toc528571223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51</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4" w:history="1">
        <w:r w:rsidRPr="00D03A39">
          <w:rPr>
            <w:rStyle w:val="Hyperlink"/>
            <w:rFonts w:asciiTheme="majorHAnsi" w:hAnsiTheme="majorHAnsi"/>
            <w:noProof/>
            <w14:scene3d>
              <w14:camera w14:prst="orthographicFront"/>
              <w14:lightRig w14:rig="threePt" w14:dir="t">
                <w14:rot w14:lat="0" w14:lon="0" w14:rev="0"/>
              </w14:lightRig>
            </w14:scene3d>
          </w:rPr>
          <w:t>6.1.3</w:t>
        </w:r>
        <w:r w:rsidRPr="00D03A39">
          <w:rPr>
            <w:rStyle w:val="Hyperlink"/>
            <w:rFonts w:asciiTheme="majorHAnsi" w:hAnsiTheme="majorHAnsi"/>
            <w:noProof/>
          </w:rPr>
          <w:t xml:space="preserve"> Annual Average LMPs by RSP Subareas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_Toc528571224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52</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5" w:history="1">
        <w:r w:rsidRPr="00D03A39">
          <w:rPr>
            <w:rStyle w:val="Hyperlink"/>
            <w:rFonts w:asciiTheme="majorHAnsi" w:hAnsiTheme="majorHAnsi"/>
            <w:noProof/>
            <w14:scene3d>
              <w14:camera w14:prst="orthographicFront"/>
              <w14:lightRig w14:rig="threePt" w14:dir="t">
                <w14:rot w14:lat="0" w14:lon="0" w14:rev="0"/>
              </w14:lightRig>
            </w14:scene3d>
          </w:rPr>
          <w:t>6.1.4</w:t>
        </w:r>
        <w:r w:rsidRPr="00D03A39">
          <w:rPr>
            <w:rStyle w:val="Hyperlink"/>
            <w:rFonts w:asciiTheme="majorHAnsi" w:hAnsiTheme="majorHAnsi"/>
            <w:noProof/>
          </w:rPr>
          <w:t xml:space="preserve"> Load-Serving Entity Energy Expense and Uplift</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_Toc528571225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53</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6" w:history="1">
        <w:r w:rsidRPr="00D03A39">
          <w:rPr>
            <w:rStyle w:val="Hyperlink"/>
            <w:rFonts w:asciiTheme="majorHAnsi" w:hAnsiTheme="majorHAnsi"/>
            <w:noProof/>
            <w14:scene3d>
              <w14:camera w14:prst="orthographicFront"/>
              <w14:lightRig w14:rig="threePt" w14:dir="t">
                <w14:rot w14:lat="0" w14:lon="0" w14:rev="0"/>
              </w14:lightRig>
            </w14:scene3d>
          </w:rPr>
          <w:t>6.1.5</w:t>
        </w:r>
        <w:r w:rsidRPr="00D03A39">
          <w:rPr>
            <w:rStyle w:val="Hyperlink"/>
            <w:rFonts w:asciiTheme="majorHAnsi" w:hAnsiTheme="majorHAnsi"/>
            <w:noProof/>
          </w:rPr>
          <w:t xml:space="preserve"> GridView Congestion Metric by Interface</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_Toc528571226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55</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27" w:history="1">
        <w:r w:rsidRPr="00D03A39">
          <w:rPr>
            <w:rStyle w:val="Hyperlink"/>
            <w:rFonts w:asciiTheme="majorHAnsi" w:hAnsiTheme="majorHAnsi"/>
            <w:noProof/>
            <w14:scene3d>
              <w14:camera w14:prst="orthographicFront"/>
              <w14:lightRig w14:rig="threePt" w14:dir="t">
                <w14:rot w14:lat="0" w14:lon="0" w14:rev="0"/>
              </w14:lightRig>
            </w14:scene3d>
          </w:rPr>
          <w:t>6.1.6</w:t>
        </w:r>
        <w:r w:rsidRPr="00D03A39">
          <w:rPr>
            <w:rStyle w:val="Hyperlink"/>
            <w:rFonts w:asciiTheme="majorHAnsi" w:hAnsiTheme="majorHAnsi"/>
            <w:noProof/>
          </w:rPr>
          <w:t xml:space="preserve"> High-Order-of-Magnitude Transmission Costs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_Toc528571227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56</w:t>
        </w:r>
        <w:r w:rsidRPr="00D03A39">
          <w:rPr>
            <w:rFonts w:asciiTheme="majorHAnsi" w:hAnsiTheme="majorHAnsi"/>
            <w:noProof/>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28" w:history="1">
        <w:r w:rsidRPr="00D03A39">
          <w:rPr>
            <w:rStyle w:val="Hyperlink"/>
            <w:rFonts w:asciiTheme="majorHAnsi" w:hAnsiTheme="majorHAnsi"/>
          </w:rPr>
          <w:t>6.2 Operation and Planning the Transmission System for High Levels of Inverter-Based Resources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_Toc528571228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58</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29" w:history="1">
        <w:r w:rsidRPr="00D03A39">
          <w:rPr>
            <w:rStyle w:val="Hyperlink"/>
            <w:rFonts w:asciiTheme="majorHAnsi" w:hAnsiTheme="majorHAnsi"/>
          </w:rPr>
          <w:t>6.3 Relative Annual Resource Costs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_Toc528571229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59</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30" w:history="1">
        <w:r w:rsidRPr="00D03A39">
          <w:rPr>
            <w:rStyle w:val="Hyperlink"/>
            <w:rFonts w:asciiTheme="majorHAnsi" w:hAnsiTheme="majorHAnsi"/>
          </w:rPr>
          <w:t>6.4 Environmental Results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_Toc528571230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62</w:t>
        </w:r>
        <w:r w:rsidRPr="00D03A39">
          <w:rPr>
            <w:rFonts w:asciiTheme="majorHAnsi" w:hAnsiTheme="majorHAnsi"/>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31" w:history="1">
        <w:r w:rsidRPr="00D03A39">
          <w:rPr>
            <w:rStyle w:val="Hyperlink"/>
            <w:rFonts w:asciiTheme="majorHAnsi" w:hAnsiTheme="majorHAnsi"/>
            <w:noProof/>
            <w14:scene3d>
              <w14:camera w14:prst="orthographicFront"/>
              <w14:lightRig w14:rig="threePt" w14:dir="t">
                <w14:rot w14:lat="0" w14:lon="0" w14:rev="0"/>
              </w14:lightRig>
            </w14:scene3d>
          </w:rPr>
          <w:t>6.4.1</w:t>
        </w:r>
        <w:r w:rsidRPr="00D03A39">
          <w:rPr>
            <w:rStyle w:val="Hyperlink"/>
            <w:rFonts w:asciiTheme="majorHAnsi" w:hAnsiTheme="majorHAnsi"/>
            <w:noProof/>
          </w:rPr>
          <w:t xml:space="preserve"> Ability of the System to Meet Renewable Portfolio Standards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_Toc528571231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63</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32" w:history="1">
        <w:r w:rsidRPr="00D03A39">
          <w:rPr>
            <w:rStyle w:val="Hyperlink"/>
            <w:rFonts w:asciiTheme="majorHAnsi" w:hAnsiTheme="majorHAnsi"/>
            <w:noProof/>
            <w14:scene3d>
              <w14:camera w14:prst="orthographicFront"/>
              <w14:lightRig w14:rig="threePt" w14:dir="t">
                <w14:rot w14:lat="0" w14:lon="0" w14:rev="0"/>
              </w14:lightRig>
            </w14:scene3d>
          </w:rPr>
          <w:t>6.4.2</w:t>
        </w:r>
        <w:r w:rsidRPr="00D03A39">
          <w:rPr>
            <w:rStyle w:val="Hyperlink"/>
            <w:rFonts w:asciiTheme="majorHAnsi" w:hAnsiTheme="majorHAnsi"/>
            <w:noProof/>
          </w:rPr>
          <w:t xml:space="preserve"> Carbon Dioxide Emissions and RGGI Goals</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_Toc528571232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63</w:t>
        </w:r>
        <w:r w:rsidRPr="00D03A39">
          <w:rPr>
            <w:rFonts w:asciiTheme="majorHAnsi" w:hAnsiTheme="majorHAnsi"/>
            <w:noProof/>
            <w:webHidden/>
          </w:rPr>
          <w:fldChar w:fldCharType="end"/>
        </w:r>
      </w:hyperlink>
    </w:p>
    <w:p w:rsidR="00D03A39" w:rsidRPr="00D03A39" w:rsidRDefault="00D03A39" w:rsidP="00D03A39">
      <w:pPr>
        <w:pStyle w:val="TOC3"/>
        <w:spacing w:after="120" w:line="240" w:lineRule="auto"/>
        <w:rPr>
          <w:rFonts w:asciiTheme="majorHAnsi" w:eastAsiaTheme="minorEastAsia" w:hAnsiTheme="majorHAnsi" w:cstheme="minorBidi"/>
          <w:noProof/>
        </w:rPr>
      </w:pPr>
      <w:hyperlink w:anchor="_Toc528571233" w:history="1">
        <w:r w:rsidRPr="00D03A39">
          <w:rPr>
            <w:rStyle w:val="Hyperlink"/>
            <w:rFonts w:asciiTheme="majorHAnsi" w:hAnsiTheme="majorHAnsi"/>
            <w:noProof/>
            <w14:scene3d>
              <w14:camera w14:prst="orthographicFront"/>
              <w14:lightRig w14:rig="threePt" w14:dir="t">
                <w14:rot w14:lat="0" w14:lon="0" w14:rev="0"/>
              </w14:lightRig>
            </w14:scene3d>
          </w:rPr>
          <w:t>6.4.3</w:t>
        </w:r>
        <w:r w:rsidRPr="00D03A39">
          <w:rPr>
            <w:rStyle w:val="Hyperlink"/>
            <w:rFonts w:asciiTheme="majorHAnsi" w:hAnsiTheme="majorHAnsi"/>
            <w:noProof/>
          </w:rPr>
          <w:t xml:space="preserve"> Spilled Renewable Resource Energy</w:t>
        </w:r>
        <w:r w:rsidRPr="00D03A39">
          <w:rPr>
            <w:rFonts w:asciiTheme="majorHAnsi" w:hAnsiTheme="majorHAnsi"/>
            <w:noProof/>
            <w:webHidden/>
          </w:rPr>
          <w:tab/>
        </w:r>
        <w:r w:rsidRPr="00D03A39">
          <w:rPr>
            <w:rFonts w:asciiTheme="majorHAnsi" w:hAnsiTheme="majorHAnsi"/>
            <w:noProof/>
            <w:webHidden/>
          </w:rPr>
          <w:fldChar w:fldCharType="begin"/>
        </w:r>
        <w:r w:rsidRPr="00D03A39">
          <w:rPr>
            <w:rFonts w:asciiTheme="majorHAnsi" w:hAnsiTheme="majorHAnsi"/>
            <w:noProof/>
            <w:webHidden/>
          </w:rPr>
          <w:instrText xml:space="preserve"> PAGEREF _Toc528571233 \h </w:instrText>
        </w:r>
        <w:r w:rsidRPr="00D03A39">
          <w:rPr>
            <w:rFonts w:asciiTheme="majorHAnsi" w:hAnsiTheme="majorHAnsi"/>
            <w:noProof/>
            <w:webHidden/>
          </w:rPr>
        </w:r>
        <w:r w:rsidRPr="00D03A39">
          <w:rPr>
            <w:rFonts w:asciiTheme="majorHAnsi" w:hAnsiTheme="majorHAnsi"/>
            <w:noProof/>
            <w:webHidden/>
          </w:rPr>
          <w:fldChar w:fldCharType="separate"/>
        </w:r>
        <w:r w:rsidR="00872A95">
          <w:rPr>
            <w:rFonts w:asciiTheme="majorHAnsi" w:hAnsiTheme="majorHAnsi"/>
            <w:noProof/>
            <w:webHidden/>
          </w:rPr>
          <w:t>64</w:t>
        </w:r>
        <w:r w:rsidRPr="00D03A39">
          <w:rPr>
            <w:rFonts w:asciiTheme="majorHAnsi" w:hAnsiTheme="majorHAnsi"/>
            <w:noProof/>
            <w:webHidden/>
          </w:rPr>
          <w:fldChar w:fldCharType="end"/>
        </w:r>
      </w:hyperlink>
    </w:p>
    <w:p w:rsidR="00D03A39" w:rsidRPr="00D03A39" w:rsidRDefault="00D03A39" w:rsidP="00D03A39">
      <w:pPr>
        <w:pStyle w:val="TOC1"/>
        <w:rPr>
          <w:rFonts w:asciiTheme="majorHAnsi" w:eastAsiaTheme="minorEastAsia" w:hAnsiTheme="majorHAnsi" w:cstheme="minorBidi"/>
          <w:b w:val="0"/>
          <w:bCs w:val="0"/>
        </w:rPr>
      </w:pPr>
      <w:hyperlink w:anchor="_Toc528571234" w:history="1">
        <w:r w:rsidRPr="00D03A39">
          <w:rPr>
            <w:rStyle w:val="Hyperlink"/>
            <w:rFonts w:asciiTheme="majorHAnsi" w:hAnsiTheme="majorHAnsi"/>
          </w:rPr>
          <w:t>Section 7</w:t>
        </w:r>
        <w:r w:rsidRPr="00D03A39">
          <w:rPr>
            <w:rStyle w:val="Hyperlink"/>
            <w:rFonts w:asciiTheme="majorHAnsi" w:hAnsiTheme="majorHAnsi"/>
          </w:rPr>
          <w:br/>
          <w:t>Summary, Conclusions, Transitional Issues, and Next Steps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_Toc528571234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67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35" w:history="1">
        <w:r w:rsidRPr="00D03A39">
          <w:rPr>
            <w:rStyle w:val="Hyperlink"/>
            <w:rFonts w:asciiTheme="majorHAnsi" w:hAnsiTheme="majorHAnsi"/>
          </w:rPr>
          <w:t>7.1 Key Observations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_Toc528571235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67</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36" w:history="1">
        <w:r w:rsidRPr="00D03A39">
          <w:rPr>
            <w:rStyle w:val="Hyperlink"/>
            <w:rFonts w:asciiTheme="majorHAnsi" w:hAnsiTheme="majorHAnsi"/>
          </w:rPr>
          <w:t>7.2 Transitional Issues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_Toc528571236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68</w:t>
        </w:r>
        <w:r w:rsidRPr="00D03A39">
          <w:rPr>
            <w:rFonts w:asciiTheme="majorHAnsi" w:hAnsiTheme="majorHAnsi"/>
            <w:webHidden/>
          </w:rPr>
          <w:fldChar w:fldCharType="end"/>
        </w:r>
      </w:hyperlink>
    </w:p>
    <w:p w:rsidR="00D03A39" w:rsidRPr="00D03A39" w:rsidRDefault="00D03A39" w:rsidP="00D03A39">
      <w:pPr>
        <w:pStyle w:val="TOC2"/>
        <w:rPr>
          <w:rFonts w:asciiTheme="majorHAnsi" w:eastAsiaTheme="minorEastAsia" w:hAnsiTheme="majorHAnsi" w:cstheme="minorBidi"/>
          <w:bCs w:val="0"/>
        </w:rPr>
      </w:pPr>
      <w:hyperlink w:anchor="_Toc528571237" w:history="1">
        <w:r w:rsidRPr="00D03A39">
          <w:rPr>
            <w:rStyle w:val="Hyperlink"/>
            <w:rFonts w:asciiTheme="majorHAnsi" w:hAnsiTheme="majorHAnsi"/>
          </w:rPr>
          <w:t>7.3 Next Steps</w:t>
        </w:r>
        <w:r w:rsidRPr="00D03A39">
          <w:rPr>
            <w:rFonts w:asciiTheme="majorHAnsi" w:hAnsiTheme="majorHAnsi"/>
            <w:webHidden/>
          </w:rPr>
          <w:tab/>
        </w:r>
        <w:r w:rsidRPr="00D03A39">
          <w:rPr>
            <w:rFonts w:asciiTheme="majorHAnsi" w:hAnsiTheme="majorHAnsi"/>
            <w:webHidden/>
          </w:rPr>
          <w:fldChar w:fldCharType="begin"/>
        </w:r>
        <w:r w:rsidRPr="00D03A39">
          <w:rPr>
            <w:rFonts w:asciiTheme="majorHAnsi" w:hAnsiTheme="majorHAnsi"/>
            <w:webHidden/>
          </w:rPr>
          <w:instrText xml:space="preserve"> PAGEREF _Toc528571237 \h </w:instrText>
        </w:r>
        <w:r w:rsidRPr="00D03A39">
          <w:rPr>
            <w:rFonts w:asciiTheme="majorHAnsi" w:hAnsiTheme="majorHAnsi"/>
            <w:webHidden/>
          </w:rPr>
        </w:r>
        <w:r w:rsidRPr="00D03A39">
          <w:rPr>
            <w:rFonts w:asciiTheme="majorHAnsi" w:hAnsiTheme="majorHAnsi"/>
            <w:webHidden/>
          </w:rPr>
          <w:fldChar w:fldCharType="separate"/>
        </w:r>
        <w:r w:rsidR="00872A95">
          <w:rPr>
            <w:rFonts w:asciiTheme="majorHAnsi" w:hAnsiTheme="majorHAnsi"/>
            <w:webHidden/>
          </w:rPr>
          <w:t>68</w:t>
        </w:r>
        <w:r w:rsidRPr="00D03A39">
          <w:rPr>
            <w:rFonts w:asciiTheme="majorHAnsi" w:hAnsiTheme="majorHAnsi"/>
            <w:webHidden/>
          </w:rPr>
          <w:fldChar w:fldCharType="end"/>
        </w:r>
      </w:hyperlink>
    </w:p>
    <w:p w:rsidR="00F565D2" w:rsidRPr="003A3452" w:rsidRDefault="00CD7DBD" w:rsidP="00D03A39">
      <w:pPr>
        <w:spacing w:after="120" w:line="240" w:lineRule="auto"/>
        <w:rPr>
          <w:rFonts w:asciiTheme="minorHAnsi" w:hAnsiTheme="minorHAnsi"/>
          <w:szCs w:val="20"/>
        </w:rPr>
        <w:sectPr w:rsidR="00F565D2" w:rsidRPr="003A3452" w:rsidSect="001E2301">
          <w:headerReference w:type="default" r:id="rId12"/>
          <w:footerReference w:type="default" r:id="rId13"/>
          <w:pgSz w:w="12240" w:h="15840" w:code="1"/>
          <w:pgMar w:top="1440" w:right="1440" w:bottom="1440" w:left="1440" w:header="720" w:footer="720" w:gutter="0"/>
          <w:pgNumType w:fmt="lowerRoman" w:start="3"/>
          <w:cols w:space="720"/>
          <w:docGrid w:linePitch="360"/>
        </w:sectPr>
      </w:pPr>
      <w:r w:rsidRPr="00D03A39">
        <w:rPr>
          <w:rFonts w:asciiTheme="majorHAnsi" w:hAnsiTheme="majorHAnsi"/>
          <w:szCs w:val="20"/>
        </w:rPr>
        <w:fldChar w:fldCharType="end"/>
      </w:r>
    </w:p>
    <w:p w:rsidR="00F565D2" w:rsidRPr="00225B89" w:rsidRDefault="00F565D2" w:rsidP="00E401C4">
      <w:pPr>
        <w:adjustRightInd/>
        <w:spacing w:line="240" w:lineRule="auto"/>
        <w:textAlignment w:val="auto"/>
        <w:outlineLvl w:val="0"/>
        <w:rPr>
          <w:rFonts w:ascii="Calibri" w:hAnsi="Calibri" w:cs="Arial"/>
          <w:b/>
          <w:bCs/>
          <w:color w:val="0C95D2"/>
          <w:sz w:val="36"/>
          <w:szCs w:val="36"/>
        </w:rPr>
      </w:pPr>
      <w:bookmarkStart w:id="8" w:name="_Toc173682257"/>
      <w:bookmarkStart w:id="9" w:name="_Toc528571171"/>
      <w:r w:rsidRPr="00B64774">
        <w:rPr>
          <w:rFonts w:ascii="Calibri" w:hAnsi="Calibri" w:cs="Arial"/>
          <w:b/>
          <w:bCs/>
          <w:color w:val="0C95D2"/>
          <w:sz w:val="36"/>
          <w:szCs w:val="36"/>
        </w:rPr>
        <w:t>Figures</w:t>
      </w:r>
      <w:bookmarkEnd w:id="8"/>
      <w:bookmarkEnd w:id="9"/>
    </w:p>
    <w:p w:rsidR="0024493D" w:rsidRDefault="00CD7DBD" w:rsidP="00B64774">
      <w:pPr>
        <w:pStyle w:val="TableofFigures"/>
        <w:rPr>
          <w:rFonts w:asciiTheme="minorHAnsi" w:eastAsiaTheme="minorEastAsia" w:hAnsiTheme="minorHAnsi" w:cstheme="minorBidi"/>
          <w:sz w:val="22"/>
          <w:szCs w:val="22"/>
        </w:rPr>
      </w:pPr>
      <w:r w:rsidRPr="00225B89">
        <w:rPr>
          <w:rFonts w:asciiTheme="minorHAnsi" w:hAnsiTheme="minorHAnsi"/>
        </w:rPr>
        <w:fldChar w:fldCharType="begin"/>
      </w:r>
      <w:r w:rsidRPr="00225B89">
        <w:rPr>
          <w:rFonts w:asciiTheme="minorHAnsi" w:hAnsiTheme="minorHAnsi"/>
        </w:rPr>
        <w:instrText xml:space="preserve"> TOC \h \z \c "Figure" </w:instrText>
      </w:r>
      <w:r w:rsidRPr="00225B89">
        <w:rPr>
          <w:rFonts w:asciiTheme="minorHAnsi" w:hAnsiTheme="minorHAnsi"/>
        </w:rPr>
        <w:fldChar w:fldCharType="separate"/>
      </w:r>
      <w:hyperlink w:anchor="_Toc519511495" w:history="1">
        <w:r w:rsidR="0024493D" w:rsidRPr="004057C2">
          <w:rPr>
            <w:rStyle w:val="Hyperlink"/>
          </w:rPr>
          <w:t>Figure 1</w:t>
        </w:r>
        <w:r w:rsidR="0024493D" w:rsidRPr="004057C2">
          <w:rPr>
            <w:rStyle w:val="Hyperlink"/>
          </w:rPr>
          <w:noBreakHyphen/>
          <w:t xml:space="preserve">1: </w:t>
        </w:r>
        <w:r w:rsidR="0024493D">
          <w:rPr>
            <w:rStyle w:val="Hyperlink"/>
          </w:rPr>
          <w:tab/>
        </w:r>
        <w:r w:rsidR="0024493D" w:rsidRPr="004057C2">
          <w:rPr>
            <w:rStyle w:val="Hyperlink"/>
          </w:rPr>
          <w:t>Total relative annual resource costs, 2030 (constrained and unconstrained),</w:t>
        </w:r>
        <w:r w:rsidR="0024493D">
          <w:rPr>
            <w:rStyle w:val="Hyperlink"/>
          </w:rPr>
          <w:br/>
        </w:r>
        <w:r w:rsidR="0024493D" w:rsidRPr="004057C2">
          <w:rPr>
            <w:rStyle w:val="Hyperlink"/>
          </w:rPr>
          <w:t>showing changes compared with 2030 Scenario 3 (constrained) ($ billions)</w:t>
        </w:r>
        <w:r w:rsidR="0024493D">
          <w:rPr>
            <w:webHidden/>
          </w:rPr>
          <w:tab/>
        </w:r>
        <w:r w:rsidR="0024493D">
          <w:rPr>
            <w:webHidden/>
          </w:rPr>
          <w:fldChar w:fldCharType="begin"/>
        </w:r>
        <w:r w:rsidR="0024493D">
          <w:rPr>
            <w:webHidden/>
          </w:rPr>
          <w:instrText xml:space="preserve"> PAGEREF _Toc519511495 \h </w:instrText>
        </w:r>
        <w:r w:rsidR="0024493D">
          <w:rPr>
            <w:webHidden/>
          </w:rPr>
        </w:r>
        <w:r w:rsidR="0024493D">
          <w:rPr>
            <w:webHidden/>
          </w:rPr>
          <w:fldChar w:fldCharType="separate"/>
        </w:r>
        <w:r w:rsidR="00872A95">
          <w:rPr>
            <w:webHidden/>
          </w:rPr>
          <w:t>10</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496" w:history="1">
        <w:r w:rsidR="0024493D" w:rsidRPr="004057C2">
          <w:rPr>
            <w:rStyle w:val="Hyperlink"/>
          </w:rPr>
          <w:t>Figure 1</w:t>
        </w:r>
        <w:r w:rsidR="0024493D" w:rsidRPr="004057C2">
          <w:rPr>
            <w:rStyle w:val="Hyperlink"/>
          </w:rPr>
          <w:noBreakHyphen/>
          <w:t xml:space="preserve">2: </w:t>
        </w:r>
        <w:r w:rsidR="0024493D">
          <w:rPr>
            <w:rStyle w:val="Hyperlink"/>
          </w:rPr>
          <w:tab/>
        </w:r>
        <w:r w:rsidR="0024493D" w:rsidRPr="004057C2">
          <w:rPr>
            <w:rStyle w:val="Hyperlink"/>
          </w:rPr>
          <w:t>Total relative annual resource costs, 2030 (constrained and unconstrained)</w:t>
        </w:r>
        <w:r w:rsidR="0024493D">
          <w:rPr>
            <w:rStyle w:val="Hyperlink"/>
          </w:rPr>
          <w:br/>
        </w:r>
        <w:r w:rsidR="0024493D" w:rsidRPr="004057C2">
          <w:rPr>
            <w:rStyle w:val="Hyperlink"/>
          </w:rPr>
          <w:t xml:space="preserve"> showing changes compared with 2030 Scenario 3 (constrained) (¢/kWh).</w:t>
        </w:r>
        <w:r w:rsidR="0024493D">
          <w:rPr>
            <w:webHidden/>
          </w:rPr>
          <w:tab/>
        </w:r>
        <w:r w:rsidR="0024493D">
          <w:rPr>
            <w:webHidden/>
          </w:rPr>
          <w:fldChar w:fldCharType="begin"/>
        </w:r>
        <w:r w:rsidR="0024493D">
          <w:rPr>
            <w:webHidden/>
          </w:rPr>
          <w:instrText xml:space="preserve"> PAGEREF _Toc519511496 \h </w:instrText>
        </w:r>
        <w:r w:rsidR="0024493D">
          <w:rPr>
            <w:webHidden/>
          </w:rPr>
        </w:r>
        <w:r w:rsidR="0024493D">
          <w:rPr>
            <w:webHidden/>
          </w:rPr>
          <w:fldChar w:fldCharType="separate"/>
        </w:r>
        <w:r w:rsidR="00872A95">
          <w:rPr>
            <w:webHidden/>
          </w:rPr>
          <w:t>11</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497" w:history="1">
        <w:r w:rsidR="0024493D" w:rsidRPr="004057C2">
          <w:rPr>
            <w:rStyle w:val="Hyperlink"/>
          </w:rPr>
          <w:t>Figure 1</w:t>
        </w:r>
        <w:r w:rsidR="0024493D" w:rsidRPr="004057C2">
          <w:rPr>
            <w:rStyle w:val="Hyperlink"/>
          </w:rPr>
          <w:noBreakHyphen/>
          <w:t xml:space="preserve">3: </w:t>
        </w:r>
        <w:r w:rsidR="0024493D">
          <w:rPr>
            <w:rStyle w:val="Hyperlink"/>
          </w:rPr>
          <w:tab/>
        </w:r>
        <w:r w:rsidR="0024493D" w:rsidRPr="004057C2">
          <w:rPr>
            <w:rStyle w:val="Hyperlink"/>
          </w:rPr>
          <w:t>CO</w:t>
        </w:r>
        <w:r w:rsidR="0024493D" w:rsidRPr="004057C2">
          <w:rPr>
            <w:rStyle w:val="Hyperlink"/>
            <w:vertAlign w:val="subscript"/>
          </w:rPr>
          <w:t>2</w:t>
        </w:r>
        <w:r w:rsidR="0024493D" w:rsidRPr="004057C2">
          <w:rPr>
            <w:rStyle w:val="Hyperlink"/>
          </w:rPr>
          <w:t xml:space="preserve"> emissions, 2030 (millions of short tons, %) compared with range of RGGI limits.</w:t>
        </w:r>
        <w:r w:rsidR="0024493D">
          <w:rPr>
            <w:webHidden/>
          </w:rPr>
          <w:tab/>
        </w:r>
        <w:r w:rsidR="0024493D">
          <w:rPr>
            <w:webHidden/>
          </w:rPr>
          <w:fldChar w:fldCharType="begin"/>
        </w:r>
        <w:r w:rsidR="0024493D">
          <w:rPr>
            <w:webHidden/>
          </w:rPr>
          <w:instrText xml:space="preserve"> PAGEREF _Toc519511497 \h </w:instrText>
        </w:r>
        <w:r w:rsidR="0024493D">
          <w:rPr>
            <w:webHidden/>
          </w:rPr>
        </w:r>
        <w:r w:rsidR="0024493D">
          <w:rPr>
            <w:webHidden/>
          </w:rPr>
          <w:fldChar w:fldCharType="separate"/>
        </w:r>
        <w:r w:rsidR="00872A95">
          <w:rPr>
            <w:webHidden/>
          </w:rPr>
          <w:t>13</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498" w:history="1">
        <w:r w:rsidR="0024493D" w:rsidRPr="004057C2">
          <w:rPr>
            <w:rStyle w:val="Hyperlink"/>
          </w:rPr>
          <w:t>Figure 5</w:t>
        </w:r>
        <w:r w:rsidR="0024493D" w:rsidRPr="004057C2">
          <w:rPr>
            <w:rStyle w:val="Hyperlink"/>
          </w:rPr>
          <w:noBreakHyphen/>
          <w:t xml:space="preserve">1: </w:t>
        </w:r>
        <w:r w:rsidR="0024493D">
          <w:rPr>
            <w:rStyle w:val="Hyperlink"/>
          </w:rPr>
          <w:tab/>
        </w:r>
        <w:r w:rsidR="0024493D" w:rsidRPr="004057C2">
          <w:rPr>
            <w:rStyle w:val="Hyperlink"/>
          </w:rPr>
          <w:t xml:space="preserve">Daily PHEV charging profile for the EE + Offshore and </w:t>
        </w:r>
        <w:r w:rsidR="00AF6389">
          <w:rPr>
            <w:rStyle w:val="Hyperlink"/>
          </w:rPr>
          <w:t>Wind Less Nuclear</w:t>
        </w:r>
        <w:r w:rsidR="0024493D" w:rsidRPr="004057C2">
          <w:rPr>
            <w:rStyle w:val="Hyperlink"/>
          </w:rPr>
          <w:t xml:space="preserve"> Scenarios</w:t>
        </w:r>
        <w:r w:rsidR="0024493D">
          <w:rPr>
            <w:rStyle w:val="Hyperlink"/>
          </w:rPr>
          <w:br/>
        </w:r>
        <w:r w:rsidR="0024493D" w:rsidRPr="004057C2">
          <w:rPr>
            <w:rStyle w:val="Hyperlink"/>
          </w:rPr>
          <w:t>for 4.2 million vehicles, 2030 (MW).</w:t>
        </w:r>
        <w:r w:rsidR="0024493D">
          <w:rPr>
            <w:webHidden/>
          </w:rPr>
          <w:tab/>
        </w:r>
        <w:r w:rsidR="0024493D">
          <w:rPr>
            <w:webHidden/>
          </w:rPr>
          <w:fldChar w:fldCharType="begin"/>
        </w:r>
        <w:r w:rsidR="0024493D">
          <w:rPr>
            <w:webHidden/>
          </w:rPr>
          <w:instrText xml:space="preserve"> PAGEREF _Toc519511498 \h </w:instrText>
        </w:r>
        <w:r w:rsidR="0024493D">
          <w:rPr>
            <w:webHidden/>
          </w:rPr>
        </w:r>
        <w:r w:rsidR="0024493D">
          <w:rPr>
            <w:webHidden/>
          </w:rPr>
          <w:fldChar w:fldCharType="separate"/>
        </w:r>
        <w:r w:rsidR="00872A95">
          <w:rPr>
            <w:webHidden/>
          </w:rPr>
          <w:t>26</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499" w:history="1">
        <w:r w:rsidR="0024493D" w:rsidRPr="004057C2">
          <w:rPr>
            <w:rStyle w:val="Hyperlink"/>
          </w:rPr>
          <w:t>Figure 5</w:t>
        </w:r>
        <w:r w:rsidR="0024493D" w:rsidRPr="004057C2">
          <w:rPr>
            <w:rStyle w:val="Hyperlink"/>
          </w:rPr>
          <w:noBreakHyphen/>
          <w:t xml:space="preserve">2: </w:t>
        </w:r>
        <w:r w:rsidR="0024493D">
          <w:rPr>
            <w:rStyle w:val="Hyperlink"/>
          </w:rPr>
          <w:tab/>
        </w:r>
        <w:r w:rsidR="0024493D" w:rsidRPr="004057C2">
          <w:rPr>
            <w:rStyle w:val="Hyperlink"/>
          </w:rPr>
          <w:t>2030 capacity value assumptions by resource type (MW).</w:t>
        </w:r>
        <w:r w:rsidR="0024493D">
          <w:rPr>
            <w:webHidden/>
          </w:rPr>
          <w:tab/>
        </w:r>
        <w:r w:rsidR="0024493D">
          <w:rPr>
            <w:webHidden/>
          </w:rPr>
          <w:fldChar w:fldCharType="begin"/>
        </w:r>
        <w:r w:rsidR="0024493D">
          <w:rPr>
            <w:webHidden/>
          </w:rPr>
          <w:instrText xml:space="preserve"> PAGEREF _Toc519511499 \h </w:instrText>
        </w:r>
        <w:r w:rsidR="0024493D">
          <w:rPr>
            <w:webHidden/>
          </w:rPr>
        </w:r>
        <w:r w:rsidR="0024493D">
          <w:rPr>
            <w:webHidden/>
          </w:rPr>
          <w:fldChar w:fldCharType="separate"/>
        </w:r>
        <w:r w:rsidR="00872A95">
          <w:rPr>
            <w:webHidden/>
          </w:rPr>
          <w:t>30</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0" w:history="1">
        <w:r w:rsidR="0024493D" w:rsidRPr="004057C2">
          <w:rPr>
            <w:rStyle w:val="Hyperlink"/>
          </w:rPr>
          <w:t>Figure 5</w:t>
        </w:r>
        <w:r w:rsidR="0024493D" w:rsidRPr="004057C2">
          <w:rPr>
            <w:rStyle w:val="Hyperlink"/>
          </w:rPr>
          <w:noBreakHyphen/>
          <w:t xml:space="preserve">3: </w:t>
        </w:r>
        <w:r w:rsidR="0024493D">
          <w:rPr>
            <w:rStyle w:val="Hyperlink"/>
          </w:rPr>
          <w:tab/>
        </w:r>
        <w:r w:rsidR="0024493D" w:rsidRPr="004057C2">
          <w:rPr>
            <w:rStyle w:val="Hyperlink"/>
          </w:rPr>
          <w:t>Wind nameplate capacities assumed for the wind resources, 2030 (MW).</w:t>
        </w:r>
        <w:r w:rsidR="0024493D">
          <w:rPr>
            <w:webHidden/>
          </w:rPr>
          <w:tab/>
        </w:r>
        <w:r w:rsidR="0024493D">
          <w:rPr>
            <w:webHidden/>
          </w:rPr>
          <w:fldChar w:fldCharType="begin"/>
        </w:r>
        <w:r w:rsidR="0024493D">
          <w:rPr>
            <w:webHidden/>
          </w:rPr>
          <w:instrText xml:space="preserve"> PAGEREF _Toc519511500 \h </w:instrText>
        </w:r>
        <w:r w:rsidR="0024493D">
          <w:rPr>
            <w:webHidden/>
          </w:rPr>
        </w:r>
        <w:r w:rsidR="0024493D">
          <w:rPr>
            <w:webHidden/>
          </w:rPr>
          <w:fldChar w:fldCharType="separate"/>
        </w:r>
        <w:r w:rsidR="00872A95">
          <w:rPr>
            <w:webHidden/>
          </w:rPr>
          <w:t>31</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1" w:history="1">
        <w:r w:rsidR="0024493D" w:rsidRPr="004057C2">
          <w:rPr>
            <w:rStyle w:val="Hyperlink"/>
          </w:rPr>
          <w:t>Figure 5</w:t>
        </w:r>
        <w:r w:rsidR="0024493D" w:rsidRPr="004057C2">
          <w:rPr>
            <w:rStyle w:val="Hyperlink"/>
          </w:rPr>
          <w:noBreakHyphen/>
          <w:t xml:space="preserve">4: </w:t>
        </w:r>
        <w:r w:rsidR="0024493D">
          <w:rPr>
            <w:rStyle w:val="Hyperlink"/>
          </w:rPr>
          <w:tab/>
        </w:r>
        <w:r w:rsidR="0024493D" w:rsidRPr="004057C2">
          <w:rPr>
            <w:rStyle w:val="Hyperlink"/>
          </w:rPr>
          <w:t>Pipe and bubble representations of transmission interfaces in New England</w:t>
        </w:r>
        <w:r w:rsidR="00847035">
          <w:rPr>
            <w:rStyle w:val="Hyperlink"/>
          </w:rPr>
          <w:br/>
        </w:r>
        <w:r w:rsidR="0024493D" w:rsidRPr="004057C2">
          <w:rPr>
            <w:rStyle w:val="Hyperlink"/>
          </w:rPr>
          <w:t>for 2030 (MW).</w:t>
        </w:r>
        <w:r w:rsidR="0024493D">
          <w:rPr>
            <w:webHidden/>
          </w:rPr>
          <w:tab/>
        </w:r>
        <w:r w:rsidR="0024493D">
          <w:rPr>
            <w:webHidden/>
          </w:rPr>
          <w:fldChar w:fldCharType="begin"/>
        </w:r>
        <w:r w:rsidR="0024493D">
          <w:rPr>
            <w:webHidden/>
          </w:rPr>
          <w:instrText xml:space="preserve"> PAGEREF _Toc519511501 \h </w:instrText>
        </w:r>
        <w:r w:rsidR="0024493D">
          <w:rPr>
            <w:webHidden/>
          </w:rPr>
        </w:r>
        <w:r w:rsidR="0024493D">
          <w:rPr>
            <w:webHidden/>
          </w:rPr>
          <w:fldChar w:fldCharType="separate"/>
        </w:r>
        <w:r w:rsidR="00872A95">
          <w:rPr>
            <w:webHidden/>
          </w:rPr>
          <w:t>35</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2" w:history="1">
        <w:r w:rsidR="0024493D" w:rsidRPr="004057C2">
          <w:rPr>
            <w:rStyle w:val="Hyperlink"/>
          </w:rPr>
          <w:t>Figure 5</w:t>
        </w:r>
        <w:r w:rsidR="0024493D" w:rsidRPr="004057C2">
          <w:rPr>
            <w:rStyle w:val="Hyperlink"/>
          </w:rPr>
          <w:noBreakHyphen/>
          <w:t xml:space="preserve">5: </w:t>
        </w:r>
        <w:r w:rsidR="0024493D">
          <w:rPr>
            <w:rStyle w:val="Hyperlink"/>
          </w:rPr>
          <w:tab/>
        </w:r>
        <w:r w:rsidR="0024493D" w:rsidRPr="004057C2">
          <w:rPr>
            <w:rStyle w:val="Hyperlink"/>
          </w:rPr>
          <w:t>Reference fuel-price forecasts for New England, 2030</w:t>
        </w:r>
        <w:r w:rsidR="006B439D">
          <w:rPr>
            <w:rStyle w:val="Hyperlink"/>
          </w:rPr>
          <w:t xml:space="preserve"> </w:t>
        </w:r>
        <w:r w:rsidR="0024493D" w:rsidRPr="004057C2">
          <w:rPr>
            <w:rStyle w:val="Hyperlink"/>
          </w:rPr>
          <w:t>($/MMBtu).</w:t>
        </w:r>
        <w:r w:rsidR="0024493D">
          <w:rPr>
            <w:webHidden/>
          </w:rPr>
          <w:tab/>
        </w:r>
        <w:r w:rsidR="0024493D">
          <w:rPr>
            <w:webHidden/>
          </w:rPr>
          <w:fldChar w:fldCharType="begin"/>
        </w:r>
        <w:r w:rsidR="0024493D">
          <w:rPr>
            <w:webHidden/>
          </w:rPr>
          <w:instrText xml:space="preserve"> PAGEREF _Toc519511502 \h </w:instrText>
        </w:r>
        <w:r w:rsidR="0024493D">
          <w:rPr>
            <w:webHidden/>
          </w:rPr>
        </w:r>
        <w:r w:rsidR="0024493D">
          <w:rPr>
            <w:webHidden/>
          </w:rPr>
          <w:fldChar w:fldCharType="separate"/>
        </w:r>
        <w:r w:rsidR="00872A95">
          <w:rPr>
            <w:webHidden/>
          </w:rPr>
          <w:t>38</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3" w:history="1">
        <w:r w:rsidR="0024493D" w:rsidRPr="004057C2">
          <w:rPr>
            <w:rStyle w:val="Hyperlink"/>
          </w:rPr>
          <w:t>Figure 5</w:t>
        </w:r>
        <w:r w:rsidR="0024493D" w:rsidRPr="004057C2">
          <w:rPr>
            <w:rStyle w:val="Hyperlink"/>
          </w:rPr>
          <w:noBreakHyphen/>
          <w:t xml:space="preserve">6: </w:t>
        </w:r>
        <w:r w:rsidR="0024493D">
          <w:rPr>
            <w:rStyle w:val="Hyperlink"/>
          </w:rPr>
          <w:tab/>
        </w:r>
        <w:r w:rsidR="0024493D" w:rsidRPr="004057C2">
          <w:rPr>
            <w:rStyle w:val="Hyperlink"/>
          </w:rPr>
          <w:t>Per-unit multiplier for monthly natural gas price forecast assumptions for 2030.</w:t>
        </w:r>
        <w:r w:rsidR="0024493D">
          <w:rPr>
            <w:webHidden/>
          </w:rPr>
          <w:tab/>
        </w:r>
        <w:r w:rsidR="0024493D">
          <w:rPr>
            <w:webHidden/>
          </w:rPr>
          <w:fldChar w:fldCharType="begin"/>
        </w:r>
        <w:r w:rsidR="0024493D">
          <w:rPr>
            <w:webHidden/>
          </w:rPr>
          <w:instrText xml:space="preserve"> PAGEREF _Toc519511503 \h </w:instrText>
        </w:r>
        <w:r w:rsidR="0024493D">
          <w:rPr>
            <w:webHidden/>
          </w:rPr>
        </w:r>
        <w:r w:rsidR="0024493D">
          <w:rPr>
            <w:webHidden/>
          </w:rPr>
          <w:fldChar w:fldCharType="separate"/>
        </w:r>
        <w:r w:rsidR="00872A95">
          <w:rPr>
            <w:webHidden/>
          </w:rPr>
          <w:t>38</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4" w:history="1">
        <w:r w:rsidR="0024493D" w:rsidRPr="004057C2">
          <w:rPr>
            <w:rStyle w:val="Hyperlink"/>
          </w:rPr>
          <w:t>Figure 5</w:t>
        </w:r>
        <w:r w:rsidR="0024493D" w:rsidRPr="004057C2">
          <w:rPr>
            <w:rStyle w:val="Hyperlink"/>
          </w:rPr>
          <w:noBreakHyphen/>
          <w:t xml:space="preserve">7 </w:t>
        </w:r>
        <w:r w:rsidR="0024493D">
          <w:rPr>
            <w:rStyle w:val="Hyperlink"/>
          </w:rPr>
          <w:tab/>
        </w:r>
        <w:r w:rsidR="0024493D" w:rsidRPr="004057C2">
          <w:rPr>
            <w:rStyle w:val="Hyperlink"/>
          </w:rPr>
          <w:t>(A and B): The first two components of transmission upgrades potentially needed</w:t>
        </w:r>
        <w:r w:rsidR="0024493D">
          <w:rPr>
            <w:rStyle w:val="Hyperlink"/>
          </w:rPr>
          <w:br/>
        </w:r>
        <w:r w:rsidR="0024493D" w:rsidRPr="004057C2">
          <w:rPr>
            <w:rStyle w:val="Hyperlink"/>
          </w:rPr>
          <w:t>to integrate renewable resources.</w:t>
        </w:r>
        <w:r w:rsidR="0024493D">
          <w:rPr>
            <w:webHidden/>
          </w:rPr>
          <w:tab/>
        </w:r>
        <w:r w:rsidR="0024493D">
          <w:rPr>
            <w:webHidden/>
          </w:rPr>
          <w:fldChar w:fldCharType="begin"/>
        </w:r>
        <w:r w:rsidR="0024493D">
          <w:rPr>
            <w:webHidden/>
          </w:rPr>
          <w:instrText xml:space="preserve"> PAGEREF _Toc519511504 \h </w:instrText>
        </w:r>
        <w:r w:rsidR="0024493D">
          <w:rPr>
            <w:webHidden/>
          </w:rPr>
        </w:r>
        <w:r w:rsidR="0024493D">
          <w:rPr>
            <w:webHidden/>
          </w:rPr>
          <w:fldChar w:fldCharType="separate"/>
        </w:r>
        <w:r w:rsidR="00872A95">
          <w:rPr>
            <w:webHidden/>
          </w:rPr>
          <w:t>42</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5" w:history="1">
        <w:r w:rsidR="0024493D" w:rsidRPr="004057C2">
          <w:rPr>
            <w:rStyle w:val="Hyperlink"/>
          </w:rPr>
          <w:t>Figure 5</w:t>
        </w:r>
        <w:r w:rsidR="0024493D" w:rsidRPr="004057C2">
          <w:rPr>
            <w:rStyle w:val="Hyperlink"/>
          </w:rPr>
          <w:noBreakHyphen/>
          <w:t xml:space="preserve">8: </w:t>
        </w:r>
        <w:r w:rsidR="0024493D">
          <w:rPr>
            <w:rStyle w:val="Hyperlink"/>
          </w:rPr>
          <w:tab/>
        </w:r>
        <w:r w:rsidR="0024493D" w:rsidRPr="004057C2">
          <w:rPr>
            <w:rStyle w:val="Hyperlink"/>
          </w:rPr>
          <w:t>The congestion-relief system.</w:t>
        </w:r>
        <w:r w:rsidR="0024493D">
          <w:rPr>
            <w:webHidden/>
          </w:rPr>
          <w:tab/>
        </w:r>
        <w:r w:rsidR="0024493D">
          <w:rPr>
            <w:webHidden/>
          </w:rPr>
          <w:fldChar w:fldCharType="begin"/>
        </w:r>
        <w:r w:rsidR="0024493D">
          <w:rPr>
            <w:webHidden/>
          </w:rPr>
          <w:instrText xml:space="preserve"> PAGEREF _Toc519511505 \h </w:instrText>
        </w:r>
        <w:r w:rsidR="0024493D">
          <w:rPr>
            <w:webHidden/>
          </w:rPr>
        </w:r>
        <w:r w:rsidR="0024493D">
          <w:rPr>
            <w:webHidden/>
          </w:rPr>
          <w:fldChar w:fldCharType="separate"/>
        </w:r>
        <w:r w:rsidR="00872A95">
          <w:rPr>
            <w:webHidden/>
          </w:rPr>
          <w:t>44</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6" w:history="1">
        <w:r w:rsidR="0024493D" w:rsidRPr="004057C2">
          <w:rPr>
            <w:rStyle w:val="Hyperlink"/>
          </w:rPr>
          <w:t>Figure 6</w:t>
        </w:r>
        <w:r w:rsidR="0024493D" w:rsidRPr="004057C2">
          <w:rPr>
            <w:rStyle w:val="Hyperlink"/>
          </w:rPr>
          <w:noBreakHyphen/>
          <w:t xml:space="preserve">1: </w:t>
        </w:r>
        <w:r w:rsidR="0024493D">
          <w:rPr>
            <w:rStyle w:val="Hyperlink"/>
          </w:rPr>
          <w:tab/>
        </w:r>
        <w:r w:rsidR="0024493D" w:rsidRPr="004057C2">
          <w:rPr>
            <w:rStyle w:val="Hyperlink"/>
          </w:rPr>
          <w:t>Total systemwide production by fuel type for each scenario, 2030 (TWh).</w:t>
        </w:r>
        <w:r w:rsidR="0024493D">
          <w:rPr>
            <w:webHidden/>
          </w:rPr>
          <w:tab/>
        </w:r>
        <w:r w:rsidR="0024493D">
          <w:rPr>
            <w:webHidden/>
          </w:rPr>
          <w:fldChar w:fldCharType="begin"/>
        </w:r>
        <w:r w:rsidR="0024493D">
          <w:rPr>
            <w:webHidden/>
          </w:rPr>
          <w:instrText xml:space="preserve"> PAGEREF _Toc519511506 \h </w:instrText>
        </w:r>
        <w:r w:rsidR="0024493D">
          <w:rPr>
            <w:webHidden/>
          </w:rPr>
        </w:r>
        <w:r w:rsidR="0024493D">
          <w:rPr>
            <w:webHidden/>
          </w:rPr>
          <w:fldChar w:fldCharType="separate"/>
        </w:r>
        <w:r w:rsidR="00872A95">
          <w:rPr>
            <w:webHidden/>
          </w:rPr>
          <w:t>49</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7" w:history="1">
        <w:r w:rsidR="0024493D" w:rsidRPr="004057C2">
          <w:rPr>
            <w:rStyle w:val="Hyperlink"/>
          </w:rPr>
          <w:t>Figure 6</w:t>
        </w:r>
        <w:r w:rsidR="0024493D" w:rsidRPr="004057C2">
          <w:rPr>
            <w:rStyle w:val="Hyperlink"/>
          </w:rPr>
          <w:noBreakHyphen/>
          <w:t xml:space="preserve">2: </w:t>
        </w:r>
        <w:r w:rsidR="0024493D">
          <w:rPr>
            <w:rStyle w:val="Hyperlink"/>
          </w:rPr>
          <w:tab/>
        </w:r>
        <w:r w:rsidR="0024493D" w:rsidRPr="004057C2">
          <w:rPr>
            <w:rStyle w:val="Hyperlink"/>
          </w:rPr>
          <w:t>Production costs, 2030 ($ millions).</w:t>
        </w:r>
        <w:r w:rsidR="0024493D">
          <w:rPr>
            <w:webHidden/>
          </w:rPr>
          <w:tab/>
        </w:r>
        <w:r w:rsidR="0024493D">
          <w:rPr>
            <w:webHidden/>
          </w:rPr>
          <w:fldChar w:fldCharType="begin"/>
        </w:r>
        <w:r w:rsidR="0024493D">
          <w:rPr>
            <w:webHidden/>
          </w:rPr>
          <w:instrText xml:space="preserve"> PAGEREF _Toc519511507 \h </w:instrText>
        </w:r>
        <w:r w:rsidR="0024493D">
          <w:rPr>
            <w:webHidden/>
          </w:rPr>
        </w:r>
        <w:r w:rsidR="0024493D">
          <w:rPr>
            <w:webHidden/>
          </w:rPr>
          <w:fldChar w:fldCharType="separate"/>
        </w:r>
        <w:r w:rsidR="00872A95">
          <w:rPr>
            <w:webHidden/>
          </w:rPr>
          <w:t>51</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8" w:history="1">
        <w:r w:rsidR="0024493D" w:rsidRPr="004057C2">
          <w:rPr>
            <w:rStyle w:val="Hyperlink"/>
          </w:rPr>
          <w:t>Figure 6</w:t>
        </w:r>
        <w:r w:rsidR="0024493D" w:rsidRPr="004057C2">
          <w:rPr>
            <w:rStyle w:val="Hyperlink"/>
          </w:rPr>
          <w:noBreakHyphen/>
          <w:t xml:space="preserve">3: </w:t>
        </w:r>
        <w:r w:rsidR="0024493D">
          <w:rPr>
            <w:rStyle w:val="Hyperlink"/>
          </w:rPr>
          <w:tab/>
        </w:r>
        <w:r w:rsidR="0024493D" w:rsidRPr="004057C2">
          <w:rPr>
            <w:rStyle w:val="Hyperlink"/>
          </w:rPr>
          <w:t>Annual average LMPs by RSP subarea, 2030 ($/MWh).</w:t>
        </w:r>
        <w:r w:rsidR="0024493D">
          <w:rPr>
            <w:webHidden/>
          </w:rPr>
          <w:tab/>
        </w:r>
        <w:r w:rsidR="0024493D">
          <w:rPr>
            <w:webHidden/>
          </w:rPr>
          <w:fldChar w:fldCharType="begin"/>
        </w:r>
        <w:r w:rsidR="0024493D">
          <w:rPr>
            <w:webHidden/>
          </w:rPr>
          <w:instrText xml:space="preserve"> PAGEREF _Toc519511508 \h </w:instrText>
        </w:r>
        <w:r w:rsidR="0024493D">
          <w:rPr>
            <w:webHidden/>
          </w:rPr>
        </w:r>
        <w:r w:rsidR="0024493D">
          <w:rPr>
            <w:webHidden/>
          </w:rPr>
          <w:fldChar w:fldCharType="separate"/>
        </w:r>
        <w:r w:rsidR="00872A95">
          <w:rPr>
            <w:webHidden/>
          </w:rPr>
          <w:t>52</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09" w:history="1">
        <w:r w:rsidR="0024493D" w:rsidRPr="004057C2">
          <w:rPr>
            <w:rStyle w:val="Hyperlink"/>
          </w:rPr>
          <w:t>Figure 6</w:t>
        </w:r>
        <w:r w:rsidR="0024493D" w:rsidRPr="004057C2">
          <w:rPr>
            <w:rStyle w:val="Hyperlink"/>
          </w:rPr>
          <w:noBreakHyphen/>
          <w:t xml:space="preserve">4: </w:t>
        </w:r>
        <w:r w:rsidR="0024493D">
          <w:rPr>
            <w:rStyle w:val="Hyperlink"/>
          </w:rPr>
          <w:tab/>
        </w:r>
        <w:r w:rsidR="0024493D" w:rsidRPr="004057C2">
          <w:rPr>
            <w:rStyle w:val="Hyperlink"/>
          </w:rPr>
          <w:t>Load-serving entity energy expense and uplift, 2030 ($ million).</w:t>
        </w:r>
        <w:r w:rsidR="0024493D">
          <w:rPr>
            <w:webHidden/>
          </w:rPr>
          <w:tab/>
        </w:r>
        <w:r w:rsidR="0024493D">
          <w:rPr>
            <w:webHidden/>
          </w:rPr>
          <w:fldChar w:fldCharType="begin"/>
        </w:r>
        <w:r w:rsidR="0024493D">
          <w:rPr>
            <w:webHidden/>
          </w:rPr>
          <w:instrText xml:space="preserve"> PAGEREF _Toc519511509 \h </w:instrText>
        </w:r>
        <w:r w:rsidR="0024493D">
          <w:rPr>
            <w:webHidden/>
          </w:rPr>
        </w:r>
        <w:r w:rsidR="0024493D">
          <w:rPr>
            <w:webHidden/>
          </w:rPr>
          <w:fldChar w:fldCharType="separate"/>
        </w:r>
        <w:r w:rsidR="00872A95">
          <w:rPr>
            <w:webHidden/>
          </w:rPr>
          <w:t>54</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0" w:history="1">
        <w:r w:rsidR="0024493D" w:rsidRPr="004057C2">
          <w:rPr>
            <w:rStyle w:val="Hyperlink"/>
          </w:rPr>
          <w:t>Figure 6</w:t>
        </w:r>
        <w:r w:rsidR="0024493D" w:rsidRPr="004057C2">
          <w:rPr>
            <w:rStyle w:val="Hyperlink"/>
          </w:rPr>
          <w:noBreakHyphen/>
          <w:t xml:space="preserve">5: </w:t>
        </w:r>
        <w:r w:rsidR="0024493D">
          <w:rPr>
            <w:rStyle w:val="Hyperlink"/>
          </w:rPr>
          <w:tab/>
        </w:r>
        <w:r w:rsidR="0024493D" w:rsidRPr="004057C2">
          <w:rPr>
            <w:rStyle w:val="Hyperlink"/>
          </w:rPr>
          <w:t>Gridview congestion metric by interface, 2030 ($ million)</w:t>
        </w:r>
        <w:r w:rsidR="0024493D">
          <w:rPr>
            <w:webHidden/>
          </w:rPr>
          <w:tab/>
        </w:r>
        <w:r w:rsidR="0024493D">
          <w:rPr>
            <w:webHidden/>
          </w:rPr>
          <w:fldChar w:fldCharType="begin"/>
        </w:r>
        <w:r w:rsidR="0024493D">
          <w:rPr>
            <w:webHidden/>
          </w:rPr>
          <w:instrText xml:space="preserve"> PAGEREF _Toc519511510 \h </w:instrText>
        </w:r>
        <w:r w:rsidR="0024493D">
          <w:rPr>
            <w:webHidden/>
          </w:rPr>
        </w:r>
        <w:r w:rsidR="0024493D">
          <w:rPr>
            <w:webHidden/>
          </w:rPr>
          <w:fldChar w:fldCharType="separate"/>
        </w:r>
        <w:r w:rsidR="00872A95">
          <w:rPr>
            <w:webHidden/>
          </w:rPr>
          <w:t>55</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1" w:history="1">
        <w:r w:rsidR="0024493D" w:rsidRPr="004057C2">
          <w:rPr>
            <w:rStyle w:val="Hyperlink"/>
          </w:rPr>
          <w:t>Figure 6</w:t>
        </w:r>
        <w:r w:rsidR="0024493D" w:rsidRPr="004057C2">
          <w:rPr>
            <w:rStyle w:val="Hyperlink"/>
          </w:rPr>
          <w:noBreakHyphen/>
          <w:t xml:space="preserve">6: </w:t>
        </w:r>
        <w:r w:rsidR="0024493D">
          <w:rPr>
            <w:rStyle w:val="Hyperlink"/>
          </w:rPr>
          <w:tab/>
        </w:r>
        <w:r w:rsidR="0024493D" w:rsidRPr="004057C2">
          <w:rPr>
            <w:rStyle w:val="Hyperlink"/>
          </w:rPr>
          <w:t>Example of a daily system load in real time with and without solar power,</w:t>
        </w:r>
        <w:r w:rsidR="0024493D">
          <w:rPr>
            <w:rStyle w:val="Hyperlink"/>
          </w:rPr>
          <w:br/>
        </w:r>
        <w:r w:rsidR="0024493D" w:rsidRPr="004057C2">
          <w:rPr>
            <w:rStyle w:val="Hyperlink"/>
          </w:rPr>
          <w:t>April 21, 2018 (MW).</w:t>
        </w:r>
        <w:r w:rsidR="0024493D">
          <w:rPr>
            <w:webHidden/>
          </w:rPr>
          <w:tab/>
        </w:r>
        <w:r w:rsidR="0024493D">
          <w:rPr>
            <w:webHidden/>
          </w:rPr>
          <w:fldChar w:fldCharType="begin"/>
        </w:r>
        <w:r w:rsidR="0024493D">
          <w:rPr>
            <w:webHidden/>
          </w:rPr>
          <w:instrText xml:space="preserve"> PAGEREF _Toc519511511 \h </w:instrText>
        </w:r>
        <w:r w:rsidR="0024493D">
          <w:rPr>
            <w:webHidden/>
          </w:rPr>
        </w:r>
        <w:r w:rsidR="0024493D">
          <w:rPr>
            <w:webHidden/>
          </w:rPr>
          <w:fldChar w:fldCharType="separate"/>
        </w:r>
        <w:r w:rsidR="00872A95">
          <w:rPr>
            <w:webHidden/>
          </w:rPr>
          <w:t>58</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2" w:history="1">
        <w:r w:rsidR="0024493D" w:rsidRPr="004057C2">
          <w:rPr>
            <w:rStyle w:val="Hyperlink"/>
          </w:rPr>
          <w:t>Figure 6</w:t>
        </w:r>
        <w:r w:rsidR="0024493D" w:rsidRPr="004057C2">
          <w:rPr>
            <w:rStyle w:val="Hyperlink"/>
          </w:rPr>
          <w:noBreakHyphen/>
          <w:t>7:</w:t>
        </w:r>
        <w:r w:rsidR="0024493D">
          <w:rPr>
            <w:rStyle w:val="Hyperlink"/>
          </w:rPr>
          <w:tab/>
        </w:r>
        <w:r w:rsidR="0024493D" w:rsidRPr="004057C2">
          <w:rPr>
            <w:rStyle w:val="Hyperlink"/>
          </w:rPr>
          <w:t xml:space="preserve"> Energy by source for the Renewables Plus Scenario, May 7, 2030, unconstrained (MW).</w:t>
        </w:r>
        <w:r w:rsidR="0024493D">
          <w:rPr>
            <w:webHidden/>
          </w:rPr>
          <w:tab/>
        </w:r>
        <w:r w:rsidR="0024493D">
          <w:rPr>
            <w:webHidden/>
          </w:rPr>
          <w:fldChar w:fldCharType="begin"/>
        </w:r>
        <w:r w:rsidR="0024493D">
          <w:rPr>
            <w:webHidden/>
          </w:rPr>
          <w:instrText xml:space="preserve"> PAGEREF _Toc519511512 \h </w:instrText>
        </w:r>
        <w:r w:rsidR="0024493D">
          <w:rPr>
            <w:webHidden/>
          </w:rPr>
        </w:r>
        <w:r w:rsidR="0024493D">
          <w:rPr>
            <w:webHidden/>
          </w:rPr>
          <w:fldChar w:fldCharType="separate"/>
        </w:r>
        <w:r w:rsidR="00872A95">
          <w:rPr>
            <w:webHidden/>
          </w:rPr>
          <w:t>59</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3" w:history="1">
        <w:r w:rsidR="0024493D" w:rsidRPr="004057C2">
          <w:rPr>
            <w:rStyle w:val="Hyperlink"/>
          </w:rPr>
          <w:t>Figure 6</w:t>
        </w:r>
        <w:r w:rsidR="0024493D" w:rsidRPr="004057C2">
          <w:rPr>
            <w:rStyle w:val="Hyperlink"/>
          </w:rPr>
          <w:noBreakHyphen/>
          <w:t xml:space="preserve">8: </w:t>
        </w:r>
        <w:r w:rsidR="0024493D">
          <w:rPr>
            <w:rStyle w:val="Hyperlink"/>
          </w:rPr>
          <w:tab/>
        </w:r>
        <w:r w:rsidR="0024493D" w:rsidRPr="004057C2">
          <w:rPr>
            <w:rStyle w:val="Hyperlink"/>
          </w:rPr>
          <w:t>Total relative annual resource costs, 2030 (constrained and unconstrained),</w:t>
        </w:r>
        <w:r w:rsidR="0024493D">
          <w:rPr>
            <w:rStyle w:val="Hyperlink"/>
          </w:rPr>
          <w:br/>
        </w:r>
        <w:r w:rsidR="0024493D" w:rsidRPr="004057C2">
          <w:rPr>
            <w:rStyle w:val="Hyperlink"/>
          </w:rPr>
          <w:t>showing changes compared with 2030 Scenario 3 (constrained) ($ billions).</w:t>
        </w:r>
        <w:r w:rsidR="0024493D">
          <w:rPr>
            <w:webHidden/>
          </w:rPr>
          <w:tab/>
        </w:r>
        <w:r w:rsidR="0024493D">
          <w:rPr>
            <w:webHidden/>
          </w:rPr>
          <w:fldChar w:fldCharType="begin"/>
        </w:r>
        <w:r w:rsidR="0024493D">
          <w:rPr>
            <w:webHidden/>
          </w:rPr>
          <w:instrText xml:space="preserve"> PAGEREF _Toc519511513 \h </w:instrText>
        </w:r>
        <w:r w:rsidR="0024493D">
          <w:rPr>
            <w:webHidden/>
          </w:rPr>
        </w:r>
        <w:r w:rsidR="0024493D">
          <w:rPr>
            <w:webHidden/>
          </w:rPr>
          <w:fldChar w:fldCharType="separate"/>
        </w:r>
        <w:r w:rsidR="00872A95">
          <w:rPr>
            <w:webHidden/>
          </w:rPr>
          <w:t>60</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4" w:history="1">
        <w:r w:rsidR="0024493D" w:rsidRPr="004057C2">
          <w:rPr>
            <w:rStyle w:val="Hyperlink"/>
          </w:rPr>
          <w:t>Figure 6</w:t>
        </w:r>
        <w:r w:rsidR="0024493D" w:rsidRPr="004057C2">
          <w:rPr>
            <w:rStyle w:val="Hyperlink"/>
          </w:rPr>
          <w:noBreakHyphen/>
          <w:t xml:space="preserve">9: </w:t>
        </w:r>
        <w:r w:rsidR="0024493D">
          <w:rPr>
            <w:rStyle w:val="Hyperlink"/>
          </w:rPr>
          <w:tab/>
        </w:r>
        <w:r w:rsidR="0024493D" w:rsidRPr="004057C2">
          <w:rPr>
            <w:rStyle w:val="Hyperlink"/>
          </w:rPr>
          <w:t>Total relative annual resource costs, 2030 (constrained and unconstrained),</w:t>
        </w:r>
        <w:r w:rsidR="0024493D">
          <w:rPr>
            <w:rStyle w:val="Hyperlink"/>
          </w:rPr>
          <w:br/>
        </w:r>
        <w:r w:rsidR="0024493D" w:rsidRPr="004057C2">
          <w:rPr>
            <w:rStyle w:val="Hyperlink"/>
          </w:rPr>
          <w:t>showing changes compared with 2030 Scenario 3 (constrained) (¢/kWh).</w:t>
        </w:r>
        <w:r w:rsidR="0024493D">
          <w:rPr>
            <w:webHidden/>
          </w:rPr>
          <w:tab/>
        </w:r>
        <w:r w:rsidR="0024493D">
          <w:rPr>
            <w:webHidden/>
          </w:rPr>
          <w:fldChar w:fldCharType="begin"/>
        </w:r>
        <w:r w:rsidR="0024493D">
          <w:rPr>
            <w:webHidden/>
          </w:rPr>
          <w:instrText xml:space="preserve"> PAGEREF _Toc519511514 \h </w:instrText>
        </w:r>
        <w:r w:rsidR="0024493D">
          <w:rPr>
            <w:webHidden/>
          </w:rPr>
        </w:r>
        <w:r w:rsidR="0024493D">
          <w:rPr>
            <w:webHidden/>
          </w:rPr>
          <w:fldChar w:fldCharType="separate"/>
        </w:r>
        <w:r w:rsidR="00872A95">
          <w:rPr>
            <w:webHidden/>
          </w:rPr>
          <w:t>61</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5" w:history="1">
        <w:r w:rsidR="0024493D" w:rsidRPr="004057C2">
          <w:rPr>
            <w:rStyle w:val="Hyperlink"/>
          </w:rPr>
          <w:t>Figure 6</w:t>
        </w:r>
        <w:r w:rsidR="0024493D" w:rsidRPr="004057C2">
          <w:rPr>
            <w:rStyle w:val="Hyperlink"/>
          </w:rPr>
          <w:noBreakHyphen/>
          <w:t xml:space="preserve">10: </w:t>
        </w:r>
        <w:r w:rsidR="0024493D">
          <w:rPr>
            <w:rStyle w:val="Hyperlink"/>
          </w:rPr>
          <w:tab/>
        </w:r>
        <w:r w:rsidR="0024493D" w:rsidRPr="004057C2">
          <w:rPr>
            <w:rStyle w:val="Hyperlink"/>
          </w:rPr>
          <w:t>CO</w:t>
        </w:r>
        <w:r w:rsidR="0024493D" w:rsidRPr="004057C2">
          <w:rPr>
            <w:rStyle w:val="Hyperlink"/>
            <w:vertAlign w:val="subscript"/>
          </w:rPr>
          <w:t>2</w:t>
        </w:r>
        <w:r w:rsidR="0024493D" w:rsidRPr="004057C2">
          <w:rPr>
            <w:rStyle w:val="Hyperlink"/>
          </w:rPr>
          <w:t xml:space="preserve"> emissions, 2030 (millions of short tons, %) compared with range of RGGI limits.</w:t>
        </w:r>
        <w:r w:rsidR="0024493D">
          <w:rPr>
            <w:webHidden/>
          </w:rPr>
          <w:tab/>
        </w:r>
        <w:r w:rsidR="0024493D">
          <w:rPr>
            <w:webHidden/>
          </w:rPr>
          <w:fldChar w:fldCharType="begin"/>
        </w:r>
        <w:r w:rsidR="0024493D">
          <w:rPr>
            <w:webHidden/>
          </w:rPr>
          <w:instrText xml:space="preserve"> PAGEREF _Toc519511515 \h </w:instrText>
        </w:r>
        <w:r w:rsidR="0024493D">
          <w:rPr>
            <w:webHidden/>
          </w:rPr>
        </w:r>
        <w:r w:rsidR="0024493D">
          <w:rPr>
            <w:webHidden/>
          </w:rPr>
          <w:fldChar w:fldCharType="separate"/>
        </w:r>
        <w:r w:rsidR="00872A95">
          <w:rPr>
            <w:webHidden/>
          </w:rPr>
          <w:t>63</w:t>
        </w:r>
        <w:r w:rsidR="0024493D">
          <w:rPr>
            <w:webHidden/>
          </w:rPr>
          <w:fldChar w:fldCharType="end"/>
        </w:r>
      </w:hyperlink>
    </w:p>
    <w:p w:rsidR="0024493D" w:rsidRDefault="00D03A39" w:rsidP="00B64774">
      <w:pPr>
        <w:pStyle w:val="TableofFigures"/>
        <w:rPr>
          <w:rFonts w:asciiTheme="minorHAnsi" w:eastAsiaTheme="minorEastAsia" w:hAnsiTheme="minorHAnsi" w:cstheme="minorBidi"/>
          <w:sz w:val="22"/>
          <w:szCs w:val="22"/>
        </w:rPr>
      </w:pPr>
      <w:hyperlink w:anchor="_Toc519511516" w:history="1">
        <w:r w:rsidR="0024493D" w:rsidRPr="004057C2">
          <w:rPr>
            <w:rStyle w:val="Hyperlink"/>
          </w:rPr>
          <w:t>Figure 6</w:t>
        </w:r>
        <w:r w:rsidR="0024493D" w:rsidRPr="004057C2">
          <w:rPr>
            <w:rStyle w:val="Hyperlink"/>
          </w:rPr>
          <w:noBreakHyphen/>
          <w:t xml:space="preserve">11: </w:t>
        </w:r>
        <w:r w:rsidR="0024493D">
          <w:rPr>
            <w:rStyle w:val="Hyperlink"/>
          </w:rPr>
          <w:tab/>
        </w:r>
        <w:r w:rsidR="0024493D" w:rsidRPr="004057C2">
          <w:rPr>
            <w:rStyle w:val="Hyperlink"/>
          </w:rPr>
          <w:t>Total amount of “spilled” energy produced by renewable resources, 2030</w:t>
        </w:r>
        <w:r w:rsidR="0024493D">
          <w:rPr>
            <w:rStyle w:val="Hyperlink"/>
          </w:rPr>
          <w:br/>
        </w:r>
        <w:r w:rsidR="0024493D" w:rsidRPr="004057C2">
          <w:rPr>
            <w:rStyle w:val="Hyperlink"/>
          </w:rPr>
          <w:t>(</w:t>
        </w:r>
        <w:r w:rsidR="0092572D">
          <w:rPr>
            <w:rStyle w:val="Hyperlink"/>
          </w:rPr>
          <w:t>u</w:t>
        </w:r>
        <w:r w:rsidR="0024493D" w:rsidRPr="004057C2">
          <w:rPr>
            <w:rStyle w:val="Hyperlink"/>
          </w:rPr>
          <w:t xml:space="preserve">nconstrained and </w:t>
        </w:r>
        <w:r w:rsidR="0092572D">
          <w:rPr>
            <w:rStyle w:val="Hyperlink"/>
          </w:rPr>
          <w:t>c</w:t>
        </w:r>
        <w:r w:rsidR="0024493D" w:rsidRPr="004057C2">
          <w:rPr>
            <w:rStyle w:val="Hyperlink"/>
          </w:rPr>
          <w:t xml:space="preserve">onstrained </w:t>
        </w:r>
        <w:r w:rsidR="0092572D">
          <w:rPr>
            <w:rStyle w:val="Hyperlink"/>
          </w:rPr>
          <w:t>c</w:t>
        </w:r>
        <w:r w:rsidR="0024493D" w:rsidRPr="004057C2">
          <w:rPr>
            <w:rStyle w:val="Hyperlink"/>
          </w:rPr>
          <w:t>ases) (GWh, %).</w:t>
        </w:r>
        <w:r w:rsidR="0024493D">
          <w:rPr>
            <w:webHidden/>
          </w:rPr>
          <w:tab/>
        </w:r>
        <w:r w:rsidR="0024493D">
          <w:rPr>
            <w:webHidden/>
          </w:rPr>
          <w:fldChar w:fldCharType="begin"/>
        </w:r>
        <w:r w:rsidR="0024493D">
          <w:rPr>
            <w:webHidden/>
          </w:rPr>
          <w:instrText xml:space="preserve"> PAGEREF _Toc519511516 \h </w:instrText>
        </w:r>
        <w:r w:rsidR="0024493D">
          <w:rPr>
            <w:webHidden/>
          </w:rPr>
        </w:r>
        <w:r w:rsidR="0024493D">
          <w:rPr>
            <w:webHidden/>
          </w:rPr>
          <w:fldChar w:fldCharType="separate"/>
        </w:r>
        <w:r w:rsidR="00872A95">
          <w:rPr>
            <w:webHidden/>
          </w:rPr>
          <w:t>65</w:t>
        </w:r>
        <w:r w:rsidR="0024493D">
          <w:rPr>
            <w:webHidden/>
          </w:rPr>
          <w:fldChar w:fldCharType="end"/>
        </w:r>
      </w:hyperlink>
    </w:p>
    <w:p w:rsidR="00F565D2" w:rsidRDefault="00CD7DBD" w:rsidP="00DA7D6D">
      <w:pPr>
        <w:spacing w:after="120" w:line="240" w:lineRule="auto"/>
        <w:ind w:left="1260" w:hanging="1260"/>
      </w:pPr>
      <w:r w:rsidRPr="00225B89">
        <w:rPr>
          <w:rFonts w:asciiTheme="minorHAnsi" w:hAnsiTheme="minorHAnsi"/>
          <w:szCs w:val="20"/>
        </w:rPr>
        <w:fldChar w:fldCharType="end"/>
      </w:r>
    </w:p>
    <w:p w:rsidR="003745BD" w:rsidRDefault="003745BD" w:rsidP="00B64774">
      <w:pPr>
        <w:pStyle w:val="TableofFigures"/>
        <w:sectPr w:rsidR="003745BD" w:rsidSect="00532809">
          <w:footerReference w:type="default" r:id="rId14"/>
          <w:pgSz w:w="12240" w:h="15840" w:code="1"/>
          <w:pgMar w:top="1440" w:right="1440" w:bottom="1440" w:left="1440" w:header="720" w:footer="720" w:gutter="0"/>
          <w:pgNumType w:fmt="lowerRoman"/>
          <w:cols w:space="720"/>
          <w:docGrid w:linePitch="360"/>
        </w:sectPr>
      </w:pPr>
    </w:p>
    <w:p w:rsidR="00F565D2" w:rsidRPr="00225B89" w:rsidRDefault="00F565D2" w:rsidP="0091124D">
      <w:pPr>
        <w:adjustRightInd/>
        <w:spacing w:line="240" w:lineRule="auto"/>
        <w:textAlignment w:val="auto"/>
        <w:outlineLvl w:val="0"/>
        <w:rPr>
          <w:rFonts w:ascii="Calibri" w:hAnsi="Calibri" w:cs="Arial"/>
          <w:b/>
          <w:bCs/>
          <w:color w:val="0C95D2"/>
          <w:sz w:val="36"/>
          <w:szCs w:val="36"/>
        </w:rPr>
      </w:pPr>
      <w:bookmarkStart w:id="10" w:name="_Toc528571172"/>
      <w:r w:rsidRPr="00B64774">
        <w:rPr>
          <w:rFonts w:ascii="Calibri" w:hAnsi="Calibri" w:cs="Arial"/>
          <w:b/>
          <w:bCs/>
          <w:color w:val="0C95D2"/>
          <w:sz w:val="36"/>
          <w:szCs w:val="36"/>
        </w:rPr>
        <w:t>Tables</w:t>
      </w:r>
      <w:bookmarkEnd w:id="10"/>
    </w:p>
    <w:p w:rsidR="00B64774" w:rsidRDefault="00CD7DBD" w:rsidP="00B64774">
      <w:pPr>
        <w:pStyle w:val="TableofFigures"/>
        <w:rPr>
          <w:rFonts w:asciiTheme="minorHAnsi" w:eastAsiaTheme="minorEastAsia" w:hAnsiTheme="minorHAnsi" w:cstheme="minorBidi"/>
          <w:sz w:val="22"/>
          <w:szCs w:val="22"/>
        </w:rPr>
      </w:pPr>
      <w:r w:rsidRPr="0024493D">
        <w:rPr>
          <w:rFonts w:asciiTheme="minorHAnsi" w:hAnsiTheme="minorHAnsi"/>
        </w:rPr>
        <w:fldChar w:fldCharType="begin"/>
      </w:r>
      <w:r w:rsidRPr="0024493D">
        <w:rPr>
          <w:rFonts w:asciiTheme="minorHAnsi" w:hAnsiTheme="minorHAnsi"/>
        </w:rPr>
        <w:instrText xml:space="preserve"> TOC \h \z \c "Table" </w:instrText>
      </w:r>
      <w:r w:rsidRPr="0024493D">
        <w:rPr>
          <w:rFonts w:asciiTheme="minorHAnsi" w:hAnsiTheme="minorHAnsi"/>
        </w:rPr>
        <w:fldChar w:fldCharType="separate"/>
      </w:r>
      <w:hyperlink w:anchor="_Toc520721011" w:history="1">
        <w:r w:rsidR="00B64774" w:rsidRPr="00D46015">
          <w:rPr>
            <w:rStyle w:val="Hyperlink"/>
          </w:rPr>
          <w:t>Table 1</w:t>
        </w:r>
        <w:r w:rsidR="00B64774" w:rsidRPr="00D46015">
          <w:rPr>
            <w:rStyle w:val="Hyperlink"/>
          </w:rPr>
          <w:noBreakHyphen/>
          <w:t xml:space="preserve">1 </w:t>
        </w:r>
        <w:r w:rsidR="00B64774">
          <w:rPr>
            <w:rStyle w:val="Hyperlink"/>
          </w:rPr>
          <w:tab/>
        </w:r>
        <w:r w:rsidR="00B64774" w:rsidRPr="00D46015">
          <w:rPr>
            <w:rStyle w:val="Hyperlink"/>
          </w:rPr>
          <w:t>Assumed Changes in Net Demand and Resources from the Renew Plus Scenario</w:t>
        </w:r>
        <w:r w:rsidR="00B64774">
          <w:rPr>
            <w:rStyle w:val="Hyperlink"/>
          </w:rPr>
          <w:br/>
        </w:r>
        <w:r w:rsidR="00B64774" w:rsidRPr="00D46015">
          <w:rPr>
            <w:rStyle w:val="Hyperlink"/>
          </w:rPr>
          <w:t xml:space="preserve">for the EE + Offshore, Onshore Less EE/PV, and </w:t>
        </w:r>
        <w:r w:rsidR="00AF6389">
          <w:rPr>
            <w:rStyle w:val="Hyperlink"/>
          </w:rPr>
          <w:t>Wind Less Nuclear</w:t>
        </w:r>
        <w:r w:rsidR="00B64774" w:rsidRPr="00D46015">
          <w:rPr>
            <w:rStyle w:val="Hyperlink"/>
          </w:rPr>
          <w:t xml:space="preserve"> Scenarios</w:t>
        </w:r>
        <w:r w:rsidR="00B64774">
          <w:rPr>
            <w:rStyle w:val="Hyperlink"/>
          </w:rPr>
          <w:br/>
        </w:r>
        <w:r w:rsidR="00B64774" w:rsidRPr="00D46015">
          <w:rPr>
            <w:rStyle w:val="Hyperlink"/>
          </w:rPr>
          <w:t>(MW Increases and Reductions)</w:t>
        </w:r>
        <w:r w:rsidR="00B64774">
          <w:rPr>
            <w:webHidden/>
          </w:rPr>
          <w:tab/>
        </w:r>
        <w:r w:rsidR="00B64774">
          <w:rPr>
            <w:webHidden/>
          </w:rPr>
          <w:fldChar w:fldCharType="begin"/>
        </w:r>
        <w:r w:rsidR="00B64774">
          <w:rPr>
            <w:webHidden/>
          </w:rPr>
          <w:instrText xml:space="preserve"> PAGEREF _Toc520721011 \h </w:instrText>
        </w:r>
        <w:r w:rsidR="00B64774">
          <w:rPr>
            <w:webHidden/>
          </w:rPr>
        </w:r>
        <w:r w:rsidR="00B64774">
          <w:rPr>
            <w:webHidden/>
          </w:rPr>
          <w:fldChar w:fldCharType="separate"/>
        </w:r>
        <w:r w:rsidR="00872A95">
          <w:rPr>
            <w:webHidden/>
          </w:rPr>
          <w:t>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2" w:history="1">
        <w:r w:rsidR="00B64774" w:rsidRPr="00D46015">
          <w:rPr>
            <w:rStyle w:val="Hyperlink"/>
          </w:rPr>
          <w:t>Table 1</w:t>
        </w:r>
        <w:r w:rsidR="00B64774" w:rsidRPr="00D46015">
          <w:rPr>
            <w:rStyle w:val="Hyperlink"/>
          </w:rPr>
          <w:noBreakHyphen/>
          <w:t xml:space="preserve">2 </w:t>
        </w:r>
        <w:r w:rsidR="00B64774">
          <w:rPr>
            <w:rStyle w:val="Hyperlink"/>
          </w:rPr>
          <w:tab/>
        </w:r>
        <w:r w:rsidR="00B64774" w:rsidRPr="00D46015">
          <w:rPr>
            <w:rStyle w:val="Hyperlink"/>
          </w:rPr>
          <w:t>Net Demand and Resource Assumptions Used  in the Renew Plus , EE + Offshore,</w:t>
        </w:r>
        <w:r w:rsidR="00B64774">
          <w:rPr>
            <w:rStyle w:val="Hyperlink"/>
          </w:rPr>
          <w:br/>
        </w:r>
        <w:r w:rsidR="00B64774" w:rsidRPr="00D46015">
          <w:rPr>
            <w:rStyle w:val="Hyperlink"/>
          </w:rPr>
          <w:t xml:space="preserve">Onshore Less EE/PV, and </w:t>
        </w:r>
        <w:r w:rsidR="00AF6389">
          <w:rPr>
            <w:rStyle w:val="Hyperlink"/>
          </w:rPr>
          <w:t>Wind Less Nuclear</w:t>
        </w:r>
        <w:r w:rsidR="00B64774" w:rsidRPr="00D46015">
          <w:rPr>
            <w:rStyle w:val="Hyperlink"/>
          </w:rPr>
          <w:t xml:space="preserve"> Scenarios (MW, millions)</w:t>
        </w:r>
        <w:r w:rsidR="00B64774">
          <w:rPr>
            <w:webHidden/>
          </w:rPr>
          <w:tab/>
        </w:r>
        <w:r w:rsidR="00B64774">
          <w:rPr>
            <w:webHidden/>
          </w:rPr>
          <w:fldChar w:fldCharType="begin"/>
        </w:r>
        <w:r w:rsidR="00B64774">
          <w:rPr>
            <w:webHidden/>
          </w:rPr>
          <w:instrText xml:space="preserve"> PAGEREF _Toc520721012 \h </w:instrText>
        </w:r>
        <w:r w:rsidR="00B64774">
          <w:rPr>
            <w:webHidden/>
          </w:rPr>
        </w:r>
        <w:r w:rsidR="00B64774">
          <w:rPr>
            <w:webHidden/>
          </w:rPr>
          <w:fldChar w:fldCharType="separate"/>
        </w:r>
        <w:r w:rsidR="00872A95">
          <w:rPr>
            <w:webHidden/>
          </w:rPr>
          <w:t>7</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3" w:history="1">
        <w:r w:rsidR="00B64774" w:rsidRPr="00D46015">
          <w:rPr>
            <w:rStyle w:val="Hyperlink"/>
          </w:rPr>
          <w:t>Table 1</w:t>
        </w:r>
        <w:r w:rsidR="00B64774" w:rsidRPr="00D46015">
          <w:rPr>
            <w:rStyle w:val="Hyperlink"/>
          </w:rPr>
          <w:noBreakHyphen/>
          <w:t xml:space="preserve">3 </w:t>
        </w:r>
        <w:r w:rsidR="00B64774">
          <w:rPr>
            <w:rStyle w:val="Hyperlink"/>
          </w:rPr>
          <w:tab/>
        </w:r>
        <w:r w:rsidR="00B64774" w:rsidRPr="00D46015">
          <w:rPr>
            <w:rStyle w:val="Hyperlink"/>
          </w:rPr>
          <w:t>Relative Annual Resource Costs, 2030 ($ Millions)</w:t>
        </w:r>
        <w:r w:rsidR="00B64774">
          <w:rPr>
            <w:webHidden/>
          </w:rPr>
          <w:tab/>
        </w:r>
        <w:r w:rsidR="00B64774">
          <w:rPr>
            <w:webHidden/>
          </w:rPr>
          <w:fldChar w:fldCharType="begin"/>
        </w:r>
        <w:r w:rsidR="00B64774">
          <w:rPr>
            <w:webHidden/>
          </w:rPr>
          <w:instrText xml:space="preserve"> PAGEREF _Toc520721013 \h </w:instrText>
        </w:r>
        <w:r w:rsidR="00B64774">
          <w:rPr>
            <w:webHidden/>
          </w:rPr>
        </w:r>
        <w:r w:rsidR="00B64774">
          <w:rPr>
            <w:webHidden/>
          </w:rPr>
          <w:fldChar w:fldCharType="separate"/>
        </w:r>
        <w:r w:rsidR="00872A95">
          <w:rPr>
            <w:webHidden/>
          </w:rPr>
          <w:t>11</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4" w:history="1">
        <w:r w:rsidR="00B64774" w:rsidRPr="00D46015">
          <w:rPr>
            <w:rStyle w:val="Hyperlink"/>
          </w:rPr>
          <w:t>Table 1</w:t>
        </w:r>
        <w:r w:rsidR="00B64774" w:rsidRPr="00D46015">
          <w:rPr>
            <w:rStyle w:val="Hyperlink"/>
          </w:rPr>
          <w:noBreakHyphen/>
          <w:t xml:space="preserve">4 </w:t>
        </w:r>
        <w:r w:rsidR="00B64774">
          <w:rPr>
            <w:rStyle w:val="Hyperlink"/>
          </w:rPr>
          <w:tab/>
        </w:r>
        <w:r w:rsidR="00B64774" w:rsidRPr="00D46015">
          <w:rPr>
            <w:rStyle w:val="Hyperlink"/>
          </w:rPr>
          <w:t>Relative Annual Resource Costs, 2030 (¢/kWh)</w:t>
        </w:r>
        <w:r w:rsidR="00B64774">
          <w:rPr>
            <w:webHidden/>
          </w:rPr>
          <w:tab/>
        </w:r>
        <w:r w:rsidR="00B64774">
          <w:rPr>
            <w:webHidden/>
          </w:rPr>
          <w:fldChar w:fldCharType="begin"/>
        </w:r>
        <w:r w:rsidR="00B64774">
          <w:rPr>
            <w:webHidden/>
          </w:rPr>
          <w:instrText xml:space="preserve"> PAGEREF _Toc520721014 \h </w:instrText>
        </w:r>
        <w:r w:rsidR="00B64774">
          <w:rPr>
            <w:webHidden/>
          </w:rPr>
        </w:r>
        <w:r w:rsidR="00B64774">
          <w:rPr>
            <w:webHidden/>
          </w:rPr>
          <w:fldChar w:fldCharType="separate"/>
        </w:r>
        <w:r w:rsidR="00872A95">
          <w:rPr>
            <w:webHidden/>
          </w:rPr>
          <w:t>12</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5" w:history="1">
        <w:r w:rsidR="00B64774" w:rsidRPr="00D46015">
          <w:rPr>
            <w:rStyle w:val="Hyperlink"/>
          </w:rPr>
          <w:t>Table 4</w:t>
        </w:r>
        <w:r w:rsidR="00B64774" w:rsidRPr="00D46015">
          <w:rPr>
            <w:rStyle w:val="Hyperlink"/>
          </w:rPr>
          <w:noBreakHyphen/>
          <w:t xml:space="preserve">1 </w:t>
        </w:r>
        <w:r w:rsidR="00B64774">
          <w:rPr>
            <w:rStyle w:val="Hyperlink"/>
          </w:rPr>
          <w:tab/>
        </w:r>
        <w:r w:rsidR="00B64774" w:rsidRPr="00D46015">
          <w:rPr>
            <w:rStyle w:val="Hyperlink"/>
          </w:rPr>
          <w:t>Metrics Analyzed in the 2017 Economic Study</w:t>
        </w:r>
        <w:r w:rsidR="00B64774">
          <w:rPr>
            <w:webHidden/>
          </w:rPr>
          <w:tab/>
        </w:r>
        <w:r w:rsidR="00B64774">
          <w:rPr>
            <w:webHidden/>
          </w:rPr>
          <w:fldChar w:fldCharType="begin"/>
        </w:r>
        <w:r w:rsidR="00B64774">
          <w:rPr>
            <w:webHidden/>
          </w:rPr>
          <w:instrText xml:space="preserve"> PAGEREF _Toc520721015 \h </w:instrText>
        </w:r>
        <w:r w:rsidR="00B64774">
          <w:rPr>
            <w:webHidden/>
          </w:rPr>
        </w:r>
        <w:r w:rsidR="00B64774">
          <w:rPr>
            <w:webHidden/>
          </w:rPr>
          <w:fldChar w:fldCharType="separate"/>
        </w:r>
        <w:r w:rsidR="00872A95">
          <w:rPr>
            <w:webHidden/>
          </w:rPr>
          <w:t>22</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6" w:history="1">
        <w:r w:rsidR="00B64774" w:rsidRPr="00D46015">
          <w:rPr>
            <w:rStyle w:val="Hyperlink"/>
          </w:rPr>
          <w:t>Table 5</w:t>
        </w:r>
        <w:r w:rsidR="00B64774" w:rsidRPr="00D46015">
          <w:rPr>
            <w:rStyle w:val="Hyperlink"/>
          </w:rPr>
          <w:noBreakHyphen/>
          <w:t xml:space="preserve">1 </w:t>
        </w:r>
        <w:r w:rsidR="00B64774">
          <w:rPr>
            <w:rStyle w:val="Hyperlink"/>
          </w:rPr>
          <w:tab/>
        </w:r>
        <w:r w:rsidR="00B64774" w:rsidRPr="00D46015">
          <w:rPr>
            <w:rStyle w:val="Hyperlink"/>
          </w:rPr>
          <w:t>Gross New England 50/50 Peak Demand and Annual Energy Use for All Scenarios</w:t>
        </w:r>
        <w:r w:rsidR="00B64774">
          <w:rPr>
            <w:webHidden/>
          </w:rPr>
          <w:tab/>
        </w:r>
        <w:r w:rsidR="00B64774">
          <w:rPr>
            <w:webHidden/>
          </w:rPr>
          <w:fldChar w:fldCharType="begin"/>
        </w:r>
        <w:r w:rsidR="00B64774">
          <w:rPr>
            <w:webHidden/>
          </w:rPr>
          <w:instrText xml:space="preserve"> PAGEREF _Toc520721016 \h </w:instrText>
        </w:r>
        <w:r w:rsidR="00B64774">
          <w:rPr>
            <w:webHidden/>
          </w:rPr>
        </w:r>
        <w:r w:rsidR="00B64774">
          <w:rPr>
            <w:webHidden/>
          </w:rPr>
          <w:fldChar w:fldCharType="separate"/>
        </w:r>
        <w:r w:rsidR="00872A95">
          <w:rPr>
            <w:webHidden/>
          </w:rPr>
          <w:t>25</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7" w:history="1">
        <w:r w:rsidR="00B64774" w:rsidRPr="00D46015">
          <w:rPr>
            <w:rStyle w:val="Hyperlink"/>
          </w:rPr>
          <w:t>Table 5</w:t>
        </w:r>
        <w:r w:rsidR="00B64774" w:rsidRPr="00D46015">
          <w:rPr>
            <w:rStyle w:val="Hyperlink"/>
          </w:rPr>
          <w:noBreakHyphen/>
          <w:t xml:space="preserve">2 </w:t>
        </w:r>
        <w:r w:rsidR="00B64774">
          <w:rPr>
            <w:rStyle w:val="Hyperlink"/>
          </w:rPr>
          <w:tab/>
        </w:r>
        <w:r w:rsidR="00B64774" w:rsidRPr="00D46015">
          <w:rPr>
            <w:rStyle w:val="Hyperlink"/>
          </w:rPr>
          <w:t>Capacity and Energy Assumptions for Passive Demand and BTM PV Resources 2030</w:t>
        </w:r>
        <w:r w:rsidR="00B64774">
          <w:rPr>
            <w:webHidden/>
          </w:rPr>
          <w:tab/>
        </w:r>
        <w:r w:rsidR="00B64774">
          <w:rPr>
            <w:webHidden/>
          </w:rPr>
          <w:fldChar w:fldCharType="begin"/>
        </w:r>
        <w:r w:rsidR="00B64774">
          <w:rPr>
            <w:webHidden/>
          </w:rPr>
          <w:instrText xml:space="preserve"> PAGEREF _Toc520721017 \h </w:instrText>
        </w:r>
        <w:r w:rsidR="00B64774">
          <w:rPr>
            <w:webHidden/>
          </w:rPr>
        </w:r>
        <w:r w:rsidR="00B64774">
          <w:rPr>
            <w:webHidden/>
          </w:rPr>
          <w:fldChar w:fldCharType="separate"/>
        </w:r>
        <w:r w:rsidR="00872A95">
          <w:rPr>
            <w:webHidden/>
          </w:rPr>
          <w:t>25</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8" w:history="1">
        <w:r w:rsidR="00B64774" w:rsidRPr="00D46015">
          <w:rPr>
            <w:rStyle w:val="Hyperlink"/>
          </w:rPr>
          <w:t>Table 5</w:t>
        </w:r>
        <w:r w:rsidR="00B64774" w:rsidRPr="00D46015">
          <w:rPr>
            <w:rStyle w:val="Hyperlink"/>
          </w:rPr>
          <w:noBreakHyphen/>
          <w:t xml:space="preserve">3 </w:t>
        </w:r>
        <w:r w:rsidR="00B64774">
          <w:rPr>
            <w:rStyle w:val="Hyperlink"/>
          </w:rPr>
          <w:tab/>
        </w:r>
        <w:r w:rsidR="00B64774" w:rsidRPr="00D46015">
          <w:rPr>
            <w:rStyle w:val="Hyperlink"/>
          </w:rPr>
          <w:t>Assumed Distribution of PHEVs by State for 2030 for the Renew Plus, EE + Offshore,</w:t>
        </w:r>
        <w:r w:rsidR="00B64774">
          <w:rPr>
            <w:rStyle w:val="Hyperlink"/>
          </w:rPr>
          <w:br/>
        </w:r>
        <w:r w:rsidR="00B64774" w:rsidRPr="00D46015">
          <w:rPr>
            <w:rStyle w:val="Hyperlink"/>
          </w:rPr>
          <w:t xml:space="preserve">and </w:t>
        </w:r>
        <w:r w:rsidR="00AF6389">
          <w:rPr>
            <w:rStyle w:val="Hyperlink"/>
          </w:rPr>
          <w:t>Wind Less Nuclear</w:t>
        </w:r>
        <w:r w:rsidR="00B64774" w:rsidRPr="00D46015">
          <w:rPr>
            <w:rStyle w:val="Hyperlink"/>
          </w:rPr>
          <w:t xml:space="preserve"> Scenarios</w:t>
        </w:r>
        <w:r w:rsidR="00B64774">
          <w:rPr>
            <w:webHidden/>
          </w:rPr>
          <w:tab/>
        </w:r>
        <w:r w:rsidR="00B64774">
          <w:rPr>
            <w:webHidden/>
          </w:rPr>
          <w:fldChar w:fldCharType="begin"/>
        </w:r>
        <w:r w:rsidR="00B64774">
          <w:rPr>
            <w:webHidden/>
          </w:rPr>
          <w:instrText xml:space="preserve"> PAGEREF _Toc520721018 \h </w:instrText>
        </w:r>
        <w:r w:rsidR="00B64774">
          <w:rPr>
            <w:webHidden/>
          </w:rPr>
        </w:r>
        <w:r w:rsidR="00B64774">
          <w:rPr>
            <w:webHidden/>
          </w:rPr>
          <w:fldChar w:fldCharType="separate"/>
        </w:r>
        <w:r w:rsidR="00872A95">
          <w:rPr>
            <w:webHidden/>
          </w:rPr>
          <w:t>26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19" w:history="1">
        <w:r w:rsidR="00B64774" w:rsidRPr="00D46015">
          <w:rPr>
            <w:rStyle w:val="Hyperlink"/>
          </w:rPr>
          <w:t>Table 5</w:t>
        </w:r>
        <w:r w:rsidR="00B64774" w:rsidRPr="00D46015">
          <w:rPr>
            <w:rStyle w:val="Hyperlink"/>
          </w:rPr>
          <w:noBreakHyphen/>
          <w:t xml:space="preserve">4 </w:t>
        </w:r>
        <w:r w:rsidR="00B64774">
          <w:rPr>
            <w:rStyle w:val="Hyperlink"/>
          </w:rPr>
          <w:tab/>
        </w:r>
        <w:r w:rsidR="00B64774" w:rsidRPr="00D46015">
          <w:rPr>
            <w:rStyle w:val="Hyperlink"/>
          </w:rPr>
          <w:t>PHEV Characteristics for 2030 for the Renew Plus, EE + Offshore,</w:t>
        </w:r>
        <w:r w:rsidR="00B64774">
          <w:rPr>
            <w:rStyle w:val="Hyperlink"/>
          </w:rPr>
          <w:br/>
        </w:r>
        <w:r w:rsidR="00B64774" w:rsidRPr="00D46015">
          <w:rPr>
            <w:rStyle w:val="Hyperlink"/>
          </w:rPr>
          <w:t xml:space="preserve">and </w:t>
        </w:r>
        <w:r w:rsidR="00AF6389">
          <w:rPr>
            <w:rStyle w:val="Hyperlink"/>
          </w:rPr>
          <w:t>Wind Less Nuclear</w:t>
        </w:r>
        <w:r w:rsidR="00B64774" w:rsidRPr="00D46015">
          <w:rPr>
            <w:rStyle w:val="Hyperlink"/>
          </w:rPr>
          <w:t xml:space="preserve"> Scenarios</w:t>
        </w:r>
        <w:r w:rsidR="00B64774">
          <w:rPr>
            <w:webHidden/>
          </w:rPr>
          <w:tab/>
        </w:r>
        <w:r w:rsidR="00B64774">
          <w:rPr>
            <w:webHidden/>
          </w:rPr>
          <w:fldChar w:fldCharType="begin"/>
        </w:r>
        <w:r w:rsidR="00B64774">
          <w:rPr>
            <w:webHidden/>
          </w:rPr>
          <w:instrText xml:space="preserve"> PAGEREF _Toc520721019 \h </w:instrText>
        </w:r>
        <w:r w:rsidR="00B64774">
          <w:rPr>
            <w:webHidden/>
          </w:rPr>
        </w:r>
        <w:r w:rsidR="00B64774">
          <w:rPr>
            <w:webHidden/>
          </w:rPr>
          <w:fldChar w:fldCharType="separate"/>
        </w:r>
        <w:r w:rsidR="00872A95">
          <w:rPr>
            <w:webHidden/>
          </w:rPr>
          <w:t>26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0" w:history="1">
        <w:r w:rsidR="00B64774" w:rsidRPr="00D46015">
          <w:rPr>
            <w:rStyle w:val="Hyperlink"/>
          </w:rPr>
          <w:t>Table 5</w:t>
        </w:r>
        <w:r w:rsidR="00B64774" w:rsidRPr="00D46015">
          <w:rPr>
            <w:rStyle w:val="Hyperlink"/>
          </w:rPr>
          <w:noBreakHyphen/>
          <w:t xml:space="preserve">5 </w:t>
        </w:r>
        <w:r w:rsidR="00B64774">
          <w:rPr>
            <w:rStyle w:val="Hyperlink"/>
          </w:rPr>
          <w:tab/>
        </w:r>
        <w:r w:rsidR="00B64774" w:rsidRPr="00D46015">
          <w:rPr>
            <w:rStyle w:val="Hyperlink"/>
          </w:rPr>
          <w:t>Summary of Capacity Assumptions Used in the Scenarios, 2030 (MW)</w:t>
        </w:r>
        <w:r w:rsidR="00B64774">
          <w:rPr>
            <w:webHidden/>
          </w:rPr>
          <w:tab/>
        </w:r>
        <w:r w:rsidR="00B64774">
          <w:rPr>
            <w:webHidden/>
          </w:rPr>
          <w:fldChar w:fldCharType="begin"/>
        </w:r>
        <w:r w:rsidR="00B64774">
          <w:rPr>
            <w:webHidden/>
          </w:rPr>
          <w:instrText xml:space="preserve"> PAGEREF _Toc520721020 \h </w:instrText>
        </w:r>
        <w:r w:rsidR="00B64774">
          <w:rPr>
            <w:webHidden/>
          </w:rPr>
        </w:r>
        <w:r w:rsidR="00B64774">
          <w:rPr>
            <w:webHidden/>
          </w:rPr>
          <w:fldChar w:fldCharType="separate"/>
        </w:r>
        <w:r w:rsidR="00872A95">
          <w:rPr>
            <w:webHidden/>
          </w:rPr>
          <w:t>29</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1" w:history="1">
        <w:r w:rsidR="00B64774" w:rsidRPr="00D46015">
          <w:rPr>
            <w:rStyle w:val="Hyperlink"/>
          </w:rPr>
          <w:t>Table 5</w:t>
        </w:r>
        <w:r w:rsidR="00B64774" w:rsidRPr="00D46015">
          <w:rPr>
            <w:rStyle w:val="Hyperlink"/>
          </w:rPr>
          <w:noBreakHyphen/>
          <w:t xml:space="preserve">6 </w:t>
        </w:r>
        <w:r w:rsidR="00B64774">
          <w:rPr>
            <w:rStyle w:val="Hyperlink"/>
          </w:rPr>
          <w:tab/>
        </w:r>
        <w:r w:rsidR="00B64774" w:rsidRPr="00D46015">
          <w:rPr>
            <w:rStyle w:val="Hyperlink"/>
          </w:rPr>
          <w:t>Capacity Value Assumptions for Various Resources, 2030 (MW)</w:t>
        </w:r>
        <w:r w:rsidR="00B64774" w:rsidRPr="00D46015">
          <w:rPr>
            <w:rStyle w:val="Hyperlink"/>
            <w:vertAlign w:val="superscript"/>
          </w:rPr>
          <w:t>(a)</w:t>
        </w:r>
        <w:r w:rsidR="00B64774">
          <w:rPr>
            <w:webHidden/>
          </w:rPr>
          <w:tab/>
        </w:r>
        <w:r w:rsidR="00B64774">
          <w:rPr>
            <w:webHidden/>
          </w:rPr>
          <w:fldChar w:fldCharType="begin"/>
        </w:r>
        <w:r w:rsidR="00B64774">
          <w:rPr>
            <w:webHidden/>
          </w:rPr>
          <w:instrText xml:space="preserve"> PAGEREF _Toc520721021 \h </w:instrText>
        </w:r>
        <w:r w:rsidR="00B64774">
          <w:rPr>
            <w:webHidden/>
          </w:rPr>
        </w:r>
        <w:r w:rsidR="00B64774">
          <w:rPr>
            <w:webHidden/>
          </w:rPr>
          <w:fldChar w:fldCharType="separate"/>
        </w:r>
        <w:r w:rsidR="00872A95">
          <w:rPr>
            <w:webHidden/>
          </w:rPr>
          <w:t>30</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2" w:history="1">
        <w:r w:rsidR="00B64774" w:rsidRPr="00D46015">
          <w:rPr>
            <w:rStyle w:val="Hyperlink"/>
          </w:rPr>
          <w:t>Table 5</w:t>
        </w:r>
        <w:r w:rsidR="00B64774" w:rsidRPr="00D46015">
          <w:rPr>
            <w:rStyle w:val="Hyperlink"/>
          </w:rPr>
          <w:noBreakHyphen/>
          <w:t xml:space="preserve">7 </w:t>
        </w:r>
        <w:r w:rsidR="00B64774">
          <w:rPr>
            <w:rStyle w:val="Hyperlink"/>
          </w:rPr>
          <w:tab/>
        </w:r>
        <w:r w:rsidR="00B64774" w:rsidRPr="00D46015">
          <w:rPr>
            <w:rStyle w:val="Hyperlink"/>
          </w:rPr>
          <w:t>Onshore and Offshore Wind Additions and Totals for All the Scenarios, 2030 (MW)</w:t>
        </w:r>
        <w:r w:rsidR="00B64774">
          <w:rPr>
            <w:webHidden/>
          </w:rPr>
          <w:tab/>
        </w:r>
        <w:r w:rsidR="00B64774">
          <w:rPr>
            <w:webHidden/>
          </w:rPr>
          <w:fldChar w:fldCharType="begin"/>
        </w:r>
        <w:r w:rsidR="00B64774">
          <w:rPr>
            <w:webHidden/>
          </w:rPr>
          <w:instrText xml:space="preserve"> PAGEREF _Toc520721022 \h </w:instrText>
        </w:r>
        <w:r w:rsidR="00B64774">
          <w:rPr>
            <w:webHidden/>
          </w:rPr>
        </w:r>
        <w:r w:rsidR="00B64774">
          <w:rPr>
            <w:webHidden/>
          </w:rPr>
          <w:fldChar w:fldCharType="separate"/>
        </w:r>
        <w:r w:rsidR="00872A95">
          <w:rPr>
            <w:webHidden/>
          </w:rPr>
          <w:t>31</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3" w:history="1">
        <w:r w:rsidR="00B64774" w:rsidRPr="00D46015">
          <w:rPr>
            <w:rStyle w:val="Hyperlink"/>
          </w:rPr>
          <w:t>Table 5</w:t>
        </w:r>
        <w:r w:rsidR="00B64774" w:rsidRPr="00D46015">
          <w:rPr>
            <w:rStyle w:val="Hyperlink"/>
          </w:rPr>
          <w:noBreakHyphen/>
          <w:t xml:space="preserve">8 </w:t>
        </w:r>
        <w:r w:rsidR="00B64774">
          <w:rPr>
            <w:rStyle w:val="Hyperlink"/>
          </w:rPr>
          <w:tab/>
        </w:r>
        <w:r w:rsidR="00B64774" w:rsidRPr="00D46015">
          <w:rPr>
            <w:rStyle w:val="Hyperlink"/>
          </w:rPr>
          <w:t>Assumptions Used for Onshore and Offshore Wind Generation Nameplate Values,</w:t>
        </w:r>
        <w:r w:rsidR="00B64774">
          <w:rPr>
            <w:rStyle w:val="Hyperlink"/>
          </w:rPr>
          <w:br/>
        </w:r>
        <w:r w:rsidR="00B64774" w:rsidRPr="00D46015">
          <w:rPr>
            <w:rStyle w:val="Hyperlink"/>
          </w:rPr>
          <w:t>2030 (MW)</w:t>
        </w:r>
        <w:r w:rsidR="00B64774">
          <w:rPr>
            <w:webHidden/>
          </w:rPr>
          <w:tab/>
        </w:r>
        <w:r w:rsidR="00B64774">
          <w:rPr>
            <w:webHidden/>
          </w:rPr>
          <w:fldChar w:fldCharType="begin"/>
        </w:r>
        <w:r w:rsidR="00B64774">
          <w:rPr>
            <w:webHidden/>
          </w:rPr>
          <w:instrText xml:space="preserve"> PAGEREF _Toc520721023 \h </w:instrText>
        </w:r>
        <w:r w:rsidR="00B64774">
          <w:rPr>
            <w:webHidden/>
          </w:rPr>
        </w:r>
        <w:r w:rsidR="00B64774">
          <w:rPr>
            <w:webHidden/>
          </w:rPr>
          <w:fldChar w:fldCharType="separate"/>
        </w:r>
        <w:r w:rsidR="00872A95">
          <w:rPr>
            <w:webHidden/>
          </w:rPr>
          <w:t>32</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4" w:history="1">
        <w:r w:rsidR="00B64774" w:rsidRPr="00D46015">
          <w:rPr>
            <w:rStyle w:val="Hyperlink"/>
          </w:rPr>
          <w:t>Table 5</w:t>
        </w:r>
        <w:r w:rsidR="00B64774" w:rsidRPr="00D46015">
          <w:rPr>
            <w:rStyle w:val="Hyperlink"/>
          </w:rPr>
          <w:noBreakHyphen/>
          <w:t xml:space="preserve">9 </w:t>
        </w:r>
        <w:r w:rsidR="00B64774">
          <w:rPr>
            <w:rStyle w:val="Hyperlink"/>
          </w:rPr>
          <w:tab/>
        </w:r>
        <w:r w:rsidR="00B64774" w:rsidRPr="00D46015">
          <w:rPr>
            <w:rStyle w:val="Hyperlink"/>
          </w:rPr>
          <w:t>Assumed Generating Unit Retirements by 2030 (MW)</w:t>
        </w:r>
        <w:r w:rsidR="00B64774">
          <w:rPr>
            <w:webHidden/>
          </w:rPr>
          <w:tab/>
        </w:r>
        <w:r w:rsidR="00B64774">
          <w:rPr>
            <w:webHidden/>
          </w:rPr>
          <w:fldChar w:fldCharType="begin"/>
        </w:r>
        <w:r w:rsidR="00B64774">
          <w:rPr>
            <w:webHidden/>
          </w:rPr>
          <w:instrText xml:space="preserve"> PAGEREF _Toc520721024 \h </w:instrText>
        </w:r>
        <w:r w:rsidR="00B64774">
          <w:rPr>
            <w:webHidden/>
          </w:rPr>
        </w:r>
        <w:r w:rsidR="00B64774">
          <w:rPr>
            <w:webHidden/>
          </w:rPr>
          <w:fldChar w:fldCharType="separate"/>
        </w:r>
        <w:r w:rsidR="00872A95">
          <w:rPr>
            <w:webHidden/>
          </w:rPr>
          <w:t>33</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5" w:history="1">
        <w:r w:rsidR="00B64774" w:rsidRPr="00D46015">
          <w:rPr>
            <w:rStyle w:val="Hyperlink"/>
          </w:rPr>
          <w:t>Table 5</w:t>
        </w:r>
        <w:r w:rsidR="00B64774" w:rsidRPr="00D46015">
          <w:rPr>
            <w:rStyle w:val="Hyperlink"/>
          </w:rPr>
          <w:noBreakHyphen/>
          <w:t xml:space="preserve">10 </w:t>
        </w:r>
        <w:r w:rsidR="00B64774">
          <w:rPr>
            <w:rStyle w:val="Hyperlink"/>
          </w:rPr>
          <w:tab/>
        </w:r>
        <w:r w:rsidR="00B64774" w:rsidRPr="00D46015">
          <w:rPr>
            <w:rStyle w:val="Hyperlink"/>
          </w:rPr>
          <w:t>Single-Value Internal Transmission-Interface Limits for Use in RSP Subarea Models</w:t>
        </w:r>
        <w:r w:rsidR="00B64774">
          <w:rPr>
            <w:rStyle w:val="Hyperlink"/>
          </w:rPr>
          <w:br/>
        </w:r>
        <w:r w:rsidR="00B64774" w:rsidRPr="00D46015">
          <w:rPr>
            <w:rStyle w:val="Hyperlink"/>
          </w:rPr>
          <w:t>assumed for 2030 (MW)</w:t>
        </w:r>
        <w:r w:rsidR="00B64774">
          <w:rPr>
            <w:webHidden/>
          </w:rPr>
          <w:tab/>
        </w:r>
        <w:r w:rsidR="00B64774">
          <w:rPr>
            <w:webHidden/>
          </w:rPr>
          <w:fldChar w:fldCharType="begin"/>
        </w:r>
        <w:r w:rsidR="00B64774">
          <w:rPr>
            <w:webHidden/>
          </w:rPr>
          <w:instrText xml:space="preserve"> PAGEREF _Toc520721025 \h </w:instrText>
        </w:r>
        <w:r w:rsidR="00B64774">
          <w:rPr>
            <w:webHidden/>
          </w:rPr>
        </w:r>
        <w:r w:rsidR="00B64774">
          <w:rPr>
            <w:webHidden/>
          </w:rPr>
          <w:fldChar w:fldCharType="separate"/>
        </w:r>
        <w:r w:rsidR="00872A95">
          <w:rPr>
            <w:webHidden/>
          </w:rPr>
          <w:t>34</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6" w:history="1">
        <w:r w:rsidR="00B64774" w:rsidRPr="00D46015">
          <w:rPr>
            <w:rStyle w:val="Hyperlink"/>
          </w:rPr>
          <w:t>Table 5</w:t>
        </w:r>
        <w:r w:rsidR="00B64774" w:rsidRPr="00D46015">
          <w:rPr>
            <w:rStyle w:val="Hyperlink"/>
          </w:rPr>
          <w:noBreakHyphen/>
          <w:t xml:space="preserve">11 </w:t>
        </w:r>
        <w:r w:rsidR="00B64774">
          <w:rPr>
            <w:rStyle w:val="Hyperlink"/>
          </w:rPr>
          <w:tab/>
        </w:r>
        <w:r w:rsidR="00B64774" w:rsidRPr="00D46015">
          <w:rPr>
            <w:rStyle w:val="Hyperlink"/>
          </w:rPr>
          <w:t>Assumed Interconnections with Neighboring Systems, Import Capabilities,</w:t>
        </w:r>
        <w:r w:rsidR="00B64774">
          <w:rPr>
            <w:rStyle w:val="Hyperlink"/>
          </w:rPr>
          <w:br/>
        </w:r>
        <w:r w:rsidR="00B64774" w:rsidRPr="00D46015">
          <w:rPr>
            <w:rStyle w:val="Hyperlink"/>
          </w:rPr>
          <w:t>and Capacity Imports for 2030 (MW)</w:t>
        </w:r>
        <w:r w:rsidR="00B64774">
          <w:rPr>
            <w:webHidden/>
          </w:rPr>
          <w:tab/>
        </w:r>
        <w:r w:rsidR="00B64774">
          <w:rPr>
            <w:webHidden/>
          </w:rPr>
          <w:fldChar w:fldCharType="begin"/>
        </w:r>
        <w:r w:rsidR="00B64774">
          <w:rPr>
            <w:webHidden/>
          </w:rPr>
          <w:instrText xml:space="preserve"> PAGEREF _Toc520721026 \h </w:instrText>
        </w:r>
        <w:r w:rsidR="00B64774">
          <w:rPr>
            <w:webHidden/>
          </w:rPr>
        </w:r>
        <w:r w:rsidR="00B64774">
          <w:rPr>
            <w:webHidden/>
          </w:rPr>
          <w:fldChar w:fldCharType="separate"/>
        </w:r>
        <w:r w:rsidR="00872A95">
          <w:rPr>
            <w:webHidden/>
          </w:rPr>
          <w:t>37</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7" w:history="1">
        <w:r w:rsidR="00B64774" w:rsidRPr="00D46015">
          <w:rPr>
            <w:rStyle w:val="Hyperlink"/>
          </w:rPr>
          <w:t>Table 5</w:t>
        </w:r>
        <w:r w:rsidR="00B64774" w:rsidRPr="00D46015">
          <w:rPr>
            <w:rStyle w:val="Hyperlink"/>
          </w:rPr>
          <w:noBreakHyphen/>
          <w:t xml:space="preserve">12 </w:t>
        </w:r>
        <w:r w:rsidR="00B64774">
          <w:rPr>
            <w:rStyle w:val="Hyperlink"/>
          </w:rPr>
          <w:tab/>
        </w:r>
        <w:r w:rsidR="00B64774" w:rsidRPr="00D46015">
          <w:rPr>
            <w:rStyle w:val="Hyperlink"/>
          </w:rPr>
          <w:t>Nominal Fuel Price Forecast for New England, 2030 ($/MMBtu)</w:t>
        </w:r>
        <w:r w:rsidR="00B64774">
          <w:rPr>
            <w:webHidden/>
          </w:rPr>
          <w:tab/>
        </w:r>
        <w:r w:rsidR="00B64774">
          <w:rPr>
            <w:webHidden/>
          </w:rPr>
          <w:fldChar w:fldCharType="begin"/>
        </w:r>
        <w:r w:rsidR="00B64774">
          <w:rPr>
            <w:webHidden/>
          </w:rPr>
          <w:instrText xml:space="preserve"> PAGEREF _Toc520721027 \h </w:instrText>
        </w:r>
        <w:r w:rsidR="00B64774">
          <w:rPr>
            <w:webHidden/>
          </w:rPr>
        </w:r>
        <w:r w:rsidR="00B64774">
          <w:rPr>
            <w:webHidden/>
          </w:rPr>
          <w:fldChar w:fldCharType="separate"/>
        </w:r>
        <w:r w:rsidR="00872A95">
          <w:rPr>
            <w:webHidden/>
          </w:rPr>
          <w:t>39</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8" w:history="1">
        <w:r w:rsidR="00B64774" w:rsidRPr="00D46015">
          <w:rPr>
            <w:rStyle w:val="Hyperlink"/>
          </w:rPr>
          <w:t>Table 5</w:t>
        </w:r>
        <w:r w:rsidR="00B64774" w:rsidRPr="00D46015">
          <w:rPr>
            <w:rStyle w:val="Hyperlink"/>
          </w:rPr>
          <w:noBreakHyphen/>
          <w:t xml:space="preserve">13 </w:t>
        </w:r>
        <w:r w:rsidR="00B64774">
          <w:rPr>
            <w:rStyle w:val="Hyperlink"/>
          </w:rPr>
          <w:tab/>
        </w:r>
        <w:r w:rsidR="00B64774" w:rsidRPr="00D46015">
          <w:rPr>
            <w:rStyle w:val="Hyperlink"/>
          </w:rPr>
          <w:t>Assumed Threshold Prices for Price-Taking Resources</w:t>
        </w:r>
        <w:r w:rsidR="00B64774">
          <w:rPr>
            <w:webHidden/>
          </w:rPr>
          <w:tab/>
        </w:r>
        <w:r w:rsidR="00B64774">
          <w:rPr>
            <w:webHidden/>
          </w:rPr>
          <w:fldChar w:fldCharType="begin"/>
        </w:r>
        <w:r w:rsidR="00B64774">
          <w:rPr>
            <w:webHidden/>
          </w:rPr>
          <w:instrText xml:space="preserve"> PAGEREF _Toc520721028 \h </w:instrText>
        </w:r>
        <w:r w:rsidR="00B64774">
          <w:rPr>
            <w:webHidden/>
          </w:rPr>
        </w:r>
        <w:r w:rsidR="00B64774">
          <w:rPr>
            <w:webHidden/>
          </w:rPr>
          <w:fldChar w:fldCharType="separate"/>
        </w:r>
        <w:r w:rsidR="00872A95">
          <w:rPr>
            <w:webHidden/>
          </w:rPr>
          <w:t>39</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29" w:history="1">
        <w:r w:rsidR="00B64774" w:rsidRPr="00D46015">
          <w:rPr>
            <w:rStyle w:val="Hyperlink"/>
          </w:rPr>
          <w:t>Table 5</w:t>
        </w:r>
        <w:r w:rsidR="00B64774" w:rsidRPr="00D46015">
          <w:rPr>
            <w:rStyle w:val="Hyperlink"/>
          </w:rPr>
          <w:noBreakHyphen/>
          <w:t xml:space="preserve">14 </w:t>
        </w:r>
        <w:r w:rsidR="00B64774">
          <w:rPr>
            <w:rStyle w:val="Hyperlink"/>
          </w:rPr>
          <w:tab/>
        </w:r>
        <w:r w:rsidR="00B64774" w:rsidRPr="00D46015">
          <w:rPr>
            <w:rStyle w:val="Hyperlink"/>
          </w:rPr>
          <w:t>Air Emission Allowance Prices for 2030 ($/short ton)</w:t>
        </w:r>
        <w:r w:rsidR="00B64774">
          <w:rPr>
            <w:webHidden/>
          </w:rPr>
          <w:tab/>
        </w:r>
        <w:r w:rsidR="00B64774">
          <w:rPr>
            <w:webHidden/>
          </w:rPr>
          <w:fldChar w:fldCharType="begin"/>
        </w:r>
        <w:r w:rsidR="00B64774">
          <w:rPr>
            <w:webHidden/>
          </w:rPr>
          <w:instrText xml:space="preserve"> PAGEREF _Toc520721029 \h </w:instrText>
        </w:r>
        <w:r w:rsidR="00B64774">
          <w:rPr>
            <w:webHidden/>
          </w:rPr>
        </w:r>
        <w:r w:rsidR="00B64774">
          <w:rPr>
            <w:webHidden/>
          </w:rPr>
          <w:fldChar w:fldCharType="separate"/>
        </w:r>
        <w:r w:rsidR="00872A95">
          <w:rPr>
            <w:webHidden/>
          </w:rPr>
          <w:t>40</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0" w:history="1">
        <w:r w:rsidR="00B64774" w:rsidRPr="00D46015">
          <w:rPr>
            <w:rStyle w:val="Hyperlink"/>
          </w:rPr>
          <w:t>Table 5</w:t>
        </w:r>
        <w:r w:rsidR="00B64774" w:rsidRPr="00D46015">
          <w:rPr>
            <w:rStyle w:val="Hyperlink"/>
          </w:rPr>
          <w:noBreakHyphen/>
          <w:t xml:space="preserve">15 </w:t>
        </w:r>
        <w:r w:rsidR="00B64774">
          <w:rPr>
            <w:rStyle w:val="Hyperlink"/>
          </w:rPr>
          <w:tab/>
        </w:r>
        <w:r w:rsidR="00B64774" w:rsidRPr="00D46015">
          <w:rPr>
            <w:rStyle w:val="Hyperlink"/>
          </w:rPr>
          <w:t>Assumed Total Overnight Generator Costs and Typical Annual Carrying Charges</w:t>
        </w:r>
        <w:r w:rsidR="00B64774">
          <w:rPr>
            <w:rStyle w:val="Hyperlink"/>
          </w:rPr>
          <w:br/>
        </w:r>
        <w:r w:rsidR="00B64774" w:rsidRPr="00D46015">
          <w:rPr>
            <w:rStyle w:val="Hyperlink"/>
          </w:rPr>
          <w:t>for New Resources (MW, $/kW)</w:t>
        </w:r>
        <w:r w:rsidR="00B64774">
          <w:rPr>
            <w:webHidden/>
          </w:rPr>
          <w:tab/>
        </w:r>
        <w:r w:rsidR="00B64774">
          <w:rPr>
            <w:webHidden/>
          </w:rPr>
          <w:fldChar w:fldCharType="begin"/>
        </w:r>
        <w:r w:rsidR="00B64774">
          <w:rPr>
            <w:webHidden/>
          </w:rPr>
          <w:instrText xml:space="preserve"> PAGEREF _Toc520721030 \h </w:instrText>
        </w:r>
        <w:r w:rsidR="00B64774">
          <w:rPr>
            <w:webHidden/>
          </w:rPr>
        </w:r>
        <w:r w:rsidR="00B64774">
          <w:rPr>
            <w:webHidden/>
          </w:rPr>
          <w:fldChar w:fldCharType="separate"/>
        </w:r>
        <w:r w:rsidR="00872A95">
          <w:rPr>
            <w:webHidden/>
          </w:rPr>
          <w:t>41</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1" w:history="1">
        <w:r w:rsidR="00B64774" w:rsidRPr="00D46015">
          <w:rPr>
            <w:rStyle w:val="Hyperlink"/>
          </w:rPr>
          <w:t>Table 5</w:t>
        </w:r>
        <w:r w:rsidR="00B64774" w:rsidRPr="00D46015">
          <w:rPr>
            <w:rStyle w:val="Hyperlink"/>
          </w:rPr>
          <w:noBreakHyphen/>
          <w:t xml:space="preserve">16 </w:t>
        </w:r>
        <w:r w:rsidR="00B64774">
          <w:rPr>
            <w:rStyle w:val="Hyperlink"/>
          </w:rPr>
          <w:tab/>
        </w:r>
        <w:r w:rsidR="00B64774" w:rsidRPr="00D46015">
          <w:rPr>
            <w:rStyle w:val="Hyperlink"/>
          </w:rPr>
          <w:t>Integrator System Assumptions</w:t>
        </w:r>
        <w:r w:rsidR="00B64774">
          <w:rPr>
            <w:webHidden/>
          </w:rPr>
          <w:tab/>
        </w:r>
        <w:r w:rsidR="00B64774">
          <w:rPr>
            <w:webHidden/>
          </w:rPr>
          <w:fldChar w:fldCharType="begin"/>
        </w:r>
        <w:r w:rsidR="00B64774">
          <w:rPr>
            <w:webHidden/>
          </w:rPr>
          <w:instrText xml:space="preserve"> PAGEREF _Toc520721031 \h </w:instrText>
        </w:r>
        <w:r w:rsidR="00B64774">
          <w:rPr>
            <w:webHidden/>
          </w:rPr>
        </w:r>
        <w:r w:rsidR="00B64774">
          <w:rPr>
            <w:webHidden/>
          </w:rPr>
          <w:fldChar w:fldCharType="separate"/>
        </w:r>
        <w:r w:rsidR="00872A95">
          <w:rPr>
            <w:webHidden/>
          </w:rPr>
          <w:t>43</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2" w:history="1">
        <w:r w:rsidR="00B64774" w:rsidRPr="00D46015">
          <w:rPr>
            <w:rStyle w:val="Hyperlink"/>
          </w:rPr>
          <w:t>Table 5</w:t>
        </w:r>
        <w:r w:rsidR="00B64774" w:rsidRPr="00D46015">
          <w:rPr>
            <w:rStyle w:val="Hyperlink"/>
          </w:rPr>
          <w:noBreakHyphen/>
          <w:t xml:space="preserve">17 </w:t>
        </w:r>
        <w:r w:rsidR="00B64774">
          <w:rPr>
            <w:rStyle w:val="Hyperlink"/>
          </w:rPr>
          <w:tab/>
        </w:r>
        <w:r w:rsidR="00B64774" w:rsidRPr="00D46015">
          <w:rPr>
            <w:rStyle w:val="Hyperlink"/>
          </w:rPr>
          <w:t>Congestion-Relief Transmission Capacity Assumed for the Scenarios (MW)</w:t>
        </w:r>
        <w:r w:rsidR="00B64774">
          <w:rPr>
            <w:webHidden/>
          </w:rPr>
          <w:tab/>
        </w:r>
        <w:r w:rsidR="00B64774">
          <w:rPr>
            <w:webHidden/>
          </w:rPr>
          <w:fldChar w:fldCharType="begin"/>
        </w:r>
        <w:r w:rsidR="00B64774">
          <w:rPr>
            <w:webHidden/>
          </w:rPr>
          <w:instrText xml:space="preserve"> PAGEREF _Toc520721032 \h </w:instrText>
        </w:r>
        <w:r w:rsidR="00B64774">
          <w:rPr>
            <w:webHidden/>
          </w:rPr>
        </w:r>
        <w:r w:rsidR="00B64774">
          <w:rPr>
            <w:webHidden/>
          </w:rPr>
          <w:fldChar w:fldCharType="separate"/>
        </w:r>
        <w:r w:rsidR="00872A95">
          <w:rPr>
            <w:webHidden/>
          </w:rPr>
          <w:t>44</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3" w:history="1">
        <w:r w:rsidR="00B64774" w:rsidRPr="00D46015">
          <w:rPr>
            <w:rStyle w:val="Hyperlink"/>
          </w:rPr>
          <w:t>Table 5</w:t>
        </w:r>
        <w:r w:rsidR="00B64774" w:rsidRPr="00D46015">
          <w:rPr>
            <w:rStyle w:val="Hyperlink"/>
          </w:rPr>
          <w:noBreakHyphen/>
          <w:t xml:space="preserve">18 </w:t>
        </w:r>
        <w:r w:rsidR="00B64774">
          <w:rPr>
            <w:rStyle w:val="Hyperlink"/>
          </w:rPr>
          <w:tab/>
        </w:r>
        <w:r w:rsidR="00B64774" w:rsidRPr="00D46015">
          <w:rPr>
            <w:rStyle w:val="Hyperlink"/>
          </w:rPr>
          <w:t>Detailed Congestion-Relief System Components and Their Assumed Costs</w:t>
        </w:r>
        <w:r w:rsidR="00B64774">
          <w:rPr>
            <w:rStyle w:val="Hyperlink"/>
          </w:rPr>
          <w:br/>
        </w:r>
        <w:r w:rsidR="00B64774" w:rsidRPr="00D46015">
          <w:rPr>
            <w:rStyle w:val="Hyperlink"/>
          </w:rPr>
          <w:t xml:space="preserve">for the Renew Plus, Onshore Less EE/PV, and </w:t>
        </w:r>
        <w:r w:rsidR="00AF6389">
          <w:rPr>
            <w:rStyle w:val="Hyperlink"/>
          </w:rPr>
          <w:t>Wind Less Nuclear</w:t>
        </w:r>
        <w:r w:rsidR="00B64774" w:rsidRPr="00D46015">
          <w:rPr>
            <w:rStyle w:val="Hyperlink"/>
          </w:rPr>
          <w:t xml:space="preserve"> Scenarios</w:t>
        </w:r>
        <w:r w:rsidR="00B64774">
          <w:rPr>
            <w:webHidden/>
          </w:rPr>
          <w:tab/>
        </w:r>
        <w:r w:rsidR="00B64774">
          <w:rPr>
            <w:webHidden/>
          </w:rPr>
          <w:fldChar w:fldCharType="begin"/>
        </w:r>
        <w:r w:rsidR="00B64774">
          <w:rPr>
            <w:webHidden/>
          </w:rPr>
          <w:instrText xml:space="preserve"> PAGEREF _Toc520721033 \h </w:instrText>
        </w:r>
        <w:r w:rsidR="00B64774">
          <w:rPr>
            <w:webHidden/>
          </w:rPr>
        </w:r>
        <w:r w:rsidR="00B64774">
          <w:rPr>
            <w:webHidden/>
          </w:rPr>
          <w:fldChar w:fldCharType="separate"/>
        </w:r>
        <w:r w:rsidR="00872A95">
          <w:rPr>
            <w:webHidden/>
          </w:rPr>
          <w:t>46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4" w:history="1">
        <w:r w:rsidR="00B64774" w:rsidRPr="00D46015">
          <w:rPr>
            <w:rStyle w:val="Hyperlink"/>
          </w:rPr>
          <w:t>Table 5</w:t>
        </w:r>
        <w:r w:rsidR="00B64774" w:rsidRPr="00D46015">
          <w:rPr>
            <w:rStyle w:val="Hyperlink"/>
          </w:rPr>
          <w:noBreakHyphen/>
          <w:t xml:space="preserve">19 </w:t>
        </w:r>
        <w:r w:rsidR="00B64774">
          <w:rPr>
            <w:rStyle w:val="Hyperlink"/>
          </w:rPr>
          <w:tab/>
        </w:r>
        <w:r w:rsidR="00B64774" w:rsidRPr="00D46015">
          <w:rPr>
            <w:rStyle w:val="Hyperlink"/>
          </w:rPr>
          <w:t>Summary of High-Order-of-Magnitude Costs to Integrate Renewable Resources</w:t>
        </w:r>
        <w:r w:rsidR="00B64774">
          <w:rPr>
            <w:rStyle w:val="Hyperlink"/>
          </w:rPr>
          <w:br/>
        </w:r>
        <w:r w:rsidR="00B64774" w:rsidRPr="00D46015">
          <w:rPr>
            <w:rStyle w:val="Hyperlink"/>
          </w:rPr>
          <w:t>under All Scenarios</w:t>
        </w:r>
        <w:r w:rsidR="00B64774">
          <w:rPr>
            <w:webHidden/>
          </w:rPr>
          <w:tab/>
        </w:r>
        <w:r w:rsidR="00B64774">
          <w:rPr>
            <w:webHidden/>
          </w:rPr>
          <w:fldChar w:fldCharType="begin"/>
        </w:r>
        <w:r w:rsidR="00B64774">
          <w:rPr>
            <w:webHidden/>
          </w:rPr>
          <w:instrText xml:space="preserve"> PAGEREF _Toc520721034 \h </w:instrText>
        </w:r>
        <w:r w:rsidR="00B64774">
          <w:rPr>
            <w:webHidden/>
          </w:rPr>
        </w:r>
        <w:r w:rsidR="00B64774">
          <w:rPr>
            <w:webHidden/>
          </w:rPr>
          <w:fldChar w:fldCharType="separate"/>
        </w:r>
        <w:r w:rsidR="00872A95">
          <w:rPr>
            <w:webHidden/>
          </w:rPr>
          <w:t>47</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5" w:history="1">
        <w:r w:rsidR="00B64774" w:rsidRPr="00D46015">
          <w:rPr>
            <w:rStyle w:val="Hyperlink"/>
          </w:rPr>
          <w:t>Table 5</w:t>
        </w:r>
        <w:r w:rsidR="00B64774" w:rsidRPr="00D46015">
          <w:rPr>
            <w:rStyle w:val="Hyperlink"/>
          </w:rPr>
          <w:noBreakHyphen/>
          <w:t xml:space="preserve">20 </w:t>
        </w:r>
        <w:r w:rsidR="00B64774">
          <w:rPr>
            <w:rStyle w:val="Hyperlink"/>
          </w:rPr>
          <w:tab/>
        </w:r>
        <w:r w:rsidR="00B64774" w:rsidRPr="00D46015">
          <w:rPr>
            <w:rStyle w:val="Hyperlink"/>
          </w:rPr>
          <w:t>Assumptions for Interconnecting Offshore Wind Resources</w:t>
        </w:r>
        <w:r w:rsidR="00B64774">
          <w:rPr>
            <w:webHidden/>
          </w:rPr>
          <w:tab/>
        </w:r>
        <w:r w:rsidR="00B64774">
          <w:rPr>
            <w:webHidden/>
          </w:rPr>
          <w:fldChar w:fldCharType="begin"/>
        </w:r>
        <w:r w:rsidR="00B64774">
          <w:rPr>
            <w:webHidden/>
          </w:rPr>
          <w:instrText xml:space="preserve"> PAGEREF _Toc520721035 \h </w:instrText>
        </w:r>
        <w:r w:rsidR="00B64774">
          <w:rPr>
            <w:webHidden/>
          </w:rPr>
        </w:r>
        <w:r w:rsidR="00B64774">
          <w:rPr>
            <w:webHidden/>
          </w:rPr>
          <w:fldChar w:fldCharType="separate"/>
        </w:r>
        <w:r w:rsidR="00872A95">
          <w:rPr>
            <w:webHidden/>
          </w:rPr>
          <w:t>48</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6" w:history="1">
        <w:r w:rsidR="00B64774" w:rsidRPr="00D46015">
          <w:rPr>
            <w:rStyle w:val="Hyperlink"/>
          </w:rPr>
          <w:t>Table 6</w:t>
        </w:r>
        <w:r w:rsidR="00B64774" w:rsidRPr="00D46015">
          <w:rPr>
            <w:rStyle w:val="Hyperlink"/>
          </w:rPr>
          <w:noBreakHyphen/>
          <w:t xml:space="preserve">1 </w:t>
        </w:r>
        <w:r w:rsidR="00B64774">
          <w:rPr>
            <w:rStyle w:val="Hyperlink"/>
          </w:rPr>
          <w:tab/>
        </w:r>
        <w:r w:rsidR="00B64774" w:rsidRPr="00D46015">
          <w:rPr>
            <w:rStyle w:val="Hyperlink"/>
          </w:rPr>
          <w:t>Total Systemwide Production by Fuel Type for Each Scenario, 2030 (TWh)</w:t>
        </w:r>
        <w:r w:rsidR="00B64774">
          <w:rPr>
            <w:webHidden/>
          </w:rPr>
          <w:tab/>
        </w:r>
        <w:r w:rsidR="00B64774">
          <w:rPr>
            <w:webHidden/>
          </w:rPr>
          <w:fldChar w:fldCharType="begin"/>
        </w:r>
        <w:r w:rsidR="00B64774">
          <w:rPr>
            <w:webHidden/>
          </w:rPr>
          <w:instrText xml:space="preserve"> PAGEREF _Toc520721036 \h </w:instrText>
        </w:r>
        <w:r w:rsidR="00B64774">
          <w:rPr>
            <w:webHidden/>
          </w:rPr>
        </w:r>
        <w:r w:rsidR="00B64774">
          <w:rPr>
            <w:webHidden/>
          </w:rPr>
          <w:fldChar w:fldCharType="separate"/>
        </w:r>
        <w:r w:rsidR="00872A95">
          <w:rPr>
            <w:webHidden/>
          </w:rPr>
          <w:t>50</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7" w:history="1">
        <w:r w:rsidR="00B64774" w:rsidRPr="00D46015">
          <w:rPr>
            <w:rStyle w:val="Hyperlink"/>
          </w:rPr>
          <w:t>Table 6</w:t>
        </w:r>
        <w:r w:rsidR="00B64774" w:rsidRPr="00D46015">
          <w:rPr>
            <w:rStyle w:val="Hyperlink"/>
          </w:rPr>
          <w:noBreakHyphen/>
          <w:t xml:space="preserve">2 </w:t>
        </w:r>
        <w:r w:rsidR="00B64774">
          <w:rPr>
            <w:rStyle w:val="Hyperlink"/>
          </w:rPr>
          <w:tab/>
        </w:r>
        <w:r w:rsidR="00B64774" w:rsidRPr="00D46015">
          <w:rPr>
            <w:rStyle w:val="Hyperlink"/>
          </w:rPr>
          <w:t>Production Costs, 2030 ($ Millions)</w:t>
        </w:r>
        <w:r w:rsidR="00B64774">
          <w:rPr>
            <w:webHidden/>
          </w:rPr>
          <w:tab/>
        </w:r>
        <w:r w:rsidR="00B64774">
          <w:rPr>
            <w:webHidden/>
          </w:rPr>
          <w:fldChar w:fldCharType="begin"/>
        </w:r>
        <w:r w:rsidR="00B64774">
          <w:rPr>
            <w:webHidden/>
          </w:rPr>
          <w:instrText xml:space="preserve"> PAGEREF _Toc520721037 \h </w:instrText>
        </w:r>
        <w:r w:rsidR="00B64774">
          <w:rPr>
            <w:webHidden/>
          </w:rPr>
        </w:r>
        <w:r w:rsidR="00B64774">
          <w:rPr>
            <w:webHidden/>
          </w:rPr>
          <w:fldChar w:fldCharType="separate"/>
        </w:r>
        <w:r w:rsidR="00872A95">
          <w:rPr>
            <w:webHidden/>
          </w:rPr>
          <w:t>51</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8" w:history="1">
        <w:r w:rsidR="00B64774" w:rsidRPr="00D46015">
          <w:rPr>
            <w:rStyle w:val="Hyperlink"/>
          </w:rPr>
          <w:t>Table 6</w:t>
        </w:r>
        <w:r w:rsidR="00B64774" w:rsidRPr="00D46015">
          <w:rPr>
            <w:rStyle w:val="Hyperlink"/>
          </w:rPr>
          <w:noBreakHyphen/>
          <w:t xml:space="preserve">3 </w:t>
        </w:r>
        <w:r w:rsidR="00B64774">
          <w:rPr>
            <w:rStyle w:val="Hyperlink"/>
          </w:rPr>
          <w:tab/>
        </w:r>
        <w:r w:rsidR="00B64774" w:rsidRPr="00D46015">
          <w:rPr>
            <w:rStyle w:val="Hyperlink"/>
          </w:rPr>
          <w:t>Production Costs Compared with the Renew Plus Scenario, 2030 ($ Millions)</w:t>
        </w:r>
        <w:r w:rsidR="00B64774">
          <w:rPr>
            <w:webHidden/>
          </w:rPr>
          <w:tab/>
        </w:r>
        <w:r w:rsidR="00B64774">
          <w:rPr>
            <w:webHidden/>
          </w:rPr>
          <w:fldChar w:fldCharType="begin"/>
        </w:r>
        <w:r w:rsidR="00B64774">
          <w:rPr>
            <w:webHidden/>
          </w:rPr>
          <w:instrText xml:space="preserve"> PAGEREF _Toc520721038 \h </w:instrText>
        </w:r>
        <w:r w:rsidR="00B64774">
          <w:rPr>
            <w:webHidden/>
          </w:rPr>
        </w:r>
        <w:r w:rsidR="00B64774">
          <w:rPr>
            <w:webHidden/>
          </w:rPr>
          <w:fldChar w:fldCharType="separate"/>
        </w:r>
        <w:r w:rsidR="00872A95">
          <w:rPr>
            <w:webHidden/>
          </w:rPr>
          <w:t>52</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39" w:history="1">
        <w:r w:rsidR="00B64774" w:rsidRPr="00D46015">
          <w:rPr>
            <w:rStyle w:val="Hyperlink"/>
          </w:rPr>
          <w:t>Table 6</w:t>
        </w:r>
        <w:r w:rsidR="00B64774" w:rsidRPr="00D46015">
          <w:rPr>
            <w:rStyle w:val="Hyperlink"/>
          </w:rPr>
          <w:noBreakHyphen/>
          <w:t xml:space="preserve">4 </w:t>
        </w:r>
        <w:r w:rsidR="00B64774">
          <w:rPr>
            <w:rStyle w:val="Hyperlink"/>
          </w:rPr>
          <w:tab/>
        </w:r>
        <w:r w:rsidR="00B64774" w:rsidRPr="00D46015">
          <w:rPr>
            <w:rStyle w:val="Hyperlink"/>
          </w:rPr>
          <w:t>LMPs in Selected Subareas, 2030 ($/MWh)</w:t>
        </w:r>
        <w:r w:rsidR="00B64774">
          <w:rPr>
            <w:webHidden/>
          </w:rPr>
          <w:tab/>
        </w:r>
        <w:r w:rsidR="00B64774">
          <w:rPr>
            <w:webHidden/>
          </w:rPr>
          <w:fldChar w:fldCharType="begin"/>
        </w:r>
        <w:r w:rsidR="00B64774">
          <w:rPr>
            <w:webHidden/>
          </w:rPr>
          <w:instrText xml:space="preserve"> PAGEREF _Toc520721039 \h </w:instrText>
        </w:r>
        <w:r w:rsidR="00B64774">
          <w:rPr>
            <w:webHidden/>
          </w:rPr>
        </w:r>
        <w:r w:rsidR="00B64774">
          <w:rPr>
            <w:webHidden/>
          </w:rPr>
          <w:fldChar w:fldCharType="separate"/>
        </w:r>
        <w:r w:rsidR="00872A95">
          <w:rPr>
            <w:webHidden/>
          </w:rPr>
          <w:t>53</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0" w:history="1">
        <w:r w:rsidR="00B64774" w:rsidRPr="00D46015">
          <w:rPr>
            <w:rStyle w:val="Hyperlink"/>
          </w:rPr>
          <w:t>Table 6</w:t>
        </w:r>
        <w:r w:rsidR="00B64774" w:rsidRPr="00D46015">
          <w:rPr>
            <w:rStyle w:val="Hyperlink"/>
          </w:rPr>
          <w:noBreakHyphen/>
          <w:t xml:space="preserve">5 </w:t>
        </w:r>
        <w:r w:rsidR="00B64774">
          <w:rPr>
            <w:rStyle w:val="Hyperlink"/>
          </w:rPr>
          <w:tab/>
        </w:r>
        <w:r w:rsidR="00B64774" w:rsidRPr="00D46015">
          <w:rPr>
            <w:rStyle w:val="Hyperlink"/>
          </w:rPr>
          <w:t>Load-Serving Entity Energy Expense and Uplift Costs, 2030 ($ Millions)</w:t>
        </w:r>
        <w:r w:rsidR="00B64774">
          <w:rPr>
            <w:webHidden/>
          </w:rPr>
          <w:tab/>
        </w:r>
        <w:r w:rsidR="00B64774">
          <w:rPr>
            <w:webHidden/>
          </w:rPr>
          <w:fldChar w:fldCharType="begin"/>
        </w:r>
        <w:r w:rsidR="00B64774">
          <w:rPr>
            <w:webHidden/>
          </w:rPr>
          <w:instrText xml:space="preserve"> PAGEREF _Toc520721040 \h </w:instrText>
        </w:r>
        <w:r w:rsidR="00B64774">
          <w:rPr>
            <w:webHidden/>
          </w:rPr>
        </w:r>
        <w:r w:rsidR="00B64774">
          <w:rPr>
            <w:webHidden/>
          </w:rPr>
          <w:fldChar w:fldCharType="separate"/>
        </w:r>
        <w:r w:rsidR="00872A95">
          <w:rPr>
            <w:webHidden/>
          </w:rPr>
          <w:t>54</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1" w:history="1">
        <w:r w:rsidR="00B64774" w:rsidRPr="00D46015">
          <w:rPr>
            <w:rStyle w:val="Hyperlink"/>
          </w:rPr>
          <w:t>Table 6</w:t>
        </w:r>
        <w:r w:rsidR="00B64774" w:rsidRPr="00D46015">
          <w:rPr>
            <w:rStyle w:val="Hyperlink"/>
          </w:rPr>
          <w:noBreakHyphen/>
          <w:t xml:space="preserve">6 </w:t>
        </w:r>
        <w:r w:rsidR="00B64774">
          <w:rPr>
            <w:rStyle w:val="Hyperlink"/>
          </w:rPr>
          <w:tab/>
        </w:r>
        <w:r w:rsidR="00B64774" w:rsidRPr="00D46015">
          <w:rPr>
            <w:rStyle w:val="Hyperlink"/>
          </w:rPr>
          <w:t>Load-Serving Entity Energy Expense and Uplift Costs, 2030 ($ Millions)</w:t>
        </w:r>
        <w:r w:rsidR="00B64774">
          <w:rPr>
            <w:rStyle w:val="Hyperlink"/>
          </w:rPr>
          <w:br/>
        </w:r>
        <w:r w:rsidR="00B64774" w:rsidRPr="00D46015">
          <w:rPr>
            <w:rStyle w:val="Hyperlink"/>
          </w:rPr>
          <w:t>Compared with the Renew Plus Reference Scenario</w:t>
        </w:r>
        <w:r w:rsidR="00B64774">
          <w:rPr>
            <w:webHidden/>
          </w:rPr>
          <w:tab/>
        </w:r>
        <w:r w:rsidR="00B64774">
          <w:rPr>
            <w:webHidden/>
          </w:rPr>
          <w:fldChar w:fldCharType="begin"/>
        </w:r>
        <w:r w:rsidR="00B64774">
          <w:rPr>
            <w:webHidden/>
          </w:rPr>
          <w:instrText xml:space="preserve"> PAGEREF _Toc520721041 \h </w:instrText>
        </w:r>
        <w:r w:rsidR="00B64774">
          <w:rPr>
            <w:webHidden/>
          </w:rPr>
        </w:r>
        <w:r w:rsidR="00B64774">
          <w:rPr>
            <w:webHidden/>
          </w:rPr>
          <w:fldChar w:fldCharType="separate"/>
        </w:r>
        <w:r w:rsidR="00872A95">
          <w:rPr>
            <w:webHidden/>
          </w:rPr>
          <w:t>55</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2" w:history="1">
        <w:r w:rsidR="00B64774" w:rsidRPr="00D46015">
          <w:rPr>
            <w:rStyle w:val="Hyperlink"/>
          </w:rPr>
          <w:t>Table 6</w:t>
        </w:r>
        <w:r w:rsidR="00B64774" w:rsidRPr="00D46015">
          <w:rPr>
            <w:rStyle w:val="Hyperlink"/>
          </w:rPr>
          <w:noBreakHyphen/>
          <w:t xml:space="preserve">7 </w:t>
        </w:r>
        <w:r w:rsidR="00B64774">
          <w:rPr>
            <w:rStyle w:val="Hyperlink"/>
          </w:rPr>
          <w:tab/>
        </w:r>
        <w:r w:rsidR="00B64774" w:rsidRPr="00D46015">
          <w:rPr>
            <w:rStyle w:val="Hyperlink"/>
          </w:rPr>
          <w:t>GridView Congestion Metric by Interface, 2030 ($ Million)</w:t>
        </w:r>
        <w:r w:rsidR="00B64774">
          <w:rPr>
            <w:webHidden/>
          </w:rPr>
          <w:tab/>
        </w:r>
        <w:r w:rsidR="00B64774">
          <w:rPr>
            <w:webHidden/>
          </w:rPr>
          <w:fldChar w:fldCharType="begin"/>
        </w:r>
        <w:r w:rsidR="00B64774">
          <w:rPr>
            <w:webHidden/>
          </w:rPr>
          <w:instrText xml:space="preserve"> PAGEREF _Toc520721042 \h </w:instrText>
        </w:r>
        <w:r w:rsidR="00B64774">
          <w:rPr>
            <w:webHidden/>
          </w:rPr>
        </w:r>
        <w:r w:rsidR="00B64774">
          <w:rPr>
            <w:webHidden/>
          </w:rPr>
          <w:fldChar w:fldCharType="separate"/>
        </w:r>
        <w:r w:rsidR="00872A95">
          <w:rPr>
            <w:webHidden/>
          </w:rPr>
          <w:t>56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3" w:history="1">
        <w:r w:rsidR="00B64774" w:rsidRPr="00D46015">
          <w:rPr>
            <w:rStyle w:val="Hyperlink"/>
          </w:rPr>
          <w:t>Table 6</w:t>
        </w:r>
        <w:r w:rsidR="00B64774" w:rsidRPr="00D46015">
          <w:rPr>
            <w:rStyle w:val="Hyperlink"/>
          </w:rPr>
          <w:noBreakHyphen/>
          <w:t xml:space="preserve">8 </w:t>
        </w:r>
        <w:r w:rsidR="00B64774">
          <w:rPr>
            <w:rStyle w:val="Hyperlink"/>
          </w:rPr>
          <w:tab/>
        </w:r>
        <w:r w:rsidR="00B64774" w:rsidRPr="00D46015">
          <w:rPr>
            <w:rStyle w:val="Hyperlink"/>
          </w:rPr>
          <w:t>Percentage of Hours Interface Flow Reaches or Exceeds 100% of Rating</w:t>
        </w:r>
        <w:r w:rsidR="00B64774">
          <w:rPr>
            <w:rStyle w:val="Hyperlink"/>
          </w:rPr>
          <w:br/>
        </w:r>
        <w:r w:rsidR="00B64774" w:rsidRPr="00D46015">
          <w:rPr>
            <w:rStyle w:val="Hyperlink"/>
          </w:rPr>
          <w:t>in the Constrained and Unconstrained Cases—All Scenarios, 2030</w:t>
        </w:r>
        <w:r w:rsidR="00B64774">
          <w:rPr>
            <w:webHidden/>
          </w:rPr>
          <w:tab/>
        </w:r>
        <w:r w:rsidR="00B64774">
          <w:rPr>
            <w:webHidden/>
          </w:rPr>
          <w:fldChar w:fldCharType="begin"/>
        </w:r>
        <w:r w:rsidR="00B64774">
          <w:rPr>
            <w:webHidden/>
          </w:rPr>
          <w:instrText xml:space="preserve"> PAGEREF _Toc520721043 \h </w:instrText>
        </w:r>
        <w:r w:rsidR="00B64774">
          <w:rPr>
            <w:webHidden/>
          </w:rPr>
        </w:r>
        <w:r w:rsidR="00B64774">
          <w:rPr>
            <w:webHidden/>
          </w:rPr>
          <w:fldChar w:fldCharType="separate"/>
        </w:r>
        <w:r w:rsidR="00872A95">
          <w:rPr>
            <w:webHidden/>
          </w:rPr>
          <w:t>56</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4" w:history="1">
        <w:r w:rsidR="00B64774" w:rsidRPr="00D46015">
          <w:rPr>
            <w:rStyle w:val="Hyperlink"/>
          </w:rPr>
          <w:t>Table 6</w:t>
        </w:r>
        <w:r w:rsidR="00B64774" w:rsidRPr="00D46015">
          <w:rPr>
            <w:rStyle w:val="Hyperlink"/>
          </w:rPr>
          <w:noBreakHyphen/>
          <w:t xml:space="preserve">9 </w:t>
        </w:r>
        <w:r w:rsidR="00B64774">
          <w:rPr>
            <w:rStyle w:val="Hyperlink"/>
          </w:rPr>
          <w:tab/>
        </w:r>
        <w:r w:rsidR="00B64774" w:rsidRPr="00D46015">
          <w:rPr>
            <w:rStyle w:val="Hyperlink"/>
          </w:rPr>
          <w:t>Interface Flow Statistics</w:t>
        </w:r>
        <w:r w:rsidR="00B64774">
          <w:rPr>
            <w:webHidden/>
          </w:rPr>
          <w:tab/>
        </w:r>
        <w:r w:rsidR="00B64774">
          <w:rPr>
            <w:webHidden/>
          </w:rPr>
          <w:fldChar w:fldCharType="begin"/>
        </w:r>
        <w:r w:rsidR="00B64774">
          <w:rPr>
            <w:webHidden/>
          </w:rPr>
          <w:instrText xml:space="preserve"> PAGEREF _Toc520721044 \h </w:instrText>
        </w:r>
        <w:r w:rsidR="00B64774">
          <w:rPr>
            <w:webHidden/>
          </w:rPr>
        </w:r>
        <w:r w:rsidR="00B64774">
          <w:rPr>
            <w:webHidden/>
          </w:rPr>
          <w:fldChar w:fldCharType="separate"/>
        </w:r>
        <w:r w:rsidR="00872A95">
          <w:rPr>
            <w:webHidden/>
          </w:rPr>
          <w:t>57</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5" w:history="1">
        <w:r w:rsidR="00B64774" w:rsidRPr="00D46015">
          <w:rPr>
            <w:rStyle w:val="Hyperlink"/>
          </w:rPr>
          <w:t>Table 6</w:t>
        </w:r>
        <w:r w:rsidR="00B64774" w:rsidRPr="00D46015">
          <w:rPr>
            <w:rStyle w:val="Hyperlink"/>
          </w:rPr>
          <w:noBreakHyphen/>
          <w:t xml:space="preserve">10 </w:t>
        </w:r>
        <w:r w:rsidR="00B64774">
          <w:rPr>
            <w:rStyle w:val="Hyperlink"/>
          </w:rPr>
          <w:tab/>
        </w:r>
        <w:r w:rsidR="00B64774" w:rsidRPr="00D46015">
          <w:rPr>
            <w:rStyle w:val="Hyperlink"/>
          </w:rPr>
          <w:t>Summary of Total High-Order-of-Magnitude Transmission System Costs ($ Billions)</w:t>
        </w:r>
        <w:r w:rsidR="00B64774">
          <w:rPr>
            <w:webHidden/>
          </w:rPr>
          <w:tab/>
        </w:r>
        <w:r w:rsidR="00B64774">
          <w:rPr>
            <w:webHidden/>
          </w:rPr>
          <w:fldChar w:fldCharType="begin"/>
        </w:r>
        <w:r w:rsidR="00B64774">
          <w:rPr>
            <w:webHidden/>
          </w:rPr>
          <w:instrText xml:space="preserve"> PAGEREF _Toc520721045 \h </w:instrText>
        </w:r>
        <w:r w:rsidR="00B64774">
          <w:rPr>
            <w:webHidden/>
          </w:rPr>
        </w:r>
        <w:r w:rsidR="00B64774">
          <w:rPr>
            <w:webHidden/>
          </w:rPr>
          <w:fldChar w:fldCharType="separate"/>
        </w:r>
        <w:r w:rsidR="00872A95">
          <w:rPr>
            <w:webHidden/>
          </w:rPr>
          <w:t>57</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6" w:history="1">
        <w:r w:rsidR="00B64774" w:rsidRPr="00D46015">
          <w:rPr>
            <w:rStyle w:val="Hyperlink"/>
          </w:rPr>
          <w:t>Table 6</w:t>
        </w:r>
        <w:r w:rsidR="00B64774" w:rsidRPr="00D46015">
          <w:rPr>
            <w:rStyle w:val="Hyperlink"/>
          </w:rPr>
          <w:noBreakHyphen/>
          <w:t xml:space="preserve">11 </w:t>
        </w:r>
        <w:r w:rsidR="00B64774">
          <w:rPr>
            <w:rStyle w:val="Hyperlink"/>
          </w:rPr>
          <w:tab/>
        </w:r>
        <w:r w:rsidR="00B64774" w:rsidRPr="00D46015">
          <w:rPr>
            <w:rStyle w:val="Hyperlink"/>
          </w:rPr>
          <w:t>Relative Annual Resource Costs, 2030 ($ Millions)</w:t>
        </w:r>
        <w:r w:rsidR="00B64774">
          <w:rPr>
            <w:webHidden/>
          </w:rPr>
          <w:tab/>
        </w:r>
        <w:r w:rsidR="00B64774">
          <w:rPr>
            <w:webHidden/>
          </w:rPr>
          <w:fldChar w:fldCharType="begin"/>
        </w:r>
        <w:r w:rsidR="00B64774">
          <w:rPr>
            <w:webHidden/>
          </w:rPr>
          <w:instrText xml:space="preserve"> PAGEREF _Toc520721046 \h </w:instrText>
        </w:r>
        <w:r w:rsidR="00B64774">
          <w:rPr>
            <w:webHidden/>
          </w:rPr>
        </w:r>
        <w:r w:rsidR="00B64774">
          <w:rPr>
            <w:webHidden/>
          </w:rPr>
          <w:fldChar w:fldCharType="separate"/>
        </w:r>
        <w:r w:rsidR="00872A95">
          <w:rPr>
            <w:webHidden/>
          </w:rPr>
          <w:t>61</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7" w:history="1">
        <w:r w:rsidR="00B64774" w:rsidRPr="00D46015">
          <w:rPr>
            <w:rStyle w:val="Hyperlink"/>
          </w:rPr>
          <w:t>Table 6</w:t>
        </w:r>
        <w:r w:rsidR="00B64774" w:rsidRPr="00D46015">
          <w:rPr>
            <w:rStyle w:val="Hyperlink"/>
          </w:rPr>
          <w:noBreakHyphen/>
          <w:t xml:space="preserve">12 </w:t>
        </w:r>
        <w:r w:rsidR="00B64774">
          <w:rPr>
            <w:rStyle w:val="Hyperlink"/>
          </w:rPr>
          <w:tab/>
        </w:r>
        <w:r w:rsidR="00B64774" w:rsidRPr="00D46015">
          <w:rPr>
            <w:rStyle w:val="Hyperlink"/>
          </w:rPr>
          <w:t>Relative Annual Resource Costs, 2030 (¢/kWh)</w:t>
        </w:r>
        <w:r w:rsidR="00B64774">
          <w:rPr>
            <w:webHidden/>
          </w:rPr>
          <w:tab/>
        </w:r>
        <w:r w:rsidR="00B64774">
          <w:rPr>
            <w:webHidden/>
          </w:rPr>
          <w:fldChar w:fldCharType="begin"/>
        </w:r>
        <w:r w:rsidR="00B64774">
          <w:rPr>
            <w:webHidden/>
          </w:rPr>
          <w:instrText xml:space="preserve"> PAGEREF _Toc520721047 \h </w:instrText>
        </w:r>
        <w:r w:rsidR="00B64774">
          <w:rPr>
            <w:webHidden/>
          </w:rPr>
        </w:r>
        <w:r w:rsidR="00B64774">
          <w:rPr>
            <w:webHidden/>
          </w:rPr>
          <w:fldChar w:fldCharType="separate"/>
        </w:r>
        <w:r w:rsidR="00872A95">
          <w:rPr>
            <w:webHidden/>
          </w:rPr>
          <w:t>62</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8" w:history="1">
        <w:r w:rsidR="00B64774" w:rsidRPr="00D46015">
          <w:rPr>
            <w:rStyle w:val="Hyperlink"/>
          </w:rPr>
          <w:t>Table 6</w:t>
        </w:r>
        <w:r w:rsidR="00B64774" w:rsidRPr="00D46015">
          <w:rPr>
            <w:rStyle w:val="Hyperlink"/>
          </w:rPr>
          <w:noBreakHyphen/>
          <w:t xml:space="preserve">13 </w:t>
        </w:r>
        <w:r w:rsidR="00B64774">
          <w:rPr>
            <w:rStyle w:val="Hyperlink"/>
          </w:rPr>
          <w:tab/>
        </w:r>
        <w:r w:rsidR="00B64774" w:rsidRPr="00D46015">
          <w:rPr>
            <w:rStyle w:val="Hyperlink"/>
          </w:rPr>
          <w:t>CO</w:t>
        </w:r>
        <w:r w:rsidR="00B64774" w:rsidRPr="00D46015">
          <w:rPr>
            <w:rStyle w:val="Hyperlink"/>
            <w:vertAlign w:val="subscript"/>
          </w:rPr>
          <w:t>2</w:t>
        </w:r>
        <w:r w:rsidR="00B64774" w:rsidRPr="00D46015">
          <w:rPr>
            <w:rStyle w:val="Hyperlink"/>
          </w:rPr>
          <w:t xml:space="preserve"> Emissions Compared with RGGI Targets, 2030 (Millions of Short Tons and %)</w:t>
        </w:r>
        <w:r w:rsidR="00B64774">
          <w:rPr>
            <w:webHidden/>
          </w:rPr>
          <w:tab/>
        </w:r>
        <w:r w:rsidR="00B64774">
          <w:rPr>
            <w:webHidden/>
          </w:rPr>
          <w:fldChar w:fldCharType="begin"/>
        </w:r>
        <w:r w:rsidR="00B64774">
          <w:rPr>
            <w:webHidden/>
          </w:rPr>
          <w:instrText xml:space="preserve"> PAGEREF _Toc520721048 \h </w:instrText>
        </w:r>
        <w:r w:rsidR="00B64774">
          <w:rPr>
            <w:webHidden/>
          </w:rPr>
        </w:r>
        <w:r w:rsidR="00B64774">
          <w:rPr>
            <w:webHidden/>
          </w:rPr>
          <w:fldChar w:fldCharType="separate"/>
        </w:r>
        <w:r w:rsidR="00872A95">
          <w:rPr>
            <w:webHidden/>
          </w:rPr>
          <w:t>64</w:t>
        </w:r>
        <w:r w:rsidR="00B64774">
          <w:rPr>
            <w:webHidden/>
          </w:rPr>
          <w:fldChar w:fldCharType="end"/>
        </w:r>
      </w:hyperlink>
    </w:p>
    <w:p w:rsidR="00B64774" w:rsidRDefault="00D03A39" w:rsidP="00B64774">
      <w:pPr>
        <w:pStyle w:val="TableofFigures"/>
        <w:rPr>
          <w:rFonts w:asciiTheme="minorHAnsi" w:eastAsiaTheme="minorEastAsia" w:hAnsiTheme="minorHAnsi" w:cstheme="minorBidi"/>
          <w:sz w:val="22"/>
          <w:szCs w:val="22"/>
        </w:rPr>
      </w:pPr>
      <w:hyperlink w:anchor="_Toc520721049" w:history="1">
        <w:r w:rsidR="00B64774" w:rsidRPr="00D46015">
          <w:rPr>
            <w:rStyle w:val="Hyperlink"/>
          </w:rPr>
          <w:t>Table 6</w:t>
        </w:r>
        <w:r w:rsidR="00B64774" w:rsidRPr="00D46015">
          <w:rPr>
            <w:rStyle w:val="Hyperlink"/>
          </w:rPr>
          <w:noBreakHyphen/>
          <w:t xml:space="preserve">14 </w:t>
        </w:r>
        <w:r w:rsidR="00B64774">
          <w:rPr>
            <w:rStyle w:val="Hyperlink"/>
          </w:rPr>
          <w:tab/>
        </w:r>
        <w:r w:rsidR="00B64774" w:rsidRPr="00D46015">
          <w:rPr>
            <w:rStyle w:val="Hyperlink"/>
          </w:rPr>
          <w:t>Total Amount of “Spilled” Energy Produced by Renewable Resources,</w:t>
        </w:r>
        <w:r w:rsidR="00B64774">
          <w:rPr>
            <w:rStyle w:val="Hyperlink"/>
          </w:rPr>
          <w:br/>
        </w:r>
        <w:r w:rsidR="00B64774" w:rsidRPr="00D46015">
          <w:rPr>
            <w:rStyle w:val="Hyperlink"/>
          </w:rPr>
          <w:t>2030 (Unconstrained and Constrained Cases) (GWh, %)</w:t>
        </w:r>
        <w:r w:rsidR="00B64774">
          <w:rPr>
            <w:webHidden/>
          </w:rPr>
          <w:tab/>
        </w:r>
        <w:r w:rsidR="00B64774">
          <w:rPr>
            <w:webHidden/>
          </w:rPr>
          <w:fldChar w:fldCharType="begin"/>
        </w:r>
        <w:r w:rsidR="00B64774">
          <w:rPr>
            <w:webHidden/>
          </w:rPr>
          <w:instrText xml:space="preserve"> PAGEREF _Toc520721049 \h </w:instrText>
        </w:r>
        <w:r w:rsidR="00B64774">
          <w:rPr>
            <w:webHidden/>
          </w:rPr>
        </w:r>
        <w:r w:rsidR="00B64774">
          <w:rPr>
            <w:webHidden/>
          </w:rPr>
          <w:fldChar w:fldCharType="separate"/>
        </w:r>
        <w:r w:rsidR="00872A95">
          <w:rPr>
            <w:webHidden/>
          </w:rPr>
          <w:t>66</w:t>
        </w:r>
        <w:r w:rsidR="00B64774">
          <w:rPr>
            <w:webHidden/>
          </w:rPr>
          <w:fldChar w:fldCharType="end"/>
        </w:r>
      </w:hyperlink>
    </w:p>
    <w:p w:rsidR="00CD7DBD" w:rsidRDefault="00CD7DBD" w:rsidP="000A40A4">
      <w:pPr>
        <w:spacing w:after="120" w:line="240" w:lineRule="auto"/>
        <w:sectPr w:rsidR="00CD7DBD" w:rsidSect="00532809">
          <w:pgSz w:w="12240" w:h="15840" w:code="1"/>
          <w:pgMar w:top="1440" w:right="1440" w:bottom="1440" w:left="1440" w:header="720" w:footer="720" w:gutter="0"/>
          <w:pgNumType w:fmt="lowerRoman"/>
          <w:cols w:space="720"/>
          <w:docGrid w:linePitch="360"/>
        </w:sectPr>
      </w:pPr>
      <w:r w:rsidRPr="0024493D">
        <w:rPr>
          <w:rFonts w:asciiTheme="minorHAnsi" w:hAnsiTheme="minorHAnsi"/>
          <w:szCs w:val="20"/>
        </w:rPr>
        <w:fldChar w:fldCharType="end"/>
      </w:r>
    </w:p>
    <w:p w:rsidR="002E5621" w:rsidRPr="0091124D" w:rsidRDefault="002E5621" w:rsidP="002E5621">
      <w:pPr>
        <w:adjustRightInd/>
        <w:spacing w:line="240" w:lineRule="auto"/>
        <w:textAlignment w:val="auto"/>
        <w:outlineLvl w:val="0"/>
        <w:rPr>
          <w:rFonts w:ascii="Calibri" w:hAnsi="Calibri" w:cs="Arial"/>
          <w:b/>
          <w:bCs/>
          <w:color w:val="0C95D2"/>
          <w:sz w:val="36"/>
          <w:szCs w:val="36"/>
        </w:rPr>
      </w:pPr>
      <w:bookmarkStart w:id="11" w:name="_Toc459884079"/>
      <w:bookmarkStart w:id="12" w:name="_Toc528571173"/>
      <w:r w:rsidRPr="001128A8">
        <w:rPr>
          <w:rFonts w:ascii="Calibri" w:hAnsi="Calibri" w:cs="Arial"/>
          <w:b/>
          <w:bCs/>
          <w:color w:val="0C95D2"/>
          <w:sz w:val="36"/>
          <w:szCs w:val="36"/>
        </w:rPr>
        <w:t>Nomenclature</w:t>
      </w:r>
      <w:bookmarkEnd w:id="11"/>
      <w:bookmarkEnd w:id="12"/>
    </w:p>
    <w:p w:rsidR="00FB189F" w:rsidRPr="00FB189F" w:rsidRDefault="00BE0FE6" w:rsidP="006374B9">
      <w:pPr>
        <w:rPr>
          <w:rFonts w:ascii="Calibri" w:eastAsia="Calibri" w:hAnsi="Calibri"/>
          <w:color w:val="000000"/>
          <w:sz w:val="22"/>
        </w:rPr>
      </w:pPr>
      <w:r w:rsidRPr="00FB189F">
        <w:rPr>
          <w:rFonts w:ascii="Calibri" w:eastAsia="Calibri" w:hAnsi="Calibri"/>
          <w:color w:val="000000"/>
          <w:sz w:val="22"/>
        </w:rPr>
        <w:t xml:space="preserve">Nomenclature used in </w:t>
      </w:r>
      <w:r w:rsidR="00FB189F" w:rsidRPr="00FB189F">
        <w:rPr>
          <w:rFonts w:ascii="Calibri" w:eastAsia="Calibri" w:hAnsi="Calibri"/>
          <w:color w:val="000000"/>
          <w:sz w:val="22"/>
        </w:rPr>
        <w:t>this study</w:t>
      </w:r>
      <w:r w:rsidR="00FB189F">
        <w:rPr>
          <w:rFonts w:ascii="Calibri" w:eastAsia="Calibri" w:hAnsi="Calibri"/>
          <w:color w:val="000000"/>
          <w:sz w:val="22"/>
        </w:rPr>
        <w: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cstheme="minorHAnsi"/>
          <w:szCs w:val="20"/>
        </w:rPr>
        <w:t>¢</w:t>
      </w:r>
      <w:r>
        <w:rPr>
          <w:rFonts w:asciiTheme="minorHAnsi" w:eastAsia="Calibri" w:hAnsiTheme="minorHAnsi"/>
          <w:szCs w:val="20"/>
        </w:rPr>
        <w:t>/kWh</w:t>
      </w:r>
      <w:r>
        <w:rPr>
          <w:rFonts w:asciiTheme="minorHAnsi" w:eastAsia="Calibri" w:hAnsiTheme="minorHAnsi"/>
          <w:szCs w:val="20"/>
        </w:rPr>
        <w:tab/>
      </w:r>
      <w:r>
        <w:rPr>
          <w:rFonts w:asciiTheme="minorHAnsi" w:eastAsia="Calibri" w:hAnsiTheme="minorHAnsi"/>
          <w:szCs w:val="20"/>
        </w:rPr>
        <w:tab/>
        <w:t>cents per kilowatt-hour</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$/kW-yr</w:t>
      </w:r>
      <w:r>
        <w:rPr>
          <w:rFonts w:asciiTheme="minorHAnsi" w:eastAsia="Calibri" w:hAnsiTheme="minorHAnsi"/>
          <w:szCs w:val="20"/>
        </w:rPr>
        <w:tab/>
      </w:r>
      <w:r>
        <w:rPr>
          <w:rFonts w:asciiTheme="minorHAnsi" w:eastAsia="Calibri" w:hAnsiTheme="minorHAnsi"/>
          <w:szCs w:val="20"/>
        </w:rPr>
        <w:tab/>
        <w:t>dollars per kilowatt-year</w:t>
      </w:r>
    </w:p>
    <w:p w:rsidR="001128A8" w:rsidRDefault="001128A8"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$B</w:t>
      </w:r>
      <w:r>
        <w:rPr>
          <w:rFonts w:asciiTheme="minorHAnsi" w:eastAsia="Calibri" w:hAnsiTheme="minorHAnsi"/>
          <w:szCs w:val="20"/>
        </w:rPr>
        <w:tab/>
      </w:r>
      <w:r>
        <w:rPr>
          <w:rFonts w:asciiTheme="minorHAnsi" w:eastAsia="Calibri" w:hAnsiTheme="minorHAnsi"/>
          <w:szCs w:val="20"/>
        </w:rPr>
        <w:tab/>
        <w:t>billion dollars</w:t>
      </w:r>
    </w:p>
    <w:p w:rsidR="001128A8" w:rsidRDefault="001128A8"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$/MMBtu</w:t>
      </w:r>
      <w:r>
        <w:rPr>
          <w:rFonts w:asciiTheme="minorHAnsi" w:eastAsia="Calibri" w:hAnsiTheme="minorHAnsi"/>
          <w:szCs w:val="20"/>
        </w:rPr>
        <w:tab/>
        <w:t>dollars per million British thermal units</w:t>
      </w:r>
    </w:p>
    <w:p w:rsidR="001128A8" w:rsidRDefault="001128A8"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$/MWh</w:t>
      </w:r>
      <w:r>
        <w:rPr>
          <w:rFonts w:asciiTheme="minorHAnsi" w:eastAsia="Calibri" w:hAnsiTheme="minorHAnsi"/>
          <w:szCs w:val="20"/>
        </w:rPr>
        <w:tab/>
      </w:r>
      <w:r>
        <w:rPr>
          <w:rFonts w:asciiTheme="minorHAnsi" w:eastAsia="Calibri" w:hAnsiTheme="minorHAnsi"/>
          <w:szCs w:val="20"/>
        </w:rPr>
        <w:tab/>
        <w:t>dollars per megawatt-hours</w:t>
      </w:r>
    </w:p>
    <w:p w:rsidR="001128A8" w:rsidRDefault="001128A8"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$M/year</w:t>
      </w:r>
      <w:r>
        <w:rPr>
          <w:rFonts w:asciiTheme="minorHAnsi" w:eastAsia="Calibri" w:hAnsiTheme="minorHAnsi"/>
          <w:szCs w:val="20"/>
        </w:rPr>
        <w:tab/>
      </w:r>
      <w:r>
        <w:rPr>
          <w:rFonts w:asciiTheme="minorHAnsi" w:eastAsia="Calibri" w:hAnsiTheme="minorHAnsi"/>
          <w:szCs w:val="20"/>
        </w:rPr>
        <w:tab/>
        <w:t>million dollars per year</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w:t>
      </w:r>
      <w:r w:rsidRPr="002C7A07">
        <w:rPr>
          <w:rFonts w:asciiTheme="minorHAnsi" w:eastAsia="Calibri" w:hAnsiTheme="minorHAnsi"/>
          <w:szCs w:val="20"/>
        </w:rPr>
        <w:tab/>
      </w:r>
      <w:r w:rsidRPr="002C7A07">
        <w:rPr>
          <w:rFonts w:asciiTheme="minorHAnsi" w:eastAsia="Calibri" w:hAnsiTheme="minorHAnsi"/>
          <w:szCs w:val="20"/>
        </w:rPr>
        <w:tab/>
        <w:t>alternating current</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ACC</w:t>
      </w:r>
      <w:r w:rsidRPr="002C7A07">
        <w:rPr>
          <w:rFonts w:asciiTheme="minorHAnsi" w:eastAsia="Calibri" w:hAnsiTheme="minorHAnsi"/>
          <w:szCs w:val="20"/>
        </w:rPr>
        <w:tab/>
      </w:r>
      <w:r w:rsidRPr="002C7A07">
        <w:rPr>
          <w:rFonts w:asciiTheme="minorHAnsi" w:eastAsia="Calibri" w:hAnsiTheme="minorHAnsi"/>
          <w:szCs w:val="20"/>
        </w:rPr>
        <w:tab/>
        <w:t>annual carrying charge</w:t>
      </w:r>
    </w:p>
    <w:p w:rsidR="008D46D4" w:rsidRPr="002C7A07" w:rsidRDefault="008D46D4" w:rsidP="008D46D4">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ADR</w:t>
      </w:r>
      <w:r w:rsidRPr="002C7A07">
        <w:rPr>
          <w:rFonts w:asciiTheme="minorHAnsi" w:eastAsia="Calibri" w:hAnsiTheme="minorHAnsi"/>
          <w:szCs w:val="20"/>
        </w:rPr>
        <w:tab/>
      </w:r>
      <w:r w:rsidRPr="002C7A07">
        <w:rPr>
          <w:rFonts w:asciiTheme="minorHAnsi" w:eastAsia="Calibri" w:hAnsiTheme="minorHAnsi"/>
          <w:szCs w:val="20"/>
        </w:rPr>
        <w:tab/>
        <w:t>active demand resource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AEO</w:t>
      </w:r>
      <w:r w:rsidRPr="002C7A07">
        <w:rPr>
          <w:rFonts w:asciiTheme="minorHAnsi" w:eastAsia="Calibri" w:hAnsiTheme="minorHAnsi"/>
          <w:szCs w:val="20"/>
        </w:rPr>
        <w:tab/>
      </w:r>
      <w:r w:rsidRPr="002C7A07">
        <w:rPr>
          <w:rFonts w:asciiTheme="minorHAnsi" w:eastAsia="Calibri" w:hAnsiTheme="minorHAnsi"/>
          <w:szCs w:val="20"/>
        </w:rPr>
        <w:tab/>
        <w:t>Annual Energy Outlook (US Energy Information Administration)</w:t>
      </w:r>
    </w:p>
    <w:p w:rsidR="006374B9" w:rsidRDefault="008D46D4"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AFUDC</w:t>
      </w:r>
      <w:r>
        <w:rPr>
          <w:rFonts w:asciiTheme="minorHAnsi" w:eastAsia="Calibri" w:hAnsiTheme="minorHAnsi"/>
          <w:szCs w:val="20"/>
        </w:rPr>
        <w:tab/>
      </w:r>
      <w:r>
        <w:rPr>
          <w:rFonts w:asciiTheme="minorHAnsi" w:eastAsia="Calibri" w:hAnsiTheme="minorHAnsi"/>
          <w:szCs w:val="20"/>
        </w:rPr>
        <w:tab/>
        <w:t>allowance for funds used during construction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w:t>
      </w:r>
      <w:r w:rsidRPr="002C7A07">
        <w:rPr>
          <w:rFonts w:asciiTheme="minorHAnsi" w:eastAsia="Calibri" w:hAnsiTheme="minorHAnsi"/>
          <w:szCs w:val="20"/>
        </w:rPr>
        <w:tab/>
      </w:r>
      <w:r w:rsidRPr="002C7A07">
        <w:rPr>
          <w:rFonts w:asciiTheme="minorHAnsi" w:eastAsia="Calibri" w:hAnsiTheme="minorHAnsi"/>
          <w:szCs w:val="20"/>
        </w:rPr>
        <w:tab/>
        <w:t>billion (dollars)</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BHE</w:t>
      </w:r>
      <w:r w:rsidRPr="002C7A07">
        <w:rPr>
          <w:rFonts w:asciiTheme="minorHAnsi" w:eastAsia="Calibri" w:hAnsiTheme="minorHAnsi"/>
          <w:szCs w:val="20"/>
        </w:rPr>
        <w:tab/>
      </w:r>
      <w:r w:rsidRPr="002C7A07">
        <w:rPr>
          <w:rFonts w:asciiTheme="minorHAnsi" w:eastAsia="Calibri" w:hAnsiTheme="minorHAnsi"/>
          <w:szCs w:val="20"/>
        </w:rPr>
        <w:tab/>
      </w:r>
      <w:r w:rsidR="00772410" w:rsidRPr="002C7A07">
        <w:rPr>
          <w:rFonts w:asciiTheme="minorHAnsi" w:eastAsia="Calibri" w:hAnsiTheme="minorHAnsi"/>
          <w:szCs w:val="20"/>
        </w:rPr>
        <w:t>RSP subarea/area—</w:t>
      </w:r>
      <w:r w:rsidRPr="002C7A07">
        <w:rPr>
          <w:rFonts w:asciiTheme="minorHAnsi" w:hAnsiTheme="minorHAnsi"/>
          <w:szCs w:val="20"/>
        </w:rPr>
        <w:t>northeastern Maine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BOSTON </w:t>
      </w:r>
      <w:r w:rsidR="00772410" w:rsidRPr="002C7A07">
        <w:rPr>
          <w:rFonts w:asciiTheme="minorHAnsi" w:eastAsia="Calibri" w:hAnsiTheme="minorHAnsi"/>
          <w:szCs w:val="20"/>
        </w:rPr>
        <w:tab/>
      </w:r>
      <w:r w:rsidRPr="002C7A07">
        <w:rPr>
          <w:rFonts w:asciiTheme="minorHAnsi" w:eastAsia="Calibri" w:hAnsiTheme="minorHAnsi"/>
          <w:szCs w:val="20"/>
        </w:rPr>
        <w:t>(all caps) RSP subarea covering Greater Boston, including the North Shore</w:t>
      </w:r>
    </w:p>
    <w:p w:rsidR="00D63F0F"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BTM</w:t>
      </w:r>
      <w:r w:rsidRPr="002C7A07">
        <w:rPr>
          <w:rFonts w:asciiTheme="minorHAnsi" w:eastAsia="Calibri" w:hAnsiTheme="minorHAnsi"/>
          <w:szCs w:val="20"/>
        </w:rPr>
        <w:tab/>
      </w:r>
      <w:r w:rsidRPr="002C7A07">
        <w:rPr>
          <w:rFonts w:asciiTheme="minorHAnsi" w:eastAsia="Calibri" w:hAnsiTheme="minorHAnsi"/>
          <w:szCs w:val="20"/>
        </w:rPr>
        <w:tab/>
        <w:t>behind the meter</w:t>
      </w:r>
    </w:p>
    <w:p w:rsidR="001128A8" w:rsidRPr="002C7A07" w:rsidRDefault="001128A8"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BTU</w:t>
      </w:r>
      <w:r>
        <w:rPr>
          <w:rFonts w:asciiTheme="minorHAnsi" w:eastAsia="Calibri" w:hAnsiTheme="minorHAnsi"/>
          <w:szCs w:val="20"/>
        </w:rPr>
        <w:tab/>
      </w:r>
      <w:r>
        <w:rPr>
          <w:rFonts w:asciiTheme="minorHAnsi" w:eastAsia="Calibri" w:hAnsiTheme="minorHAnsi"/>
          <w:szCs w:val="20"/>
        </w:rPr>
        <w:tab/>
        <w:t>British thermal unit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CARIS</w:t>
      </w:r>
      <w:r>
        <w:rPr>
          <w:rFonts w:asciiTheme="minorHAnsi" w:eastAsia="Calibri" w:hAnsiTheme="minorHAnsi"/>
          <w:szCs w:val="20"/>
        </w:rPr>
        <w:tab/>
      </w:r>
      <w:r>
        <w:rPr>
          <w:rFonts w:asciiTheme="minorHAnsi" w:eastAsia="Calibri" w:hAnsiTheme="minorHAnsi"/>
          <w:szCs w:val="20"/>
        </w:rPr>
        <w:tab/>
      </w:r>
      <w:r w:rsidRPr="007B6299">
        <w:rPr>
          <w:rFonts w:asciiTheme="minorHAnsi" w:eastAsia="Calibri" w:hAnsiTheme="minorHAnsi"/>
          <w:i/>
          <w:szCs w:val="20"/>
        </w:rPr>
        <w:t>Congestion Assessment and Resource Integration Study</w:t>
      </w:r>
    </w:p>
    <w:p w:rsidR="008D46D4"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CASPR</w:t>
      </w:r>
      <w:r>
        <w:rPr>
          <w:rFonts w:asciiTheme="minorHAnsi" w:eastAsia="Calibri" w:hAnsiTheme="minorHAnsi"/>
          <w:szCs w:val="20"/>
        </w:rPr>
        <w:tab/>
      </w:r>
      <w:r>
        <w:rPr>
          <w:rFonts w:asciiTheme="minorHAnsi" w:eastAsia="Calibri" w:hAnsiTheme="minorHAnsi"/>
          <w:szCs w:val="20"/>
        </w:rPr>
        <w:tab/>
        <w:t>competitive auction with s</w:t>
      </w:r>
      <w:r w:rsidR="00324D11">
        <w:rPr>
          <w:rFonts w:asciiTheme="minorHAnsi" w:eastAsia="Calibri" w:hAnsiTheme="minorHAnsi"/>
          <w:szCs w:val="20"/>
        </w:rPr>
        <w:t>ponsored</w:t>
      </w:r>
      <w:r>
        <w:rPr>
          <w:rFonts w:asciiTheme="minorHAnsi" w:eastAsia="Calibri" w:hAnsiTheme="minorHAnsi"/>
          <w:szCs w:val="20"/>
        </w:rPr>
        <w:t xml:space="preserve"> policy resources</w:t>
      </w:r>
    </w:p>
    <w:p w:rsidR="008D46D4" w:rsidRDefault="008D46D4"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CC</w:t>
      </w:r>
      <w:r>
        <w:rPr>
          <w:rFonts w:asciiTheme="minorHAnsi" w:eastAsia="Calibri" w:hAnsiTheme="minorHAnsi"/>
          <w:szCs w:val="20"/>
        </w:rPr>
        <w:tab/>
      </w:r>
      <w:r>
        <w:rPr>
          <w:rFonts w:asciiTheme="minorHAnsi" w:eastAsia="Calibri" w:hAnsiTheme="minorHAnsi"/>
          <w:szCs w:val="20"/>
        </w:rPr>
        <w:tab/>
        <w:t>combined cycle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CELT</w:t>
      </w:r>
      <w:r w:rsidRPr="002C7A07">
        <w:rPr>
          <w:rFonts w:asciiTheme="minorHAnsi" w:eastAsia="Calibri" w:hAnsiTheme="minorHAnsi"/>
          <w:szCs w:val="20"/>
        </w:rPr>
        <w:tab/>
      </w:r>
      <w:r w:rsidRPr="002C7A07">
        <w:rPr>
          <w:rFonts w:asciiTheme="minorHAnsi" w:eastAsia="Calibri" w:hAnsiTheme="minorHAnsi"/>
          <w:szCs w:val="20"/>
        </w:rPr>
        <w:tab/>
        <w:t>Forecast Report of Capacity, Energy, Load, and Transmission (ISO New England)</w:t>
      </w:r>
    </w:p>
    <w:p w:rsidR="000517FA" w:rsidRDefault="000517FA"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CLF</w:t>
      </w:r>
      <w:r>
        <w:rPr>
          <w:rFonts w:asciiTheme="minorHAnsi" w:eastAsia="Calibri" w:hAnsiTheme="minorHAnsi"/>
          <w:szCs w:val="20"/>
        </w:rPr>
        <w:tab/>
      </w:r>
      <w:r>
        <w:rPr>
          <w:rFonts w:asciiTheme="minorHAnsi" w:eastAsia="Calibri" w:hAnsiTheme="minorHAnsi"/>
          <w:szCs w:val="20"/>
        </w:rPr>
        <w:tab/>
        <w:t>Conservation Law Foundation</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CMA</w:t>
      </w:r>
      <w:r>
        <w:rPr>
          <w:rFonts w:asciiTheme="minorHAnsi" w:eastAsia="Calibri" w:hAnsiTheme="minorHAnsi"/>
          <w:szCs w:val="20"/>
        </w:rPr>
        <w:tab/>
      </w:r>
      <w:r>
        <w:rPr>
          <w:rFonts w:asciiTheme="minorHAnsi" w:eastAsia="Calibri" w:hAnsiTheme="minorHAnsi"/>
          <w:szCs w:val="20"/>
        </w:rPr>
        <w:tab/>
        <w:t>Central Massachusetts area</w:t>
      </w:r>
      <w:r>
        <w:rPr>
          <w:rFonts w:asciiTheme="minorHAnsi" w:eastAsia="Calibri" w:hAnsiTheme="minorHAnsi"/>
          <w:szCs w:val="20"/>
        </w:rPr>
        <w:tab/>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carbon dioxide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CSC</w:t>
      </w:r>
      <w:r w:rsidRPr="002C7A07">
        <w:rPr>
          <w:rFonts w:asciiTheme="minorHAnsi" w:eastAsia="Calibri" w:hAnsiTheme="minorHAnsi"/>
          <w:szCs w:val="20"/>
        </w:rPr>
        <w:tab/>
      </w:r>
      <w:r w:rsidRPr="002C7A07">
        <w:rPr>
          <w:rFonts w:asciiTheme="minorHAnsi" w:eastAsia="Calibri" w:hAnsiTheme="minorHAnsi"/>
          <w:szCs w:val="20"/>
        </w:rPr>
        <w:tab/>
        <w:t xml:space="preserve">Cross-Sound Cable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CSO</w:t>
      </w:r>
      <w:r w:rsidRPr="002C7A07">
        <w:rPr>
          <w:rFonts w:asciiTheme="minorHAnsi" w:eastAsia="Calibri" w:hAnsiTheme="minorHAnsi"/>
          <w:szCs w:val="20"/>
        </w:rPr>
        <w:tab/>
      </w:r>
      <w:r w:rsidRPr="002C7A07">
        <w:rPr>
          <w:rFonts w:asciiTheme="minorHAnsi" w:eastAsia="Calibri" w:hAnsiTheme="minorHAnsi"/>
          <w:szCs w:val="20"/>
        </w:rPr>
        <w:tab/>
        <w:t>Capacity Supply Obligation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CT</w:t>
      </w:r>
      <w:r w:rsidRPr="002C7A07">
        <w:rPr>
          <w:rFonts w:asciiTheme="minorHAnsi" w:eastAsia="Calibri" w:hAnsiTheme="minorHAnsi"/>
          <w:szCs w:val="20"/>
        </w:rPr>
        <w:tab/>
      </w:r>
      <w:r w:rsidRPr="002C7A07">
        <w:rPr>
          <w:rFonts w:asciiTheme="minorHAnsi" w:eastAsia="Calibri" w:hAnsiTheme="minorHAnsi"/>
          <w:szCs w:val="20"/>
        </w:rPr>
        <w:tab/>
        <w:t>RSP area—northern and eastern Connecticut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DC</w:t>
      </w:r>
      <w:r w:rsidRPr="002C7A07">
        <w:rPr>
          <w:rFonts w:asciiTheme="minorHAnsi" w:eastAsia="Calibri" w:hAnsiTheme="minorHAnsi"/>
          <w:szCs w:val="20"/>
        </w:rPr>
        <w:tab/>
      </w:r>
      <w:r w:rsidRPr="002C7A07">
        <w:rPr>
          <w:rFonts w:asciiTheme="minorHAnsi" w:eastAsia="Calibri" w:hAnsiTheme="minorHAnsi"/>
          <w:szCs w:val="20"/>
        </w:rPr>
        <w:tab/>
        <w:t>direct current</w:t>
      </w:r>
    </w:p>
    <w:p w:rsidR="000517FA" w:rsidRDefault="000517FA"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DERTF</w:t>
      </w:r>
      <w:r>
        <w:rPr>
          <w:rFonts w:asciiTheme="minorHAnsi" w:eastAsia="Calibri" w:hAnsiTheme="minorHAnsi"/>
          <w:szCs w:val="20"/>
        </w:rPr>
        <w:tab/>
      </w:r>
      <w:r>
        <w:rPr>
          <w:rFonts w:asciiTheme="minorHAnsi" w:eastAsia="Calibri" w:hAnsiTheme="minorHAnsi"/>
          <w:szCs w:val="20"/>
        </w:rPr>
        <w:tab/>
      </w:r>
      <w:r w:rsidRPr="000517FA">
        <w:rPr>
          <w:rFonts w:asciiTheme="minorHAnsi" w:eastAsia="Calibri" w:hAnsiTheme="minorHAnsi"/>
          <w:szCs w:val="20"/>
        </w:rPr>
        <w:t>Distributed Energy Resources Task Force</w:t>
      </w:r>
      <w:r>
        <w:rPr>
          <w:rFonts w:asciiTheme="minorHAnsi" w:eastAsia="Calibri" w:hAnsiTheme="minorHAnsi"/>
          <w:szCs w:val="20"/>
        </w:rPr>
        <w:t xml:space="preserve"> (NERC)</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DOE</w:t>
      </w:r>
      <w:r w:rsidRPr="002C7A07">
        <w:rPr>
          <w:rFonts w:asciiTheme="minorHAnsi" w:eastAsia="Calibri" w:hAnsiTheme="minorHAnsi"/>
          <w:szCs w:val="20"/>
        </w:rPr>
        <w:tab/>
      </w:r>
      <w:r w:rsidRPr="002C7A07">
        <w:rPr>
          <w:rFonts w:asciiTheme="minorHAnsi" w:eastAsia="Calibri" w:hAnsiTheme="minorHAnsi"/>
          <w:szCs w:val="20"/>
        </w:rPr>
        <w:tab/>
        <w:t>Department of Energy (US)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EE</w:t>
      </w:r>
      <w:r w:rsidRPr="002C7A07">
        <w:rPr>
          <w:rFonts w:asciiTheme="minorHAnsi" w:eastAsia="Calibri" w:hAnsiTheme="minorHAnsi"/>
          <w:szCs w:val="20"/>
        </w:rPr>
        <w:tab/>
      </w:r>
      <w:r w:rsidRPr="002C7A07">
        <w:rPr>
          <w:rFonts w:asciiTheme="minorHAnsi" w:eastAsia="Calibri" w:hAnsiTheme="minorHAnsi"/>
          <w:szCs w:val="20"/>
        </w:rPr>
        <w:tab/>
        <w:t>energy efficiency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EIA </w:t>
      </w:r>
      <w:r w:rsidRPr="002C7A07">
        <w:rPr>
          <w:rFonts w:asciiTheme="minorHAnsi" w:eastAsia="Calibri" w:hAnsiTheme="minorHAnsi"/>
          <w:szCs w:val="20"/>
        </w:rPr>
        <w:tab/>
      </w:r>
      <w:r w:rsidRPr="002C7A07">
        <w:rPr>
          <w:rFonts w:asciiTheme="minorHAnsi" w:eastAsia="Calibri" w:hAnsiTheme="minorHAnsi"/>
          <w:szCs w:val="20"/>
        </w:rPr>
        <w:tab/>
        <w:t>Energy Information Administration</w:t>
      </w:r>
      <w:r w:rsidR="00CE5B45">
        <w:rPr>
          <w:rFonts w:asciiTheme="minorHAnsi" w:eastAsia="Calibri" w:hAnsiTheme="minorHAnsi"/>
          <w:szCs w:val="20"/>
        </w:rPr>
        <w:t xml:space="preserve"> (US DOE)</w:t>
      </w:r>
    </w:p>
    <w:p w:rsidR="000517FA" w:rsidRDefault="000517FA"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ERSWG</w:t>
      </w:r>
      <w:r>
        <w:rPr>
          <w:rFonts w:asciiTheme="minorHAnsi" w:eastAsia="Calibri" w:hAnsiTheme="minorHAnsi"/>
          <w:szCs w:val="20"/>
        </w:rPr>
        <w:tab/>
      </w:r>
      <w:r>
        <w:rPr>
          <w:rFonts w:asciiTheme="minorHAnsi" w:eastAsia="Calibri" w:hAnsiTheme="minorHAnsi"/>
          <w:szCs w:val="20"/>
        </w:rPr>
        <w:tab/>
        <w:t>Essential Reliability Services Working Group (NERC)</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ES</w:t>
      </w:r>
      <w:r w:rsidRPr="002C7A07">
        <w:rPr>
          <w:rFonts w:asciiTheme="minorHAnsi" w:eastAsia="Calibri" w:hAnsiTheme="minorHAnsi"/>
          <w:szCs w:val="20"/>
        </w:rPr>
        <w:tab/>
      </w:r>
      <w:r w:rsidRPr="002C7A07">
        <w:rPr>
          <w:rFonts w:asciiTheme="minorHAnsi" w:eastAsia="Calibri" w:hAnsiTheme="minorHAnsi"/>
          <w:szCs w:val="20"/>
        </w:rPr>
        <w:tab/>
        <w:t>energy storage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FACTS</w:t>
      </w:r>
      <w:r w:rsidRPr="002C7A07">
        <w:rPr>
          <w:rFonts w:asciiTheme="minorHAnsi" w:eastAsia="Calibri" w:hAnsiTheme="minorHAnsi"/>
          <w:szCs w:val="20"/>
        </w:rPr>
        <w:tab/>
      </w:r>
      <w:r w:rsidRPr="002C7A07">
        <w:rPr>
          <w:rFonts w:asciiTheme="minorHAnsi" w:eastAsia="Calibri" w:hAnsiTheme="minorHAnsi"/>
          <w:szCs w:val="20"/>
        </w:rPr>
        <w:tab/>
        <w:t>Flexible Alternating-Current Transmission System</w:t>
      </w:r>
    </w:p>
    <w:p w:rsidR="00BE0FE6"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FCA</w:t>
      </w:r>
      <w:r w:rsidRPr="002C7A07">
        <w:rPr>
          <w:rFonts w:asciiTheme="minorHAnsi" w:eastAsia="Calibri" w:hAnsiTheme="minorHAnsi"/>
          <w:szCs w:val="20"/>
        </w:rPr>
        <w:tab/>
      </w:r>
      <w:r w:rsidRPr="002C7A07">
        <w:rPr>
          <w:rFonts w:asciiTheme="minorHAnsi" w:eastAsia="Calibri" w:hAnsiTheme="minorHAnsi"/>
          <w:szCs w:val="20"/>
        </w:rPr>
        <w:tab/>
        <w:t>Forward Capacity Auction</w:t>
      </w:r>
    </w:p>
    <w:p w:rsidR="00F63A90" w:rsidRPr="002C7A07" w:rsidRDefault="00F63A90"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FCM</w:t>
      </w:r>
      <w:r>
        <w:rPr>
          <w:rFonts w:asciiTheme="minorHAnsi" w:eastAsia="Calibri" w:hAnsiTheme="minorHAnsi"/>
          <w:szCs w:val="20"/>
        </w:rPr>
        <w:tab/>
      </w:r>
      <w:r>
        <w:rPr>
          <w:rFonts w:asciiTheme="minorHAnsi" w:eastAsia="Calibri" w:hAnsiTheme="minorHAnsi"/>
          <w:szCs w:val="20"/>
        </w:rPr>
        <w:tab/>
        <w:t>Forward Capacity Market</w:t>
      </w:r>
    </w:p>
    <w:p w:rsidR="00725964" w:rsidRPr="002C7A07" w:rsidRDefault="00725964"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GT</w:t>
      </w:r>
      <w:r w:rsidRPr="002C7A07">
        <w:rPr>
          <w:rFonts w:asciiTheme="minorHAnsi" w:eastAsia="Calibri" w:hAnsiTheme="minorHAnsi"/>
          <w:szCs w:val="20"/>
        </w:rPr>
        <w:tab/>
      </w:r>
      <w:r w:rsidRPr="002C7A07">
        <w:rPr>
          <w:rFonts w:asciiTheme="minorHAnsi" w:eastAsia="Calibri" w:hAnsiTheme="minorHAnsi"/>
          <w:szCs w:val="20"/>
        </w:rPr>
        <w:tab/>
        <w:t>gas turbine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GWh</w:t>
      </w:r>
      <w:r w:rsidRPr="002C7A07">
        <w:rPr>
          <w:rFonts w:asciiTheme="minorHAnsi" w:eastAsia="Calibri" w:hAnsiTheme="minorHAnsi"/>
          <w:szCs w:val="20"/>
        </w:rPr>
        <w:tab/>
      </w:r>
      <w:r w:rsidRPr="002C7A07">
        <w:rPr>
          <w:rFonts w:asciiTheme="minorHAnsi" w:eastAsia="Calibri" w:hAnsiTheme="minorHAnsi"/>
          <w:szCs w:val="20"/>
        </w:rPr>
        <w:tab/>
        <w:t xml:space="preserve">gigawatt-hours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HG</w:t>
      </w:r>
      <w:r w:rsidRPr="002C7A07">
        <w:rPr>
          <w:rFonts w:asciiTheme="minorHAnsi" w:eastAsia="Calibri" w:hAnsiTheme="minorHAnsi"/>
          <w:szCs w:val="20"/>
        </w:rPr>
        <w:tab/>
      </w:r>
      <w:r w:rsidRPr="002C7A07">
        <w:rPr>
          <w:rFonts w:asciiTheme="minorHAnsi" w:eastAsia="Calibri" w:hAnsiTheme="minorHAnsi"/>
          <w:szCs w:val="20"/>
        </w:rPr>
        <w:tab/>
        <w:t>Highgate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HQ PII</w:t>
      </w:r>
      <w:r w:rsidRPr="002C7A07">
        <w:rPr>
          <w:rFonts w:asciiTheme="minorHAnsi" w:eastAsia="Calibri" w:hAnsiTheme="minorHAnsi"/>
          <w:szCs w:val="20"/>
        </w:rPr>
        <w:tab/>
      </w:r>
      <w:r w:rsidRPr="002C7A07">
        <w:rPr>
          <w:rFonts w:asciiTheme="minorHAnsi" w:eastAsia="Calibri" w:hAnsiTheme="minorHAnsi"/>
          <w:szCs w:val="20"/>
        </w:rPr>
        <w:tab/>
        <w:t>Hydro-Québec Phase II</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HVDC</w:t>
      </w:r>
      <w:r w:rsidRPr="002C7A07">
        <w:rPr>
          <w:rFonts w:asciiTheme="minorHAnsi" w:eastAsia="Calibri" w:hAnsiTheme="minorHAnsi"/>
          <w:szCs w:val="20"/>
        </w:rPr>
        <w:tab/>
      </w:r>
      <w:r w:rsidRPr="002C7A07">
        <w:rPr>
          <w:rFonts w:asciiTheme="minorHAnsi" w:eastAsia="Calibri" w:hAnsiTheme="minorHAnsi"/>
          <w:szCs w:val="20"/>
        </w:rPr>
        <w:tab/>
        <w:t>high-voltage direct current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hydro</w:t>
      </w:r>
      <w:r>
        <w:rPr>
          <w:rFonts w:asciiTheme="minorHAnsi" w:eastAsia="Calibri" w:hAnsiTheme="minorHAnsi"/>
          <w:szCs w:val="20"/>
        </w:rPr>
        <w:tab/>
      </w:r>
      <w:r>
        <w:rPr>
          <w:rFonts w:asciiTheme="minorHAnsi" w:eastAsia="Calibri" w:hAnsiTheme="minorHAnsi"/>
          <w:szCs w:val="20"/>
        </w:rPr>
        <w:tab/>
        <w:t>hydroelectric</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IC</w:t>
      </w:r>
      <w:r>
        <w:rPr>
          <w:rFonts w:asciiTheme="minorHAnsi" w:eastAsia="Calibri" w:hAnsiTheme="minorHAnsi"/>
          <w:szCs w:val="20"/>
        </w:rPr>
        <w:tab/>
      </w:r>
      <w:r>
        <w:rPr>
          <w:rFonts w:asciiTheme="minorHAnsi" w:eastAsia="Calibri" w:hAnsiTheme="minorHAnsi"/>
          <w:szCs w:val="20"/>
        </w:rPr>
        <w:tab/>
        <w:t>internal combustion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IMAPP</w:t>
      </w:r>
      <w:r w:rsidRPr="002C7A07">
        <w:rPr>
          <w:rFonts w:asciiTheme="minorHAnsi" w:eastAsia="Calibri" w:hAnsiTheme="minorHAnsi"/>
          <w:szCs w:val="20"/>
        </w:rPr>
        <w:tab/>
      </w:r>
      <w:r w:rsidRPr="002C7A07">
        <w:rPr>
          <w:rFonts w:asciiTheme="minorHAnsi" w:eastAsia="Calibri" w:hAnsiTheme="minorHAnsi"/>
          <w:szCs w:val="20"/>
        </w:rPr>
        <w:tab/>
        <w:t>Integrating Markets and Public Policy, ISO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ISO</w:t>
      </w:r>
      <w:r w:rsidRPr="002C7A07">
        <w:rPr>
          <w:rFonts w:asciiTheme="minorHAnsi" w:eastAsia="Calibri" w:hAnsiTheme="minorHAnsi"/>
          <w:szCs w:val="20"/>
        </w:rPr>
        <w:tab/>
      </w:r>
      <w:r w:rsidRPr="002C7A07">
        <w:rPr>
          <w:rFonts w:asciiTheme="minorHAnsi" w:eastAsia="Calibri" w:hAnsiTheme="minorHAnsi"/>
          <w:szCs w:val="20"/>
        </w:rPr>
        <w:tab/>
        <w:t>ISO New England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kton</w:t>
      </w:r>
      <w:r w:rsidRPr="002C7A07">
        <w:rPr>
          <w:rFonts w:asciiTheme="minorHAnsi" w:eastAsia="Calibri" w:hAnsiTheme="minorHAnsi"/>
          <w:szCs w:val="20"/>
        </w:rPr>
        <w:tab/>
      </w:r>
      <w:r w:rsidRPr="002C7A07">
        <w:rPr>
          <w:rFonts w:asciiTheme="minorHAnsi" w:eastAsia="Calibri" w:hAnsiTheme="minorHAnsi"/>
          <w:szCs w:val="20"/>
        </w:rPr>
        <w:tab/>
        <w:t>kiloton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kV</w:t>
      </w:r>
      <w:r w:rsidRPr="002C7A07">
        <w:rPr>
          <w:rFonts w:asciiTheme="minorHAnsi" w:eastAsia="Calibri" w:hAnsiTheme="minorHAnsi"/>
          <w:szCs w:val="20"/>
        </w:rPr>
        <w:tab/>
      </w:r>
      <w:r w:rsidRPr="002C7A07">
        <w:rPr>
          <w:rFonts w:asciiTheme="minorHAnsi" w:eastAsia="Calibri" w:hAnsiTheme="minorHAnsi"/>
          <w:szCs w:val="20"/>
        </w:rPr>
        <w:tab/>
        <w:t>kilovolt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kW</w:t>
      </w:r>
      <w:r w:rsidRPr="002C7A07">
        <w:rPr>
          <w:rFonts w:asciiTheme="minorHAnsi" w:eastAsia="Calibri" w:hAnsiTheme="minorHAnsi"/>
          <w:szCs w:val="20"/>
        </w:rPr>
        <w:tab/>
      </w:r>
      <w:r w:rsidRPr="002C7A07">
        <w:rPr>
          <w:rFonts w:asciiTheme="minorHAnsi" w:eastAsia="Calibri" w:hAnsiTheme="minorHAnsi"/>
          <w:szCs w:val="20"/>
        </w:rPr>
        <w:tab/>
        <w:t>kilowatt</w:t>
      </w:r>
    </w:p>
    <w:p w:rsidR="00D63F0F"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kWh</w:t>
      </w:r>
      <w:r w:rsidRPr="002C7A07">
        <w:rPr>
          <w:rFonts w:asciiTheme="minorHAnsi" w:eastAsia="Calibri" w:hAnsiTheme="minorHAnsi"/>
          <w:szCs w:val="20"/>
        </w:rPr>
        <w:tab/>
      </w:r>
      <w:r w:rsidRPr="002C7A07">
        <w:rPr>
          <w:rFonts w:asciiTheme="minorHAnsi" w:eastAsia="Calibri" w:hAnsiTheme="minorHAnsi"/>
          <w:szCs w:val="20"/>
        </w:rPr>
        <w:tab/>
        <w:t>kilowatt-hour</w:t>
      </w:r>
    </w:p>
    <w:p w:rsidR="00DA1D56" w:rsidRPr="002C7A07"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kW-yr</w:t>
      </w:r>
      <w:r>
        <w:rPr>
          <w:rFonts w:asciiTheme="minorHAnsi" w:eastAsia="Calibri" w:hAnsiTheme="minorHAnsi"/>
          <w:szCs w:val="20"/>
        </w:rPr>
        <w:tab/>
      </w:r>
      <w:r>
        <w:rPr>
          <w:rFonts w:asciiTheme="minorHAnsi" w:eastAsia="Calibri" w:hAnsiTheme="minorHAnsi"/>
          <w:szCs w:val="20"/>
        </w:rPr>
        <w:tab/>
        <w:t>kilowatt-year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LMP</w:t>
      </w:r>
      <w:r w:rsidRPr="002C7A07">
        <w:rPr>
          <w:rFonts w:asciiTheme="minorHAnsi" w:eastAsia="Calibri" w:hAnsiTheme="minorHAnsi"/>
          <w:szCs w:val="20"/>
        </w:rPr>
        <w:tab/>
      </w:r>
      <w:r w:rsidRPr="002C7A07">
        <w:rPr>
          <w:rFonts w:asciiTheme="minorHAnsi" w:eastAsia="Calibri" w:hAnsiTheme="minorHAnsi"/>
          <w:szCs w:val="20"/>
        </w:rPr>
        <w:tab/>
        <w:t xml:space="preserve">locational marginal price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LSE </w:t>
      </w:r>
      <w:r w:rsidRPr="002C7A07">
        <w:rPr>
          <w:rFonts w:asciiTheme="minorHAnsi" w:eastAsia="Calibri" w:hAnsiTheme="minorHAnsi"/>
          <w:szCs w:val="20"/>
        </w:rPr>
        <w:tab/>
      </w:r>
      <w:r w:rsidRPr="002C7A07">
        <w:rPr>
          <w:rFonts w:asciiTheme="minorHAnsi" w:eastAsia="Calibri" w:hAnsiTheme="minorHAnsi"/>
          <w:szCs w:val="20"/>
        </w:rPr>
        <w:tab/>
        <w:t>load-serving entity</w:t>
      </w:r>
    </w:p>
    <w:p w:rsidR="00D63F0F" w:rsidRPr="002C7A07" w:rsidRDefault="00D63F0F" w:rsidP="002C7A07">
      <w:pPr>
        <w:adjustRightInd/>
        <w:spacing w:after="40" w:line="240" w:lineRule="auto"/>
        <w:ind w:left="1440" w:hanging="1440"/>
        <w:textAlignment w:val="auto"/>
        <w:rPr>
          <w:rFonts w:asciiTheme="minorHAnsi" w:eastAsia="Calibri" w:hAnsiTheme="minorHAnsi"/>
          <w:szCs w:val="20"/>
        </w:rPr>
      </w:pPr>
      <w:r w:rsidRPr="002C7A07">
        <w:rPr>
          <w:rFonts w:asciiTheme="minorHAnsi" w:eastAsia="Calibri" w:hAnsiTheme="minorHAnsi"/>
          <w:szCs w:val="20"/>
        </w:rPr>
        <w:t>M</w:t>
      </w:r>
      <w:r w:rsidRPr="002C7A07">
        <w:rPr>
          <w:rFonts w:asciiTheme="minorHAnsi" w:eastAsia="Calibri" w:hAnsiTheme="minorHAnsi"/>
          <w:szCs w:val="20"/>
        </w:rPr>
        <w:tab/>
        <w:t>million (dollars)</w:t>
      </w:r>
    </w:p>
    <w:p w:rsidR="00CF10F8" w:rsidRDefault="00CF10F8" w:rsidP="002C7A07">
      <w:pPr>
        <w:adjustRightInd/>
        <w:spacing w:after="40" w:line="240" w:lineRule="auto"/>
        <w:textAlignment w:val="auto"/>
        <w:rPr>
          <w:rFonts w:asciiTheme="minorHAnsi" w:hAnsiTheme="minorHAnsi"/>
          <w:szCs w:val="20"/>
        </w:rPr>
      </w:pPr>
      <w:r w:rsidRPr="002C7A07">
        <w:rPr>
          <w:rFonts w:asciiTheme="minorHAnsi" w:hAnsiTheme="minorHAnsi"/>
          <w:szCs w:val="20"/>
        </w:rPr>
        <w:t>ME</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western and central Maine/Saco Valley, New Hampshire</w:t>
      </w:r>
    </w:p>
    <w:p w:rsidR="001977E0" w:rsidRPr="002C7A07" w:rsidRDefault="001977E0" w:rsidP="001977E0">
      <w:pPr>
        <w:adjustRightInd/>
        <w:spacing w:after="40" w:line="240" w:lineRule="auto"/>
        <w:ind w:left="1440" w:hanging="1440"/>
        <w:textAlignment w:val="auto"/>
        <w:rPr>
          <w:rFonts w:asciiTheme="minorHAnsi" w:eastAsia="Calibri" w:hAnsiTheme="minorHAnsi"/>
          <w:szCs w:val="20"/>
        </w:rPr>
      </w:pPr>
      <w:r w:rsidRPr="001977E0">
        <w:rPr>
          <w:rFonts w:asciiTheme="minorHAnsi" w:eastAsia="Calibri" w:hAnsiTheme="minorHAnsi"/>
          <w:szCs w:val="20"/>
        </w:rPr>
        <w:t>MMBtu</w:t>
      </w:r>
      <w:r w:rsidRPr="001977E0">
        <w:rPr>
          <w:rFonts w:asciiTheme="minorHAnsi" w:eastAsia="Calibri" w:hAnsiTheme="minorHAnsi"/>
          <w:szCs w:val="20"/>
        </w:rPr>
        <w:tab/>
        <w:t>million British thermal units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w:t>
      </w:r>
      <w:r w:rsidRPr="002C7A07">
        <w:rPr>
          <w:rFonts w:asciiTheme="minorHAnsi" w:eastAsia="Calibri" w:hAnsiTheme="minorHAnsi"/>
          <w:szCs w:val="20"/>
        </w:rPr>
        <w:tab/>
      </w:r>
      <w:r w:rsidRPr="002C7A07">
        <w:rPr>
          <w:rFonts w:asciiTheme="minorHAnsi" w:eastAsia="Calibri" w:hAnsiTheme="minorHAnsi"/>
          <w:szCs w:val="20"/>
        </w:rPr>
        <w:tab/>
        <w:t xml:space="preserve">megawatt(s) </w:t>
      </w:r>
    </w:p>
    <w:p w:rsidR="00D63F0F" w:rsidRPr="002C7A07" w:rsidRDefault="00D63F0F" w:rsidP="002C7A07">
      <w:pPr>
        <w:tabs>
          <w:tab w:val="left" w:pos="1421"/>
        </w:tabs>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MWe</w:t>
      </w:r>
      <w:r w:rsidR="00772410" w:rsidRPr="002C7A07">
        <w:rPr>
          <w:rFonts w:asciiTheme="minorHAnsi" w:eastAsia="Calibri" w:hAnsiTheme="minorHAnsi"/>
          <w:szCs w:val="20"/>
        </w:rPr>
        <w:tab/>
        <w:t>electrical megawatts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MWh</w:t>
      </w:r>
      <w:r w:rsidRPr="002C7A07">
        <w:rPr>
          <w:rFonts w:asciiTheme="minorHAnsi" w:eastAsia="Calibri" w:hAnsiTheme="minorHAnsi"/>
          <w:szCs w:val="20"/>
        </w:rPr>
        <w:tab/>
      </w:r>
      <w:r w:rsidRPr="002C7A07">
        <w:rPr>
          <w:rFonts w:asciiTheme="minorHAnsi" w:eastAsia="Calibri" w:hAnsiTheme="minorHAnsi"/>
          <w:szCs w:val="20"/>
        </w:rPr>
        <w:tab/>
        <w:t>megawatt-hour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N-1</w:t>
      </w:r>
      <w:r w:rsidRPr="002C7A07">
        <w:rPr>
          <w:rFonts w:asciiTheme="minorHAnsi" w:eastAsia="Calibri" w:hAnsiTheme="minorHAnsi"/>
          <w:szCs w:val="20"/>
        </w:rPr>
        <w:tab/>
      </w:r>
      <w:r w:rsidRPr="002C7A07">
        <w:rPr>
          <w:rFonts w:asciiTheme="minorHAnsi" w:eastAsia="Calibri" w:hAnsiTheme="minorHAnsi"/>
          <w:szCs w:val="20"/>
        </w:rPr>
        <w:tab/>
        <w:t>first contingency</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n.d.</w:t>
      </w:r>
      <w:r>
        <w:rPr>
          <w:rFonts w:asciiTheme="minorHAnsi" w:eastAsia="Calibri" w:hAnsiTheme="minorHAnsi"/>
          <w:szCs w:val="20"/>
        </w:rPr>
        <w:tab/>
      </w:r>
      <w:r>
        <w:rPr>
          <w:rFonts w:asciiTheme="minorHAnsi" w:eastAsia="Calibri" w:hAnsiTheme="minorHAnsi"/>
          <w:szCs w:val="20"/>
        </w:rPr>
        <w:tab/>
        <w:t>no date</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NEMA</w:t>
      </w:r>
      <w:r>
        <w:rPr>
          <w:rFonts w:asciiTheme="minorHAnsi" w:eastAsia="Calibri" w:hAnsiTheme="minorHAnsi"/>
          <w:szCs w:val="20"/>
        </w:rPr>
        <w:tab/>
      </w:r>
      <w:r>
        <w:rPr>
          <w:rFonts w:asciiTheme="minorHAnsi" w:eastAsia="Calibri" w:hAnsiTheme="minorHAnsi"/>
          <w:szCs w:val="20"/>
        </w:rPr>
        <w:tab/>
        <w:t>Northeast Massachusetts area</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NEPOOL</w:t>
      </w:r>
      <w:r w:rsidRPr="002C7A07">
        <w:rPr>
          <w:rFonts w:asciiTheme="minorHAnsi" w:eastAsia="Calibri" w:hAnsiTheme="minorHAnsi"/>
          <w:szCs w:val="20"/>
        </w:rPr>
        <w:tab/>
      </w:r>
      <w:r w:rsidR="0091124D">
        <w:rPr>
          <w:rFonts w:asciiTheme="minorHAnsi" w:eastAsia="Calibri" w:hAnsiTheme="minorHAnsi"/>
          <w:szCs w:val="20"/>
        </w:rPr>
        <w:tab/>
      </w:r>
      <w:r w:rsidRPr="002C7A07">
        <w:rPr>
          <w:rFonts w:asciiTheme="minorHAnsi" w:eastAsia="Calibri" w:hAnsiTheme="minorHAnsi"/>
          <w:szCs w:val="20"/>
        </w:rPr>
        <w:t>New England Power Pool</w:t>
      </w:r>
    </w:p>
    <w:p w:rsidR="001128A8" w:rsidRPr="001128A8" w:rsidRDefault="001128A8" w:rsidP="001128A8">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NERC</w:t>
      </w:r>
      <w:r>
        <w:rPr>
          <w:rFonts w:asciiTheme="minorHAnsi" w:eastAsia="Calibri" w:hAnsiTheme="minorHAnsi"/>
          <w:szCs w:val="20"/>
        </w:rPr>
        <w:tab/>
      </w:r>
      <w:r>
        <w:rPr>
          <w:rFonts w:asciiTheme="minorHAnsi" w:eastAsia="Calibri" w:hAnsiTheme="minorHAnsi"/>
          <w:szCs w:val="20"/>
        </w:rPr>
        <w:tab/>
      </w:r>
      <w:r w:rsidRPr="001128A8">
        <w:rPr>
          <w:rFonts w:asciiTheme="minorHAnsi" w:eastAsia="Calibri" w:hAnsiTheme="minorHAnsi"/>
          <w:szCs w:val="20"/>
        </w:rPr>
        <w:t>North American Electric Reliability Corporation</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NG</w:t>
      </w:r>
      <w:r>
        <w:rPr>
          <w:rFonts w:asciiTheme="minorHAnsi" w:eastAsia="Calibri" w:hAnsiTheme="minorHAnsi"/>
          <w:szCs w:val="20"/>
        </w:rPr>
        <w:tab/>
      </w:r>
      <w:r>
        <w:rPr>
          <w:rFonts w:asciiTheme="minorHAnsi" w:eastAsia="Calibri" w:hAnsiTheme="minorHAnsi"/>
          <w:szCs w:val="20"/>
        </w:rPr>
        <w:tab/>
        <w:t>natural gas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NGCC</w:t>
      </w:r>
      <w:r w:rsidRPr="002C7A07">
        <w:rPr>
          <w:rFonts w:asciiTheme="minorHAnsi" w:eastAsia="Calibri" w:hAnsiTheme="minorHAnsi"/>
          <w:szCs w:val="20"/>
        </w:rPr>
        <w:tab/>
      </w:r>
      <w:r w:rsidRPr="002C7A07">
        <w:rPr>
          <w:rFonts w:asciiTheme="minorHAnsi" w:eastAsia="Calibri" w:hAnsiTheme="minorHAnsi"/>
          <w:szCs w:val="20"/>
        </w:rPr>
        <w:tab/>
        <w:t>natural gas combined cycle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NH</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northern, eastern, and central New Hampshire /eastern Vermont and southwestern Maine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NICR</w:t>
      </w:r>
      <w:r w:rsidRPr="002C7A07">
        <w:rPr>
          <w:rFonts w:asciiTheme="minorHAnsi" w:eastAsia="Calibri" w:hAnsiTheme="minorHAnsi"/>
          <w:szCs w:val="20"/>
        </w:rPr>
        <w:tab/>
      </w:r>
      <w:r w:rsidRPr="002C7A07">
        <w:rPr>
          <w:rFonts w:asciiTheme="minorHAnsi" w:eastAsia="Calibri" w:hAnsiTheme="minorHAnsi"/>
          <w:szCs w:val="20"/>
        </w:rPr>
        <w:tab/>
        <w:t>net Installed Capacity Requirement</w:t>
      </w:r>
    </w:p>
    <w:p w:rsidR="007B6299" w:rsidRPr="002C7A07" w:rsidRDefault="007B6299" w:rsidP="007B6299">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NO</w:t>
      </w:r>
      <w:r w:rsidRPr="002C7A07">
        <w:rPr>
          <w:rFonts w:asciiTheme="minorHAnsi" w:eastAsia="Calibri" w:hAnsiTheme="minorHAnsi"/>
          <w:szCs w:val="20"/>
          <w:vertAlign w:val="subscript"/>
        </w:rPr>
        <w:t>X</w:t>
      </w:r>
      <w:r w:rsidRPr="002C7A07">
        <w:rPr>
          <w:rFonts w:asciiTheme="minorHAnsi" w:eastAsia="Calibri" w:hAnsiTheme="minorHAnsi"/>
          <w:szCs w:val="20"/>
        </w:rPr>
        <w:tab/>
      </w:r>
      <w:r w:rsidRPr="002C7A07">
        <w:rPr>
          <w:rFonts w:asciiTheme="minorHAnsi" w:eastAsia="Calibri" w:hAnsiTheme="minorHAnsi"/>
          <w:szCs w:val="20"/>
        </w:rPr>
        <w:tab/>
        <w:t>nitrogen oxide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NREL</w:t>
      </w:r>
      <w:r w:rsidRPr="002C7A07">
        <w:rPr>
          <w:rFonts w:asciiTheme="minorHAnsi" w:eastAsia="Calibri" w:hAnsiTheme="minorHAnsi"/>
          <w:szCs w:val="20"/>
        </w:rPr>
        <w:tab/>
      </w:r>
      <w:r w:rsidRPr="002C7A07">
        <w:rPr>
          <w:rFonts w:asciiTheme="minorHAnsi" w:eastAsia="Calibri" w:hAnsiTheme="minorHAnsi"/>
          <w:szCs w:val="20"/>
        </w:rPr>
        <w:tab/>
        <w:t>National Renewable Energy Laboratory (US D</w:t>
      </w:r>
      <w:r w:rsidR="00CE5B45">
        <w:rPr>
          <w:rFonts w:asciiTheme="minorHAnsi" w:eastAsia="Calibri" w:hAnsiTheme="minorHAnsi"/>
          <w:szCs w:val="20"/>
        </w:rPr>
        <w:t>OE</w:t>
      </w:r>
      <w:r w:rsidRPr="002C7A07">
        <w:rPr>
          <w:rFonts w:asciiTheme="minorHAnsi" w:eastAsia="Calibri" w:hAnsiTheme="minorHAnsi"/>
          <w:szCs w:val="20"/>
        </w:rPr>
        <w:t>)</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w:t>
      </w:r>
      <w:r w:rsidR="000D4B7A">
        <w:rPr>
          <w:rFonts w:asciiTheme="minorHAnsi" w:eastAsia="Calibri" w:hAnsiTheme="minorHAnsi"/>
          <w:szCs w:val="20"/>
        </w:rPr>
        <w:t>uc</w:t>
      </w:r>
      <w:r>
        <w:rPr>
          <w:rFonts w:asciiTheme="minorHAnsi" w:eastAsia="Calibri" w:hAnsiTheme="minorHAnsi"/>
          <w:szCs w:val="20"/>
        </w:rPr>
        <w:tab/>
      </w:r>
      <w:r>
        <w:rPr>
          <w:rFonts w:asciiTheme="minorHAnsi" w:eastAsia="Calibri" w:hAnsiTheme="minorHAnsi"/>
          <w:szCs w:val="20"/>
        </w:rPr>
        <w:tab/>
        <w:t>nuclear</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NY</w:t>
      </w:r>
      <w:r w:rsidR="001128A8">
        <w:rPr>
          <w:rFonts w:asciiTheme="minorHAnsi" w:eastAsia="Calibri" w:hAnsiTheme="minorHAnsi"/>
          <w:szCs w:val="20"/>
        </w:rPr>
        <w:t>ISO</w:t>
      </w:r>
      <w:r>
        <w:rPr>
          <w:rFonts w:asciiTheme="minorHAnsi" w:eastAsia="Calibri" w:hAnsiTheme="minorHAnsi"/>
          <w:szCs w:val="20"/>
        </w:rPr>
        <w:tab/>
      </w:r>
      <w:r>
        <w:rPr>
          <w:rFonts w:asciiTheme="minorHAnsi" w:eastAsia="Calibri" w:hAnsiTheme="minorHAnsi"/>
          <w:szCs w:val="20"/>
        </w:rPr>
        <w:tab/>
        <w:t>New York</w:t>
      </w:r>
      <w:r w:rsidR="001128A8">
        <w:rPr>
          <w:rFonts w:asciiTheme="minorHAnsi" w:eastAsia="Calibri" w:hAnsiTheme="minorHAnsi"/>
          <w:szCs w:val="20"/>
        </w:rPr>
        <w:t xml:space="preserve"> Independent System Operator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OATT</w:t>
      </w:r>
      <w:r w:rsidRPr="002C7A07">
        <w:rPr>
          <w:rFonts w:asciiTheme="minorHAnsi" w:eastAsia="Calibri" w:hAnsiTheme="minorHAnsi"/>
          <w:szCs w:val="20"/>
        </w:rPr>
        <w:tab/>
      </w:r>
      <w:r w:rsidRPr="002C7A07">
        <w:rPr>
          <w:rFonts w:asciiTheme="minorHAnsi" w:eastAsia="Calibri" w:hAnsiTheme="minorHAnsi"/>
          <w:szCs w:val="20"/>
        </w:rPr>
        <w:tab/>
      </w:r>
      <w:r w:rsidRPr="002C7A07">
        <w:rPr>
          <w:rFonts w:asciiTheme="minorHAnsi" w:eastAsia="Calibri" w:hAnsiTheme="minorHAnsi"/>
          <w:i/>
          <w:szCs w:val="20"/>
        </w:rPr>
        <w:t>Open Access Transmission Tariff</w:t>
      </w:r>
      <w:r w:rsidRPr="002C7A07">
        <w:rPr>
          <w:rFonts w:asciiTheme="minorHAnsi" w:eastAsia="Calibri" w:hAnsiTheme="minorHAnsi"/>
          <w:szCs w:val="20"/>
        </w:rPr>
        <w:t xml:space="preserv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PAC </w:t>
      </w:r>
      <w:r w:rsidRPr="002C7A07">
        <w:rPr>
          <w:rFonts w:asciiTheme="minorHAnsi" w:eastAsia="Calibri" w:hAnsiTheme="minorHAnsi"/>
          <w:szCs w:val="20"/>
        </w:rPr>
        <w:tab/>
      </w:r>
      <w:r w:rsidRPr="002C7A07">
        <w:rPr>
          <w:rFonts w:asciiTheme="minorHAnsi" w:eastAsia="Calibri" w:hAnsiTheme="minorHAnsi"/>
          <w:szCs w:val="20"/>
        </w:rPr>
        <w:tab/>
        <w:t xml:space="preserve">Planning Advisory Committee </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PHEV</w:t>
      </w:r>
      <w:r w:rsidRPr="002C7A07">
        <w:rPr>
          <w:rFonts w:asciiTheme="minorHAnsi" w:eastAsia="Calibri" w:hAnsiTheme="minorHAnsi"/>
          <w:szCs w:val="20"/>
        </w:rPr>
        <w:tab/>
      </w:r>
      <w:r w:rsidRPr="002C7A07">
        <w:rPr>
          <w:rFonts w:asciiTheme="minorHAnsi" w:eastAsia="Calibri" w:hAnsiTheme="minorHAnsi"/>
          <w:szCs w:val="20"/>
        </w:rPr>
        <w:tab/>
        <w:t>plug-in hybrid electric vehicle</w:t>
      </w:r>
    </w:p>
    <w:p w:rsidR="00BE0FE6"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POI</w:t>
      </w:r>
      <w:r w:rsidRPr="002C7A07">
        <w:rPr>
          <w:rFonts w:asciiTheme="minorHAnsi" w:eastAsia="Calibri" w:hAnsiTheme="minorHAnsi"/>
          <w:szCs w:val="20"/>
        </w:rPr>
        <w:tab/>
      </w:r>
      <w:r w:rsidRPr="002C7A07">
        <w:rPr>
          <w:rFonts w:asciiTheme="minorHAnsi" w:eastAsia="Calibri" w:hAnsiTheme="minorHAnsi"/>
          <w:szCs w:val="20"/>
        </w:rPr>
        <w:tab/>
        <w:t>point of interconnection</w:t>
      </w:r>
    </w:p>
    <w:p w:rsidR="00410161" w:rsidRPr="002C7A07" w:rsidRDefault="00410161"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PRD</w:t>
      </w:r>
      <w:r>
        <w:rPr>
          <w:rFonts w:asciiTheme="minorHAnsi" w:eastAsia="Calibri" w:hAnsiTheme="minorHAnsi"/>
          <w:szCs w:val="20"/>
        </w:rPr>
        <w:tab/>
      </w:r>
      <w:r>
        <w:rPr>
          <w:rFonts w:asciiTheme="minorHAnsi" w:eastAsia="Calibri" w:hAnsiTheme="minorHAnsi"/>
          <w:szCs w:val="20"/>
        </w:rPr>
        <w:tab/>
        <w:t>price-responsive dem</w:t>
      </w:r>
      <w:r w:rsidR="00474D29">
        <w:rPr>
          <w:rFonts w:asciiTheme="minorHAnsi" w:eastAsia="Calibri" w:hAnsiTheme="minorHAnsi"/>
          <w:szCs w:val="20"/>
        </w:rPr>
        <w:t>a</w:t>
      </w:r>
      <w:r>
        <w:rPr>
          <w:rFonts w:asciiTheme="minorHAnsi" w:eastAsia="Calibri" w:hAnsiTheme="minorHAnsi"/>
          <w:szCs w:val="20"/>
        </w:rPr>
        <w:t>nd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PV</w:t>
      </w:r>
      <w:r w:rsidRPr="002C7A07">
        <w:rPr>
          <w:rFonts w:asciiTheme="minorHAnsi" w:eastAsia="Calibri" w:hAnsiTheme="minorHAnsi"/>
          <w:szCs w:val="20"/>
        </w:rPr>
        <w:tab/>
      </w:r>
      <w:r w:rsidRPr="002C7A07">
        <w:rPr>
          <w:rFonts w:asciiTheme="minorHAnsi" w:eastAsia="Calibri" w:hAnsiTheme="minorHAnsi"/>
          <w:szCs w:val="20"/>
        </w:rPr>
        <w:tab/>
        <w:t>photovoltaic</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RARC</w:t>
      </w:r>
      <w:r w:rsidRPr="002C7A07">
        <w:rPr>
          <w:rFonts w:asciiTheme="minorHAnsi" w:eastAsia="Calibri" w:hAnsiTheme="minorHAnsi"/>
          <w:szCs w:val="20"/>
        </w:rPr>
        <w:tab/>
      </w:r>
      <w:r w:rsidRPr="002C7A07">
        <w:rPr>
          <w:rFonts w:asciiTheme="minorHAnsi" w:eastAsia="Calibri" w:hAnsiTheme="minorHAnsi"/>
          <w:szCs w:val="20"/>
        </w:rPr>
        <w:tab/>
        <w:t>relative annual resource cost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REC</w:t>
      </w:r>
      <w:r w:rsidRPr="002C7A07">
        <w:rPr>
          <w:rFonts w:asciiTheme="minorHAnsi" w:eastAsia="Calibri" w:hAnsiTheme="minorHAnsi"/>
          <w:szCs w:val="20"/>
        </w:rPr>
        <w:tab/>
      </w:r>
      <w:r w:rsidRPr="002C7A07">
        <w:rPr>
          <w:rFonts w:asciiTheme="minorHAnsi" w:eastAsia="Calibri" w:hAnsiTheme="minorHAnsi"/>
          <w:szCs w:val="20"/>
        </w:rPr>
        <w:tab/>
        <w:t>Renewable Energy Credit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RGGI</w:t>
      </w:r>
      <w:r w:rsidRPr="002C7A07">
        <w:rPr>
          <w:rFonts w:asciiTheme="minorHAnsi" w:eastAsia="Calibri" w:hAnsiTheme="minorHAnsi"/>
          <w:szCs w:val="20"/>
        </w:rPr>
        <w:tab/>
      </w:r>
      <w:r w:rsidRPr="002C7A07">
        <w:rPr>
          <w:rFonts w:asciiTheme="minorHAnsi" w:eastAsia="Calibri" w:hAnsiTheme="minorHAnsi"/>
          <w:szCs w:val="20"/>
        </w:rPr>
        <w:tab/>
        <w:t>Regional Greenhouse Gas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RI</w:t>
      </w:r>
      <w:r w:rsidRPr="002C7A07">
        <w:rPr>
          <w:rFonts w:asciiTheme="minorHAnsi" w:eastAsia="Calibri" w:hAnsiTheme="minorHAnsi"/>
          <w:szCs w:val="20"/>
        </w:rPr>
        <w:tab/>
      </w:r>
      <w:r w:rsidRPr="002C7A07">
        <w:rPr>
          <w:rFonts w:asciiTheme="minorHAnsi" w:eastAsia="Calibri" w:hAnsiTheme="minorHAnsi"/>
          <w:szCs w:val="20"/>
        </w:rPr>
        <w:tab/>
        <w:t>RSP area—Rhode Island/bordering MA</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RPS</w:t>
      </w:r>
      <w:r w:rsidRPr="002C7A07">
        <w:rPr>
          <w:rFonts w:asciiTheme="minorHAnsi" w:eastAsia="Calibri" w:hAnsiTheme="minorHAnsi"/>
          <w:szCs w:val="20"/>
        </w:rPr>
        <w:tab/>
      </w:r>
      <w:r w:rsidRPr="002C7A07">
        <w:rPr>
          <w:rFonts w:asciiTheme="minorHAnsi" w:eastAsia="Calibri" w:hAnsiTheme="minorHAnsi"/>
          <w:szCs w:val="20"/>
        </w:rPr>
        <w:tab/>
        <w:t>Renewable Portfolio Standard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RSP</w:t>
      </w:r>
      <w:r w:rsidRPr="002C7A07">
        <w:rPr>
          <w:rFonts w:asciiTheme="minorHAnsi" w:eastAsia="Calibri" w:hAnsiTheme="minorHAnsi"/>
          <w:szCs w:val="20"/>
        </w:rPr>
        <w:tab/>
      </w:r>
      <w:r w:rsidRPr="002C7A07">
        <w:rPr>
          <w:rFonts w:asciiTheme="minorHAnsi" w:eastAsia="Calibri" w:hAnsiTheme="minorHAnsi"/>
          <w:szCs w:val="20"/>
        </w:rPr>
        <w:tab/>
        <w:t xml:space="preserve">Regional System Plan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RTEG</w:t>
      </w:r>
      <w:r w:rsidRPr="002C7A07">
        <w:rPr>
          <w:rFonts w:asciiTheme="minorHAnsi" w:eastAsia="Calibri" w:hAnsiTheme="minorHAnsi"/>
          <w:szCs w:val="20"/>
        </w:rPr>
        <w:tab/>
      </w:r>
      <w:r w:rsidRPr="002C7A07">
        <w:rPr>
          <w:rFonts w:asciiTheme="minorHAnsi" w:eastAsia="Calibri" w:hAnsiTheme="minorHAnsi"/>
          <w:szCs w:val="20"/>
        </w:rPr>
        <w:tab/>
        <w:t xml:space="preserve">real-time emergency generation </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SCC</w:t>
      </w:r>
      <w:r>
        <w:rPr>
          <w:rFonts w:asciiTheme="minorHAnsi" w:eastAsia="Calibri" w:hAnsiTheme="minorHAnsi"/>
          <w:szCs w:val="20"/>
        </w:rPr>
        <w:tab/>
      </w:r>
      <w:r>
        <w:rPr>
          <w:rFonts w:asciiTheme="minorHAnsi" w:eastAsia="Calibri" w:hAnsiTheme="minorHAnsi"/>
          <w:szCs w:val="20"/>
        </w:rPr>
        <w:tab/>
        <w:t>seasonal claimed capability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SEMA</w:t>
      </w:r>
      <w:r w:rsidRPr="002C7A07">
        <w:rPr>
          <w:rFonts w:asciiTheme="minorHAnsi" w:eastAsia="Calibri" w:hAnsiTheme="minorHAnsi"/>
          <w:szCs w:val="20"/>
        </w:rPr>
        <w:tab/>
      </w:r>
      <w:r w:rsidRPr="002C7A07">
        <w:rPr>
          <w:rFonts w:asciiTheme="minorHAnsi" w:eastAsia="Calibri" w:hAnsiTheme="minorHAnsi"/>
          <w:szCs w:val="20"/>
        </w:rPr>
        <w:tab/>
        <w:t>RSP area—Southeastern Massachusetts/Newport, Rhode Island</w:t>
      </w:r>
    </w:p>
    <w:p w:rsidR="00CF10F8" w:rsidRPr="002C7A07" w:rsidRDefault="00BE0FE6" w:rsidP="002C7A07">
      <w:pPr>
        <w:adjustRightInd/>
        <w:spacing w:after="40" w:line="240" w:lineRule="auto"/>
        <w:textAlignment w:val="auto"/>
        <w:rPr>
          <w:rFonts w:asciiTheme="minorHAnsi" w:hAnsiTheme="minorHAnsi"/>
          <w:szCs w:val="20"/>
        </w:rPr>
      </w:pPr>
      <w:r w:rsidRPr="002C7A07">
        <w:rPr>
          <w:rFonts w:asciiTheme="minorHAnsi" w:eastAsia="Calibri" w:hAnsiTheme="minorHAnsi"/>
          <w:szCs w:val="20"/>
        </w:rPr>
        <w:t>SEMA/RI</w:t>
      </w:r>
      <w:r w:rsidRPr="002C7A07">
        <w:rPr>
          <w:rFonts w:asciiTheme="minorHAnsi" w:eastAsia="Calibri" w:hAnsiTheme="minorHAnsi"/>
          <w:szCs w:val="20"/>
        </w:rPr>
        <w:tab/>
      </w:r>
      <w:r w:rsidR="00FB189F" w:rsidRPr="002C7A07">
        <w:rPr>
          <w:rFonts w:asciiTheme="minorHAnsi" w:eastAsia="Calibri" w:hAnsiTheme="minorHAnsi"/>
          <w:szCs w:val="20"/>
        </w:rPr>
        <w:tab/>
      </w:r>
      <w:r w:rsidR="00CF10F8" w:rsidRPr="002C7A07">
        <w:rPr>
          <w:rFonts w:asciiTheme="minorHAnsi" w:hAnsiTheme="minorHAnsi"/>
          <w:szCs w:val="20"/>
        </w:rPr>
        <w:t>southeastern Massachusetts/Newport, Rhode Island, and Rhode Island</w:t>
      </w:r>
      <w:r w:rsidR="00C918E4">
        <w:rPr>
          <w:rFonts w:asciiTheme="minorHAnsi" w:hAnsiTheme="minorHAnsi"/>
          <w:szCs w:val="20"/>
        </w:rPr>
        <w:t xml:space="preserve"> </w:t>
      </w:r>
      <w:r w:rsidR="00CF10F8" w:rsidRPr="002C7A07">
        <w:rPr>
          <w:rFonts w:asciiTheme="minorHAnsi" w:hAnsiTheme="minorHAnsi"/>
          <w:szCs w:val="20"/>
        </w:rPr>
        <w:t>bordering Massachusetts</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SME</w:t>
      </w:r>
      <w:r w:rsidR="00FB189F" w:rsidRPr="002C7A07">
        <w:rPr>
          <w:rFonts w:asciiTheme="minorHAnsi" w:eastAsia="Calibri" w:hAnsiTheme="minorHAnsi"/>
          <w:szCs w:val="20"/>
        </w:rPr>
        <w:tab/>
      </w:r>
      <w:r w:rsidR="00FB189F" w:rsidRPr="002C7A07">
        <w:rPr>
          <w:rFonts w:asciiTheme="minorHAnsi" w:eastAsia="Calibri" w:hAnsiTheme="minorHAnsi"/>
          <w:szCs w:val="20"/>
        </w:rPr>
        <w:tab/>
      </w:r>
      <w:r w:rsidRPr="002C7A07">
        <w:rPr>
          <w:rFonts w:asciiTheme="minorHAnsi" w:eastAsia="Calibri" w:hAnsiTheme="minorHAnsi"/>
          <w:szCs w:val="20"/>
        </w:rPr>
        <w:t>southeastern Maine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sulfur dioxide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SWCT</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southwestern Connecticut</w:t>
      </w:r>
    </w:p>
    <w:p w:rsidR="006374B9" w:rsidRPr="007B6299" w:rsidRDefault="006374B9" w:rsidP="002C7A07">
      <w:pPr>
        <w:adjustRightInd/>
        <w:spacing w:after="40" w:line="240" w:lineRule="auto"/>
        <w:textAlignment w:val="auto"/>
        <w:rPr>
          <w:rFonts w:asciiTheme="minorHAnsi" w:hAnsiTheme="minorHAnsi" w:cstheme="minorHAnsi"/>
        </w:rPr>
      </w:pPr>
      <w:r w:rsidRPr="007B6299">
        <w:rPr>
          <w:rFonts w:asciiTheme="minorHAnsi" w:hAnsiTheme="minorHAnsi" w:cstheme="minorHAnsi"/>
        </w:rPr>
        <w:t>TMNSR</w:t>
      </w:r>
      <w:r w:rsidRPr="007B6299">
        <w:rPr>
          <w:rFonts w:asciiTheme="minorHAnsi" w:hAnsiTheme="minorHAnsi" w:cstheme="minorHAnsi"/>
        </w:rPr>
        <w:tab/>
      </w:r>
      <w:r w:rsidRPr="007B6299">
        <w:rPr>
          <w:rFonts w:asciiTheme="minorHAnsi" w:hAnsiTheme="minorHAnsi" w:cstheme="minorHAnsi"/>
        </w:rPr>
        <w:tab/>
        <w:t>10-minute nonspinning reserve</w:t>
      </w:r>
    </w:p>
    <w:p w:rsidR="007B6299" w:rsidRPr="00694587" w:rsidRDefault="007B6299" w:rsidP="007B6299">
      <w:pPr>
        <w:adjustRightInd/>
        <w:spacing w:after="40" w:line="240" w:lineRule="auto"/>
        <w:textAlignment w:val="auto"/>
        <w:rPr>
          <w:rFonts w:asciiTheme="minorHAnsi" w:hAnsiTheme="minorHAnsi" w:cstheme="minorHAnsi"/>
        </w:rPr>
      </w:pPr>
      <w:r w:rsidRPr="00694587">
        <w:rPr>
          <w:rFonts w:asciiTheme="minorHAnsi" w:hAnsiTheme="minorHAnsi" w:cstheme="minorHAnsi"/>
        </w:rPr>
        <w:t>TMOR</w:t>
      </w:r>
      <w:r w:rsidRPr="00694587">
        <w:rPr>
          <w:rFonts w:asciiTheme="minorHAnsi" w:hAnsiTheme="minorHAnsi" w:cstheme="minorHAnsi"/>
        </w:rPr>
        <w:tab/>
      </w:r>
      <w:r w:rsidRPr="00694587">
        <w:rPr>
          <w:rFonts w:asciiTheme="minorHAnsi" w:hAnsiTheme="minorHAnsi" w:cstheme="minorHAnsi"/>
        </w:rPr>
        <w:tab/>
        <w:t xml:space="preserve">30-minute operating reserve </w:t>
      </w:r>
    </w:p>
    <w:p w:rsidR="006374B9" w:rsidRPr="007B6299" w:rsidRDefault="006374B9" w:rsidP="002C7A07">
      <w:pPr>
        <w:adjustRightInd/>
        <w:spacing w:after="40" w:line="240" w:lineRule="auto"/>
        <w:textAlignment w:val="auto"/>
        <w:rPr>
          <w:rFonts w:asciiTheme="minorHAnsi" w:hAnsiTheme="minorHAnsi" w:cstheme="minorHAnsi"/>
        </w:rPr>
      </w:pPr>
      <w:r w:rsidRPr="007B6299">
        <w:rPr>
          <w:rFonts w:asciiTheme="minorHAnsi" w:hAnsiTheme="minorHAnsi" w:cstheme="minorHAnsi"/>
        </w:rPr>
        <w:t>TMSR</w:t>
      </w:r>
      <w:r w:rsidRPr="007B6299">
        <w:rPr>
          <w:rFonts w:asciiTheme="minorHAnsi" w:hAnsiTheme="minorHAnsi" w:cstheme="minorHAnsi"/>
        </w:rPr>
        <w:tab/>
      </w:r>
      <w:r w:rsidRPr="007B6299">
        <w:rPr>
          <w:rFonts w:asciiTheme="minorHAnsi" w:hAnsiTheme="minorHAnsi" w:cstheme="minorHAnsi"/>
        </w:rPr>
        <w:tab/>
      </w:r>
      <w:r w:rsidR="00DA1D56" w:rsidRPr="007B6299">
        <w:rPr>
          <w:rFonts w:asciiTheme="minorHAnsi" w:hAnsiTheme="minorHAnsi" w:cstheme="minorHAnsi"/>
        </w:rPr>
        <w:t>10-minute spinning reserve</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r w:rsidRPr="007B6299">
        <w:rPr>
          <w:rFonts w:asciiTheme="minorHAnsi" w:eastAsia="Calibri" w:hAnsiTheme="minorHAnsi" w:cstheme="minorHAnsi"/>
          <w:szCs w:val="20"/>
        </w:rPr>
        <w:t>TO</w:t>
      </w:r>
      <w:r w:rsidRPr="007B6299">
        <w:rPr>
          <w:rFonts w:asciiTheme="minorHAnsi" w:eastAsia="Calibri" w:hAnsiTheme="minorHAnsi" w:cstheme="minorHAnsi"/>
          <w:szCs w:val="20"/>
        </w:rPr>
        <w:tab/>
      </w:r>
      <w:r w:rsidRPr="007B6299">
        <w:rPr>
          <w:rFonts w:asciiTheme="minorHAnsi" w:eastAsia="Calibri" w:hAnsiTheme="minorHAnsi" w:cstheme="minorHAnsi"/>
          <w:szCs w:val="20"/>
        </w:rPr>
        <w:tab/>
        <w:t>transmission owner</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r w:rsidRPr="007B6299">
        <w:rPr>
          <w:rFonts w:asciiTheme="minorHAnsi" w:eastAsia="Calibri" w:hAnsiTheme="minorHAnsi" w:cstheme="minorHAnsi"/>
          <w:szCs w:val="20"/>
        </w:rPr>
        <w:t>TWh</w:t>
      </w:r>
      <w:r w:rsidRPr="007B6299">
        <w:rPr>
          <w:rFonts w:asciiTheme="minorHAnsi" w:eastAsia="Calibri" w:hAnsiTheme="minorHAnsi" w:cstheme="minorHAnsi"/>
          <w:szCs w:val="20"/>
        </w:rPr>
        <w:tab/>
      </w:r>
      <w:r w:rsidRPr="007B6299">
        <w:rPr>
          <w:rFonts w:asciiTheme="minorHAnsi" w:eastAsia="Calibri" w:hAnsiTheme="minorHAnsi" w:cstheme="minorHAnsi"/>
          <w:szCs w:val="20"/>
        </w:rPr>
        <w:tab/>
        <w:t xml:space="preserve">terawatt-hours </w:t>
      </w:r>
    </w:p>
    <w:p w:rsidR="00CF10F8" w:rsidRPr="002C7A07" w:rsidRDefault="00CF10F8"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VT</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Vermont/southwestern New Hampshire</w:t>
      </w:r>
    </w:p>
    <w:p w:rsidR="006A107A" w:rsidRPr="002C7A07" w:rsidRDefault="00BE0FE6" w:rsidP="002C7A07">
      <w:pPr>
        <w:adjustRightInd/>
        <w:spacing w:after="40" w:line="240" w:lineRule="auto"/>
        <w:textAlignment w:val="auto"/>
        <w:rPr>
          <w:rFonts w:asciiTheme="minorHAnsi" w:eastAsia="Calibri" w:hAnsiTheme="minorHAnsi"/>
          <w:color w:val="000000"/>
          <w:szCs w:val="20"/>
        </w:rPr>
      </w:pPr>
      <w:r w:rsidRPr="002C7A07">
        <w:rPr>
          <w:rFonts w:asciiTheme="minorHAnsi" w:eastAsia="Calibri" w:hAnsiTheme="minorHAnsi"/>
          <w:szCs w:val="20"/>
        </w:rPr>
        <w:t>WMA</w:t>
      </w:r>
      <w:r w:rsidRPr="002C7A07">
        <w:rPr>
          <w:rFonts w:asciiTheme="minorHAnsi" w:eastAsia="Calibri" w:hAnsiTheme="minorHAnsi"/>
          <w:szCs w:val="20"/>
        </w:rPr>
        <w:tab/>
      </w:r>
      <w:r w:rsidRPr="002C7A07">
        <w:rPr>
          <w:rFonts w:asciiTheme="minorHAnsi" w:eastAsia="Calibri" w:hAnsiTheme="minorHAnsi"/>
          <w:szCs w:val="20"/>
        </w:rPr>
        <w:tab/>
        <w:t>RSP area—Western Massachusetts</w:t>
      </w:r>
    </w:p>
    <w:p w:rsidR="00BE0FE6" w:rsidRPr="00BE0FE6" w:rsidRDefault="00BE0FE6" w:rsidP="00BE0FE6">
      <w:pPr>
        <w:adjustRightInd/>
        <w:spacing w:after="0" w:line="240" w:lineRule="auto"/>
        <w:textAlignment w:val="auto"/>
        <w:rPr>
          <w:rFonts w:ascii="Calibri" w:eastAsia="Calibri" w:hAnsi="Calibri"/>
          <w:sz w:val="22"/>
        </w:rPr>
      </w:pPr>
    </w:p>
    <w:p w:rsidR="00D85494" w:rsidRDefault="00D85494" w:rsidP="00AB4D16">
      <w:pPr>
        <w:ind w:left="630" w:hanging="630"/>
        <w:rPr>
          <w:szCs w:val="20"/>
        </w:rPr>
        <w:sectPr w:rsidR="00D85494" w:rsidSect="00532809">
          <w:pgSz w:w="12240" w:h="15840" w:code="1"/>
          <w:pgMar w:top="1440" w:right="1440" w:bottom="1440" w:left="1440" w:header="720" w:footer="720" w:gutter="0"/>
          <w:pgNumType w:fmt="lowerRoman"/>
          <w:cols w:space="720"/>
          <w:docGrid w:linePitch="360"/>
        </w:sectPr>
      </w:pPr>
    </w:p>
    <w:p w:rsidR="00F565D2" w:rsidRPr="00AB4D16" w:rsidRDefault="00F565D2" w:rsidP="00AB4D16">
      <w:pPr>
        <w:ind w:left="630" w:hanging="630"/>
        <w:rPr>
          <w:szCs w:val="20"/>
        </w:rPr>
      </w:pPr>
    </w:p>
    <w:p w:rsidR="00DC665E" w:rsidRDefault="00DC665E">
      <w:pPr>
        <w:sectPr w:rsidR="00DC665E" w:rsidSect="00532809">
          <w:headerReference w:type="default" r:id="rId15"/>
          <w:footerReference w:type="default" r:id="rId16"/>
          <w:pgSz w:w="12240" w:h="15840" w:code="1"/>
          <w:pgMar w:top="1440" w:right="1440" w:bottom="1440" w:left="1440" w:header="720" w:footer="720" w:gutter="0"/>
          <w:pgNumType w:fmt="lowerRoman"/>
          <w:cols w:space="720"/>
          <w:docGrid w:linePitch="360"/>
        </w:sectPr>
      </w:pPr>
    </w:p>
    <w:p w:rsidR="00607262" w:rsidRPr="00607262" w:rsidRDefault="00607262" w:rsidP="00466FBF">
      <w:pPr>
        <w:pStyle w:val="Heading1"/>
      </w:pPr>
      <w:r w:rsidRPr="00607262">
        <w:br/>
      </w:r>
      <w:bookmarkStart w:id="13" w:name="_Toc418682041"/>
      <w:bookmarkStart w:id="14" w:name="_Toc528571174"/>
      <w:r w:rsidRPr="00607262">
        <w:t>Executive Summary</w:t>
      </w:r>
      <w:bookmarkEnd w:id="13"/>
      <w:bookmarkEnd w:id="14"/>
      <w:r w:rsidR="00E318ED">
        <w:t xml:space="preserve"> </w:t>
      </w:r>
    </w:p>
    <w:p w:rsidR="00C466EE" w:rsidRDefault="00FB2753" w:rsidP="005F0CB1">
      <w:r w:rsidRPr="00442D47">
        <w:t xml:space="preserve">This report documents </w:t>
      </w:r>
      <w:r w:rsidR="00217E28" w:rsidRPr="00982C99">
        <w:rPr>
          <w:i/>
        </w:rPr>
        <w:t>Exploration of Least-Cost Emissions-Compliant Scenarios</w:t>
      </w:r>
      <w:r w:rsidR="00217E28" w:rsidRPr="00217E28">
        <w:t xml:space="preserve"> </w:t>
      </w:r>
      <w:r w:rsidR="00AA22CE">
        <w:t xml:space="preserve">of </w:t>
      </w:r>
      <w:r w:rsidRPr="00442D47">
        <w:t xml:space="preserve">the </w:t>
      </w:r>
      <w:r w:rsidR="00AA22CE">
        <w:t>201</w:t>
      </w:r>
      <w:r w:rsidR="00217E28">
        <w:t>7</w:t>
      </w:r>
      <w:r w:rsidR="00AA22CE">
        <w:t xml:space="preserve"> </w:t>
      </w:r>
      <w:r w:rsidRPr="00442D47">
        <w:t xml:space="preserve">ISO New England </w:t>
      </w:r>
      <w:r w:rsidR="00AA22CE">
        <w:t xml:space="preserve">(ISO) </w:t>
      </w:r>
      <w:r w:rsidRPr="00AA22CE">
        <w:t xml:space="preserve">Economic </w:t>
      </w:r>
      <w:r w:rsidR="00AA22CE">
        <w:t xml:space="preserve">Study conducted </w:t>
      </w:r>
      <w:r w:rsidR="00D178CD">
        <w:t>for the ISO’s stakeholders following a</w:t>
      </w:r>
      <w:r w:rsidR="00AA22CE">
        <w:t xml:space="preserve"> request </w:t>
      </w:r>
      <w:r w:rsidR="00D178CD">
        <w:t>by</w:t>
      </w:r>
      <w:r w:rsidR="00AA22CE">
        <w:t xml:space="preserve"> the </w:t>
      </w:r>
      <w:r w:rsidR="00217E28">
        <w:t>Conservation Law Foundation</w:t>
      </w:r>
      <w:r w:rsidR="002E09FB">
        <w:t xml:space="preserve"> (CLF)</w:t>
      </w:r>
      <w:r w:rsidR="00217E28">
        <w:t xml:space="preserve">. </w:t>
      </w:r>
      <w:r w:rsidR="00AA22CE">
        <w:t>The study</w:t>
      </w:r>
      <w:r w:rsidR="00982C99">
        <w:t xml:space="preserve"> </w:t>
      </w:r>
      <w:r w:rsidR="008B4946" w:rsidRPr="00442D47">
        <w:t xml:space="preserve">examines </w:t>
      </w:r>
      <w:r w:rsidR="00D178CD">
        <w:t>several low-carbon</w:t>
      </w:r>
      <w:r w:rsidR="00CE5B45">
        <w:t>-</w:t>
      </w:r>
      <w:r w:rsidR="001B3307">
        <w:t xml:space="preserve">emitting </w:t>
      </w:r>
      <w:r w:rsidR="008B4946">
        <w:t>resource</w:t>
      </w:r>
      <w:r w:rsidR="009D061C">
        <w:t>-</w:t>
      </w:r>
      <w:r w:rsidR="008B4946">
        <w:t>e</w:t>
      </w:r>
      <w:r w:rsidR="00C814FD">
        <w:t>xpansion scenarios</w:t>
      </w:r>
      <w:r w:rsidR="009D061C">
        <w:t xml:space="preserve"> of the regional power system and </w:t>
      </w:r>
      <w:r w:rsidR="009D061C" w:rsidRPr="007175D2">
        <w:t xml:space="preserve">the </w:t>
      </w:r>
      <w:r w:rsidR="009D061C">
        <w:t xml:space="preserve">potential </w:t>
      </w:r>
      <w:r w:rsidR="009D061C" w:rsidRPr="007175D2">
        <w:t xml:space="preserve">effects of </w:t>
      </w:r>
      <w:r w:rsidR="009D061C">
        <w:t>these diff</w:t>
      </w:r>
      <w:r w:rsidR="009D061C" w:rsidRPr="007175D2">
        <w:t>erent future changes</w:t>
      </w:r>
      <w:r w:rsidR="009D061C">
        <w:t xml:space="preserve"> </w:t>
      </w:r>
      <w:r w:rsidR="009D061C" w:rsidRPr="00C466EE">
        <w:t xml:space="preserve">on resource adequacy, </w:t>
      </w:r>
      <w:r w:rsidR="00C51BC0" w:rsidRPr="00C466EE">
        <w:t xml:space="preserve">operating and capital </w:t>
      </w:r>
      <w:r w:rsidR="009D061C" w:rsidRPr="00C466EE">
        <w:t>costs, and options for meeting environmental policy goals. The study pr</w:t>
      </w:r>
      <w:r w:rsidR="00ED11AD">
        <w:t>esents</w:t>
      </w:r>
      <w:r w:rsidR="009D061C" w:rsidRPr="00C466EE">
        <w:t xml:space="preserve"> a common framework for </w:t>
      </w:r>
      <w:r w:rsidR="00921F2F">
        <w:t>New England Power Pool (</w:t>
      </w:r>
      <w:r w:rsidR="009D061C" w:rsidRPr="00C466EE">
        <w:t>NEPOOL</w:t>
      </w:r>
      <w:r w:rsidR="00921F2F">
        <w:t>)</w:t>
      </w:r>
      <w:r w:rsidR="009D061C" w:rsidRPr="00C466EE">
        <w:t xml:space="preserve"> participants, regional electricity market stakeholders, policymakers, and consumers to identify </w:t>
      </w:r>
      <w:r w:rsidR="00C65199" w:rsidRPr="00C466EE">
        <w:t xml:space="preserve">and discuss these issues </w:t>
      </w:r>
      <w:r w:rsidR="009D061C" w:rsidRPr="00C466EE">
        <w:t>and</w:t>
      </w:r>
      <w:r w:rsidR="009D061C" w:rsidRPr="007175D2">
        <w:t xml:space="preserve"> possible solutions</w:t>
      </w:r>
      <w:r w:rsidR="009D061C">
        <w:t>.</w:t>
      </w:r>
      <w:r w:rsidR="005F0CB1" w:rsidRPr="005F0CB1">
        <w:t xml:space="preserve"> </w:t>
      </w:r>
    </w:p>
    <w:p w:rsidR="00C74B0B" w:rsidRDefault="00C74B0B" w:rsidP="005F0CB1">
      <w:r w:rsidRPr="00C74B0B">
        <w:t xml:space="preserve">Scenario analyses inform stakeholders about different future </w:t>
      </w:r>
      <w:r w:rsidRPr="002B2179">
        <w:t xml:space="preserve">systems. These hypothetical systems should not be regarded as </w:t>
      </w:r>
      <w:r w:rsidR="00D94878" w:rsidRPr="0040073E">
        <w:t xml:space="preserve">physically realizable plans or </w:t>
      </w:r>
      <w:r w:rsidRPr="002B2179">
        <w:t xml:space="preserve">the ISO’s vision of realistic future development, projections, and preferences. </w:t>
      </w:r>
      <w:r w:rsidR="004C73DD" w:rsidRPr="0040073E">
        <w:t>While t</w:t>
      </w:r>
      <w:r w:rsidRPr="002B2179">
        <w:t xml:space="preserve">he </w:t>
      </w:r>
      <w:r w:rsidR="00F2550E" w:rsidRPr="002B2179">
        <w:t>scenarios do not fully capture current laws and regulations</w:t>
      </w:r>
      <w:r w:rsidR="004C73DD" w:rsidRPr="0040073E">
        <w:t xml:space="preserve">, they </w:t>
      </w:r>
      <w:r w:rsidRPr="002B2179">
        <w:t xml:space="preserve">can </w:t>
      </w:r>
      <w:r w:rsidR="00227CA6">
        <w:t xml:space="preserve">assist readers by </w:t>
      </w:r>
      <w:r w:rsidRPr="002B2179">
        <w:t>identify</w:t>
      </w:r>
      <w:r w:rsidR="00227CA6">
        <w:t>ing</w:t>
      </w:r>
      <w:r w:rsidRPr="002B2179">
        <w:t xml:space="preserve"> key regional issues that must be addressed</w:t>
      </w:r>
      <w:r w:rsidR="00860D3B">
        <w:t xml:space="preserve">. </w:t>
      </w:r>
      <w:r w:rsidRPr="009430A6">
        <w:t xml:space="preserve">For example, this report identifies several physical </w:t>
      </w:r>
      <w:r w:rsidR="00E660C2" w:rsidRPr="009430A6">
        <w:t xml:space="preserve">and economic </w:t>
      </w:r>
      <w:r w:rsidRPr="009430A6">
        <w:t xml:space="preserve">issues associated with </w:t>
      </w:r>
      <w:r w:rsidR="00F2550E" w:rsidRPr="009430A6">
        <w:t xml:space="preserve">futures </w:t>
      </w:r>
      <w:r w:rsidR="00E5476A" w:rsidRPr="009430A6">
        <w:t>simulating</w:t>
      </w:r>
      <w:r w:rsidR="00F2550E" w:rsidRPr="009430A6">
        <w:t xml:space="preserve"> the </w:t>
      </w:r>
      <w:r w:rsidRPr="009430A6">
        <w:t>large-scale develo</w:t>
      </w:r>
      <w:r w:rsidR="00F2550E" w:rsidRPr="009430A6">
        <w:t>pment of renewable resources</w:t>
      </w:r>
      <w:r w:rsidR="00F2550E" w:rsidRPr="00E660C2">
        <w:t>.</w:t>
      </w:r>
      <w:r w:rsidR="00F2550E">
        <w:t xml:space="preserve"> It</w:t>
      </w:r>
      <w:r w:rsidRPr="00C74B0B">
        <w:t xml:space="preserve"> also summarizes high-order-of-magnitude transmission system expansion costs, which provide cost information but do not identify particular facilities or include detailed plans associated with any of the scenarios.</w:t>
      </w:r>
      <w:r>
        <w:t xml:space="preserve"> </w:t>
      </w:r>
    </w:p>
    <w:p w:rsidR="005F0CB1" w:rsidRDefault="005F0CB1" w:rsidP="005F0CB1">
      <w:r w:rsidRPr="00DC34C4">
        <w:t>The</w:t>
      </w:r>
      <w:r>
        <w:t xml:space="preserve"> </w:t>
      </w:r>
      <w:r w:rsidRPr="00DC34C4">
        <w:t xml:space="preserve">scope of work, assumptions, and </w:t>
      </w:r>
      <w:r w:rsidRPr="00D11A72">
        <w:t>r</w:t>
      </w:r>
      <w:r w:rsidRPr="00DC34C4">
        <w:t xml:space="preserve">esults reflect input from the Planning Advisory Committee </w:t>
      </w:r>
      <w:r>
        <w:t xml:space="preserve">(PAC) </w:t>
      </w:r>
      <w:r w:rsidRPr="002E3103">
        <w:t xml:space="preserve">during </w:t>
      </w:r>
      <w:r w:rsidR="00FA2D54" w:rsidRPr="002E3103">
        <w:t>four</w:t>
      </w:r>
      <w:r w:rsidRPr="002E3103">
        <w:t xml:space="preserve"> meetings held from April 201</w:t>
      </w:r>
      <w:r w:rsidR="002E09FB" w:rsidRPr="002E3103">
        <w:t>7</w:t>
      </w:r>
      <w:r w:rsidRPr="002E3103">
        <w:t xml:space="preserve"> through </w:t>
      </w:r>
      <w:r w:rsidR="00047D24" w:rsidRPr="002E3103">
        <w:t>September</w:t>
      </w:r>
      <w:r w:rsidRPr="002E3103">
        <w:t xml:space="preserve"> 201</w:t>
      </w:r>
      <w:r w:rsidR="002E09FB" w:rsidRPr="002E3103">
        <w:t>8</w:t>
      </w:r>
      <w:r w:rsidRPr="002E3103">
        <w:t>.</w:t>
      </w:r>
      <w:r w:rsidR="00672F29" w:rsidRPr="002E3103">
        <w:t xml:space="preserve"> </w:t>
      </w:r>
      <w:r w:rsidR="00ED11AD" w:rsidRPr="002E3103">
        <w:t>The r</w:t>
      </w:r>
      <w:r w:rsidR="00672F29" w:rsidRPr="002E3103">
        <w:t>esults</w:t>
      </w:r>
      <w:r w:rsidR="00ED11AD" w:rsidRPr="002E3103">
        <w:t xml:space="preserve"> </w:t>
      </w:r>
      <w:r w:rsidR="00672F29" w:rsidRPr="002E3103">
        <w:t xml:space="preserve">are presented such that </w:t>
      </w:r>
      <w:r w:rsidR="00672F29" w:rsidRPr="00B82E49">
        <w:t xml:space="preserve">readers may make their own assumptions on costs for </w:t>
      </w:r>
      <w:r w:rsidR="00B82E49" w:rsidRPr="00B82E49">
        <w:t xml:space="preserve">developing </w:t>
      </w:r>
      <w:r w:rsidR="00672F29" w:rsidRPr="00B82E49">
        <w:t>new resources and transmission.</w:t>
      </w:r>
      <w:r w:rsidR="00DA6BD6" w:rsidRPr="00B82E49">
        <w:t xml:space="preserve"> </w:t>
      </w:r>
      <w:r w:rsidR="009E1DBB" w:rsidRPr="00B82E49">
        <w:t>The ISO encourages interested parties to compare the results for the different scenarios</w:t>
      </w:r>
      <w:r w:rsidR="009E1DBB" w:rsidRPr="002E3103">
        <w:t xml:space="preserve"> and to reach their own conclusions about the possible outcomes.</w:t>
      </w:r>
    </w:p>
    <w:p w:rsidR="0066269A" w:rsidRDefault="003B7B71" w:rsidP="00B8270A">
      <w:pPr>
        <w:pStyle w:val="Heading2"/>
      </w:pPr>
      <w:bookmarkStart w:id="15" w:name="_Toc528571175"/>
      <w:r>
        <w:t xml:space="preserve">Purpose of the </w:t>
      </w:r>
      <w:r w:rsidR="003C7345">
        <w:t>201</w:t>
      </w:r>
      <w:r w:rsidR="002E09FB">
        <w:t>7</w:t>
      </w:r>
      <w:r w:rsidR="003C7345">
        <w:t xml:space="preserve"> </w:t>
      </w:r>
      <w:r>
        <w:t xml:space="preserve">Economic Study </w:t>
      </w:r>
      <w:r w:rsidR="005F0CB1">
        <w:t>and Metrics</w:t>
      </w:r>
      <w:r w:rsidR="007A2BF4">
        <w:t xml:space="preserve"> Analyzed</w:t>
      </w:r>
      <w:bookmarkEnd w:id="15"/>
    </w:p>
    <w:p w:rsidR="00294EC5" w:rsidRDefault="00C814FD" w:rsidP="00294EC5">
      <w:r>
        <w:t xml:space="preserve">In </w:t>
      </w:r>
      <w:r w:rsidRPr="00492526">
        <w:t>201</w:t>
      </w:r>
      <w:r w:rsidR="002E09FB">
        <w:t>7</w:t>
      </w:r>
      <w:r w:rsidRPr="00492526">
        <w:t xml:space="preserve">, </w:t>
      </w:r>
      <w:r w:rsidR="00D62741">
        <w:t xml:space="preserve">in accordance with </w:t>
      </w:r>
      <w:r w:rsidR="00AA22CE">
        <w:t xml:space="preserve">the procedures of Attachment K of the ISO’s </w:t>
      </w:r>
      <w:r w:rsidR="00AA22CE" w:rsidRPr="00F07CD9">
        <w:rPr>
          <w:i/>
        </w:rPr>
        <w:t>Open-Access Transmission Tariff</w:t>
      </w:r>
      <w:r w:rsidR="00AA22CE">
        <w:t xml:space="preserve"> (OATT)</w:t>
      </w:r>
      <w:r w:rsidR="005F0CB1">
        <w:t>,</w:t>
      </w:r>
      <w:r w:rsidR="00AA22CE">
        <w:t xml:space="preserve"> </w:t>
      </w:r>
      <w:r w:rsidR="002E09FB">
        <w:t xml:space="preserve">CLF </w:t>
      </w:r>
      <w:r w:rsidRPr="00492526">
        <w:t xml:space="preserve">submitted </w:t>
      </w:r>
      <w:r w:rsidR="00852887">
        <w:t xml:space="preserve">a </w:t>
      </w:r>
      <w:r w:rsidR="00D342CC">
        <w:t xml:space="preserve">request </w:t>
      </w:r>
      <w:r w:rsidR="00190EC1">
        <w:t xml:space="preserve">for a </w:t>
      </w:r>
      <w:r>
        <w:t>s</w:t>
      </w:r>
      <w:r w:rsidR="00294EC5">
        <w:t xml:space="preserve">cenario </w:t>
      </w:r>
      <w:r>
        <w:t>a</w:t>
      </w:r>
      <w:r w:rsidR="00294EC5">
        <w:t xml:space="preserve">nalysis </w:t>
      </w:r>
      <w:r>
        <w:t xml:space="preserve">that would </w:t>
      </w:r>
      <w:r w:rsidR="00852887">
        <w:t xml:space="preserve">provide </w:t>
      </w:r>
      <w:r w:rsidR="00190EC1">
        <w:t>inform</w:t>
      </w:r>
      <w:r w:rsidR="00852887">
        <w:t xml:space="preserve">ation </w:t>
      </w:r>
      <w:r w:rsidR="00F17B67">
        <w:t xml:space="preserve">and data </w:t>
      </w:r>
      <w:r w:rsidR="00852887">
        <w:t>on the following topics</w:t>
      </w:r>
      <w:r w:rsidR="00294EC5">
        <w:t>:</w:t>
      </w:r>
      <w:r w:rsidR="005F0CB1">
        <w:rPr>
          <w:rStyle w:val="FootnoteReference"/>
        </w:rPr>
        <w:footnoteReference w:id="2"/>
      </w:r>
    </w:p>
    <w:p w:rsidR="00294EC5" w:rsidRDefault="00F17B67" w:rsidP="001D5F6A">
      <w:pPr>
        <w:pStyle w:val="ListParagraph"/>
        <w:numPr>
          <w:ilvl w:val="0"/>
          <w:numId w:val="45"/>
        </w:numPr>
      </w:pPr>
      <w:r>
        <w:t>P</w:t>
      </w:r>
      <w:r w:rsidR="00294EC5">
        <w:t xml:space="preserve">otential </w:t>
      </w:r>
      <w:r w:rsidR="001A4C6D">
        <w:t xml:space="preserve">economic </w:t>
      </w:r>
      <w:r w:rsidR="00294EC5" w:rsidRPr="001D5F6A">
        <w:t>effects</w:t>
      </w:r>
      <w:r w:rsidR="00C65199" w:rsidRPr="00ED11AD">
        <w:t xml:space="preserve"> </w:t>
      </w:r>
      <w:r w:rsidR="00294EC5">
        <w:t>on the ISO</w:t>
      </w:r>
      <w:r w:rsidR="00034C1B">
        <w:t xml:space="preserve">’s </w:t>
      </w:r>
      <w:r w:rsidR="00294EC5">
        <w:t xml:space="preserve">wholesale </w:t>
      </w:r>
      <w:r w:rsidR="00034C1B">
        <w:t>energy</w:t>
      </w:r>
      <w:r w:rsidR="00294EC5">
        <w:t xml:space="preserve"> markets of implementing </w:t>
      </w:r>
      <w:r w:rsidR="00D62741">
        <w:t xml:space="preserve">public policies aimed at </w:t>
      </w:r>
      <w:r w:rsidR="00BE03A8">
        <w:t xml:space="preserve">greatly reducing </w:t>
      </w:r>
      <w:r w:rsidR="00982965">
        <w:t>carbon emission</w:t>
      </w:r>
      <w:r w:rsidR="00D62741">
        <w:t>s</w:t>
      </w:r>
      <w:r w:rsidR="00982965">
        <w:t xml:space="preserve"> </w:t>
      </w:r>
      <w:r w:rsidR="00294EC5">
        <w:t xml:space="preserve">in the New England states </w:t>
      </w:r>
    </w:p>
    <w:p w:rsidR="00DC34C4" w:rsidRDefault="004F62A9" w:rsidP="001D5F6A">
      <w:pPr>
        <w:pStyle w:val="ListParagraph"/>
        <w:numPr>
          <w:ilvl w:val="0"/>
          <w:numId w:val="45"/>
        </w:numPr>
        <w:spacing w:after="240"/>
      </w:pPr>
      <w:r>
        <w:t>Relative w</w:t>
      </w:r>
      <w:r w:rsidR="00294EC5" w:rsidRPr="004F24B6">
        <w:t>holesale electricity cost</w:t>
      </w:r>
      <w:r w:rsidR="00BE03A8">
        <w:t>s</w:t>
      </w:r>
      <w:r w:rsidR="00294EC5" w:rsidRPr="004F24B6">
        <w:t xml:space="preserve"> of supplying load</w:t>
      </w:r>
      <w:r w:rsidR="001D5F6A" w:rsidRPr="004F24B6">
        <w:t xml:space="preserve"> and</w:t>
      </w:r>
      <w:r w:rsidR="00D83298">
        <w:t xml:space="preserve"> </w:t>
      </w:r>
      <w:r w:rsidR="00852887" w:rsidRPr="004F24B6">
        <w:t xml:space="preserve">total </w:t>
      </w:r>
      <w:r w:rsidR="00034C1B" w:rsidRPr="004F24B6">
        <w:t>regional</w:t>
      </w:r>
      <w:r w:rsidR="00034C1B">
        <w:t xml:space="preserve"> </w:t>
      </w:r>
      <w:r w:rsidR="00294EC5">
        <w:t>emissions</w:t>
      </w:r>
      <w:r w:rsidR="001D5F6A">
        <w:t xml:space="preserve"> </w:t>
      </w:r>
      <w:r w:rsidR="00294EC5">
        <w:t xml:space="preserve">under </w:t>
      </w:r>
      <w:r w:rsidR="00BE03A8">
        <w:t xml:space="preserve">the </w:t>
      </w:r>
      <w:r w:rsidR="00294EC5">
        <w:t>alternative scenarios</w:t>
      </w:r>
    </w:p>
    <w:p w:rsidR="00C31F1E" w:rsidRDefault="00CC37ED" w:rsidP="00DC34C4">
      <w:r>
        <w:t xml:space="preserve">The economic study request emphasized the desire </w:t>
      </w:r>
      <w:r w:rsidR="00C31F1E">
        <w:t xml:space="preserve">for a </w:t>
      </w:r>
      <w:r>
        <w:t>compar</w:t>
      </w:r>
      <w:r w:rsidR="00C31F1E">
        <w:t xml:space="preserve">ison of </w:t>
      </w:r>
      <w:r>
        <w:t xml:space="preserve">the relative results across scenarios. </w:t>
      </w:r>
      <w:r w:rsidR="005F0CB1">
        <w:t>T</w:t>
      </w:r>
      <w:r w:rsidR="00492526">
        <w:t xml:space="preserve">he </w:t>
      </w:r>
      <w:r w:rsidR="0087293E">
        <w:t>m</w:t>
      </w:r>
      <w:r w:rsidR="005F0CB1">
        <w:t xml:space="preserve">etrics </w:t>
      </w:r>
      <w:r w:rsidR="0087293E">
        <w:t xml:space="preserve">studied </w:t>
      </w:r>
      <w:r w:rsidR="00D94878">
        <w:t xml:space="preserve">were as </w:t>
      </w:r>
      <w:r w:rsidR="00C31F1E">
        <w:t>follow</w:t>
      </w:r>
      <w:r w:rsidR="00D94878">
        <w:t>s</w:t>
      </w:r>
      <w:r w:rsidR="00C31F1E">
        <w:t>:</w:t>
      </w:r>
      <w:r w:rsidR="00592386">
        <w:t xml:space="preserve"> </w:t>
      </w:r>
    </w:p>
    <w:p w:rsidR="00C31F1E" w:rsidRDefault="00C31F1E" w:rsidP="00F40B35">
      <w:pPr>
        <w:pStyle w:val="ListParagraph"/>
        <w:numPr>
          <w:ilvl w:val="0"/>
          <w:numId w:val="76"/>
        </w:numPr>
      </w:pPr>
      <w:r>
        <w:t>E</w:t>
      </w:r>
      <w:r w:rsidR="006A2436">
        <w:t>nergy production by resource type</w:t>
      </w:r>
    </w:p>
    <w:p w:rsidR="00C31F1E" w:rsidRDefault="00C31F1E" w:rsidP="00F40B35">
      <w:pPr>
        <w:pStyle w:val="ListParagraph"/>
        <w:numPr>
          <w:ilvl w:val="0"/>
          <w:numId w:val="76"/>
        </w:numPr>
      </w:pPr>
      <w:r>
        <w:t>S</w:t>
      </w:r>
      <w:r w:rsidR="006A2436">
        <w:t xml:space="preserve">ystemwide </w:t>
      </w:r>
      <w:r w:rsidR="00492526" w:rsidRPr="00241D31">
        <w:t>production costs</w:t>
      </w:r>
    </w:p>
    <w:p w:rsidR="00C31F1E" w:rsidRDefault="00C31F1E" w:rsidP="00F40B35">
      <w:pPr>
        <w:pStyle w:val="ListParagraph"/>
        <w:numPr>
          <w:ilvl w:val="0"/>
          <w:numId w:val="76"/>
        </w:numPr>
      </w:pPr>
      <w:r>
        <w:t>A</w:t>
      </w:r>
      <w:r w:rsidR="006A2436">
        <w:t>verage locational marginal prices (LMPs)</w:t>
      </w:r>
    </w:p>
    <w:p w:rsidR="00C31F1E" w:rsidRPr="00847291" w:rsidRDefault="00C31F1E" w:rsidP="00F40B35">
      <w:pPr>
        <w:pStyle w:val="ListParagraph"/>
        <w:numPr>
          <w:ilvl w:val="0"/>
          <w:numId w:val="76"/>
        </w:numPr>
      </w:pPr>
      <w:r w:rsidRPr="00847291">
        <w:t>A</w:t>
      </w:r>
      <w:r w:rsidR="006A2436" w:rsidRPr="00847291">
        <w:t xml:space="preserve">verage </w:t>
      </w:r>
      <w:r w:rsidR="00492526" w:rsidRPr="00847291">
        <w:t>load-serving entity (LSE) energy expenses</w:t>
      </w:r>
      <w:r w:rsidR="006A2436" w:rsidRPr="00847291">
        <w:t xml:space="preserve"> and congestion</w:t>
      </w:r>
    </w:p>
    <w:p w:rsidR="00C31F1E" w:rsidRDefault="00C31F1E" w:rsidP="00F40B35">
      <w:pPr>
        <w:pStyle w:val="ListParagraph"/>
        <w:numPr>
          <w:ilvl w:val="0"/>
          <w:numId w:val="76"/>
        </w:numPr>
      </w:pPr>
      <w:r>
        <w:t>G</w:t>
      </w:r>
      <w:r w:rsidR="00492526" w:rsidRPr="006E2384">
        <w:t xml:space="preserve">eneric </w:t>
      </w:r>
      <w:r w:rsidR="001A4C6D" w:rsidRPr="006E2384">
        <w:t>capital</w:t>
      </w:r>
      <w:r w:rsidR="00492526" w:rsidRPr="006E2384">
        <w:t xml:space="preserve"> costs </w:t>
      </w:r>
      <w:r w:rsidR="001A4C6D" w:rsidRPr="006E2384">
        <w:t xml:space="preserve">and </w:t>
      </w:r>
      <w:r w:rsidR="001A4C6D" w:rsidRPr="000B6A1D">
        <w:t xml:space="preserve">annual carrying charges </w:t>
      </w:r>
      <w:r w:rsidR="009F76EB" w:rsidRPr="000B6A1D">
        <w:t xml:space="preserve">(ACCs) </w:t>
      </w:r>
      <w:r w:rsidR="00492526" w:rsidRPr="000B6A1D">
        <w:t>for</w:t>
      </w:r>
      <w:r w:rsidR="00492526" w:rsidRPr="006E2384">
        <w:t xml:space="preserve"> each resource type</w:t>
      </w:r>
      <w:r w:rsidR="00D94878">
        <w:rPr>
          <w:rStyle w:val="FootnoteReference"/>
        </w:rPr>
        <w:footnoteReference w:id="3"/>
      </w:r>
    </w:p>
    <w:p w:rsidR="00C31F1E" w:rsidRDefault="00C31F1E" w:rsidP="00F40B35">
      <w:pPr>
        <w:pStyle w:val="ListParagraph"/>
        <w:numPr>
          <w:ilvl w:val="0"/>
          <w:numId w:val="76"/>
        </w:numPr>
      </w:pPr>
      <w:r>
        <w:t>T</w:t>
      </w:r>
      <w:r w:rsidR="00492526" w:rsidRPr="00241D31">
        <w:t>ransmission-expansion costs</w:t>
      </w:r>
    </w:p>
    <w:p w:rsidR="00C31F1E" w:rsidRDefault="00C31F1E" w:rsidP="00F40B35">
      <w:pPr>
        <w:pStyle w:val="ListParagraph"/>
        <w:numPr>
          <w:ilvl w:val="0"/>
          <w:numId w:val="76"/>
        </w:numPr>
      </w:pPr>
      <w:r>
        <w:t>G</w:t>
      </w:r>
      <w:r w:rsidR="00492526" w:rsidRPr="00241D31">
        <w:t xml:space="preserve">eneration by fuel type and the </w:t>
      </w:r>
      <w:r w:rsidR="00982965">
        <w:t xml:space="preserve">amount of </w:t>
      </w:r>
      <w:r>
        <w:t>“</w:t>
      </w:r>
      <w:r w:rsidR="00982965">
        <w:t>spilled</w:t>
      </w:r>
      <w:r>
        <w:t>”</w:t>
      </w:r>
      <w:r w:rsidR="00982965">
        <w:t xml:space="preserve"> ren</w:t>
      </w:r>
      <w:r w:rsidR="00F40B35">
        <w:t>e</w:t>
      </w:r>
      <w:r w:rsidR="00982965">
        <w:t>wable resources</w:t>
      </w:r>
      <w:r w:rsidR="00D94878">
        <w:rPr>
          <w:rStyle w:val="FootnoteReference"/>
        </w:rPr>
        <w:footnoteReference w:id="4"/>
      </w:r>
    </w:p>
    <w:p w:rsidR="00C31F1E" w:rsidRDefault="00C31F1E" w:rsidP="00F40B35">
      <w:pPr>
        <w:pStyle w:val="ListParagraph"/>
        <w:numPr>
          <w:ilvl w:val="0"/>
          <w:numId w:val="76"/>
        </w:numPr>
      </w:pPr>
      <w:r>
        <w:t>S</w:t>
      </w:r>
      <w:r w:rsidR="00982965">
        <w:t xml:space="preserve">ystemwide </w:t>
      </w:r>
      <w:r>
        <w:t>carbon dioxide (</w:t>
      </w:r>
      <w:r w:rsidR="00982965">
        <w:t>CO</w:t>
      </w:r>
      <w:r w:rsidR="00982965" w:rsidRPr="00F40B35">
        <w:rPr>
          <w:vertAlign w:val="subscript"/>
        </w:rPr>
        <w:t>2</w:t>
      </w:r>
      <w:r>
        <w:t>)</w:t>
      </w:r>
      <w:r w:rsidR="00982965">
        <w:t xml:space="preserve"> </w:t>
      </w:r>
      <w:r w:rsidR="00492526" w:rsidRPr="00241D31">
        <w:t>emissions</w:t>
      </w:r>
    </w:p>
    <w:p w:rsidR="005F0CB1" w:rsidRDefault="00D94878" w:rsidP="00F40B35">
      <w:pPr>
        <w:pStyle w:val="ListParagraph"/>
        <w:numPr>
          <w:ilvl w:val="0"/>
          <w:numId w:val="76"/>
        </w:numPr>
        <w:spacing w:after="240"/>
      </w:pPr>
      <w:r>
        <w:t>E</w:t>
      </w:r>
      <w:r w:rsidR="00492526" w:rsidRPr="00241D31">
        <w:t>ffects of transmission-interface constraints that may bind economic power flows</w:t>
      </w:r>
      <w:r w:rsidR="00492526">
        <w:t xml:space="preserve"> </w:t>
      </w:r>
    </w:p>
    <w:p w:rsidR="0066269A" w:rsidRDefault="0066269A" w:rsidP="00B8270A">
      <w:pPr>
        <w:pStyle w:val="Heading2"/>
      </w:pPr>
      <w:bookmarkStart w:id="16" w:name="_Toc528571176"/>
      <w:r>
        <w:t>Scenarios</w:t>
      </w:r>
      <w:bookmarkEnd w:id="16"/>
      <w:r w:rsidR="004F440C">
        <w:t xml:space="preserve"> </w:t>
      </w:r>
    </w:p>
    <w:p w:rsidR="00735F27" w:rsidRDefault="00982965" w:rsidP="00913518">
      <w:r>
        <w:t>The scenarios assume</w:t>
      </w:r>
      <w:r w:rsidR="00860D3B">
        <w:t>d</w:t>
      </w:r>
      <w:r w:rsidR="00A47F3D">
        <w:t xml:space="preserve"> considerable development of renewable </w:t>
      </w:r>
      <w:r w:rsidR="00EC52F2">
        <w:t>and other low</w:t>
      </w:r>
      <w:r w:rsidR="001B3307">
        <w:t>-</w:t>
      </w:r>
      <w:r w:rsidR="00EC52F2">
        <w:t>carbon</w:t>
      </w:r>
      <w:r w:rsidR="00F47F04">
        <w:t>-</w:t>
      </w:r>
      <w:r w:rsidR="008A5D16">
        <w:t xml:space="preserve">emitting </w:t>
      </w:r>
      <w:r w:rsidR="00D94878">
        <w:t xml:space="preserve">resources in </w:t>
      </w:r>
      <w:r>
        <w:t>diffe</w:t>
      </w:r>
      <w:r w:rsidR="00735F27" w:rsidRPr="00735F27">
        <w:t>r</w:t>
      </w:r>
      <w:r w:rsidR="00A47F3D">
        <w:t>ing</w:t>
      </w:r>
      <w:r>
        <w:t xml:space="preserve"> amounts</w:t>
      </w:r>
      <w:r w:rsidR="00A47F3D">
        <w:t xml:space="preserve">, </w:t>
      </w:r>
      <w:r>
        <w:t>types</w:t>
      </w:r>
      <w:r w:rsidR="00A47F3D">
        <w:t>, and locations</w:t>
      </w:r>
      <w:r w:rsidR="00A47F3D" w:rsidRPr="00F40B35">
        <w:t xml:space="preserve">. </w:t>
      </w:r>
      <w:r w:rsidR="00860D3B">
        <w:t>However, n</w:t>
      </w:r>
      <w:r w:rsidR="00735F27">
        <w:t xml:space="preserve">one of the simulated futures considered the transitions to the scenarios </w:t>
      </w:r>
      <w:r w:rsidR="00735F27" w:rsidRPr="003B7B71">
        <w:t xml:space="preserve">for </w:t>
      </w:r>
      <w:r w:rsidR="00F66813" w:rsidRPr="003B7B71">
        <w:t>2030, the</w:t>
      </w:r>
      <w:r w:rsidR="00735F27" w:rsidRPr="003B7B71">
        <w:t xml:space="preserve"> year</w:t>
      </w:r>
      <w:r w:rsidR="00E10AF3" w:rsidRPr="003B7B71">
        <w:t xml:space="preserve"> of study</w:t>
      </w:r>
      <w:r w:rsidR="00B435B3" w:rsidRPr="003B7B71">
        <w:t>,</w:t>
      </w:r>
      <w:r w:rsidR="00B435B3">
        <w:t xml:space="preserve"> such as the pace of resource development or the cost implications to customers</w:t>
      </w:r>
      <w:r w:rsidR="00860D3B">
        <w:t>.</w:t>
      </w:r>
    </w:p>
    <w:p w:rsidR="00913518" w:rsidRPr="00E90AC1" w:rsidRDefault="00E0005F" w:rsidP="00F66813">
      <w:r w:rsidRPr="00E0005F">
        <w:t xml:space="preserve">The analysis </w:t>
      </w:r>
      <w:r w:rsidR="00D83298">
        <w:t>ran simulations of</w:t>
      </w:r>
      <w:r w:rsidRPr="005C7DD1">
        <w:t xml:space="preserve"> production cost</w:t>
      </w:r>
      <w:r w:rsidR="005C7DD1" w:rsidRPr="005C7DD1">
        <w:t>s</w:t>
      </w:r>
      <w:r w:rsidRPr="005C7DD1">
        <w:t xml:space="preserve"> </w:t>
      </w:r>
      <w:r w:rsidRPr="00E0005F">
        <w:t xml:space="preserve">for </w:t>
      </w:r>
      <w:r w:rsidR="00F66813">
        <w:t xml:space="preserve">three </w:t>
      </w:r>
      <w:r w:rsidRPr="00E0005F">
        <w:t>scenarios</w:t>
      </w:r>
      <w:r w:rsidR="00860D3B">
        <w:t xml:space="preserve">. </w:t>
      </w:r>
      <w:r w:rsidR="00F66813">
        <w:t>The starting point for all three scenarios was Scenar</w:t>
      </w:r>
      <w:r w:rsidR="00D83298">
        <w:t xml:space="preserve">io 3 of the 2016 </w:t>
      </w:r>
      <w:r w:rsidR="005B36AB">
        <w:t>NEPOOL Scenario Analysis</w:t>
      </w:r>
      <w:r w:rsidR="00D83298">
        <w:t xml:space="preserve">, </w:t>
      </w:r>
      <w:r w:rsidR="00000270">
        <w:t>summarized</w:t>
      </w:r>
      <w:r w:rsidR="00D83298">
        <w:t xml:space="preserve"> in this report as </w:t>
      </w:r>
      <w:r w:rsidR="00C03082">
        <w:t>the</w:t>
      </w:r>
      <w:r w:rsidR="00D83298">
        <w:t xml:space="preserve"> basis of comparison</w:t>
      </w:r>
      <w:r w:rsidR="00CC37ED">
        <w:t>.</w:t>
      </w:r>
      <w:r w:rsidR="00860D3B">
        <w:rPr>
          <w:rStyle w:val="FootnoteReference"/>
        </w:rPr>
        <w:footnoteReference w:id="5"/>
      </w:r>
      <w:r w:rsidR="00C36C0B">
        <w:t xml:space="preserve"> </w:t>
      </w:r>
      <w:r w:rsidR="00655A55">
        <w:t>This s</w:t>
      </w:r>
      <w:r w:rsidR="00464371">
        <w:t>cenario had the lowest CO</w:t>
      </w:r>
      <w:r w:rsidR="00464371" w:rsidRPr="00F40B35">
        <w:rPr>
          <w:vertAlign w:val="subscript"/>
        </w:rPr>
        <w:t>2</w:t>
      </w:r>
      <w:r w:rsidR="00464371">
        <w:t xml:space="preserve"> emissions across all </w:t>
      </w:r>
      <w:r w:rsidR="002048B7">
        <w:t xml:space="preserve">the </w:t>
      </w:r>
      <w:r w:rsidR="00464371">
        <w:t xml:space="preserve">scenarios </w:t>
      </w:r>
      <w:r w:rsidR="002048B7">
        <w:t xml:space="preserve">of the 2016 analysis </w:t>
      </w:r>
      <w:r w:rsidR="00464371">
        <w:t xml:space="preserve">for </w:t>
      </w:r>
      <w:r w:rsidR="00C03082">
        <w:t>the</w:t>
      </w:r>
      <w:r w:rsidR="00464371">
        <w:t xml:space="preserve"> constrained and unconstrained cases. </w:t>
      </w:r>
      <w:r w:rsidR="00C36C0B">
        <w:t>The</w:t>
      </w:r>
      <w:r w:rsidR="00D83298">
        <w:t xml:space="preserve"> simulated scenarios </w:t>
      </w:r>
      <w:r w:rsidR="00655A55">
        <w:t xml:space="preserve">for the 2017 Economic Study </w:t>
      </w:r>
      <w:r w:rsidR="00D83298">
        <w:t>are as</w:t>
      </w:r>
      <w:r w:rsidR="00EE3947">
        <w:t xml:space="preserve"> follows</w:t>
      </w:r>
      <w:r w:rsidR="00A03101">
        <w:t>:</w:t>
      </w:r>
    </w:p>
    <w:p w:rsidR="00913518" w:rsidRDefault="00D83298" w:rsidP="00C65199">
      <w:pPr>
        <w:numPr>
          <w:ilvl w:val="0"/>
          <w:numId w:val="29"/>
        </w:numPr>
        <w:spacing w:after="120"/>
      </w:pPr>
      <w:r>
        <w:rPr>
          <w:b/>
        </w:rPr>
        <w:t xml:space="preserve">2016 </w:t>
      </w:r>
      <w:r w:rsidR="002048B7">
        <w:rPr>
          <w:b/>
        </w:rPr>
        <w:t>NEPOOL Scenario Analys</w:t>
      </w:r>
      <w:r w:rsidR="00FA2D54">
        <w:rPr>
          <w:b/>
        </w:rPr>
        <w:t>i</w:t>
      </w:r>
      <w:r w:rsidR="002048B7">
        <w:rPr>
          <w:b/>
        </w:rPr>
        <w:t>s</w:t>
      </w:r>
      <w:r>
        <w:rPr>
          <w:b/>
        </w:rPr>
        <w:t xml:space="preserve"> </w:t>
      </w:r>
      <w:r w:rsidR="00591FFB" w:rsidRPr="00162D21">
        <w:rPr>
          <w:b/>
        </w:rPr>
        <w:t xml:space="preserve">Scenario </w:t>
      </w:r>
      <w:r w:rsidR="00913518" w:rsidRPr="00162D21">
        <w:rPr>
          <w:b/>
        </w:rPr>
        <w:t>3</w:t>
      </w:r>
      <w:r w:rsidR="00591FFB" w:rsidRPr="00162D21">
        <w:rPr>
          <w:b/>
        </w:rPr>
        <w:t>—</w:t>
      </w:r>
      <w:r w:rsidR="00913518" w:rsidRPr="00162D21">
        <w:rPr>
          <w:b/>
        </w:rPr>
        <w:t>“R</w:t>
      </w:r>
      <w:r w:rsidR="00F832D4" w:rsidRPr="00162D21">
        <w:rPr>
          <w:b/>
        </w:rPr>
        <w:t>enewables</w:t>
      </w:r>
      <w:r w:rsidR="00162D21" w:rsidRPr="00162D21">
        <w:rPr>
          <w:b/>
        </w:rPr>
        <w:t xml:space="preserve"> </w:t>
      </w:r>
      <w:r w:rsidR="00C65199" w:rsidRPr="00162D21">
        <w:rPr>
          <w:b/>
        </w:rPr>
        <w:t>P</w:t>
      </w:r>
      <w:r w:rsidR="00913518" w:rsidRPr="00162D21">
        <w:rPr>
          <w:b/>
        </w:rPr>
        <w:t>lus</w:t>
      </w:r>
      <w:r w:rsidR="00913518" w:rsidRPr="00163ABC">
        <w:rPr>
          <w:b/>
        </w:rPr>
        <w:t>”</w:t>
      </w:r>
      <w:r w:rsidR="00913518" w:rsidRPr="00163ABC">
        <w:t xml:space="preserve"> </w:t>
      </w:r>
      <w:r w:rsidR="001D53F4" w:rsidRPr="00F40B35">
        <w:rPr>
          <w:b/>
        </w:rPr>
        <w:t>(also “Renew Plus”)</w:t>
      </w:r>
      <w:r w:rsidR="001D53F4" w:rsidRPr="00163ABC">
        <w:t xml:space="preserve">, </w:t>
      </w:r>
      <w:r w:rsidR="00591FFB" w:rsidRPr="00162D21">
        <w:t>where the g</w:t>
      </w:r>
      <w:r w:rsidR="00913518" w:rsidRPr="00162D21">
        <w:t>eneration fleet meet</w:t>
      </w:r>
      <w:r w:rsidR="00591FFB" w:rsidRPr="00162D21">
        <w:t>s</w:t>
      </w:r>
      <w:r w:rsidR="00913518" w:rsidRPr="00162D21">
        <w:t xml:space="preserve"> existing </w:t>
      </w:r>
      <w:r w:rsidR="00A40569">
        <w:t>Renewable Portfolio Standards</w:t>
      </w:r>
      <w:r w:rsidR="00655A55">
        <w:t xml:space="preserve"> </w:t>
      </w:r>
      <w:r w:rsidR="00A40569">
        <w:t>(</w:t>
      </w:r>
      <w:r w:rsidR="00913518" w:rsidRPr="00162D21">
        <w:t>RPS</w:t>
      </w:r>
      <w:r w:rsidR="00591FFB" w:rsidRPr="00162D21">
        <w:t>s</w:t>
      </w:r>
      <w:r w:rsidR="00A40569">
        <w:t>)</w:t>
      </w:r>
      <w:r w:rsidR="00591FFB" w:rsidRPr="00162D21">
        <w:t>,</w:t>
      </w:r>
      <w:r w:rsidR="00913518" w:rsidRPr="00162D21">
        <w:t xml:space="preserve"> </w:t>
      </w:r>
      <w:r w:rsidR="00C94537">
        <w:t>and</w:t>
      </w:r>
      <w:r w:rsidR="00913518" w:rsidRPr="00162D21">
        <w:t xml:space="preserve"> </w:t>
      </w:r>
      <w:r w:rsidR="00591FFB" w:rsidRPr="00162D21">
        <w:t>the system</w:t>
      </w:r>
      <w:r w:rsidR="00591FFB">
        <w:t xml:space="preserve"> has </w:t>
      </w:r>
      <w:r w:rsidR="00913518">
        <w:t>additional renewable/clean energy resources</w:t>
      </w:r>
      <w:r w:rsidR="00464371">
        <w:t xml:space="preserve"> </w:t>
      </w:r>
    </w:p>
    <w:p w:rsidR="000E5441" w:rsidRPr="00D83298" w:rsidRDefault="00C507F8" w:rsidP="00D83298">
      <w:pPr>
        <w:numPr>
          <w:ilvl w:val="0"/>
          <w:numId w:val="29"/>
        </w:numPr>
        <w:spacing w:after="120"/>
      </w:pPr>
      <w:r w:rsidRPr="00D83298">
        <w:rPr>
          <w:b/>
        </w:rPr>
        <w:t xml:space="preserve">2017 </w:t>
      </w:r>
      <w:r w:rsidR="00D83298" w:rsidRPr="00D83298">
        <w:rPr>
          <w:b/>
        </w:rPr>
        <w:t>Econ</w:t>
      </w:r>
      <w:r w:rsidR="00860D3B">
        <w:rPr>
          <w:b/>
        </w:rPr>
        <w:t>o</w:t>
      </w:r>
      <w:r w:rsidR="00D83298" w:rsidRPr="00D83298">
        <w:rPr>
          <w:b/>
        </w:rPr>
        <w:t xml:space="preserve">mic Study </w:t>
      </w:r>
      <w:r w:rsidRPr="00D83298">
        <w:rPr>
          <w:b/>
        </w:rPr>
        <w:t>Scenario A—“EE + Offshore”</w:t>
      </w:r>
      <w:r w:rsidR="00D83298">
        <w:rPr>
          <w:b/>
        </w:rPr>
        <w:t xml:space="preserve"> </w:t>
      </w:r>
      <w:r w:rsidR="00D83298" w:rsidRPr="00D83298">
        <w:t xml:space="preserve">reflects a </w:t>
      </w:r>
      <w:r w:rsidRPr="00D83298">
        <w:t xml:space="preserve">change </w:t>
      </w:r>
      <w:r w:rsidR="008545BF">
        <w:t>from the Renewable</w:t>
      </w:r>
      <w:r w:rsidR="00E9557B">
        <w:t>s</w:t>
      </w:r>
      <w:r w:rsidR="008545BF">
        <w:t xml:space="preserve"> Plus scenario by modifying </w:t>
      </w:r>
      <w:r w:rsidR="00D83298">
        <w:t xml:space="preserve">the resource </w:t>
      </w:r>
      <w:r w:rsidRPr="00D83298">
        <w:t xml:space="preserve">mix of new renewable/clean energy resources, with emphasis on energy efficiency </w:t>
      </w:r>
      <w:r w:rsidR="00B87970">
        <w:t xml:space="preserve">(EE) </w:t>
      </w:r>
      <w:r w:rsidRPr="00D83298">
        <w:t>and offshore wind</w:t>
      </w:r>
      <w:r w:rsidR="00AB6EEB">
        <w:t xml:space="preserve"> in southern New England</w:t>
      </w:r>
    </w:p>
    <w:p w:rsidR="000E5441" w:rsidRPr="00F40B35" w:rsidRDefault="00D83298" w:rsidP="00D83298">
      <w:pPr>
        <w:numPr>
          <w:ilvl w:val="0"/>
          <w:numId w:val="29"/>
        </w:numPr>
        <w:spacing w:after="120"/>
      </w:pPr>
      <w:r w:rsidRPr="00F40B35">
        <w:rPr>
          <w:b/>
        </w:rPr>
        <w:t>2017 Econ</w:t>
      </w:r>
      <w:r w:rsidR="00655A55" w:rsidRPr="00F40B35">
        <w:rPr>
          <w:b/>
        </w:rPr>
        <w:t>o</w:t>
      </w:r>
      <w:r w:rsidRPr="00F40B35">
        <w:rPr>
          <w:b/>
        </w:rPr>
        <w:t>mic Study S</w:t>
      </w:r>
      <w:r w:rsidR="00C507F8" w:rsidRPr="00F40B35">
        <w:rPr>
          <w:b/>
        </w:rPr>
        <w:t>cenario B—“Onshore Less EE/PV</w:t>
      </w:r>
      <w:r w:rsidR="00C507F8" w:rsidRPr="00F40B35">
        <w:t xml:space="preserve">” </w:t>
      </w:r>
      <w:r w:rsidR="008545BF" w:rsidRPr="00F40B35">
        <w:t xml:space="preserve">simulates a </w:t>
      </w:r>
      <w:r w:rsidR="00C507F8" w:rsidRPr="00F40B35">
        <w:t xml:space="preserve">change in </w:t>
      </w:r>
      <w:r w:rsidR="008545BF" w:rsidRPr="00F40B35">
        <w:t xml:space="preserve">the </w:t>
      </w:r>
      <w:r w:rsidR="00C507F8" w:rsidRPr="00F40B35">
        <w:t>mix of</w:t>
      </w:r>
      <w:r w:rsidR="00C507F8" w:rsidRPr="00D83298">
        <w:t xml:space="preserve"> </w:t>
      </w:r>
      <w:r w:rsidR="008545BF" w:rsidRPr="00F40B35">
        <w:t>Renewable</w:t>
      </w:r>
      <w:r w:rsidR="00E9557B" w:rsidRPr="00F40B35">
        <w:t>s</w:t>
      </w:r>
      <w:r w:rsidR="008545BF" w:rsidRPr="00F40B35">
        <w:t xml:space="preserve"> Plus resources with </w:t>
      </w:r>
      <w:r w:rsidR="00C507F8" w:rsidRPr="00F40B35">
        <w:t>new renewable/clean energy resources, with emphasis on onshore wind</w:t>
      </w:r>
      <w:r w:rsidR="00AB6EEB" w:rsidRPr="00F40B35">
        <w:t xml:space="preserve"> in northern New England</w:t>
      </w:r>
      <w:r w:rsidR="00B87970" w:rsidRPr="00F40B35">
        <w:t xml:space="preserve"> (and less on EE and solar photovoltaics [PV])</w:t>
      </w:r>
    </w:p>
    <w:p w:rsidR="00D83298" w:rsidRDefault="00D83298" w:rsidP="00F40B35">
      <w:pPr>
        <w:numPr>
          <w:ilvl w:val="0"/>
          <w:numId w:val="29"/>
        </w:numPr>
      </w:pPr>
      <w:r w:rsidRPr="00D83298">
        <w:rPr>
          <w:b/>
        </w:rPr>
        <w:t>2017 Econ</w:t>
      </w:r>
      <w:r w:rsidR="00655A55">
        <w:rPr>
          <w:b/>
        </w:rPr>
        <w:t>o</w:t>
      </w:r>
      <w:r w:rsidRPr="00D83298">
        <w:rPr>
          <w:b/>
        </w:rPr>
        <w:t>mic Study S</w:t>
      </w:r>
      <w:r w:rsidR="00C507F8" w:rsidRPr="00D83298">
        <w:rPr>
          <w:b/>
        </w:rPr>
        <w:t>cenario C—“</w:t>
      </w:r>
      <w:r w:rsidR="00AF6389">
        <w:rPr>
          <w:b/>
        </w:rPr>
        <w:t>Wind Less Nuclear</w:t>
      </w:r>
      <w:r w:rsidR="00C507F8" w:rsidRPr="00D83298">
        <w:rPr>
          <w:b/>
        </w:rPr>
        <w:t>”</w:t>
      </w:r>
      <w:r w:rsidR="008545BF">
        <w:rPr>
          <w:b/>
        </w:rPr>
        <w:t xml:space="preserve"> </w:t>
      </w:r>
      <w:r w:rsidR="008545BF" w:rsidRPr="008545BF">
        <w:t>considers</w:t>
      </w:r>
      <w:r w:rsidR="00C507F8" w:rsidRPr="00D83298">
        <w:t xml:space="preserve"> </w:t>
      </w:r>
      <w:r w:rsidR="00B87970">
        <w:t xml:space="preserve">the </w:t>
      </w:r>
      <w:r w:rsidR="00C507F8" w:rsidRPr="00D83298">
        <w:t xml:space="preserve">replacement of some of the baseload nuclear generation </w:t>
      </w:r>
      <w:r w:rsidR="008545BF">
        <w:t>in the Renewable</w:t>
      </w:r>
      <w:r w:rsidR="00E9557B">
        <w:t>s</w:t>
      </w:r>
      <w:r w:rsidR="008545BF">
        <w:t xml:space="preserve"> Plus scenario </w:t>
      </w:r>
      <w:r w:rsidR="00C507F8" w:rsidRPr="00D83298">
        <w:t>with renewable/clean energy resources</w:t>
      </w:r>
      <w:r w:rsidR="00AB6EEB">
        <w:t>, especially onshore wind in northern New England</w:t>
      </w:r>
    </w:p>
    <w:p w:rsidR="0066269A" w:rsidRDefault="009E28C2" w:rsidP="00B8270A">
      <w:pPr>
        <w:pStyle w:val="Heading2"/>
      </w:pPr>
      <w:bookmarkStart w:id="17" w:name="_Toc528571177"/>
      <w:r>
        <w:t>Methodology</w:t>
      </w:r>
      <w:r w:rsidR="000613FD" w:rsidRPr="00DB4795">
        <w:t xml:space="preserve"> </w:t>
      </w:r>
      <w:r w:rsidR="00FF76B8">
        <w:t>and Assumptions</w:t>
      </w:r>
      <w:bookmarkEnd w:id="17"/>
      <w:r w:rsidR="00015ECB">
        <w:t xml:space="preserve"> </w:t>
      </w:r>
    </w:p>
    <w:p w:rsidR="002827FF" w:rsidRDefault="00147DA2" w:rsidP="00147DA2">
      <w:r>
        <w:t xml:space="preserve">The analyses were conducted using the </w:t>
      </w:r>
      <w:r w:rsidRPr="00357388">
        <w:t>Grid</w:t>
      </w:r>
      <w:r w:rsidR="002C0C8F">
        <w:t>V</w:t>
      </w:r>
      <w:r w:rsidRPr="00357388">
        <w:t xml:space="preserve">iew </w:t>
      </w:r>
      <w:r w:rsidR="008B7B57">
        <w:t xml:space="preserve">economic dispatch program. </w:t>
      </w:r>
      <w:r w:rsidR="0036781D">
        <w:t>U</w:t>
      </w:r>
      <w:r w:rsidR="0036781D" w:rsidRPr="0036781D">
        <w:t>nder differing sets of assumptions</w:t>
      </w:r>
      <w:r w:rsidR="0036781D">
        <w:t>,</w:t>
      </w:r>
      <w:r w:rsidR="0036781D" w:rsidRPr="0036781D">
        <w:t xml:space="preserve"> </w:t>
      </w:r>
      <w:r w:rsidR="008B7B57">
        <w:t>Grid</w:t>
      </w:r>
      <w:r w:rsidR="002C0C8F">
        <w:t>V</w:t>
      </w:r>
      <w:r w:rsidR="008B7B57">
        <w:t xml:space="preserve">iew </w:t>
      </w:r>
      <w:r w:rsidR="00E0005F">
        <w:t>simulation</w:t>
      </w:r>
      <w:r w:rsidR="008B7B57">
        <w:t>s</w:t>
      </w:r>
      <w:r w:rsidR="00E0005F">
        <w:t xml:space="preserve"> </w:t>
      </w:r>
      <w:r w:rsidR="008B7B57">
        <w:t>perfo</w:t>
      </w:r>
      <w:r w:rsidR="00F43291">
        <w:t>r</w:t>
      </w:r>
      <w:r w:rsidR="008B7B57">
        <w:t xml:space="preserve">m </w:t>
      </w:r>
      <w:r w:rsidR="00D221E9">
        <w:t>economic</w:t>
      </w:r>
      <w:r w:rsidR="008B7B57">
        <w:t xml:space="preserve"> </w:t>
      </w:r>
      <w:r w:rsidR="00D221E9">
        <w:t>dispatch</w:t>
      </w:r>
      <w:r w:rsidR="008B7B57">
        <w:t xml:space="preserve"> </w:t>
      </w:r>
      <w:r w:rsidR="00CD3C03">
        <w:t xml:space="preserve">that </w:t>
      </w:r>
      <w:r w:rsidRPr="00147DA2">
        <w:t>minimize</w:t>
      </w:r>
      <w:r w:rsidR="00460207">
        <w:t>s</w:t>
      </w:r>
      <w:r w:rsidRPr="00147DA2">
        <w:t xml:space="preserve"> production costs </w:t>
      </w:r>
      <w:r w:rsidR="00460207">
        <w:t xml:space="preserve">for a </w:t>
      </w:r>
      <w:r w:rsidRPr="00147DA2">
        <w:t>given set of unit characteristics</w:t>
      </w:r>
      <w:r w:rsidR="00687764">
        <w:t xml:space="preserve">. </w:t>
      </w:r>
      <w:r w:rsidR="005F0CB1" w:rsidRPr="006E2384">
        <w:t>New England was modeled as a constrained single area for unit commitment, and regional resources were economically dispatched</w:t>
      </w:r>
      <w:r w:rsidR="00687764" w:rsidRPr="006E2384">
        <w:t xml:space="preserve"> in the simulations</w:t>
      </w:r>
      <w:r w:rsidR="005F0CB1" w:rsidRPr="006E2384">
        <w:t xml:space="preserve"> to respect </w:t>
      </w:r>
      <w:r w:rsidR="00687764" w:rsidRPr="006E2384">
        <w:t xml:space="preserve">the assumed </w:t>
      </w:r>
      <w:r w:rsidR="003C7B19" w:rsidRPr="00AD6979">
        <w:t>“</w:t>
      </w:r>
      <w:r w:rsidR="00386008" w:rsidRPr="00D11A72">
        <w:t>normal</w:t>
      </w:r>
      <w:r w:rsidR="003C7B19" w:rsidRPr="00AD6979">
        <w:t>”</w:t>
      </w:r>
      <w:r w:rsidR="00386008">
        <w:t xml:space="preserve"> </w:t>
      </w:r>
      <w:r w:rsidR="005F0CB1" w:rsidRPr="006E2384">
        <w:t xml:space="preserve">transmission system </w:t>
      </w:r>
      <w:r w:rsidR="00386008">
        <w:t>transfer limits.</w:t>
      </w:r>
      <w:r w:rsidR="00EE2D3C">
        <w:rPr>
          <w:rStyle w:val="FootnoteReference"/>
        </w:rPr>
        <w:footnoteReference w:id="6"/>
      </w:r>
      <w:r w:rsidR="00386008">
        <w:t xml:space="preserve"> </w:t>
      </w:r>
      <w:r w:rsidR="005F0CB1">
        <w:t xml:space="preserve">Depending on the case, the model </w:t>
      </w:r>
      <w:r w:rsidR="00665C70">
        <w:t xml:space="preserve">included approximately </w:t>
      </w:r>
      <w:r w:rsidR="0094444B">
        <w:t>9</w:t>
      </w:r>
      <w:r w:rsidR="00EB4F68" w:rsidRPr="00147DA2">
        <w:t>00 units</w:t>
      </w:r>
      <w:r w:rsidR="00C72C28">
        <w:t xml:space="preserve"> </w:t>
      </w:r>
      <w:r w:rsidR="00EB4F68" w:rsidRPr="00147DA2">
        <w:t>(new</w:t>
      </w:r>
      <w:r w:rsidR="00EB4F68" w:rsidRPr="00447FC5">
        <w:t xml:space="preserve"> and existing) in New England</w:t>
      </w:r>
      <w:r w:rsidR="008021DB">
        <w:t>.</w:t>
      </w:r>
      <w:r w:rsidR="00687764">
        <w:t xml:space="preserve"> </w:t>
      </w:r>
    </w:p>
    <w:p w:rsidR="003F2228" w:rsidRDefault="003F2228" w:rsidP="00147DA2">
      <w:r>
        <w:t xml:space="preserve">The scenarios </w:t>
      </w:r>
      <w:r w:rsidRPr="00E0005F">
        <w:t xml:space="preserve">examined </w:t>
      </w:r>
      <w:r>
        <w:t>data sets for</w:t>
      </w:r>
      <w:r w:rsidR="00FB2C74">
        <w:t xml:space="preserve"> </w:t>
      </w:r>
      <w:r w:rsidRPr="006E2384">
        <w:t>2030,</w:t>
      </w:r>
      <w:r w:rsidRPr="00E0005F">
        <w:t xml:space="preserve"> with the transmission system constrained and unconstrained and with </w:t>
      </w:r>
      <w:r>
        <w:t xml:space="preserve">all </w:t>
      </w:r>
      <w:r w:rsidRPr="00E0005F">
        <w:t xml:space="preserve">resource mixes meeting the </w:t>
      </w:r>
      <w:r>
        <w:t>n</w:t>
      </w:r>
      <w:r w:rsidRPr="00E0005F">
        <w:t>et Installed Capacity Requirement</w:t>
      </w:r>
      <w:r>
        <w:t xml:space="preserve"> (NICR).</w:t>
      </w:r>
      <w:r w:rsidR="002B1E0C">
        <w:rPr>
          <w:rStyle w:val="FootnoteReference"/>
        </w:rPr>
        <w:footnoteReference w:id="7"/>
      </w:r>
      <w:r>
        <w:t xml:space="preserve"> </w:t>
      </w:r>
      <w:r w:rsidRPr="008A7132">
        <w:t xml:space="preserve">The year </w:t>
      </w:r>
      <w:r w:rsidRPr="009D74F8">
        <w:t xml:space="preserve">2030 was selected to show longer-term </w:t>
      </w:r>
      <w:r w:rsidR="006A3BE0">
        <w:t>indicative</w:t>
      </w:r>
      <w:r w:rsidRPr="009D74F8">
        <w:t xml:space="preserve"> results</w:t>
      </w:r>
      <w:r w:rsidR="00E2219B">
        <w:t>.</w:t>
      </w:r>
      <w:r w:rsidR="006A3BE0">
        <w:t xml:space="preserve"> </w:t>
      </w:r>
    </w:p>
    <w:p w:rsidR="00147DA2" w:rsidRDefault="00D1138C" w:rsidP="00147DA2">
      <w:r>
        <w:t xml:space="preserve">The </w:t>
      </w:r>
      <w:r w:rsidR="008158BE">
        <w:t xml:space="preserve">requested scenarios </w:t>
      </w:r>
      <w:r>
        <w:t xml:space="preserve">considered </w:t>
      </w:r>
      <w:r w:rsidR="00DE1573">
        <w:t>s</w:t>
      </w:r>
      <w:r w:rsidR="00501DC0">
        <w:t>everal</w:t>
      </w:r>
      <w:r w:rsidR="00DE1573">
        <w:t xml:space="preserve"> </w:t>
      </w:r>
      <w:r>
        <w:t>p</w:t>
      </w:r>
      <w:r w:rsidR="00147DA2">
        <w:t xml:space="preserve">ublic policies assumed to be in </w:t>
      </w:r>
      <w:r w:rsidR="00147DA2" w:rsidRPr="007C38B7">
        <w:t xml:space="preserve">effect </w:t>
      </w:r>
      <w:r w:rsidR="00147DA2" w:rsidRPr="00623EAF">
        <w:t xml:space="preserve">in the six New England states </w:t>
      </w:r>
      <w:r w:rsidR="00147DA2" w:rsidRPr="00163ABC">
        <w:t xml:space="preserve">in </w:t>
      </w:r>
      <w:r w:rsidR="005024DA" w:rsidRPr="00163ABC">
        <w:t>the year</w:t>
      </w:r>
      <w:r w:rsidR="00A87BEB" w:rsidRPr="00822296">
        <w:t xml:space="preserve"> of </w:t>
      </w:r>
      <w:r w:rsidR="005024DA" w:rsidRPr="00163ABC">
        <w:t>s</w:t>
      </w:r>
      <w:r w:rsidR="00A87BEB" w:rsidRPr="00163ABC">
        <w:t>tudy</w:t>
      </w:r>
      <w:r w:rsidRPr="00163ABC">
        <w:t>, including</w:t>
      </w:r>
      <w:r w:rsidR="00147DA2">
        <w:t xml:space="preserve"> Re</w:t>
      </w:r>
      <w:r w:rsidR="006A3BE0">
        <w:t>newable</w:t>
      </w:r>
      <w:r w:rsidR="00147DA2">
        <w:t xml:space="preserve"> Portfolio Standards</w:t>
      </w:r>
      <w:r w:rsidR="00147DA2" w:rsidRPr="00CE7F43">
        <w:t>;</w:t>
      </w:r>
      <w:r w:rsidR="00147DA2">
        <w:t xml:space="preserve"> e</w:t>
      </w:r>
      <w:r w:rsidR="00147DA2" w:rsidRPr="009D6049">
        <w:t>nergy</w:t>
      </w:r>
      <w:r w:rsidR="006B6288">
        <w:t xml:space="preserve"> </w:t>
      </w:r>
      <w:r w:rsidR="00147DA2" w:rsidRPr="009D6049">
        <w:t>efficiency</w:t>
      </w:r>
      <w:r w:rsidR="00147DA2">
        <w:t>, solar, and net-metering</w:t>
      </w:r>
      <w:r w:rsidR="00147DA2" w:rsidRPr="009D6049">
        <w:t xml:space="preserve"> programs</w:t>
      </w:r>
      <w:r w:rsidR="00147DA2">
        <w:t xml:space="preserve">; </w:t>
      </w:r>
      <w:r w:rsidR="00147DA2" w:rsidRPr="003A1D66">
        <w:t>and the Regional Greenhous</w:t>
      </w:r>
      <w:r w:rsidR="008158BE">
        <w:t>e</w:t>
      </w:r>
      <w:r w:rsidR="00147DA2" w:rsidRPr="003A1D66">
        <w:t xml:space="preserve"> Gas Initiative (RGGI) allowance pricing.</w:t>
      </w:r>
      <w:r w:rsidR="00147DA2" w:rsidRPr="003A1D66">
        <w:rPr>
          <w:rStyle w:val="FootnoteReference"/>
        </w:rPr>
        <w:footnoteReference w:id="8"/>
      </w:r>
      <w:r w:rsidR="00EB4F68" w:rsidRPr="00EB4F68">
        <w:t xml:space="preserve"> </w:t>
      </w:r>
      <w:r w:rsidR="003D4347">
        <w:t xml:space="preserve">The study does not evaluate </w:t>
      </w:r>
      <w:r w:rsidR="00C23B6F">
        <w:t xml:space="preserve">these </w:t>
      </w:r>
      <w:r w:rsidR="003D4347">
        <w:t>state polices, laws, and regulations</w:t>
      </w:r>
      <w:r w:rsidR="00860D3B">
        <w:t xml:space="preserve">. </w:t>
      </w:r>
    </w:p>
    <w:p w:rsidR="00F43291" w:rsidRDefault="00147DA2" w:rsidP="00180946">
      <w:r w:rsidRPr="001E7CB8">
        <w:t xml:space="preserve">The study </w:t>
      </w:r>
      <w:r w:rsidRPr="00DE0B86">
        <w:t>made common and scenario-specific assumptions</w:t>
      </w:r>
      <w:r w:rsidRPr="001E7CB8">
        <w:t xml:space="preserve"> for a number of parameters</w:t>
      </w:r>
      <w:r w:rsidR="00FB2C74">
        <w:t xml:space="preserve"> based on the Renew Plus scenario for 2030</w:t>
      </w:r>
      <w:r w:rsidR="00860D3B">
        <w:t xml:space="preserve">. </w:t>
      </w:r>
      <w:r w:rsidR="00DE4F09">
        <w:t xml:space="preserve">The </w:t>
      </w:r>
      <w:r w:rsidR="00180946">
        <w:t>following assumptions were common across all scenarios:</w:t>
      </w:r>
      <w:r>
        <w:t xml:space="preserve"> </w:t>
      </w:r>
    </w:p>
    <w:p w:rsidR="00E56416" w:rsidRPr="005F6A46" w:rsidRDefault="00E56416" w:rsidP="00E56416">
      <w:pPr>
        <w:numPr>
          <w:ilvl w:val="0"/>
          <w:numId w:val="23"/>
        </w:numPr>
        <w:spacing w:after="120"/>
      </w:pPr>
      <w:r w:rsidRPr="009069E8">
        <w:t xml:space="preserve">Gross </w:t>
      </w:r>
      <w:r>
        <w:t>demand</w:t>
      </w:r>
      <w:r w:rsidRPr="009069E8">
        <w:t xml:space="preserve">, PV, and EE forecasts summarized in </w:t>
      </w:r>
      <w:r>
        <w:t xml:space="preserve">the ISO’s </w:t>
      </w:r>
      <w:r w:rsidRPr="009069E8">
        <w:rPr>
          <w:i/>
        </w:rPr>
        <w:t xml:space="preserve">2016 </w:t>
      </w:r>
      <w:r w:rsidRPr="006F34B4">
        <w:rPr>
          <w:i/>
        </w:rPr>
        <w:t xml:space="preserve">Capacity, Energy, Load, and </w:t>
      </w:r>
      <w:r w:rsidRPr="00C90D4E">
        <w:rPr>
          <w:i/>
        </w:rPr>
        <w:t xml:space="preserve">Transmission (CELT) Report </w:t>
      </w:r>
      <w:r w:rsidRPr="00C90D4E">
        <w:t>were used to establish net load for 2025.</w:t>
      </w:r>
      <w:r w:rsidRPr="00C90D4E">
        <w:rPr>
          <w:rStyle w:val="FootnoteReference"/>
        </w:rPr>
        <w:footnoteReference w:id="9"/>
      </w:r>
      <w:r w:rsidRPr="00C90D4E">
        <w:t xml:space="preserve"> The quantities for 2030</w:t>
      </w:r>
      <w:r>
        <w:t xml:space="preserve"> assumed growth continuing at the same rate for 2025 compared with 2024</w:t>
      </w:r>
      <w:r w:rsidR="00055FBE">
        <w:t>.</w:t>
      </w:r>
    </w:p>
    <w:p w:rsidR="00E56416" w:rsidRPr="009069E8" w:rsidRDefault="00E56416" w:rsidP="00E56416">
      <w:pPr>
        <w:pStyle w:val="ListParagraph"/>
        <w:numPr>
          <w:ilvl w:val="0"/>
          <w:numId w:val="22"/>
        </w:numPr>
        <w:ind w:left="720"/>
      </w:pPr>
      <w:r w:rsidRPr="009069E8">
        <w:t xml:space="preserve">A representative </w:t>
      </w:r>
      <w:r>
        <w:t xml:space="preserve">installed </w:t>
      </w:r>
      <w:r w:rsidRPr="009069E8">
        <w:t xml:space="preserve">reserve margin of 14% was </w:t>
      </w:r>
      <w:r>
        <w:t>assumed</w:t>
      </w:r>
      <w:r w:rsidRPr="009069E8">
        <w:t xml:space="preserve"> to meet the </w:t>
      </w:r>
      <w:r>
        <w:t>n</w:t>
      </w:r>
      <w:r w:rsidRPr="009069E8">
        <w:t xml:space="preserve">et Installed Capacity Requirement </w:t>
      </w:r>
      <w:r>
        <w:t xml:space="preserve">to </w:t>
      </w:r>
      <w:r w:rsidRPr="009069E8">
        <w:t>determine needed generation added to the scenarios</w:t>
      </w:r>
      <w:r w:rsidR="00055FBE">
        <w:t>.</w:t>
      </w:r>
      <w:r w:rsidRPr="009069E8">
        <w:t xml:space="preserve"> </w:t>
      </w:r>
    </w:p>
    <w:p w:rsidR="009F5108" w:rsidRPr="002B1E0C" w:rsidRDefault="00E56416" w:rsidP="00E11BEF">
      <w:pPr>
        <w:pStyle w:val="ListParagraph"/>
        <w:numPr>
          <w:ilvl w:val="0"/>
          <w:numId w:val="50"/>
        </w:numPr>
      </w:pPr>
      <w:r w:rsidRPr="002B1E0C">
        <w:t xml:space="preserve">The fleet of supply and demand </w:t>
      </w:r>
      <w:r w:rsidR="005A1F9E" w:rsidRPr="002B1E0C">
        <w:t>r</w:t>
      </w:r>
      <w:r w:rsidR="003A1D66" w:rsidRPr="002B1E0C">
        <w:t xml:space="preserve">esources </w:t>
      </w:r>
      <w:r w:rsidRPr="002B1E0C">
        <w:t xml:space="preserve">expected as of </w:t>
      </w:r>
      <w:r w:rsidR="00147DA2" w:rsidRPr="002B1E0C">
        <w:t xml:space="preserve">2019/2020 using the results of </w:t>
      </w:r>
      <w:r w:rsidR="00C90D4E">
        <w:t>the tenth Forward Capacity Auction (</w:t>
      </w:r>
      <w:r w:rsidR="003F2228" w:rsidRPr="002B1E0C">
        <w:t>FCA </w:t>
      </w:r>
      <w:r w:rsidR="00147DA2" w:rsidRPr="002B1E0C">
        <w:t>#10</w:t>
      </w:r>
      <w:r w:rsidR="00C90D4E">
        <w:t>)</w:t>
      </w:r>
      <w:r w:rsidR="00055FBE" w:rsidRPr="002B1E0C">
        <w:t xml:space="preserve"> </w:t>
      </w:r>
      <w:r w:rsidR="00CD3C03" w:rsidRPr="002B1E0C">
        <w:t>were reflected in the simulations</w:t>
      </w:r>
      <w:r w:rsidR="005A1F9E" w:rsidRPr="002B1E0C">
        <w:t>.</w:t>
      </w:r>
      <w:r w:rsidR="005A1F9E" w:rsidRPr="002B1E0C">
        <w:rPr>
          <w:rStyle w:val="FootnoteReference"/>
        </w:rPr>
        <w:footnoteReference w:id="10"/>
      </w:r>
      <w:r w:rsidR="005A1F9E" w:rsidRPr="002B1E0C">
        <w:t xml:space="preserve"> These cleared </w:t>
      </w:r>
      <w:r w:rsidR="00AA0EDB" w:rsidRPr="002B1E0C">
        <w:t>resource</w:t>
      </w:r>
      <w:r w:rsidR="00A03101" w:rsidRPr="002B1E0C">
        <w:t>s</w:t>
      </w:r>
      <w:r w:rsidR="00D400DB" w:rsidRPr="002B1E0C">
        <w:t>,</w:t>
      </w:r>
      <w:r w:rsidR="00AA0EDB" w:rsidRPr="002B1E0C">
        <w:t xml:space="preserve"> inclu</w:t>
      </w:r>
      <w:r w:rsidR="00CD3C03" w:rsidRPr="002B1E0C">
        <w:t xml:space="preserve">de </w:t>
      </w:r>
      <w:r w:rsidR="005A1F9E" w:rsidRPr="002B1E0C">
        <w:t xml:space="preserve">renewables (i.e., biofuel, landfill gas, and other fuels), </w:t>
      </w:r>
      <w:r w:rsidR="009F5108" w:rsidRPr="002B1E0C">
        <w:t xml:space="preserve">central station </w:t>
      </w:r>
      <w:r w:rsidR="005A1F9E" w:rsidRPr="002B1E0C">
        <w:t>solar photovoltaics</w:t>
      </w:r>
      <w:r w:rsidR="00330AD7">
        <w:t xml:space="preserve"> and wind farms</w:t>
      </w:r>
      <w:r w:rsidRPr="002B1E0C">
        <w:t xml:space="preserve">; coal-, oil-, and gas-fired generators; </w:t>
      </w:r>
      <w:r w:rsidR="005A1F9E" w:rsidRPr="002B1E0C">
        <w:t>nuclear</w:t>
      </w:r>
      <w:r w:rsidRPr="002B1E0C">
        <w:t xml:space="preserve">; </w:t>
      </w:r>
      <w:r w:rsidR="005A1F9E" w:rsidRPr="002B1E0C">
        <w:t>hydroelectric and pumped</w:t>
      </w:r>
      <w:r w:rsidR="008C16C4" w:rsidRPr="002B1E0C">
        <w:t>-</w:t>
      </w:r>
      <w:r w:rsidR="005A1F9E" w:rsidRPr="002B1E0C">
        <w:t>storage resources</w:t>
      </w:r>
      <w:r w:rsidRPr="002B1E0C">
        <w:t>; and external capacity contracts</w:t>
      </w:r>
      <w:r w:rsidR="009F5108" w:rsidRPr="002B1E0C">
        <w:t>, which</w:t>
      </w:r>
      <w:r w:rsidR="005A1F9E" w:rsidRPr="002B1E0C">
        <w:t xml:space="preserve"> will have capacity supply obligations (CSOs) from June 1, 2019</w:t>
      </w:r>
      <w:r w:rsidR="009F5108" w:rsidRPr="002B1E0C">
        <w:t>,</w:t>
      </w:r>
      <w:r w:rsidR="005A1F9E" w:rsidRPr="002B1E0C">
        <w:t xml:space="preserve"> to May 31, 2020.</w:t>
      </w:r>
      <w:r w:rsidRPr="002B1E0C">
        <w:rPr>
          <w:rStyle w:val="FootnoteReference"/>
        </w:rPr>
        <w:footnoteReference w:id="11"/>
      </w:r>
      <w:r w:rsidR="005A1F9E" w:rsidRPr="002B1E0C">
        <w:t xml:space="preserve"> </w:t>
      </w:r>
      <w:r w:rsidR="008D2F7F" w:rsidRPr="002B1E0C">
        <w:t>Retired resources known as of FCA</w:t>
      </w:r>
      <w:r w:rsidR="00055FBE" w:rsidRPr="002B1E0C">
        <w:t xml:space="preserve"> </w:t>
      </w:r>
      <w:r w:rsidR="008D2F7F" w:rsidRPr="002B1E0C">
        <w:t xml:space="preserve">#10 were also removed from the simulation databases. </w:t>
      </w:r>
    </w:p>
    <w:p w:rsidR="00E56416" w:rsidRPr="002B1E0C" w:rsidRDefault="00C90D4E" w:rsidP="00E11BEF">
      <w:pPr>
        <w:pStyle w:val="ListParagraph"/>
        <w:numPr>
          <w:ilvl w:val="0"/>
          <w:numId w:val="15"/>
        </w:numPr>
      </w:pPr>
      <w:r>
        <w:t>Forward Capacity Market (</w:t>
      </w:r>
      <w:r w:rsidR="00E56416" w:rsidRPr="004F24B6">
        <w:t>FCM</w:t>
      </w:r>
      <w:r>
        <w:t>)</w:t>
      </w:r>
      <w:r w:rsidR="00E56416" w:rsidRPr="004F24B6">
        <w:t xml:space="preserve"> and </w:t>
      </w:r>
      <w:r w:rsidR="00E56416" w:rsidRPr="00904178">
        <w:rPr>
          <w:i/>
        </w:rPr>
        <w:t>energy-only generators</w:t>
      </w:r>
      <w:r w:rsidR="002B1E0C" w:rsidRPr="00047D24">
        <w:t xml:space="preserve"> </w:t>
      </w:r>
      <w:r w:rsidR="00F63A90" w:rsidRPr="00047D24">
        <w:t xml:space="preserve">(i.e., those that receive revenue from the wholesale electric </w:t>
      </w:r>
      <w:r w:rsidR="00F63A90" w:rsidRPr="00047D24">
        <w:rPr>
          <w:szCs w:val="20"/>
        </w:rPr>
        <w:t>energy markets but do not participate in the FCM)</w:t>
      </w:r>
      <w:r w:rsidR="00F63A90" w:rsidRPr="00047D24">
        <w:t xml:space="preserve"> </w:t>
      </w:r>
      <w:r w:rsidR="002B1E0C" w:rsidRPr="00047D24">
        <w:t>were</w:t>
      </w:r>
      <w:r w:rsidR="002B1E0C" w:rsidRPr="004F24B6">
        <w:t xml:space="preserve"> </w:t>
      </w:r>
      <w:r w:rsidR="00E56416" w:rsidRPr="004F24B6">
        <w:t xml:space="preserve">simulated at their summer seasonal </w:t>
      </w:r>
      <w:r w:rsidR="00AD1752" w:rsidRPr="004F24B6">
        <w:t>claimed</w:t>
      </w:r>
      <w:r w:rsidR="004259E4" w:rsidRPr="004F24B6">
        <w:t xml:space="preserve"> </w:t>
      </w:r>
      <w:r w:rsidR="00E56416" w:rsidRPr="004F24B6">
        <w:t>capabilities</w:t>
      </w:r>
      <w:r w:rsidR="00E56416" w:rsidRPr="002B1E0C">
        <w:t xml:space="preserve"> and then reduced to reflect forced outages and average daily unavailabilities of generators</w:t>
      </w:r>
      <w:r w:rsidR="00860D3B">
        <w:t>.</w:t>
      </w:r>
      <w:r>
        <w:rPr>
          <w:rStyle w:val="FootnoteReference"/>
        </w:rPr>
        <w:footnoteReference w:id="12"/>
      </w:r>
    </w:p>
    <w:p w:rsidR="00147DA2" w:rsidRPr="002B1E0C" w:rsidRDefault="00FF76B8" w:rsidP="00A66BAF">
      <w:pPr>
        <w:numPr>
          <w:ilvl w:val="0"/>
          <w:numId w:val="15"/>
        </w:numPr>
        <w:spacing w:after="120"/>
      </w:pPr>
      <w:r w:rsidRPr="002B1E0C">
        <w:t xml:space="preserve">The as-planned transmission system </w:t>
      </w:r>
      <w:r w:rsidR="005E1C85" w:rsidRPr="002B1E0C">
        <w:t xml:space="preserve">was used </w:t>
      </w:r>
      <w:r w:rsidRPr="002B1E0C">
        <w:t xml:space="preserve">for estimating the system’s </w:t>
      </w:r>
      <w:r w:rsidR="005E1C85" w:rsidRPr="002B1E0C">
        <w:t xml:space="preserve">transfer limits for </w:t>
      </w:r>
      <w:r w:rsidRPr="002B1E0C">
        <w:t>internal and external interface</w:t>
      </w:r>
      <w:r w:rsidR="005E1C85" w:rsidRPr="002B1E0C">
        <w:t>s</w:t>
      </w:r>
      <w:r w:rsidRPr="002B1E0C">
        <w:t xml:space="preserve"> under constrained conditions. </w:t>
      </w:r>
      <w:r w:rsidR="00E56416" w:rsidRPr="002B1E0C">
        <w:t>The 2030 internal and external transmission-interface transfer capabilities</w:t>
      </w:r>
      <w:r w:rsidR="005E1C85" w:rsidRPr="002B1E0C">
        <w:t xml:space="preserve"> were </w:t>
      </w:r>
      <w:r w:rsidR="00E56416" w:rsidRPr="002B1E0C">
        <w:t>based on the values established for 2025 for regional planning studies.</w:t>
      </w:r>
      <w:r w:rsidR="00E56416" w:rsidRPr="002B1E0C">
        <w:rPr>
          <w:rStyle w:val="FootnoteReference"/>
        </w:rPr>
        <w:footnoteReference w:id="13"/>
      </w:r>
    </w:p>
    <w:p w:rsidR="00FF76B8" w:rsidRPr="002A15AD" w:rsidRDefault="00FF76B8" w:rsidP="002A15AD">
      <w:pPr>
        <w:numPr>
          <w:ilvl w:val="0"/>
          <w:numId w:val="15"/>
        </w:numPr>
        <w:spacing w:after="120"/>
      </w:pPr>
      <w:r w:rsidRPr="009B44B8">
        <w:rPr>
          <w:noProof/>
        </w:rPr>
        <w:drawing>
          <wp:anchor distT="0" distB="0" distL="114300" distR="114300" simplePos="0" relativeHeight="251656192" behindDoc="1" locked="0" layoutInCell="1" allowOverlap="1" wp14:anchorId="37E99054" wp14:editId="1652BD5C">
            <wp:simplePos x="0" y="0"/>
            <wp:positionH relativeFrom="page">
              <wp:posOffset>-46355</wp:posOffset>
            </wp:positionH>
            <wp:positionV relativeFrom="page">
              <wp:posOffset>-183271160</wp:posOffset>
            </wp:positionV>
            <wp:extent cx="7772400" cy="1005840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5AD">
        <w:t>US Energy Information Administration (EIA) fuel</w:t>
      </w:r>
      <w:r w:rsidR="00DE0B86" w:rsidRPr="002A15AD">
        <w:t>-</w:t>
      </w:r>
      <w:r w:rsidRPr="002A15AD">
        <w:t xml:space="preserve">price forecasts with reference projections to 2030 </w:t>
      </w:r>
      <w:r w:rsidR="00AB6D7B" w:rsidRPr="002A15AD">
        <w:t xml:space="preserve">were used </w:t>
      </w:r>
      <w:r w:rsidRPr="002A15AD">
        <w:t>for estimating costs to produce electric energy</w:t>
      </w:r>
      <w:r w:rsidR="00501DC0">
        <w:t>:</w:t>
      </w:r>
      <w:r w:rsidRPr="002A15AD">
        <w:rPr>
          <w:vertAlign w:val="superscript"/>
        </w:rPr>
        <w:footnoteReference w:id="14"/>
      </w:r>
      <w:r w:rsidRPr="005A0BA1">
        <w:rPr>
          <w:vertAlign w:val="superscript"/>
        </w:rPr>
        <w:t xml:space="preserve"> </w:t>
      </w:r>
    </w:p>
    <w:p w:rsidR="002A15AD" w:rsidRDefault="00FF76B8" w:rsidP="002A15AD">
      <w:pPr>
        <w:pStyle w:val="ListParagraph"/>
        <w:numPr>
          <w:ilvl w:val="0"/>
          <w:numId w:val="16"/>
        </w:numPr>
        <w:ind w:left="1440"/>
        <w:rPr>
          <w:szCs w:val="20"/>
        </w:rPr>
      </w:pPr>
      <w:r w:rsidRPr="0060736F">
        <w:rPr>
          <w:szCs w:val="20"/>
        </w:rPr>
        <w:t>Prices for</w:t>
      </w:r>
      <w:r w:rsidR="009F5108" w:rsidRPr="0060736F">
        <w:rPr>
          <w:szCs w:val="20"/>
        </w:rPr>
        <w:t xml:space="preserve"> the Regional Greenhouse Gas Initiative </w:t>
      </w:r>
      <w:r w:rsidRPr="0060736F">
        <w:rPr>
          <w:szCs w:val="20"/>
        </w:rPr>
        <w:t>CO</w:t>
      </w:r>
      <w:r w:rsidRPr="0060736F">
        <w:rPr>
          <w:szCs w:val="20"/>
          <w:vertAlign w:val="subscript"/>
        </w:rPr>
        <w:t>2</w:t>
      </w:r>
      <w:r w:rsidRPr="0060736F">
        <w:rPr>
          <w:szCs w:val="20"/>
        </w:rPr>
        <w:t xml:space="preserve"> emission allowances </w:t>
      </w:r>
      <w:r w:rsidR="00AB6D7B" w:rsidRPr="00C668B8">
        <w:rPr>
          <w:szCs w:val="20"/>
        </w:rPr>
        <w:t xml:space="preserve">were </w:t>
      </w:r>
      <w:r w:rsidRPr="00C668B8">
        <w:rPr>
          <w:szCs w:val="20"/>
        </w:rPr>
        <w:t xml:space="preserve">specified at </w:t>
      </w:r>
      <w:r w:rsidRPr="00722113">
        <w:rPr>
          <w:szCs w:val="20"/>
        </w:rPr>
        <w:t xml:space="preserve">$24/ton for 2030 </w:t>
      </w:r>
      <w:r w:rsidR="00AB6D7B" w:rsidRPr="00722113">
        <w:rPr>
          <w:szCs w:val="20"/>
        </w:rPr>
        <w:t xml:space="preserve">and used </w:t>
      </w:r>
      <w:r w:rsidRPr="00722113">
        <w:rPr>
          <w:szCs w:val="20"/>
        </w:rPr>
        <w:t>for estimating the costs to produce electric energy</w:t>
      </w:r>
      <w:r w:rsidR="008158BE" w:rsidRPr="00722113">
        <w:rPr>
          <w:szCs w:val="20"/>
        </w:rPr>
        <w:t xml:space="preserve"> for all generating units</w:t>
      </w:r>
      <w:r w:rsidRPr="00722113">
        <w:rPr>
          <w:szCs w:val="20"/>
        </w:rPr>
        <w:t xml:space="preserve">. </w:t>
      </w:r>
    </w:p>
    <w:p w:rsidR="0060736F" w:rsidRPr="00F349FA" w:rsidRDefault="008158BE" w:rsidP="00F63A90">
      <w:pPr>
        <w:pStyle w:val="ListParagraph"/>
        <w:numPr>
          <w:ilvl w:val="0"/>
          <w:numId w:val="16"/>
        </w:numPr>
        <w:spacing w:after="240"/>
        <w:ind w:left="1440"/>
        <w:rPr>
          <w:szCs w:val="20"/>
        </w:rPr>
      </w:pPr>
      <w:r w:rsidRPr="00F349FA">
        <w:rPr>
          <w:szCs w:val="20"/>
        </w:rPr>
        <w:t xml:space="preserve">Emission allowance prices for other environmental emissions were </w:t>
      </w:r>
      <w:r w:rsidR="00F349FA">
        <w:rPr>
          <w:szCs w:val="20"/>
        </w:rPr>
        <w:t xml:space="preserve">also </w:t>
      </w:r>
      <w:r w:rsidRPr="00F349FA">
        <w:rPr>
          <w:szCs w:val="20"/>
        </w:rPr>
        <w:t>assumed</w:t>
      </w:r>
      <w:r w:rsidR="00F349FA">
        <w:rPr>
          <w:szCs w:val="20"/>
        </w:rPr>
        <w:t xml:space="preserve"> but have much less of a significant effect on results</w:t>
      </w:r>
      <w:r w:rsidR="0060736F" w:rsidRPr="00F349FA">
        <w:rPr>
          <w:szCs w:val="20"/>
        </w:rPr>
        <w:t>.</w:t>
      </w:r>
      <w:r w:rsidR="004F24B6">
        <w:rPr>
          <w:rStyle w:val="FootnoteReference"/>
        </w:rPr>
        <w:footnoteReference w:id="15"/>
      </w:r>
      <w:r w:rsidR="0060736F" w:rsidRPr="00F349FA">
        <w:rPr>
          <w:szCs w:val="20"/>
        </w:rPr>
        <w:t xml:space="preserve"> </w:t>
      </w:r>
    </w:p>
    <w:p w:rsidR="00AB6D7B" w:rsidRPr="00BE2EE4" w:rsidRDefault="00AB6D7B" w:rsidP="00BE2EE4">
      <w:r w:rsidRPr="00BE2EE4">
        <w:t xml:space="preserve">The study also made several assumptions on the generic capital costs of new resources and </w:t>
      </w:r>
      <w:r w:rsidR="00195218" w:rsidRPr="00BE2EE4">
        <w:t xml:space="preserve">costs for </w:t>
      </w:r>
      <w:r w:rsidRPr="00BE2EE4">
        <w:t>transmission development</w:t>
      </w:r>
      <w:r w:rsidR="00195218" w:rsidRPr="00BE2EE4">
        <w:t xml:space="preserve"> at a high order of magnitude</w:t>
      </w:r>
      <w:r w:rsidRPr="00BE2EE4">
        <w:t>. Annual carrying charge rates were assumed for new resources and transmission development.</w:t>
      </w:r>
    </w:p>
    <w:p w:rsidR="001C537B" w:rsidRDefault="001C537B" w:rsidP="001C537B">
      <w:r w:rsidRPr="00A66BAF">
        <w:t>Other assumptions were made for the following parameters for each scenario, as appropriate:</w:t>
      </w:r>
    </w:p>
    <w:p w:rsidR="001C537B" w:rsidRDefault="001C537B" w:rsidP="001C537B">
      <w:pPr>
        <w:numPr>
          <w:ilvl w:val="0"/>
          <w:numId w:val="23"/>
        </w:numPr>
        <w:spacing w:after="120"/>
      </w:pPr>
      <w:r w:rsidRPr="005F6A46">
        <w:t xml:space="preserve">Total resource mix, including retirements, additions, and general locations </w:t>
      </w:r>
    </w:p>
    <w:p w:rsidR="00EF2847" w:rsidRPr="00A66BAF" w:rsidRDefault="00EF2847" w:rsidP="00EF2847">
      <w:pPr>
        <w:numPr>
          <w:ilvl w:val="0"/>
          <w:numId w:val="23"/>
        </w:numPr>
        <w:spacing w:after="120"/>
      </w:pPr>
      <w:r w:rsidRPr="00A66BAF">
        <w:t>Resource capacity values</w:t>
      </w:r>
    </w:p>
    <w:p w:rsidR="00A84A6E" w:rsidRPr="00E11BEF" w:rsidRDefault="001C537B" w:rsidP="001C537B">
      <w:pPr>
        <w:numPr>
          <w:ilvl w:val="0"/>
          <w:numId w:val="23"/>
        </w:numPr>
        <w:spacing w:after="120"/>
      </w:pPr>
      <w:r w:rsidRPr="00E11BEF">
        <w:t>Load profiles (load shape and daily peak), which reflect behind-the-meter resources, mainly PV and EE resources</w:t>
      </w:r>
      <w:r w:rsidRPr="00E11BEF">
        <w:rPr>
          <w:rStyle w:val="FootnoteReference"/>
        </w:rPr>
        <w:footnoteReference w:id="16"/>
      </w:r>
      <w:r w:rsidR="00394F27" w:rsidRPr="00E11BEF">
        <w:t xml:space="preserve"> </w:t>
      </w:r>
    </w:p>
    <w:p w:rsidR="00A84A6E" w:rsidRPr="008A37BD" w:rsidRDefault="001C537B" w:rsidP="00693D65">
      <w:pPr>
        <w:numPr>
          <w:ilvl w:val="0"/>
          <w:numId w:val="23"/>
        </w:numPr>
        <w:spacing w:after="120"/>
      </w:pPr>
      <w:r w:rsidRPr="00E11BEF">
        <w:t>Wind and PV profiles, which</w:t>
      </w:r>
      <w:r>
        <w:t xml:space="preserve"> used hourly profiles developed by the National Renewable Energy Lab</w:t>
      </w:r>
      <w:r w:rsidR="00AA32B2">
        <w:t>oratory</w:t>
      </w:r>
      <w:r>
        <w:t xml:space="preserve"> (NREL) compatible with the hourly system loads used in </w:t>
      </w:r>
      <w:r w:rsidRPr="008A37BD">
        <w:t>the GridView simulations</w:t>
      </w:r>
    </w:p>
    <w:p w:rsidR="00A84A6E" w:rsidRDefault="009F5108" w:rsidP="00693D65">
      <w:pPr>
        <w:numPr>
          <w:ilvl w:val="0"/>
          <w:numId w:val="23"/>
        </w:numPr>
        <w:spacing w:after="120"/>
      </w:pPr>
      <w:r w:rsidRPr="00CA6255">
        <w:t xml:space="preserve">Profiles for </w:t>
      </w:r>
      <w:r w:rsidRPr="00230FBF">
        <w:t xml:space="preserve">charging </w:t>
      </w:r>
      <w:r w:rsidRPr="009069E8">
        <w:t>plug-in hybrid electric vehicles</w:t>
      </w:r>
      <w:r w:rsidRPr="00CA6255">
        <w:t xml:space="preserve"> </w:t>
      </w:r>
      <w:r>
        <w:t xml:space="preserve">(PHEVs) </w:t>
      </w:r>
      <w:r w:rsidRPr="00CA6255">
        <w:t>at night</w:t>
      </w:r>
      <w:r>
        <w:t xml:space="preserve"> </w:t>
      </w:r>
      <w:r w:rsidR="001C4FAA">
        <w:t xml:space="preserve">  </w:t>
      </w:r>
    </w:p>
    <w:p w:rsidR="001C537B" w:rsidRPr="00977248" w:rsidRDefault="001C537B" w:rsidP="00693D65">
      <w:pPr>
        <w:numPr>
          <w:ilvl w:val="0"/>
          <w:numId w:val="23"/>
        </w:numPr>
        <w:spacing w:after="120"/>
      </w:pPr>
      <w:r>
        <w:t>The s</w:t>
      </w:r>
      <w:r w:rsidRPr="009B44B8">
        <w:t>tor</w:t>
      </w:r>
      <w:r>
        <w:t xml:space="preserve">age </w:t>
      </w:r>
      <w:r w:rsidRPr="009B44B8">
        <w:t>and discharg</w:t>
      </w:r>
      <w:r>
        <w:t>e</w:t>
      </w:r>
      <w:r w:rsidRPr="009B44B8">
        <w:t xml:space="preserve"> </w:t>
      </w:r>
      <w:r>
        <w:t xml:space="preserve">of </w:t>
      </w:r>
      <w:r w:rsidRPr="009B44B8">
        <w:t>energy by pumped</w:t>
      </w:r>
      <w:r>
        <w:t>-</w:t>
      </w:r>
      <w:r w:rsidRPr="009B44B8">
        <w:t>storage generation and battery systems</w:t>
      </w:r>
      <w:r>
        <w:t>,</w:t>
      </w:r>
      <w:r w:rsidRPr="009B44B8">
        <w:t xml:space="preserve"> designed to flatten the net load profile </w:t>
      </w:r>
      <w:r w:rsidRPr="00E11BEF">
        <w:t xml:space="preserve">after </w:t>
      </w:r>
      <w:r w:rsidR="00B3632F">
        <w:t xml:space="preserve">accounting for </w:t>
      </w:r>
      <w:r w:rsidR="00E11BEF" w:rsidRPr="00E11BEF">
        <w:t xml:space="preserve">all </w:t>
      </w:r>
      <w:r w:rsidR="00A40569">
        <w:t xml:space="preserve">EE, </w:t>
      </w:r>
      <w:r w:rsidR="00047D24">
        <w:t xml:space="preserve">active demand response, all </w:t>
      </w:r>
      <w:r w:rsidR="00E11BEF" w:rsidRPr="00E11BEF">
        <w:t xml:space="preserve">PV </w:t>
      </w:r>
      <w:r w:rsidR="00A72C3F" w:rsidRPr="00E11BEF">
        <w:t>(</w:t>
      </w:r>
      <w:r w:rsidR="005E1C85" w:rsidRPr="00E11BEF">
        <w:t>BTM and non-BTM</w:t>
      </w:r>
      <w:r w:rsidR="00A72C3F" w:rsidRPr="00E11BEF">
        <w:t>)</w:t>
      </w:r>
      <w:r w:rsidRPr="00E11BEF">
        <w:t xml:space="preserve">, </w:t>
      </w:r>
      <w:r w:rsidR="00047D24">
        <w:t xml:space="preserve">PHEVs, </w:t>
      </w:r>
      <w:r w:rsidRPr="00E11BEF">
        <w:t xml:space="preserve">wind energy, </w:t>
      </w:r>
      <w:r w:rsidR="00047D24">
        <w:t>hydro (excluding pumped storage</w:t>
      </w:r>
      <w:r w:rsidR="00CE4BC3">
        <w:t>)</w:t>
      </w:r>
      <w:r w:rsidR="00047D24">
        <w:t xml:space="preserve">, existing </w:t>
      </w:r>
      <w:r w:rsidR="00CE4BC3">
        <w:t>i</w:t>
      </w:r>
      <w:r w:rsidR="00047D24">
        <w:t xml:space="preserve">mports, </w:t>
      </w:r>
      <w:r w:rsidR="00CE4BC3">
        <w:t xml:space="preserve">and </w:t>
      </w:r>
      <w:r w:rsidR="00047D24">
        <w:t>new imports</w:t>
      </w:r>
      <w:r w:rsidRPr="00977248">
        <w:t xml:space="preserve"> </w:t>
      </w:r>
    </w:p>
    <w:p w:rsidR="009155E0" w:rsidRDefault="009155E0" w:rsidP="001C537B">
      <w:pPr>
        <w:numPr>
          <w:ilvl w:val="0"/>
          <w:numId w:val="48"/>
        </w:numPr>
        <w:spacing w:after="120"/>
      </w:pPr>
      <w:r w:rsidRPr="00E11BEF">
        <w:t>Hydro generation profiles and e</w:t>
      </w:r>
      <w:r w:rsidR="001C537B" w:rsidRPr="00E11BEF">
        <w:t>nergy delivery</w:t>
      </w:r>
      <w:r w:rsidR="009D3DDD" w:rsidRPr="00E11BEF">
        <w:t xml:space="preserve"> </w:t>
      </w:r>
      <w:r w:rsidR="001C537B" w:rsidRPr="00E11BEF">
        <w:t>transfers</w:t>
      </w:r>
      <w:r w:rsidR="001C537B">
        <w:t xml:space="preserve"> (imports) for existing </w:t>
      </w:r>
      <w:r w:rsidR="00D804FA">
        <w:t>ties</w:t>
      </w:r>
      <w:r w:rsidR="001C537B">
        <w:t xml:space="preserve"> developed using historical diurnal profiles for 2013, 2014, and 2015</w:t>
      </w:r>
      <w:r w:rsidR="00A848E3">
        <w:t>, which was consistent with the 2016 Scenario Analysis</w:t>
      </w:r>
      <w:r w:rsidR="00FC46A1">
        <w:t xml:space="preserve"> assumptions</w:t>
      </w:r>
      <w:r w:rsidR="001C537B">
        <w:t xml:space="preserve"> </w:t>
      </w:r>
    </w:p>
    <w:p w:rsidR="001C537B" w:rsidRDefault="001C537B" w:rsidP="001C537B">
      <w:pPr>
        <w:numPr>
          <w:ilvl w:val="0"/>
          <w:numId w:val="23"/>
        </w:numPr>
      </w:pPr>
      <w:r w:rsidRPr="00E11BEF">
        <w:t xml:space="preserve">Trigger prices for </w:t>
      </w:r>
      <w:r w:rsidR="005E1C85" w:rsidRPr="00E11BEF">
        <w:t>reducing</w:t>
      </w:r>
      <w:r w:rsidRPr="00E11BEF">
        <w:t xml:space="preserve"> imports, hydro production, wind generators, and PV outputs to</w:t>
      </w:r>
      <w:r>
        <w:t xml:space="preserve"> </w:t>
      </w:r>
      <w:r w:rsidR="005E1C85">
        <w:t xml:space="preserve">decrease </w:t>
      </w:r>
      <w:r w:rsidRPr="003363A0">
        <w:t>their production during times of oversupply (</w:t>
      </w:r>
      <w:r w:rsidR="000242A4">
        <w:t xml:space="preserve">i.e., </w:t>
      </w:r>
      <w:r w:rsidRPr="003363A0">
        <w:t>spilling) and to respect transmission system</w:t>
      </w:r>
      <w:r>
        <w:t xml:space="preserve"> limitations</w:t>
      </w:r>
    </w:p>
    <w:p w:rsidR="000242A4" w:rsidRDefault="007D4256" w:rsidP="00180946">
      <w:r>
        <w:t>Each of the scenarios reflected differences in t</w:t>
      </w:r>
      <w:r w:rsidR="006524D2">
        <w:t xml:space="preserve">he </w:t>
      </w:r>
      <w:r>
        <w:t xml:space="preserve">assumptions made for </w:t>
      </w:r>
      <w:r w:rsidR="006524D2">
        <w:t xml:space="preserve">net demand and </w:t>
      </w:r>
      <w:r>
        <w:t>the resource mix</w:t>
      </w:r>
      <w:r w:rsidR="006524D2">
        <w:t xml:space="preserve">. </w:t>
      </w:r>
      <w:r w:rsidR="000242A4" w:rsidRPr="00943908">
        <w:fldChar w:fldCharType="begin"/>
      </w:r>
      <w:r w:rsidR="000242A4" w:rsidRPr="00943908">
        <w:instrText xml:space="preserve"> REF _Ref516234251 \h </w:instrText>
      </w:r>
      <w:r w:rsidR="00943908" w:rsidRPr="00067212">
        <w:instrText xml:space="preserve"> \* MERGEFORMAT </w:instrText>
      </w:r>
      <w:r w:rsidR="000242A4" w:rsidRPr="00943908">
        <w:fldChar w:fldCharType="separate"/>
      </w:r>
      <w:r w:rsidR="00872A95" w:rsidRPr="000242A4">
        <w:t xml:space="preserve">Table </w:t>
      </w:r>
      <w:r w:rsidR="00872A95">
        <w:rPr>
          <w:noProof/>
        </w:rPr>
        <w:t>1</w:t>
      </w:r>
      <w:r w:rsidR="00872A95">
        <w:rPr>
          <w:noProof/>
        </w:rPr>
        <w:noBreakHyphen/>
        <w:t>1</w:t>
      </w:r>
      <w:r w:rsidR="000242A4" w:rsidRPr="00943908">
        <w:fldChar w:fldCharType="end"/>
      </w:r>
      <w:r w:rsidR="00BD13F5">
        <w:t xml:space="preserve"> compares key </w:t>
      </w:r>
      <w:r w:rsidR="00FE0B74">
        <w:t>assumptions</w:t>
      </w:r>
      <w:r w:rsidR="00BD13F5">
        <w:t xml:space="preserve"> with </w:t>
      </w:r>
      <w:r w:rsidR="00180946">
        <w:t>the Renew Plus scenario</w:t>
      </w:r>
      <w:r w:rsidR="00943908">
        <w:t>,</w:t>
      </w:r>
      <w:r w:rsidR="00FE0B74">
        <w:t xml:space="preserve"> and</w:t>
      </w:r>
      <w:r w:rsidR="00BD13F5">
        <w:t xml:space="preserve"> </w:t>
      </w:r>
      <w:r w:rsidR="000242A4" w:rsidRPr="00943908">
        <w:fldChar w:fldCharType="begin"/>
      </w:r>
      <w:r w:rsidR="000242A4" w:rsidRPr="00943908">
        <w:instrText xml:space="preserve"> REF _Ref516234257 \h </w:instrText>
      </w:r>
      <w:r w:rsidR="00943908" w:rsidRPr="00067212">
        <w:instrText xml:space="preserve"> \* MERGEFORMAT </w:instrText>
      </w:r>
      <w:r w:rsidR="000242A4" w:rsidRPr="00943908">
        <w:fldChar w:fldCharType="separate"/>
      </w:r>
      <w:r w:rsidR="00872A95" w:rsidRPr="000242A4">
        <w:t xml:space="preserve">Table </w:t>
      </w:r>
      <w:r w:rsidR="00872A95">
        <w:rPr>
          <w:noProof/>
        </w:rPr>
        <w:t>1</w:t>
      </w:r>
      <w:r w:rsidR="00872A95">
        <w:rPr>
          <w:noProof/>
        </w:rPr>
        <w:noBreakHyphen/>
        <w:t>2</w:t>
      </w:r>
      <w:r w:rsidR="000242A4" w:rsidRPr="00943908">
        <w:fldChar w:fldCharType="end"/>
      </w:r>
      <w:r w:rsidR="00BD13F5">
        <w:t xml:space="preserve"> shows the </w:t>
      </w:r>
      <w:r w:rsidR="00FE0B74">
        <w:t>assumed</w:t>
      </w:r>
      <w:r w:rsidR="00180946">
        <w:t xml:space="preserve"> </w:t>
      </w:r>
      <w:r w:rsidR="00FE0B74">
        <w:t>values used in the simulations</w:t>
      </w:r>
      <w:r w:rsidR="00860D3B">
        <w:t xml:space="preserve">. </w:t>
      </w:r>
    </w:p>
    <w:p w:rsidR="002150AB" w:rsidRDefault="002150AB" w:rsidP="00180946"/>
    <w:p w:rsidR="002150AB" w:rsidRDefault="002150AB" w:rsidP="00180946">
      <w:pPr>
        <w:sectPr w:rsidR="002150AB" w:rsidSect="00910EF9">
          <w:headerReference w:type="default" r:id="rId17"/>
          <w:footerReference w:type="default" r:id="rId18"/>
          <w:pgSz w:w="12240" w:h="15840" w:code="1"/>
          <w:pgMar w:top="1440" w:right="1440" w:bottom="1440" w:left="1440" w:header="720" w:footer="720" w:gutter="0"/>
          <w:pgNumType w:start="1"/>
          <w:cols w:space="720"/>
          <w:docGrid w:linePitch="360"/>
        </w:sectPr>
      </w:pPr>
    </w:p>
    <w:p w:rsidR="000242A4" w:rsidRPr="000242A4" w:rsidRDefault="000242A4" w:rsidP="00067212">
      <w:pPr>
        <w:pStyle w:val="Caption"/>
        <w:jc w:val="center"/>
      </w:pPr>
      <w:bookmarkStart w:id="18" w:name="_Ref516234251"/>
      <w:bookmarkStart w:id="19" w:name="_Toc520721011"/>
      <w:r w:rsidRPr="000242A4">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1</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w:t>
      </w:r>
      <w:r w:rsidR="00EA3757">
        <w:rPr>
          <w:noProof/>
        </w:rPr>
        <w:fldChar w:fldCharType="end"/>
      </w:r>
      <w:bookmarkEnd w:id="18"/>
      <w:r w:rsidRPr="000242A4">
        <w:br/>
      </w:r>
      <w:r>
        <w:t>Assumed C</w:t>
      </w:r>
      <w:r w:rsidRPr="000242A4">
        <w:t xml:space="preserve">hanges in </w:t>
      </w:r>
      <w:r>
        <w:t>N</w:t>
      </w:r>
      <w:r w:rsidRPr="000242A4">
        <w:t xml:space="preserve">et </w:t>
      </w:r>
      <w:r>
        <w:t>D</w:t>
      </w:r>
      <w:r w:rsidRPr="000242A4">
        <w:t xml:space="preserve">emand and </w:t>
      </w:r>
      <w:r>
        <w:t>R</w:t>
      </w:r>
      <w:r w:rsidRPr="000242A4">
        <w:t>esources from the Renew Plus Scenario for the EE + Offshore,</w:t>
      </w:r>
      <w:r>
        <w:br/>
      </w:r>
      <w:r w:rsidRPr="000242A4">
        <w:t xml:space="preserve">Onshore Less EE/PV, and </w:t>
      </w:r>
      <w:r w:rsidR="00AF6389">
        <w:t>Wind Less Nuclear</w:t>
      </w:r>
      <w:r w:rsidRPr="000242A4">
        <w:t xml:space="preserve"> Scenarios (MW </w:t>
      </w:r>
      <w:r>
        <w:t>I</w:t>
      </w:r>
      <w:r w:rsidRPr="000242A4">
        <w:t xml:space="preserve">ncreases and </w:t>
      </w:r>
      <w:r>
        <w:t>R</w:t>
      </w:r>
      <w:r w:rsidRPr="000242A4">
        <w:t>eductions</w:t>
      </w:r>
      <w:r>
        <w:t>)</w:t>
      </w:r>
      <w:bookmarkEnd w:id="19"/>
    </w:p>
    <w:tbl>
      <w:tblPr>
        <w:tblW w:w="14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1529"/>
        <w:gridCol w:w="981"/>
        <w:gridCol w:w="1350"/>
        <w:gridCol w:w="1350"/>
        <w:gridCol w:w="1340"/>
        <w:gridCol w:w="1184"/>
        <w:gridCol w:w="1076"/>
        <w:gridCol w:w="1211"/>
        <w:gridCol w:w="1172"/>
        <w:gridCol w:w="947"/>
        <w:gridCol w:w="900"/>
        <w:gridCol w:w="1080"/>
      </w:tblGrid>
      <w:tr w:rsidR="003A3452" w:rsidRPr="00E862C4" w:rsidTr="00904178">
        <w:trPr>
          <w:trHeight w:val="1260"/>
          <w:jc w:val="center"/>
        </w:trPr>
        <w:tc>
          <w:tcPr>
            <w:tcW w:w="1529"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hAnsiTheme="majorHAnsi" w:cs="Arial"/>
                <w:b/>
                <w:bCs/>
                <w:color w:val="FFFFFF" w:themeColor="background1"/>
                <w:kern w:val="24"/>
                <w:sz w:val="16"/>
                <w:szCs w:val="16"/>
              </w:rPr>
              <w:t>Year 2030</w:t>
            </w:r>
          </w:p>
        </w:tc>
        <w:tc>
          <w:tcPr>
            <w:tcW w:w="981"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Gross Demand</w:t>
            </w:r>
          </w:p>
        </w:tc>
        <w:tc>
          <w:tcPr>
            <w:tcW w:w="1350"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Energy Efficiency</w:t>
            </w:r>
          </w:p>
        </w:tc>
        <w:tc>
          <w:tcPr>
            <w:tcW w:w="1350" w:type="dxa"/>
            <w:shd w:val="clear" w:color="auto" w:fill="1795D2" w:themeFill="accent1"/>
            <w:tcMar>
              <w:top w:w="58" w:type="dxa"/>
              <w:left w:w="58" w:type="dxa"/>
              <w:bottom w:w="58" w:type="dxa"/>
              <w:right w:w="58" w:type="dxa"/>
            </w:tcMar>
            <w:vAlign w:val="center"/>
            <w:hideMark/>
          </w:tcPr>
          <w:p w:rsidR="00180946" w:rsidRPr="00904178" w:rsidRDefault="00180946" w:rsidP="000242A4">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Behind</w:t>
            </w:r>
            <w:r w:rsidR="000242A4" w:rsidRPr="00904178">
              <w:rPr>
                <w:rFonts w:asciiTheme="majorHAnsi" w:eastAsiaTheme="minorEastAsia" w:hAnsiTheme="majorHAnsi" w:cstheme="minorBidi"/>
                <w:b/>
                <w:bCs/>
                <w:color w:val="FFFFFF" w:themeColor="background1"/>
                <w:kern w:val="24"/>
                <w:sz w:val="16"/>
                <w:szCs w:val="16"/>
              </w:rPr>
              <w:t>-the-</w:t>
            </w:r>
            <w:r w:rsidRPr="00904178">
              <w:rPr>
                <w:rFonts w:asciiTheme="majorHAnsi" w:eastAsiaTheme="minorEastAsia" w:hAnsiTheme="majorHAnsi" w:cstheme="minorBidi"/>
                <w:b/>
                <w:bCs/>
                <w:color w:val="FFFFFF" w:themeColor="background1"/>
                <w:kern w:val="24"/>
                <w:sz w:val="16"/>
                <w:szCs w:val="16"/>
              </w:rPr>
              <w:t>Meter PV (Nameplate)</w:t>
            </w:r>
          </w:p>
        </w:tc>
        <w:tc>
          <w:tcPr>
            <w:tcW w:w="1340"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Utility PV (Nameplate)</w:t>
            </w:r>
          </w:p>
        </w:tc>
        <w:tc>
          <w:tcPr>
            <w:tcW w:w="1184"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Demand Resources</w:t>
            </w:r>
          </w:p>
        </w:tc>
        <w:tc>
          <w:tcPr>
            <w:tcW w:w="1076"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Retirements</w:t>
            </w:r>
          </w:p>
        </w:tc>
        <w:tc>
          <w:tcPr>
            <w:tcW w:w="1211"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On</w:t>
            </w:r>
            <w:r w:rsidR="000242A4" w:rsidRPr="00904178">
              <w:rPr>
                <w:rFonts w:asciiTheme="majorHAnsi" w:eastAsiaTheme="minorEastAsia" w:hAnsiTheme="majorHAnsi" w:cstheme="minorBidi"/>
                <w:b/>
                <w:bCs/>
                <w:color w:val="FFFFFF" w:themeColor="background1"/>
                <w:kern w:val="24"/>
                <w:sz w:val="16"/>
                <w:szCs w:val="16"/>
              </w:rPr>
              <w:t>s</w:t>
            </w:r>
            <w:r w:rsidRPr="00904178">
              <w:rPr>
                <w:rFonts w:asciiTheme="majorHAnsi" w:eastAsiaTheme="minorEastAsia" w:hAnsiTheme="majorHAnsi" w:cstheme="minorBidi"/>
                <w:b/>
                <w:bCs/>
                <w:color w:val="FFFFFF" w:themeColor="background1"/>
                <w:kern w:val="24"/>
                <w:sz w:val="16"/>
                <w:szCs w:val="16"/>
              </w:rPr>
              <w:t xml:space="preserve">hore </w:t>
            </w:r>
          </w:p>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Wind</w:t>
            </w:r>
          </w:p>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(Nameplate)</w:t>
            </w:r>
          </w:p>
        </w:tc>
        <w:tc>
          <w:tcPr>
            <w:tcW w:w="1172" w:type="dxa"/>
            <w:shd w:val="clear" w:color="auto" w:fill="1795D2" w:themeFill="accent1"/>
            <w:tcMar>
              <w:top w:w="58" w:type="dxa"/>
              <w:left w:w="58" w:type="dxa"/>
              <w:bottom w:w="58" w:type="dxa"/>
              <w:right w:w="58" w:type="dxa"/>
            </w:tcMar>
            <w:vAlign w:val="center"/>
            <w:hideMark/>
          </w:tcPr>
          <w:p w:rsidR="00180946" w:rsidRPr="00904178" w:rsidRDefault="00180946" w:rsidP="000242A4">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Off</w:t>
            </w:r>
            <w:r w:rsidR="000242A4" w:rsidRPr="00904178">
              <w:rPr>
                <w:rFonts w:asciiTheme="majorHAnsi" w:eastAsiaTheme="minorEastAsia" w:hAnsiTheme="majorHAnsi" w:cstheme="minorBidi"/>
                <w:b/>
                <w:bCs/>
                <w:color w:val="FFFFFF" w:themeColor="background1"/>
                <w:kern w:val="24"/>
                <w:sz w:val="16"/>
                <w:szCs w:val="16"/>
              </w:rPr>
              <w:t>s</w:t>
            </w:r>
            <w:r w:rsidRPr="00904178">
              <w:rPr>
                <w:rFonts w:asciiTheme="majorHAnsi" w:eastAsiaTheme="minorEastAsia" w:hAnsiTheme="majorHAnsi" w:cstheme="minorBidi"/>
                <w:b/>
                <w:bCs/>
                <w:color w:val="FFFFFF" w:themeColor="background1"/>
                <w:kern w:val="24"/>
                <w:sz w:val="16"/>
                <w:szCs w:val="16"/>
              </w:rPr>
              <w:t>hore Wind (Nameplate)</w:t>
            </w:r>
          </w:p>
        </w:tc>
        <w:tc>
          <w:tcPr>
            <w:tcW w:w="947" w:type="dxa"/>
            <w:shd w:val="clear" w:color="auto" w:fill="1795D2" w:themeFill="accent1"/>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Battery Storage</w:t>
            </w:r>
          </w:p>
        </w:tc>
        <w:tc>
          <w:tcPr>
            <w:tcW w:w="900" w:type="dxa"/>
            <w:shd w:val="clear" w:color="auto" w:fill="1795D2" w:themeFill="accent1"/>
            <w:tcMar>
              <w:top w:w="58" w:type="dxa"/>
              <w:left w:w="58" w:type="dxa"/>
              <w:bottom w:w="58" w:type="dxa"/>
              <w:right w:w="58" w:type="dxa"/>
            </w:tcMar>
            <w:vAlign w:val="center"/>
            <w:hideMark/>
          </w:tcPr>
          <w:p w:rsidR="00180946" w:rsidRPr="00904178" w:rsidRDefault="000242A4" w:rsidP="00180946">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Plug-In Hybrid Electric Vehicles (</w:t>
            </w:r>
            <w:r w:rsidR="00180946" w:rsidRPr="00904178">
              <w:rPr>
                <w:rFonts w:asciiTheme="majorHAnsi" w:eastAsiaTheme="minorEastAsia" w:hAnsiTheme="majorHAnsi" w:cstheme="minorBidi"/>
                <w:b/>
                <w:bCs/>
                <w:color w:val="FFFFFF" w:themeColor="background1"/>
                <w:kern w:val="24"/>
                <w:sz w:val="16"/>
                <w:szCs w:val="16"/>
              </w:rPr>
              <w:t>PHEV</w:t>
            </w:r>
            <w:r w:rsidRPr="00904178">
              <w:rPr>
                <w:rFonts w:asciiTheme="majorHAnsi" w:eastAsiaTheme="minorEastAsia" w:hAnsiTheme="majorHAnsi" w:cstheme="minorBidi"/>
                <w:b/>
                <w:bCs/>
                <w:color w:val="FFFFFF" w:themeColor="background1"/>
                <w:kern w:val="24"/>
                <w:sz w:val="16"/>
                <w:szCs w:val="16"/>
              </w:rPr>
              <w:t>)</w:t>
            </w:r>
          </w:p>
        </w:tc>
        <w:tc>
          <w:tcPr>
            <w:tcW w:w="1080" w:type="dxa"/>
            <w:shd w:val="clear" w:color="auto" w:fill="1795D2" w:themeFill="accent1"/>
            <w:tcMar>
              <w:top w:w="58" w:type="dxa"/>
              <w:left w:w="58" w:type="dxa"/>
              <w:bottom w:w="58" w:type="dxa"/>
              <w:right w:w="58" w:type="dxa"/>
            </w:tcMar>
            <w:vAlign w:val="center"/>
            <w:hideMark/>
          </w:tcPr>
          <w:p w:rsidR="00180946" w:rsidRPr="00904178" w:rsidRDefault="00180946" w:rsidP="000242A4">
            <w:pPr>
              <w:adjustRightInd/>
              <w:spacing w:after="0" w:line="240" w:lineRule="auto"/>
              <w:jc w:val="center"/>
              <w:textAlignment w:val="center"/>
              <w:rPr>
                <w:rFonts w:asciiTheme="majorHAnsi" w:hAnsiTheme="majorHAnsi" w:cs="Arial"/>
                <w:color w:val="FFFFFF" w:themeColor="background1"/>
                <w:sz w:val="16"/>
                <w:szCs w:val="16"/>
              </w:rPr>
            </w:pPr>
            <w:r w:rsidRPr="00904178">
              <w:rPr>
                <w:rFonts w:asciiTheme="majorHAnsi" w:eastAsiaTheme="minorEastAsia" w:hAnsiTheme="majorHAnsi" w:cstheme="minorBidi"/>
                <w:b/>
                <w:bCs/>
                <w:color w:val="FFFFFF" w:themeColor="background1"/>
                <w:kern w:val="24"/>
                <w:sz w:val="16"/>
                <w:szCs w:val="16"/>
              </w:rPr>
              <w:t xml:space="preserve">Add. Imports from </w:t>
            </w:r>
            <w:r w:rsidR="000242A4" w:rsidRPr="00904178">
              <w:rPr>
                <w:rFonts w:asciiTheme="majorHAnsi" w:eastAsiaTheme="minorEastAsia" w:hAnsiTheme="majorHAnsi" w:cstheme="minorBidi"/>
                <w:b/>
                <w:bCs/>
                <w:color w:val="FFFFFF" w:themeColor="background1"/>
                <w:kern w:val="24"/>
                <w:sz w:val="16"/>
                <w:szCs w:val="16"/>
              </w:rPr>
              <w:t>Hydro-Québec (</w:t>
            </w:r>
            <w:r w:rsidRPr="00904178">
              <w:rPr>
                <w:rFonts w:asciiTheme="majorHAnsi" w:eastAsiaTheme="minorEastAsia" w:hAnsiTheme="majorHAnsi" w:cstheme="minorBidi"/>
                <w:b/>
                <w:bCs/>
                <w:color w:val="FFFFFF" w:themeColor="background1"/>
                <w:kern w:val="24"/>
                <w:sz w:val="16"/>
                <w:szCs w:val="16"/>
              </w:rPr>
              <w:t>HQ</w:t>
            </w:r>
            <w:r w:rsidR="000242A4" w:rsidRPr="00904178">
              <w:rPr>
                <w:rFonts w:asciiTheme="majorHAnsi" w:eastAsiaTheme="minorEastAsia" w:hAnsiTheme="majorHAnsi" w:cstheme="minorBidi"/>
                <w:b/>
                <w:bCs/>
                <w:color w:val="FFFFFF" w:themeColor="background1"/>
                <w:kern w:val="24"/>
                <w:sz w:val="16"/>
                <w:szCs w:val="16"/>
              </w:rPr>
              <w:t>)</w:t>
            </w:r>
            <w:r w:rsidRPr="00904178">
              <w:rPr>
                <w:rFonts w:asciiTheme="majorHAnsi" w:eastAsiaTheme="minorEastAsia" w:hAnsiTheme="majorHAnsi" w:cstheme="minorBidi"/>
                <w:b/>
                <w:bCs/>
                <w:color w:val="FFFFFF" w:themeColor="background1"/>
                <w:kern w:val="24"/>
                <w:sz w:val="16"/>
                <w:szCs w:val="16"/>
              </w:rPr>
              <w:t xml:space="preserve"> and </w:t>
            </w:r>
            <w:r w:rsidR="000242A4" w:rsidRPr="00904178">
              <w:rPr>
                <w:rFonts w:asciiTheme="majorHAnsi" w:eastAsiaTheme="minorEastAsia" w:hAnsiTheme="majorHAnsi" w:cstheme="minorBidi"/>
                <w:b/>
                <w:bCs/>
                <w:color w:val="FFFFFF" w:themeColor="background1"/>
                <w:kern w:val="24"/>
                <w:sz w:val="16"/>
                <w:szCs w:val="16"/>
              </w:rPr>
              <w:t>New Brunswick (</w:t>
            </w:r>
            <w:r w:rsidRPr="00904178">
              <w:rPr>
                <w:rFonts w:asciiTheme="majorHAnsi" w:eastAsiaTheme="minorEastAsia" w:hAnsiTheme="majorHAnsi" w:cstheme="minorBidi"/>
                <w:b/>
                <w:bCs/>
                <w:color w:val="FFFFFF" w:themeColor="background1"/>
                <w:kern w:val="24"/>
                <w:sz w:val="16"/>
                <w:szCs w:val="16"/>
              </w:rPr>
              <w:t>NB</w:t>
            </w:r>
            <w:r w:rsidR="000242A4" w:rsidRPr="00904178">
              <w:rPr>
                <w:rFonts w:asciiTheme="majorHAnsi" w:eastAsiaTheme="minorEastAsia" w:hAnsiTheme="majorHAnsi" w:cstheme="minorBidi"/>
                <w:b/>
                <w:bCs/>
                <w:color w:val="FFFFFF" w:themeColor="background1"/>
                <w:kern w:val="24"/>
                <w:sz w:val="16"/>
                <w:szCs w:val="16"/>
              </w:rPr>
              <w:t>)</w:t>
            </w:r>
          </w:p>
        </w:tc>
      </w:tr>
      <w:tr w:rsidR="00F6244E" w:rsidRPr="00E862C4" w:rsidTr="00904178">
        <w:trPr>
          <w:trHeight w:val="1228"/>
          <w:jc w:val="center"/>
        </w:trPr>
        <w:tc>
          <w:tcPr>
            <w:tcW w:w="1529"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b/>
                <w:bCs/>
                <w:color w:val="000000"/>
                <w:kern w:val="24"/>
                <w:sz w:val="16"/>
                <w:szCs w:val="16"/>
              </w:rPr>
            </w:pPr>
            <w:r w:rsidRPr="00904178">
              <w:rPr>
                <w:rFonts w:asciiTheme="majorHAnsi" w:hAnsiTheme="majorHAnsi" w:cs="Arial"/>
                <w:b/>
                <w:bCs/>
                <w:color w:val="000000"/>
                <w:kern w:val="24"/>
                <w:sz w:val="16"/>
                <w:szCs w:val="16"/>
              </w:rPr>
              <w:t>2016 Scenario 3</w:t>
            </w:r>
          </w:p>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b/>
                <w:bCs/>
                <w:color w:val="000000"/>
                <w:kern w:val="24"/>
                <w:sz w:val="16"/>
                <w:szCs w:val="16"/>
              </w:rPr>
              <w:t>Renew Plus</w:t>
            </w:r>
          </w:p>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b/>
                <w:bCs/>
                <w:kern w:val="24"/>
                <w:sz w:val="16"/>
                <w:szCs w:val="16"/>
              </w:rPr>
              <w:t>(Reference)</w:t>
            </w:r>
          </w:p>
        </w:tc>
        <w:tc>
          <w:tcPr>
            <w:tcW w:w="981"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Based on 2016 CELT Forecast</w:t>
            </w:r>
            <w:r w:rsidR="002150AB" w:rsidRPr="00904178">
              <w:rPr>
                <w:rFonts w:asciiTheme="majorHAnsi" w:hAnsiTheme="majorHAnsi" w:cs="Arial"/>
                <w:kern w:val="24"/>
                <w:sz w:val="16"/>
                <w:szCs w:val="16"/>
              </w:rPr>
              <w:br/>
            </w:r>
            <w:r w:rsidRPr="00904178">
              <w:rPr>
                <w:rFonts w:asciiTheme="majorHAnsi" w:hAnsiTheme="majorHAnsi" w:cs="Arial"/>
                <w:kern w:val="24"/>
                <w:sz w:val="16"/>
                <w:szCs w:val="16"/>
              </w:rPr>
              <w:t>33,343 MW</w:t>
            </w:r>
          </w:p>
        </w:tc>
        <w:tc>
          <w:tcPr>
            <w:tcW w:w="1350"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7,009 MW</w:t>
            </w:r>
          </w:p>
        </w:tc>
        <w:tc>
          <w:tcPr>
            <w:tcW w:w="1350"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6,000 MW</w:t>
            </w:r>
          </w:p>
        </w:tc>
        <w:tc>
          <w:tcPr>
            <w:tcW w:w="1340"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6,000 MW</w:t>
            </w:r>
          </w:p>
        </w:tc>
        <w:tc>
          <w:tcPr>
            <w:tcW w:w="1184" w:type="dxa"/>
            <w:shd w:val="clear" w:color="auto" w:fill="auto"/>
            <w:tcMar>
              <w:top w:w="58" w:type="dxa"/>
              <w:left w:w="58" w:type="dxa"/>
              <w:bottom w:w="58" w:type="dxa"/>
              <w:right w:w="58" w:type="dxa"/>
            </w:tcMar>
            <w:vAlign w:val="center"/>
            <w:hideMark/>
          </w:tcPr>
          <w:p w:rsidR="00180946" w:rsidRPr="00904178" w:rsidRDefault="00180946" w:rsidP="00D72F87">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 xml:space="preserve">FCA </w:t>
            </w:r>
            <w:r w:rsidR="00071DD3" w:rsidRPr="00904178">
              <w:rPr>
                <w:rFonts w:asciiTheme="majorHAnsi" w:hAnsiTheme="majorHAnsi" w:cs="Arial"/>
                <w:kern w:val="24"/>
                <w:sz w:val="16"/>
                <w:szCs w:val="16"/>
              </w:rPr>
              <w:t>#</w:t>
            </w:r>
            <w:r w:rsidRPr="00904178">
              <w:rPr>
                <w:rFonts w:asciiTheme="majorHAnsi" w:hAnsiTheme="majorHAnsi" w:cs="Arial"/>
                <w:kern w:val="24"/>
                <w:sz w:val="16"/>
                <w:szCs w:val="16"/>
              </w:rPr>
              <w:t>10</w:t>
            </w:r>
            <w:r w:rsidR="00D72F87" w:rsidRPr="00904178">
              <w:rPr>
                <w:rFonts w:asciiTheme="majorHAnsi" w:hAnsiTheme="majorHAnsi" w:cs="Arial"/>
                <w:kern w:val="24"/>
                <w:sz w:val="16"/>
                <w:szCs w:val="16"/>
              </w:rPr>
              <w:t>, e</w:t>
            </w:r>
            <w:r w:rsidRPr="00904178">
              <w:rPr>
                <w:rFonts w:asciiTheme="majorHAnsi" w:hAnsiTheme="majorHAnsi" w:cs="Arial"/>
                <w:kern w:val="24"/>
                <w:sz w:val="16"/>
                <w:szCs w:val="16"/>
              </w:rPr>
              <w:t xml:space="preserve">xcl. </w:t>
            </w:r>
            <w:r w:rsidR="00071DD3" w:rsidRPr="00904178">
              <w:rPr>
                <w:rFonts w:asciiTheme="majorHAnsi" w:hAnsiTheme="majorHAnsi" w:cs="Arial"/>
                <w:kern w:val="24"/>
                <w:sz w:val="16"/>
                <w:szCs w:val="16"/>
              </w:rPr>
              <w:t>real-time emergency generation (R</w:t>
            </w:r>
            <w:r w:rsidRPr="00904178">
              <w:rPr>
                <w:rFonts w:asciiTheme="majorHAnsi" w:hAnsiTheme="majorHAnsi" w:cs="Arial"/>
                <w:kern w:val="24"/>
                <w:sz w:val="16"/>
                <w:szCs w:val="16"/>
              </w:rPr>
              <w:t>TEG</w:t>
            </w:r>
            <w:r w:rsidR="00071DD3" w:rsidRPr="00904178">
              <w:rPr>
                <w:rFonts w:asciiTheme="majorHAnsi" w:hAnsiTheme="majorHAnsi" w:cs="Arial"/>
                <w:kern w:val="24"/>
                <w:sz w:val="16"/>
                <w:szCs w:val="16"/>
              </w:rPr>
              <w:t>)</w:t>
            </w:r>
            <w:r w:rsidR="00D72F87" w:rsidRPr="00904178">
              <w:rPr>
                <w:rFonts w:asciiTheme="majorHAnsi" w:hAnsiTheme="majorHAnsi" w:cs="Arial"/>
                <w:kern w:val="24"/>
                <w:sz w:val="16"/>
                <w:szCs w:val="16"/>
              </w:rPr>
              <w:t>;</w:t>
            </w:r>
            <w:r w:rsidRPr="00904178">
              <w:rPr>
                <w:rFonts w:asciiTheme="majorHAnsi" w:hAnsiTheme="majorHAnsi" w:cs="Arial"/>
                <w:kern w:val="24"/>
                <w:sz w:val="16"/>
                <w:szCs w:val="16"/>
              </w:rPr>
              <w:br/>
            </w:r>
            <w:r w:rsidR="00D72F87" w:rsidRPr="00904178">
              <w:rPr>
                <w:rFonts w:asciiTheme="majorHAnsi" w:hAnsiTheme="majorHAnsi" w:cs="Arial"/>
                <w:kern w:val="24"/>
                <w:sz w:val="16"/>
                <w:szCs w:val="16"/>
              </w:rPr>
              <w:t>a</w:t>
            </w:r>
            <w:r w:rsidRPr="00904178">
              <w:rPr>
                <w:rFonts w:asciiTheme="majorHAnsi" w:hAnsiTheme="majorHAnsi" w:cs="Arial"/>
                <w:kern w:val="24"/>
                <w:sz w:val="16"/>
                <w:szCs w:val="16"/>
              </w:rPr>
              <w:t>dd</w:t>
            </w:r>
            <w:r w:rsidR="00D72F87" w:rsidRPr="00904178">
              <w:rPr>
                <w:rFonts w:asciiTheme="majorHAnsi" w:hAnsiTheme="majorHAnsi" w:cs="Arial"/>
                <w:kern w:val="24"/>
                <w:sz w:val="16"/>
                <w:szCs w:val="16"/>
              </w:rPr>
              <w:t>ed</w:t>
            </w:r>
            <w:r w:rsidR="00D72F87" w:rsidRPr="00904178">
              <w:rPr>
                <w:rFonts w:asciiTheme="majorHAnsi" w:hAnsiTheme="majorHAnsi" w:cs="Arial"/>
                <w:kern w:val="24"/>
                <w:sz w:val="16"/>
                <w:szCs w:val="16"/>
              </w:rPr>
              <w:br/>
            </w:r>
            <w:r w:rsidRPr="00904178">
              <w:rPr>
                <w:rFonts w:asciiTheme="majorHAnsi" w:hAnsiTheme="majorHAnsi" w:cs="Arial"/>
                <w:kern w:val="24"/>
                <w:sz w:val="16"/>
                <w:szCs w:val="16"/>
              </w:rPr>
              <w:t xml:space="preserve">1,000 MW of </w:t>
            </w:r>
            <w:r w:rsidR="00D72F87" w:rsidRPr="00904178">
              <w:rPr>
                <w:rFonts w:asciiTheme="majorHAnsi" w:hAnsiTheme="majorHAnsi" w:cs="Arial"/>
                <w:kern w:val="24"/>
                <w:sz w:val="16"/>
                <w:szCs w:val="16"/>
              </w:rPr>
              <w:t>a</w:t>
            </w:r>
            <w:r w:rsidRPr="00904178">
              <w:rPr>
                <w:rFonts w:asciiTheme="majorHAnsi" w:hAnsiTheme="majorHAnsi" w:cs="Arial"/>
                <w:kern w:val="24"/>
                <w:sz w:val="16"/>
                <w:szCs w:val="16"/>
              </w:rPr>
              <w:t xml:space="preserve">ctive </w:t>
            </w:r>
            <w:r w:rsidR="00071DD3" w:rsidRPr="00904178">
              <w:rPr>
                <w:rFonts w:asciiTheme="majorHAnsi" w:hAnsiTheme="majorHAnsi" w:cs="Arial"/>
                <w:kern w:val="24"/>
                <w:sz w:val="16"/>
                <w:szCs w:val="16"/>
              </w:rPr>
              <w:t>demand resources</w:t>
            </w:r>
          </w:p>
        </w:tc>
        <w:tc>
          <w:tcPr>
            <w:tcW w:w="1076"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 xml:space="preserve">All oldest </w:t>
            </w:r>
            <w:r w:rsidR="00071DD3" w:rsidRPr="00904178">
              <w:rPr>
                <w:rFonts w:asciiTheme="majorHAnsi" w:hAnsiTheme="majorHAnsi" w:cs="Arial"/>
                <w:kern w:val="24"/>
                <w:sz w:val="16"/>
                <w:szCs w:val="16"/>
              </w:rPr>
              <w:t>o</w:t>
            </w:r>
            <w:r w:rsidRPr="00904178">
              <w:rPr>
                <w:rFonts w:asciiTheme="majorHAnsi" w:hAnsiTheme="majorHAnsi" w:cs="Arial"/>
                <w:kern w:val="24"/>
                <w:sz w:val="16"/>
                <w:szCs w:val="16"/>
              </w:rPr>
              <w:t>il/</w:t>
            </w:r>
            <w:r w:rsidR="00071DD3" w:rsidRPr="00904178">
              <w:rPr>
                <w:rFonts w:asciiTheme="majorHAnsi" w:hAnsiTheme="majorHAnsi" w:cs="Arial"/>
                <w:kern w:val="24"/>
                <w:sz w:val="16"/>
                <w:szCs w:val="16"/>
              </w:rPr>
              <w:t>c</w:t>
            </w:r>
            <w:r w:rsidRPr="00904178">
              <w:rPr>
                <w:rFonts w:asciiTheme="majorHAnsi" w:hAnsiTheme="majorHAnsi" w:cs="Arial"/>
                <w:kern w:val="24"/>
                <w:sz w:val="16"/>
                <w:szCs w:val="16"/>
              </w:rPr>
              <w:t xml:space="preserve">oal </w:t>
            </w:r>
            <w:r w:rsidR="002150AB" w:rsidRPr="00904178">
              <w:rPr>
                <w:rFonts w:asciiTheme="majorHAnsi" w:hAnsiTheme="majorHAnsi" w:cs="Arial"/>
                <w:kern w:val="24"/>
                <w:sz w:val="16"/>
                <w:szCs w:val="16"/>
              </w:rPr>
              <w:br/>
            </w:r>
            <w:r w:rsidRPr="00904178">
              <w:rPr>
                <w:rFonts w:asciiTheme="majorHAnsi" w:hAnsiTheme="majorHAnsi" w:cs="Arial"/>
                <w:kern w:val="24"/>
                <w:sz w:val="16"/>
                <w:szCs w:val="16"/>
              </w:rPr>
              <w:t>approx.</w:t>
            </w:r>
            <w:r w:rsidR="002150AB" w:rsidRPr="00904178">
              <w:rPr>
                <w:rFonts w:asciiTheme="majorHAnsi" w:hAnsiTheme="majorHAnsi" w:cs="Arial"/>
                <w:kern w:val="24"/>
                <w:sz w:val="16"/>
                <w:szCs w:val="16"/>
              </w:rPr>
              <w:br/>
            </w:r>
            <w:r w:rsidRPr="00904178">
              <w:rPr>
                <w:rFonts w:asciiTheme="majorHAnsi" w:hAnsiTheme="majorHAnsi" w:cs="Arial"/>
                <w:kern w:val="24"/>
                <w:sz w:val="16"/>
                <w:szCs w:val="16"/>
              </w:rPr>
              <w:t>5,600 MW</w:t>
            </w:r>
          </w:p>
        </w:tc>
        <w:tc>
          <w:tcPr>
            <w:tcW w:w="1211"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4,800 MW</w:t>
            </w:r>
          </w:p>
        </w:tc>
        <w:tc>
          <w:tcPr>
            <w:tcW w:w="1172"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2,483 MW</w:t>
            </w:r>
          </w:p>
        </w:tc>
        <w:tc>
          <w:tcPr>
            <w:tcW w:w="947"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2,500 MW</w:t>
            </w:r>
          </w:p>
        </w:tc>
        <w:tc>
          <w:tcPr>
            <w:tcW w:w="900" w:type="dxa"/>
            <w:shd w:val="clear" w:color="auto" w:fill="auto"/>
            <w:tcMar>
              <w:top w:w="58" w:type="dxa"/>
              <w:left w:w="58" w:type="dxa"/>
              <w:bottom w:w="58" w:type="dxa"/>
              <w:right w:w="58" w:type="dxa"/>
            </w:tcMar>
            <w:vAlign w:val="center"/>
            <w:hideMark/>
          </w:tcPr>
          <w:p w:rsidR="00180946" w:rsidRPr="00904178" w:rsidRDefault="00180946" w:rsidP="00071DD3">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 xml:space="preserve">4.2 </w:t>
            </w:r>
            <w:r w:rsidR="00071DD3" w:rsidRPr="00904178">
              <w:rPr>
                <w:rFonts w:asciiTheme="majorHAnsi" w:hAnsiTheme="majorHAnsi" w:cs="Arial"/>
                <w:kern w:val="24"/>
                <w:sz w:val="16"/>
                <w:szCs w:val="16"/>
              </w:rPr>
              <w:t>m</w:t>
            </w:r>
            <w:r w:rsidRPr="00904178">
              <w:rPr>
                <w:rFonts w:asciiTheme="majorHAnsi" w:hAnsiTheme="majorHAnsi" w:cs="Arial"/>
                <w:kern w:val="24"/>
                <w:sz w:val="16"/>
                <w:szCs w:val="16"/>
              </w:rPr>
              <w:t>illion</w:t>
            </w:r>
          </w:p>
        </w:tc>
        <w:tc>
          <w:tcPr>
            <w:tcW w:w="1080" w:type="dxa"/>
            <w:shd w:val="clear" w:color="auto" w:fill="auto"/>
            <w:tcMar>
              <w:top w:w="58" w:type="dxa"/>
              <w:left w:w="58" w:type="dxa"/>
              <w:bottom w:w="58" w:type="dxa"/>
              <w:right w:w="58" w:type="dxa"/>
            </w:tcMar>
            <w:vAlign w:val="center"/>
            <w:hideMark/>
          </w:tcPr>
          <w:p w:rsidR="00180946" w:rsidRPr="00904178" w:rsidRDefault="00180946" w:rsidP="00180946">
            <w:pPr>
              <w:adjustRightInd/>
              <w:spacing w:after="0" w:line="240" w:lineRule="auto"/>
              <w:jc w:val="center"/>
              <w:textAlignment w:val="center"/>
              <w:rPr>
                <w:rFonts w:asciiTheme="majorHAnsi" w:hAnsiTheme="majorHAnsi" w:cs="Arial"/>
                <w:sz w:val="16"/>
                <w:szCs w:val="16"/>
              </w:rPr>
            </w:pPr>
            <w:r w:rsidRPr="00904178">
              <w:rPr>
                <w:rFonts w:asciiTheme="majorHAnsi" w:hAnsiTheme="majorHAnsi" w:cs="Arial"/>
                <w:kern w:val="24"/>
                <w:sz w:val="16"/>
                <w:szCs w:val="16"/>
              </w:rPr>
              <w:t>2,000 MW</w:t>
            </w:r>
          </w:p>
        </w:tc>
      </w:tr>
      <w:tr w:rsidR="00E92573" w:rsidRPr="00E862C4" w:rsidTr="005D493A">
        <w:trPr>
          <w:trHeight w:val="705"/>
          <w:jc w:val="center"/>
        </w:trPr>
        <w:tc>
          <w:tcPr>
            <w:tcW w:w="1529"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2017 Scenario A</w:t>
            </w:r>
          </w:p>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EE + Offshore</w:t>
            </w:r>
          </w:p>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(Change from 2016 Scenario 3)</w:t>
            </w:r>
          </w:p>
        </w:tc>
        <w:tc>
          <w:tcPr>
            <w:tcW w:w="981"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 </w:t>
            </w:r>
          </w:p>
        </w:tc>
        <w:tc>
          <w:tcPr>
            <w:tcW w:w="135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Increased by 2,000 MW</w:t>
            </w:r>
          </w:p>
        </w:tc>
        <w:tc>
          <w:tcPr>
            <w:tcW w:w="135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Increased by 2,000 MW</w:t>
            </w:r>
          </w:p>
        </w:tc>
        <w:tc>
          <w:tcPr>
            <w:tcW w:w="134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by</w:t>
            </w:r>
            <w:r w:rsidRPr="005D493A">
              <w:rPr>
                <w:rFonts w:asciiTheme="majorHAnsi" w:hAnsiTheme="majorHAnsi" w:cs="Arial"/>
                <w:kern w:val="24"/>
                <w:sz w:val="16"/>
                <w:szCs w:val="16"/>
              </w:rPr>
              <w:br/>
              <w:t>2,000 MW</w:t>
            </w:r>
          </w:p>
        </w:tc>
        <w:tc>
          <w:tcPr>
            <w:tcW w:w="1184"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076"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211"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by 2,800 MW</w:t>
            </w:r>
          </w:p>
        </w:tc>
        <w:tc>
          <w:tcPr>
            <w:tcW w:w="1172"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Increased by 1,000 MW</w:t>
            </w:r>
          </w:p>
        </w:tc>
        <w:tc>
          <w:tcPr>
            <w:tcW w:w="947"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90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08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by</w:t>
            </w:r>
            <w:r w:rsidRPr="005D493A">
              <w:rPr>
                <w:rFonts w:asciiTheme="majorHAnsi" w:hAnsiTheme="majorHAnsi" w:cs="Arial"/>
                <w:kern w:val="24"/>
                <w:sz w:val="16"/>
                <w:szCs w:val="16"/>
              </w:rPr>
              <w:br/>
              <w:t>1,000 MW</w:t>
            </w:r>
          </w:p>
        </w:tc>
      </w:tr>
      <w:tr w:rsidR="00F6244E" w:rsidRPr="00E862C4" w:rsidTr="005D493A">
        <w:trPr>
          <w:trHeight w:val="1152"/>
          <w:jc w:val="center"/>
        </w:trPr>
        <w:tc>
          <w:tcPr>
            <w:tcW w:w="1529" w:type="dxa"/>
            <w:shd w:val="clear" w:color="auto" w:fill="auto"/>
            <w:tcMar>
              <w:top w:w="58" w:type="dxa"/>
              <w:left w:w="58" w:type="dxa"/>
              <w:bottom w:w="58" w:type="dxa"/>
              <w:right w:w="58" w:type="dxa"/>
            </w:tcMar>
            <w:vAlign w:val="center"/>
            <w:hideMark/>
          </w:tcPr>
          <w:p w:rsidR="00180946" w:rsidRPr="005D493A" w:rsidRDefault="00180946"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2017</w:t>
            </w:r>
            <w:r w:rsidR="0012342C" w:rsidRPr="005D493A">
              <w:rPr>
                <w:rFonts w:asciiTheme="majorHAnsi" w:hAnsiTheme="majorHAnsi" w:cs="Arial"/>
                <w:b/>
                <w:bCs/>
                <w:color w:val="000000"/>
                <w:kern w:val="24"/>
                <w:sz w:val="16"/>
                <w:szCs w:val="16"/>
              </w:rPr>
              <w:t xml:space="preserve"> </w:t>
            </w:r>
            <w:r w:rsidRPr="005D493A">
              <w:rPr>
                <w:rFonts w:asciiTheme="majorHAnsi" w:hAnsiTheme="majorHAnsi" w:cs="Arial"/>
                <w:b/>
                <w:bCs/>
                <w:color w:val="000000"/>
                <w:kern w:val="24"/>
                <w:sz w:val="16"/>
                <w:szCs w:val="16"/>
              </w:rPr>
              <w:t>Scenario B</w:t>
            </w:r>
          </w:p>
          <w:p w:rsidR="00180946" w:rsidRPr="005D493A" w:rsidRDefault="00180946"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Onshore Less EE/PV</w:t>
            </w:r>
          </w:p>
          <w:p w:rsidR="00180946" w:rsidRPr="005D493A" w:rsidRDefault="00180946" w:rsidP="00071DD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(Change from 2016 Scenario 3)</w:t>
            </w:r>
          </w:p>
        </w:tc>
        <w:tc>
          <w:tcPr>
            <w:tcW w:w="981" w:type="dxa"/>
            <w:shd w:val="clear" w:color="auto" w:fill="auto"/>
            <w:tcMar>
              <w:top w:w="58" w:type="dxa"/>
              <w:left w:w="58" w:type="dxa"/>
              <w:bottom w:w="58" w:type="dxa"/>
              <w:right w:w="58" w:type="dxa"/>
            </w:tcMar>
            <w:vAlign w:val="center"/>
            <w:hideMark/>
          </w:tcPr>
          <w:p w:rsidR="00180946" w:rsidRPr="005D493A" w:rsidRDefault="00B95209"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r w:rsidR="00180946" w:rsidRPr="005D493A">
              <w:rPr>
                <w:rFonts w:asciiTheme="majorHAnsi" w:hAnsiTheme="majorHAnsi" w:cs="Arial"/>
                <w:kern w:val="24"/>
                <w:sz w:val="16"/>
                <w:szCs w:val="16"/>
              </w:rPr>
              <w:t> </w:t>
            </w:r>
          </w:p>
        </w:tc>
        <w:tc>
          <w:tcPr>
            <w:tcW w:w="1350" w:type="dxa"/>
            <w:shd w:val="clear" w:color="auto" w:fill="auto"/>
            <w:tcMar>
              <w:top w:w="58" w:type="dxa"/>
              <w:left w:w="58" w:type="dxa"/>
              <w:bottom w:w="58" w:type="dxa"/>
              <w:right w:w="58" w:type="dxa"/>
            </w:tcMar>
            <w:vAlign w:val="center"/>
            <w:hideMark/>
          </w:tcPr>
          <w:p w:rsidR="00180946" w:rsidRPr="005D493A" w:rsidRDefault="00180946" w:rsidP="00CE4BC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to 2016 CELT forecast</w:t>
            </w:r>
            <w:r w:rsidR="00330AD7" w:rsidRPr="005D493A">
              <w:rPr>
                <w:rFonts w:asciiTheme="majorHAnsi" w:hAnsiTheme="majorHAnsi" w:cs="Arial"/>
                <w:kern w:val="24"/>
                <w:sz w:val="16"/>
                <w:szCs w:val="16"/>
              </w:rPr>
              <w:t xml:space="preserve"> value of</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4,739 MW</w:t>
            </w:r>
            <w:r w:rsidR="00D72F87" w:rsidRPr="005D493A">
              <w:rPr>
                <w:rFonts w:asciiTheme="majorHAnsi" w:hAnsiTheme="majorHAnsi" w:cs="Arial"/>
                <w:kern w:val="24"/>
                <w:sz w:val="16"/>
                <w:szCs w:val="16"/>
              </w:rPr>
              <w:t>;</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approx.</w:t>
            </w:r>
            <w:r w:rsidR="00071DD3" w:rsidRPr="005D493A">
              <w:rPr>
                <w:rFonts w:asciiTheme="majorHAnsi" w:hAnsiTheme="majorHAnsi" w:cs="Arial"/>
                <w:kern w:val="24"/>
                <w:sz w:val="16"/>
                <w:szCs w:val="16"/>
              </w:rPr>
              <w:br/>
            </w:r>
            <w:r w:rsidRPr="005D493A">
              <w:rPr>
                <w:rFonts w:asciiTheme="majorHAnsi" w:hAnsiTheme="majorHAnsi" w:cs="Arial"/>
                <w:kern w:val="24"/>
                <w:sz w:val="16"/>
                <w:szCs w:val="16"/>
              </w:rPr>
              <w:t>2,300 MW reduc</w:t>
            </w:r>
            <w:r w:rsidR="00CE4BC3" w:rsidRPr="005D493A">
              <w:rPr>
                <w:rFonts w:asciiTheme="majorHAnsi" w:hAnsiTheme="majorHAnsi" w:cs="Arial"/>
                <w:kern w:val="24"/>
                <w:sz w:val="16"/>
                <w:szCs w:val="16"/>
              </w:rPr>
              <w:t>ed</w:t>
            </w:r>
          </w:p>
        </w:tc>
        <w:tc>
          <w:tcPr>
            <w:tcW w:w="1350" w:type="dxa"/>
            <w:shd w:val="clear" w:color="auto" w:fill="auto"/>
            <w:tcMar>
              <w:top w:w="58" w:type="dxa"/>
              <w:left w:w="58" w:type="dxa"/>
              <w:bottom w:w="58" w:type="dxa"/>
              <w:right w:w="58" w:type="dxa"/>
            </w:tcMar>
            <w:vAlign w:val="center"/>
            <w:hideMark/>
          </w:tcPr>
          <w:p w:rsidR="00180946" w:rsidRPr="005D493A" w:rsidRDefault="00180946" w:rsidP="00D72F87">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to</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reach target</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of 4,000 MW</w:t>
            </w:r>
            <w:r w:rsidR="00D72F87" w:rsidRPr="005D493A">
              <w:rPr>
                <w:rFonts w:asciiTheme="majorHAnsi" w:hAnsiTheme="majorHAnsi" w:cs="Arial"/>
                <w:kern w:val="24"/>
                <w:sz w:val="16"/>
                <w:szCs w:val="16"/>
              </w:rPr>
              <w:t>;</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approx.</w:t>
            </w:r>
            <w:r w:rsidR="00071DD3" w:rsidRPr="005D493A">
              <w:rPr>
                <w:rFonts w:asciiTheme="majorHAnsi" w:hAnsiTheme="majorHAnsi" w:cs="Arial"/>
                <w:kern w:val="24"/>
                <w:sz w:val="16"/>
                <w:szCs w:val="16"/>
              </w:rPr>
              <w:br/>
            </w:r>
            <w:r w:rsidRPr="005D493A">
              <w:rPr>
                <w:rFonts w:asciiTheme="majorHAnsi" w:hAnsiTheme="majorHAnsi" w:cs="Arial"/>
                <w:kern w:val="24"/>
                <w:sz w:val="16"/>
                <w:szCs w:val="16"/>
              </w:rPr>
              <w:t>2,000 MW reduc</w:t>
            </w:r>
            <w:r w:rsidR="00D72F87" w:rsidRPr="005D493A">
              <w:rPr>
                <w:rFonts w:asciiTheme="majorHAnsi" w:hAnsiTheme="majorHAnsi" w:cs="Arial"/>
                <w:kern w:val="24"/>
                <w:sz w:val="16"/>
                <w:szCs w:val="16"/>
              </w:rPr>
              <w:t>ed</w:t>
            </w:r>
          </w:p>
        </w:tc>
        <w:tc>
          <w:tcPr>
            <w:tcW w:w="1340" w:type="dxa"/>
            <w:shd w:val="clear" w:color="auto" w:fill="auto"/>
            <w:tcMar>
              <w:top w:w="58" w:type="dxa"/>
              <w:left w:w="58" w:type="dxa"/>
              <w:bottom w:w="58" w:type="dxa"/>
              <w:right w:w="58" w:type="dxa"/>
            </w:tcMar>
            <w:vAlign w:val="center"/>
            <w:hideMark/>
          </w:tcPr>
          <w:p w:rsidR="00180946" w:rsidRPr="005D493A" w:rsidRDefault="00180946" w:rsidP="00CE4BC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to</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FCA #10</w:t>
            </w:r>
            <w:r w:rsidR="002150AB" w:rsidRPr="005D493A">
              <w:rPr>
                <w:rFonts w:asciiTheme="majorHAnsi" w:hAnsiTheme="majorHAnsi" w:cs="Arial"/>
                <w:kern w:val="24"/>
                <w:sz w:val="16"/>
                <w:szCs w:val="16"/>
              </w:rPr>
              <w:br/>
            </w:r>
            <w:r w:rsidR="00807497" w:rsidRPr="005D493A">
              <w:rPr>
                <w:rFonts w:asciiTheme="majorHAnsi" w:hAnsiTheme="majorHAnsi" w:cs="Arial"/>
                <w:kern w:val="24"/>
                <w:sz w:val="16"/>
                <w:szCs w:val="16"/>
              </w:rPr>
              <w:t>a</w:t>
            </w:r>
            <w:r w:rsidRPr="005D493A">
              <w:rPr>
                <w:rFonts w:asciiTheme="majorHAnsi" w:hAnsiTheme="majorHAnsi" w:cs="Arial"/>
                <w:kern w:val="24"/>
                <w:sz w:val="16"/>
                <w:szCs w:val="16"/>
              </w:rPr>
              <w:t>mounts</w:t>
            </w:r>
            <w:r w:rsidR="00D72F87" w:rsidRPr="005D493A">
              <w:rPr>
                <w:rFonts w:asciiTheme="majorHAnsi" w:hAnsiTheme="majorHAnsi" w:cs="Arial"/>
                <w:kern w:val="24"/>
                <w:sz w:val="16"/>
                <w:szCs w:val="16"/>
              </w:rPr>
              <w:t>;</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approx. 5,800 MW reduc</w:t>
            </w:r>
            <w:r w:rsidR="00CE4BC3" w:rsidRPr="005D493A">
              <w:rPr>
                <w:rFonts w:asciiTheme="majorHAnsi" w:hAnsiTheme="majorHAnsi" w:cs="Arial"/>
                <w:kern w:val="24"/>
                <w:sz w:val="16"/>
                <w:szCs w:val="16"/>
              </w:rPr>
              <w:t>ed</w:t>
            </w:r>
          </w:p>
        </w:tc>
        <w:tc>
          <w:tcPr>
            <w:tcW w:w="1184" w:type="dxa"/>
            <w:shd w:val="clear" w:color="auto" w:fill="auto"/>
            <w:tcMar>
              <w:top w:w="58" w:type="dxa"/>
              <w:left w:w="58" w:type="dxa"/>
              <w:bottom w:w="58" w:type="dxa"/>
              <w:right w:w="58" w:type="dxa"/>
            </w:tcMar>
            <w:vAlign w:val="center"/>
            <w:hideMark/>
          </w:tcPr>
          <w:p w:rsidR="00180946" w:rsidRPr="005D493A" w:rsidRDefault="00180946" w:rsidP="00F6244E">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Remove</w:t>
            </w:r>
            <w:r w:rsidR="00D72F87" w:rsidRPr="005D493A">
              <w:rPr>
                <w:rFonts w:asciiTheme="majorHAnsi" w:hAnsiTheme="majorHAnsi" w:cs="Arial"/>
                <w:kern w:val="24"/>
                <w:sz w:val="16"/>
                <w:szCs w:val="16"/>
              </w:rPr>
              <w:t>d</w:t>
            </w:r>
            <w:r w:rsidRPr="005D493A">
              <w:rPr>
                <w:rFonts w:asciiTheme="majorHAnsi" w:hAnsiTheme="majorHAnsi" w:cs="Arial"/>
                <w:kern w:val="24"/>
                <w:sz w:val="16"/>
                <w:szCs w:val="16"/>
              </w:rPr>
              <w:t xml:space="preserve"> additional active </w:t>
            </w:r>
            <w:r w:rsidR="00F6244E" w:rsidRPr="005D493A">
              <w:rPr>
                <w:rFonts w:asciiTheme="majorHAnsi" w:hAnsiTheme="majorHAnsi" w:cs="Arial"/>
                <w:kern w:val="24"/>
                <w:sz w:val="16"/>
                <w:szCs w:val="16"/>
              </w:rPr>
              <w:t>demand resources</w:t>
            </w:r>
          </w:p>
        </w:tc>
        <w:tc>
          <w:tcPr>
            <w:tcW w:w="1076" w:type="dxa"/>
            <w:shd w:val="clear" w:color="auto" w:fill="auto"/>
            <w:tcMar>
              <w:top w:w="58" w:type="dxa"/>
              <w:left w:w="58" w:type="dxa"/>
              <w:bottom w:w="58" w:type="dxa"/>
              <w:right w:w="58" w:type="dxa"/>
            </w:tcMar>
            <w:vAlign w:val="center"/>
            <w:hideMark/>
          </w:tcPr>
          <w:p w:rsidR="00180946" w:rsidRPr="005D493A" w:rsidRDefault="00180946"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 </w:t>
            </w:r>
            <w:r w:rsidR="00E92573" w:rsidRPr="005D493A">
              <w:rPr>
                <w:rFonts w:asciiTheme="majorHAnsi" w:hAnsiTheme="majorHAnsi" w:cs="Arial"/>
                <w:kern w:val="24"/>
                <w:sz w:val="16"/>
                <w:szCs w:val="16"/>
              </w:rPr>
              <w:t>No change</w:t>
            </w:r>
          </w:p>
        </w:tc>
        <w:tc>
          <w:tcPr>
            <w:tcW w:w="1211" w:type="dxa"/>
            <w:shd w:val="clear" w:color="auto" w:fill="auto"/>
            <w:tcMar>
              <w:top w:w="58" w:type="dxa"/>
              <w:left w:w="58" w:type="dxa"/>
              <w:bottom w:w="58" w:type="dxa"/>
              <w:right w:w="58" w:type="dxa"/>
            </w:tcMar>
            <w:vAlign w:val="center"/>
            <w:hideMark/>
          </w:tcPr>
          <w:p w:rsidR="00180946" w:rsidRPr="005D493A" w:rsidRDefault="00180946" w:rsidP="00071DD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 xml:space="preserve">Increased to reach target </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of 7,000 MW</w:t>
            </w:r>
            <w:r w:rsidR="00D72F87" w:rsidRPr="005D493A">
              <w:rPr>
                <w:rFonts w:asciiTheme="majorHAnsi" w:hAnsiTheme="majorHAnsi" w:cs="Arial"/>
                <w:kern w:val="24"/>
                <w:sz w:val="16"/>
                <w:szCs w:val="16"/>
              </w:rPr>
              <w:t>;</w:t>
            </w:r>
            <w:r w:rsidR="002150AB" w:rsidRPr="005D493A">
              <w:rPr>
                <w:rFonts w:asciiTheme="majorHAnsi" w:hAnsiTheme="majorHAnsi" w:cs="Arial"/>
                <w:kern w:val="24"/>
                <w:sz w:val="16"/>
                <w:szCs w:val="16"/>
              </w:rPr>
              <w:br/>
            </w:r>
            <w:r w:rsidRPr="005D493A">
              <w:rPr>
                <w:rFonts w:asciiTheme="majorHAnsi" w:hAnsiTheme="majorHAnsi" w:cs="Arial"/>
                <w:kern w:val="24"/>
                <w:sz w:val="16"/>
                <w:szCs w:val="16"/>
              </w:rPr>
              <w:t>approx.</w:t>
            </w:r>
            <w:r w:rsidR="00071DD3" w:rsidRPr="005D493A">
              <w:rPr>
                <w:rFonts w:asciiTheme="majorHAnsi" w:hAnsiTheme="majorHAnsi" w:cs="Arial"/>
                <w:kern w:val="24"/>
                <w:sz w:val="16"/>
                <w:szCs w:val="16"/>
              </w:rPr>
              <w:br/>
            </w:r>
            <w:r w:rsidRPr="005D493A">
              <w:rPr>
                <w:rFonts w:asciiTheme="majorHAnsi" w:hAnsiTheme="majorHAnsi" w:cs="Arial"/>
                <w:kern w:val="24"/>
                <w:sz w:val="16"/>
                <w:szCs w:val="16"/>
              </w:rPr>
              <w:t>2,200 MW increase</w:t>
            </w:r>
            <w:r w:rsidR="00D72F87" w:rsidRPr="005D493A">
              <w:rPr>
                <w:rFonts w:asciiTheme="majorHAnsi" w:hAnsiTheme="majorHAnsi" w:cs="Arial"/>
                <w:kern w:val="24"/>
                <w:sz w:val="16"/>
                <w:szCs w:val="16"/>
              </w:rPr>
              <w:t>d</w:t>
            </w:r>
          </w:p>
        </w:tc>
        <w:tc>
          <w:tcPr>
            <w:tcW w:w="1172" w:type="dxa"/>
            <w:shd w:val="clear" w:color="auto" w:fill="auto"/>
            <w:tcMar>
              <w:top w:w="58" w:type="dxa"/>
              <w:left w:w="58" w:type="dxa"/>
              <w:bottom w:w="58" w:type="dxa"/>
              <w:right w:w="58" w:type="dxa"/>
            </w:tcMar>
            <w:vAlign w:val="center"/>
            <w:hideMark/>
          </w:tcPr>
          <w:p w:rsidR="00180946" w:rsidRPr="005D493A" w:rsidRDefault="00E92573"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947" w:type="dxa"/>
            <w:shd w:val="clear" w:color="auto" w:fill="auto"/>
            <w:tcMar>
              <w:top w:w="58" w:type="dxa"/>
              <w:left w:w="58" w:type="dxa"/>
              <w:bottom w:w="58" w:type="dxa"/>
              <w:right w:w="58" w:type="dxa"/>
            </w:tcMar>
            <w:vAlign w:val="center"/>
            <w:hideMark/>
          </w:tcPr>
          <w:p w:rsidR="00180946" w:rsidRPr="005D493A" w:rsidRDefault="00180946"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Remove</w:t>
            </w:r>
            <w:r w:rsidR="00D72F87" w:rsidRPr="005D493A">
              <w:rPr>
                <w:rFonts w:asciiTheme="majorHAnsi" w:hAnsiTheme="majorHAnsi" w:cs="Arial"/>
                <w:kern w:val="24"/>
                <w:sz w:val="16"/>
                <w:szCs w:val="16"/>
              </w:rPr>
              <w:t>d</w:t>
            </w:r>
            <w:r w:rsidRPr="005D493A">
              <w:rPr>
                <w:rFonts w:asciiTheme="majorHAnsi" w:hAnsiTheme="majorHAnsi" w:cs="Arial"/>
                <w:kern w:val="24"/>
                <w:sz w:val="16"/>
                <w:szCs w:val="16"/>
              </w:rPr>
              <w:t xml:space="preserve"> battery storage</w:t>
            </w:r>
          </w:p>
        </w:tc>
        <w:tc>
          <w:tcPr>
            <w:tcW w:w="900" w:type="dxa"/>
            <w:shd w:val="clear" w:color="auto" w:fill="auto"/>
            <w:tcMar>
              <w:top w:w="58" w:type="dxa"/>
              <w:left w:w="58" w:type="dxa"/>
              <w:bottom w:w="58" w:type="dxa"/>
              <w:right w:w="58" w:type="dxa"/>
            </w:tcMar>
            <w:vAlign w:val="center"/>
            <w:hideMark/>
          </w:tcPr>
          <w:p w:rsidR="00180946" w:rsidRPr="005D493A" w:rsidRDefault="00180946" w:rsidP="00180946">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Remove</w:t>
            </w:r>
            <w:r w:rsidR="00D72F87" w:rsidRPr="005D493A">
              <w:rPr>
                <w:rFonts w:asciiTheme="majorHAnsi" w:hAnsiTheme="majorHAnsi" w:cs="Arial"/>
                <w:kern w:val="24"/>
                <w:sz w:val="16"/>
                <w:szCs w:val="16"/>
              </w:rPr>
              <w:t>d</w:t>
            </w:r>
            <w:r w:rsidRPr="005D493A">
              <w:rPr>
                <w:rFonts w:asciiTheme="majorHAnsi" w:hAnsiTheme="majorHAnsi" w:cs="Arial"/>
                <w:kern w:val="24"/>
                <w:sz w:val="16"/>
                <w:szCs w:val="16"/>
              </w:rPr>
              <w:t xml:space="preserve"> PHEV</w:t>
            </w:r>
          </w:p>
        </w:tc>
        <w:tc>
          <w:tcPr>
            <w:tcW w:w="1080" w:type="dxa"/>
            <w:shd w:val="clear" w:color="auto" w:fill="auto"/>
            <w:tcMar>
              <w:top w:w="58" w:type="dxa"/>
              <w:left w:w="58" w:type="dxa"/>
              <w:bottom w:w="58" w:type="dxa"/>
              <w:right w:w="58" w:type="dxa"/>
            </w:tcMar>
            <w:vAlign w:val="center"/>
            <w:hideMark/>
          </w:tcPr>
          <w:p w:rsidR="00180946" w:rsidRPr="005D493A" w:rsidRDefault="00180946" w:rsidP="00071DD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Reduced by</w:t>
            </w:r>
            <w:r w:rsidR="00071DD3" w:rsidRPr="005D493A">
              <w:rPr>
                <w:rFonts w:asciiTheme="majorHAnsi" w:hAnsiTheme="majorHAnsi" w:cs="Arial"/>
                <w:kern w:val="24"/>
                <w:sz w:val="16"/>
                <w:szCs w:val="16"/>
              </w:rPr>
              <w:br/>
            </w:r>
            <w:r w:rsidRPr="005D493A">
              <w:rPr>
                <w:rFonts w:asciiTheme="majorHAnsi" w:hAnsiTheme="majorHAnsi" w:cs="Arial"/>
                <w:kern w:val="24"/>
                <w:sz w:val="16"/>
                <w:szCs w:val="16"/>
              </w:rPr>
              <w:t>1,000 MW</w:t>
            </w:r>
          </w:p>
        </w:tc>
      </w:tr>
      <w:tr w:rsidR="00E92573" w:rsidRPr="00E862C4" w:rsidTr="005D493A">
        <w:trPr>
          <w:trHeight w:val="1656"/>
          <w:jc w:val="center"/>
        </w:trPr>
        <w:tc>
          <w:tcPr>
            <w:tcW w:w="1529"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2017 Scenario C</w:t>
            </w:r>
          </w:p>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Wind Less Nuclear</w:t>
            </w:r>
          </w:p>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b/>
                <w:bCs/>
                <w:color w:val="000000"/>
                <w:kern w:val="24"/>
                <w:sz w:val="16"/>
                <w:szCs w:val="16"/>
              </w:rPr>
              <w:t>(Change from 2016 Scenario 3)</w:t>
            </w:r>
          </w:p>
        </w:tc>
        <w:tc>
          <w:tcPr>
            <w:tcW w:w="981"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 </w:t>
            </w:r>
          </w:p>
        </w:tc>
        <w:tc>
          <w:tcPr>
            <w:tcW w:w="135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35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34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184"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076"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Removed an additional 2,122 MW</w:t>
            </w:r>
            <w:r w:rsidRPr="005D493A">
              <w:rPr>
                <w:rFonts w:asciiTheme="majorHAnsi" w:hAnsiTheme="majorHAnsi" w:cs="Arial"/>
                <w:kern w:val="24"/>
                <w:sz w:val="16"/>
                <w:szCs w:val="16"/>
              </w:rPr>
              <w:br/>
              <w:t>of nuclear generation</w:t>
            </w:r>
          </w:p>
        </w:tc>
        <w:tc>
          <w:tcPr>
            <w:tcW w:w="1211"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Amount determined necessary to replace 2/3 of energy production lost from additional retirements</w:t>
            </w:r>
          </w:p>
        </w:tc>
        <w:tc>
          <w:tcPr>
            <w:tcW w:w="1172" w:type="dxa"/>
            <w:shd w:val="clear" w:color="auto" w:fill="CCEAF9" w:themeFill="accent1" w:themeFillTint="33"/>
            <w:tcMar>
              <w:top w:w="58" w:type="dxa"/>
              <w:left w:w="58" w:type="dxa"/>
              <w:bottom w:w="58" w:type="dxa"/>
              <w:right w:w="58" w:type="dxa"/>
            </w:tcMar>
            <w:vAlign w:val="center"/>
            <w:hideMark/>
          </w:tcPr>
          <w:p w:rsidR="00E92573" w:rsidRPr="005D493A" w:rsidRDefault="00E92573" w:rsidP="00E92573">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Amount determined necessary to replace 1/3 of energy production lost from additional retirements</w:t>
            </w:r>
          </w:p>
        </w:tc>
        <w:tc>
          <w:tcPr>
            <w:tcW w:w="947"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90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c>
          <w:tcPr>
            <w:tcW w:w="1080" w:type="dxa"/>
            <w:shd w:val="clear" w:color="auto" w:fill="CCEAF9" w:themeFill="accent1" w:themeFillTint="33"/>
            <w:tcMar>
              <w:top w:w="58" w:type="dxa"/>
              <w:left w:w="58" w:type="dxa"/>
              <w:bottom w:w="58" w:type="dxa"/>
              <w:right w:w="58" w:type="dxa"/>
            </w:tcMar>
            <w:vAlign w:val="center"/>
            <w:hideMark/>
          </w:tcPr>
          <w:p w:rsidR="00E92573" w:rsidRPr="005D493A" w:rsidRDefault="00E92573" w:rsidP="00A23B9B">
            <w:pPr>
              <w:adjustRightInd/>
              <w:spacing w:after="0" w:line="240" w:lineRule="auto"/>
              <w:jc w:val="center"/>
              <w:textAlignment w:val="center"/>
              <w:rPr>
                <w:rFonts w:asciiTheme="majorHAnsi" w:hAnsiTheme="majorHAnsi" w:cs="Arial"/>
                <w:sz w:val="16"/>
                <w:szCs w:val="16"/>
              </w:rPr>
            </w:pPr>
            <w:r w:rsidRPr="005D493A">
              <w:rPr>
                <w:rFonts w:asciiTheme="majorHAnsi" w:hAnsiTheme="majorHAnsi" w:cs="Arial"/>
                <w:kern w:val="24"/>
                <w:sz w:val="16"/>
                <w:szCs w:val="16"/>
              </w:rPr>
              <w:t>No change</w:t>
            </w:r>
          </w:p>
        </w:tc>
      </w:tr>
    </w:tbl>
    <w:p w:rsidR="00BD13F5" w:rsidRDefault="00BD13F5" w:rsidP="00180946"/>
    <w:p w:rsidR="00BD13F5" w:rsidRPr="000242A4" w:rsidRDefault="000242A4" w:rsidP="00067212">
      <w:pPr>
        <w:pStyle w:val="Caption"/>
        <w:jc w:val="center"/>
      </w:pPr>
      <w:bookmarkStart w:id="20" w:name="_Ref516234257"/>
      <w:bookmarkStart w:id="21" w:name="_Toc520721012"/>
      <w:r w:rsidRPr="000242A4">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1</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2</w:t>
      </w:r>
      <w:r w:rsidR="00EA3757">
        <w:rPr>
          <w:noProof/>
        </w:rPr>
        <w:fldChar w:fldCharType="end"/>
      </w:r>
      <w:bookmarkEnd w:id="20"/>
      <w:r w:rsidRPr="000242A4">
        <w:br/>
        <w:t xml:space="preserve">Net Demand and Resource Assumptions Used  in the Renew Plus , EE + Offshore, Onshore Less EE/PV, and </w:t>
      </w:r>
      <w:r w:rsidR="00AF6389">
        <w:t>Wind Less Nuclear</w:t>
      </w:r>
      <w:r w:rsidRPr="000242A4">
        <w:t xml:space="preserve"> </w:t>
      </w:r>
      <w:r w:rsidRPr="00847291">
        <w:t>Scenarios (MW</w:t>
      </w:r>
      <w:r w:rsidR="00703ACF" w:rsidRPr="00847291">
        <w:t>,</w:t>
      </w:r>
      <w:r w:rsidR="00BD414C" w:rsidRPr="00847291">
        <w:t xml:space="preserve"> millions</w:t>
      </w:r>
      <w:r w:rsidRPr="00847291">
        <w:t>)</w:t>
      </w:r>
      <w:bookmarkEnd w:id="21"/>
    </w:p>
    <w:tbl>
      <w:tblPr>
        <w:tblW w:w="13850" w:type="dxa"/>
        <w:jc w:val="center"/>
        <w:tblBorders>
          <w:top w:val="single" w:sz="2" w:space="0" w:color="62777F"/>
          <w:left w:val="single" w:sz="2" w:space="0" w:color="62777F"/>
          <w:bottom w:val="single" w:sz="2" w:space="0" w:color="62777F"/>
          <w:right w:val="single" w:sz="2" w:space="0" w:color="62777F"/>
          <w:insideH w:val="single" w:sz="2" w:space="0" w:color="62777F"/>
          <w:insideV w:val="single" w:sz="2" w:space="0" w:color="62777F"/>
        </w:tblBorders>
        <w:tblCellMar>
          <w:left w:w="0" w:type="dxa"/>
          <w:right w:w="0" w:type="dxa"/>
        </w:tblCellMar>
        <w:tblLook w:val="0600" w:firstRow="0" w:lastRow="0" w:firstColumn="0" w:lastColumn="0" w:noHBand="1" w:noVBand="1"/>
      </w:tblPr>
      <w:tblGrid>
        <w:gridCol w:w="1560"/>
        <w:gridCol w:w="1320"/>
        <w:gridCol w:w="1200"/>
        <w:gridCol w:w="1340"/>
        <w:gridCol w:w="1240"/>
        <w:gridCol w:w="1200"/>
        <w:gridCol w:w="1080"/>
        <w:gridCol w:w="1220"/>
        <w:gridCol w:w="1180"/>
        <w:gridCol w:w="840"/>
        <w:gridCol w:w="760"/>
        <w:gridCol w:w="910"/>
      </w:tblGrid>
      <w:tr w:rsidR="0008148E" w:rsidRPr="003C5515" w:rsidTr="0012342C">
        <w:trPr>
          <w:trHeight w:val="1293"/>
          <w:jc w:val="center"/>
        </w:trPr>
        <w:tc>
          <w:tcPr>
            <w:tcW w:w="156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hAnsiTheme="majorHAnsi" w:cs="Arial"/>
                <w:b/>
                <w:bCs/>
                <w:color w:val="FFFFFF" w:themeColor="background1"/>
                <w:kern w:val="24"/>
                <w:sz w:val="18"/>
                <w:szCs w:val="18"/>
              </w:rPr>
              <w:t>Year 2030</w:t>
            </w:r>
          </w:p>
        </w:tc>
        <w:tc>
          <w:tcPr>
            <w:tcW w:w="132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Gross Demand</w:t>
            </w:r>
          </w:p>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 xml:space="preserve">50/50 </w:t>
            </w:r>
          </w:p>
          <w:p w:rsidR="00BD13F5" w:rsidRPr="00327F16" w:rsidRDefault="00BD13F5" w:rsidP="00F6244E">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Summer Peak based on</w:t>
            </w:r>
            <w:r w:rsidR="00F6244E" w:rsidRPr="00327F16">
              <w:rPr>
                <w:rFonts w:asciiTheme="majorHAnsi" w:eastAsiaTheme="minorEastAsia" w:hAnsiTheme="majorHAnsi" w:cstheme="minorBidi"/>
                <w:b/>
                <w:bCs/>
                <w:color w:val="FFFFFF" w:themeColor="background1"/>
                <w:kern w:val="24"/>
                <w:sz w:val="18"/>
                <w:szCs w:val="18"/>
              </w:rPr>
              <w:br/>
              <w:t xml:space="preserve">2016 </w:t>
            </w:r>
            <w:r w:rsidRPr="00327F16">
              <w:rPr>
                <w:rFonts w:asciiTheme="majorHAnsi" w:eastAsiaTheme="minorEastAsia" w:hAnsiTheme="majorHAnsi" w:cstheme="minorBidi"/>
                <w:b/>
                <w:bCs/>
                <w:color w:val="FFFFFF" w:themeColor="background1"/>
                <w:kern w:val="24"/>
                <w:sz w:val="18"/>
                <w:szCs w:val="18"/>
              </w:rPr>
              <w:t xml:space="preserve">CELT </w:t>
            </w:r>
          </w:p>
        </w:tc>
        <w:tc>
          <w:tcPr>
            <w:tcW w:w="120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Energy Efficiency</w:t>
            </w:r>
          </w:p>
        </w:tc>
        <w:tc>
          <w:tcPr>
            <w:tcW w:w="1340" w:type="dxa"/>
            <w:shd w:val="clear" w:color="auto" w:fill="1795D2" w:themeFill="accent1"/>
            <w:tcMar>
              <w:top w:w="7" w:type="dxa"/>
              <w:left w:w="7" w:type="dxa"/>
              <w:bottom w:w="0" w:type="dxa"/>
              <w:right w:w="7" w:type="dxa"/>
            </w:tcMar>
            <w:vAlign w:val="center"/>
            <w:hideMark/>
          </w:tcPr>
          <w:p w:rsidR="00BD13F5" w:rsidRPr="00327F16" w:rsidRDefault="00BD13F5" w:rsidP="00F6244E">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Behind</w:t>
            </w:r>
            <w:r w:rsidR="00F6244E" w:rsidRPr="00327F16">
              <w:rPr>
                <w:rFonts w:asciiTheme="majorHAnsi" w:eastAsiaTheme="minorEastAsia" w:hAnsiTheme="majorHAnsi" w:cstheme="minorBidi"/>
                <w:b/>
                <w:bCs/>
                <w:color w:val="FFFFFF" w:themeColor="background1"/>
                <w:kern w:val="24"/>
                <w:sz w:val="18"/>
                <w:szCs w:val="18"/>
              </w:rPr>
              <w:t>-t</w:t>
            </w:r>
            <w:r w:rsidRPr="00327F16">
              <w:rPr>
                <w:rFonts w:asciiTheme="majorHAnsi" w:eastAsiaTheme="minorEastAsia" w:hAnsiTheme="majorHAnsi" w:cstheme="minorBidi"/>
                <w:b/>
                <w:bCs/>
                <w:color w:val="FFFFFF" w:themeColor="background1"/>
                <w:kern w:val="24"/>
                <w:sz w:val="18"/>
                <w:szCs w:val="18"/>
              </w:rPr>
              <w:t>he</w:t>
            </w:r>
            <w:r w:rsidR="00F6244E" w:rsidRPr="00327F16">
              <w:rPr>
                <w:rFonts w:asciiTheme="majorHAnsi" w:eastAsiaTheme="minorEastAsia" w:hAnsiTheme="majorHAnsi" w:cstheme="minorBidi"/>
                <w:b/>
                <w:bCs/>
                <w:color w:val="FFFFFF" w:themeColor="background1"/>
                <w:kern w:val="24"/>
                <w:sz w:val="18"/>
                <w:szCs w:val="18"/>
              </w:rPr>
              <w:t>-</w:t>
            </w:r>
            <w:r w:rsidRPr="00327F16">
              <w:rPr>
                <w:rFonts w:asciiTheme="majorHAnsi" w:eastAsiaTheme="minorEastAsia" w:hAnsiTheme="majorHAnsi" w:cstheme="minorBidi"/>
                <w:b/>
                <w:bCs/>
                <w:color w:val="FFFFFF" w:themeColor="background1"/>
                <w:kern w:val="24"/>
                <w:sz w:val="18"/>
                <w:szCs w:val="18"/>
              </w:rPr>
              <w:t xml:space="preserve"> Meter PV (Nameplate)</w:t>
            </w:r>
          </w:p>
        </w:tc>
        <w:tc>
          <w:tcPr>
            <w:tcW w:w="124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Utility PV (Nameplate)</w:t>
            </w:r>
          </w:p>
        </w:tc>
        <w:tc>
          <w:tcPr>
            <w:tcW w:w="120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Demand Resources</w:t>
            </w:r>
          </w:p>
        </w:tc>
        <w:tc>
          <w:tcPr>
            <w:tcW w:w="108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Retirements</w:t>
            </w:r>
          </w:p>
        </w:tc>
        <w:tc>
          <w:tcPr>
            <w:tcW w:w="122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On</w:t>
            </w:r>
            <w:r w:rsidR="00F6244E" w:rsidRPr="00327F16">
              <w:rPr>
                <w:rFonts w:asciiTheme="majorHAnsi" w:eastAsiaTheme="minorEastAsia" w:hAnsiTheme="majorHAnsi" w:cstheme="minorBidi"/>
                <w:b/>
                <w:bCs/>
                <w:color w:val="FFFFFF" w:themeColor="background1"/>
                <w:kern w:val="24"/>
                <w:sz w:val="18"/>
                <w:szCs w:val="18"/>
              </w:rPr>
              <w:t>s</w:t>
            </w:r>
            <w:r w:rsidRPr="00327F16">
              <w:rPr>
                <w:rFonts w:asciiTheme="majorHAnsi" w:eastAsiaTheme="minorEastAsia" w:hAnsiTheme="majorHAnsi" w:cstheme="minorBidi"/>
                <w:b/>
                <w:bCs/>
                <w:color w:val="FFFFFF" w:themeColor="background1"/>
                <w:kern w:val="24"/>
                <w:sz w:val="18"/>
                <w:szCs w:val="18"/>
              </w:rPr>
              <w:t xml:space="preserve">hore </w:t>
            </w:r>
          </w:p>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Wind</w:t>
            </w:r>
          </w:p>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(Nameplate)</w:t>
            </w:r>
          </w:p>
        </w:tc>
        <w:tc>
          <w:tcPr>
            <w:tcW w:w="1180" w:type="dxa"/>
            <w:shd w:val="clear" w:color="auto" w:fill="1795D2" w:themeFill="accent1"/>
            <w:tcMar>
              <w:top w:w="7" w:type="dxa"/>
              <w:left w:w="7" w:type="dxa"/>
              <w:bottom w:w="0" w:type="dxa"/>
              <w:right w:w="7" w:type="dxa"/>
            </w:tcMar>
            <w:vAlign w:val="center"/>
            <w:hideMark/>
          </w:tcPr>
          <w:p w:rsidR="00BD13F5" w:rsidRPr="00327F16" w:rsidRDefault="00BD13F5" w:rsidP="00F6244E">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Off</w:t>
            </w:r>
            <w:r w:rsidR="00F6244E" w:rsidRPr="00327F16">
              <w:rPr>
                <w:rFonts w:asciiTheme="majorHAnsi" w:eastAsiaTheme="minorEastAsia" w:hAnsiTheme="majorHAnsi" w:cstheme="minorBidi"/>
                <w:b/>
                <w:bCs/>
                <w:color w:val="FFFFFF" w:themeColor="background1"/>
                <w:kern w:val="24"/>
                <w:sz w:val="18"/>
                <w:szCs w:val="18"/>
              </w:rPr>
              <w:t>s</w:t>
            </w:r>
            <w:r w:rsidRPr="00327F16">
              <w:rPr>
                <w:rFonts w:asciiTheme="majorHAnsi" w:eastAsiaTheme="minorEastAsia" w:hAnsiTheme="majorHAnsi" w:cstheme="minorBidi"/>
                <w:b/>
                <w:bCs/>
                <w:color w:val="FFFFFF" w:themeColor="background1"/>
                <w:kern w:val="24"/>
                <w:sz w:val="18"/>
                <w:szCs w:val="18"/>
              </w:rPr>
              <w:t>hore Wind (Nameplate)</w:t>
            </w:r>
          </w:p>
        </w:tc>
        <w:tc>
          <w:tcPr>
            <w:tcW w:w="84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Battery Storage</w:t>
            </w:r>
          </w:p>
        </w:tc>
        <w:tc>
          <w:tcPr>
            <w:tcW w:w="76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PHEV</w:t>
            </w:r>
            <w:r w:rsidR="00067212" w:rsidRPr="00327F16">
              <w:rPr>
                <w:rFonts w:asciiTheme="majorHAnsi" w:eastAsiaTheme="minorEastAsia" w:hAnsiTheme="majorHAnsi" w:cstheme="minorBidi"/>
                <w:b/>
                <w:bCs/>
                <w:color w:val="FFFFFF" w:themeColor="background1"/>
                <w:kern w:val="24"/>
                <w:sz w:val="18"/>
                <w:szCs w:val="18"/>
              </w:rPr>
              <w:br/>
              <w:t>(# of vehicles)</w:t>
            </w:r>
          </w:p>
        </w:tc>
        <w:tc>
          <w:tcPr>
            <w:tcW w:w="910" w:type="dxa"/>
            <w:shd w:val="clear" w:color="auto" w:fill="1795D2" w:themeFill="accent1"/>
            <w:tcMar>
              <w:top w:w="7" w:type="dxa"/>
              <w:left w:w="7" w:type="dxa"/>
              <w:bottom w:w="0" w:type="dxa"/>
              <w:right w:w="7" w:type="dxa"/>
            </w:tcMar>
            <w:vAlign w:val="center"/>
            <w:hideMark/>
          </w:tcPr>
          <w:p w:rsidR="00BD13F5" w:rsidRPr="00327F16" w:rsidRDefault="00BD13F5" w:rsidP="00BD13F5">
            <w:pPr>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Add. Imports from HQ and NB</w:t>
            </w:r>
          </w:p>
        </w:tc>
      </w:tr>
      <w:tr w:rsidR="0008148E" w:rsidRPr="00703ACF" w:rsidTr="0012342C">
        <w:trPr>
          <w:trHeight w:val="1869"/>
          <w:jc w:val="center"/>
        </w:trPr>
        <w:tc>
          <w:tcPr>
            <w:tcW w:w="156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2016 Scenario 3</w:t>
            </w:r>
            <w:r w:rsidR="00807497" w:rsidRPr="00703ACF">
              <w:rPr>
                <w:rFonts w:asciiTheme="majorHAnsi" w:hAnsiTheme="majorHAnsi" w:cs="Arial"/>
                <w:b/>
                <w:bCs/>
                <w:color w:val="000000"/>
                <w:kern w:val="24"/>
                <w:sz w:val="18"/>
                <w:szCs w:val="18"/>
              </w:rPr>
              <w:br/>
            </w:r>
            <w:r w:rsidR="00464371" w:rsidRPr="00703ACF">
              <w:rPr>
                <w:rFonts w:asciiTheme="majorHAnsi" w:hAnsiTheme="majorHAnsi" w:cs="Arial"/>
                <w:b/>
                <w:bCs/>
                <w:color w:val="000000"/>
                <w:kern w:val="24"/>
                <w:sz w:val="18"/>
                <w:szCs w:val="18"/>
              </w:rPr>
              <w:t>Renew Plus</w:t>
            </w:r>
            <w:r w:rsidR="00807497" w:rsidRPr="00703ACF">
              <w:rPr>
                <w:rFonts w:asciiTheme="majorHAnsi" w:hAnsiTheme="majorHAnsi" w:cs="Arial"/>
                <w:b/>
                <w:bCs/>
                <w:color w:val="000000"/>
                <w:kern w:val="24"/>
                <w:sz w:val="18"/>
                <w:szCs w:val="18"/>
              </w:rPr>
              <w:br/>
            </w:r>
            <w:r w:rsidRPr="00847291">
              <w:rPr>
                <w:rFonts w:asciiTheme="majorHAnsi" w:hAnsiTheme="majorHAnsi" w:cs="Arial"/>
                <w:b/>
                <w:bCs/>
                <w:kern w:val="24"/>
                <w:sz w:val="18"/>
                <w:szCs w:val="18"/>
              </w:rPr>
              <w:t>(Reference)</w:t>
            </w:r>
          </w:p>
        </w:tc>
        <w:tc>
          <w:tcPr>
            <w:tcW w:w="132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33,343 MW</w:t>
            </w:r>
          </w:p>
        </w:tc>
        <w:tc>
          <w:tcPr>
            <w:tcW w:w="120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7,009 MW</w:t>
            </w:r>
          </w:p>
        </w:tc>
        <w:tc>
          <w:tcPr>
            <w:tcW w:w="13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w:t>
            </w:r>
          </w:p>
        </w:tc>
        <w:tc>
          <w:tcPr>
            <w:tcW w:w="12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w:t>
            </w:r>
          </w:p>
        </w:tc>
        <w:tc>
          <w:tcPr>
            <w:tcW w:w="1200" w:type="dxa"/>
            <w:shd w:val="clear" w:color="auto" w:fill="auto"/>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1,319 MW, incl</w:t>
            </w:r>
            <w:r w:rsidR="00860D3B" w:rsidRPr="00703ACF">
              <w:rPr>
                <w:rFonts w:asciiTheme="majorHAnsi" w:hAnsiTheme="majorHAnsi" w:cs="Arial"/>
                <w:kern w:val="24"/>
                <w:sz w:val="18"/>
                <w:szCs w:val="18"/>
              </w:rPr>
              <w:t xml:space="preserve">. </w:t>
            </w:r>
            <w:r w:rsidRPr="00703ACF">
              <w:rPr>
                <w:rFonts w:asciiTheme="majorHAnsi" w:hAnsiTheme="majorHAnsi" w:cs="Arial"/>
                <w:kern w:val="24"/>
                <w:sz w:val="18"/>
                <w:szCs w:val="18"/>
              </w:rPr>
              <w:t xml:space="preserve">319 MW from FCA </w:t>
            </w:r>
            <w:r w:rsidR="00435271" w:rsidRPr="00703ACF">
              <w:rPr>
                <w:rFonts w:asciiTheme="majorHAnsi" w:hAnsiTheme="majorHAnsi" w:cs="Arial"/>
                <w:kern w:val="24"/>
                <w:sz w:val="18"/>
                <w:szCs w:val="18"/>
              </w:rPr>
              <w:t>#</w:t>
            </w:r>
            <w:r w:rsidRPr="00703ACF">
              <w:rPr>
                <w:rFonts w:asciiTheme="majorHAnsi" w:hAnsiTheme="majorHAnsi" w:cs="Arial"/>
                <w:kern w:val="24"/>
                <w:sz w:val="18"/>
                <w:szCs w:val="18"/>
              </w:rPr>
              <w:t>10 and</w:t>
            </w:r>
            <w:r w:rsidR="003C5515" w:rsidRPr="00703ACF">
              <w:rPr>
                <w:rFonts w:asciiTheme="majorHAnsi" w:hAnsiTheme="majorHAnsi" w:cs="Arial"/>
                <w:kern w:val="24"/>
                <w:sz w:val="18"/>
                <w:szCs w:val="18"/>
              </w:rPr>
              <w:br/>
            </w:r>
            <w:r w:rsidRPr="00703ACF">
              <w:rPr>
                <w:rFonts w:asciiTheme="majorHAnsi" w:hAnsiTheme="majorHAnsi" w:cs="Arial"/>
                <w:kern w:val="24"/>
                <w:sz w:val="18"/>
                <w:szCs w:val="18"/>
              </w:rPr>
              <w:t>1,000 MW of price</w:t>
            </w:r>
            <w:r w:rsidR="00435271" w:rsidRPr="00703ACF">
              <w:rPr>
                <w:rFonts w:asciiTheme="majorHAnsi" w:hAnsiTheme="majorHAnsi" w:cs="Arial"/>
                <w:kern w:val="24"/>
                <w:sz w:val="18"/>
                <w:szCs w:val="18"/>
              </w:rPr>
              <w:t>-</w:t>
            </w:r>
            <w:r w:rsidRPr="00703ACF">
              <w:rPr>
                <w:rFonts w:asciiTheme="majorHAnsi" w:hAnsiTheme="majorHAnsi" w:cs="Arial"/>
                <w:kern w:val="24"/>
                <w:sz w:val="18"/>
                <w:szCs w:val="18"/>
              </w:rPr>
              <w:t xml:space="preserve">responsive  </w:t>
            </w:r>
            <w:r w:rsidR="00435271" w:rsidRPr="00703ACF">
              <w:rPr>
                <w:rFonts w:asciiTheme="majorHAnsi" w:hAnsiTheme="majorHAnsi" w:cs="Arial"/>
                <w:kern w:val="24"/>
                <w:sz w:val="18"/>
                <w:szCs w:val="18"/>
              </w:rPr>
              <w:t>a</w:t>
            </w:r>
            <w:r w:rsidRPr="00703ACF">
              <w:rPr>
                <w:rFonts w:asciiTheme="majorHAnsi" w:hAnsiTheme="majorHAnsi" w:cs="Arial"/>
                <w:kern w:val="24"/>
                <w:sz w:val="18"/>
                <w:szCs w:val="18"/>
              </w:rPr>
              <w:t xml:space="preserve">ctive </w:t>
            </w:r>
            <w:r w:rsidR="00435271" w:rsidRPr="00703ACF">
              <w:rPr>
                <w:rFonts w:asciiTheme="majorHAnsi" w:hAnsiTheme="majorHAnsi" w:cs="Arial"/>
                <w:kern w:val="24"/>
                <w:sz w:val="18"/>
                <w:szCs w:val="18"/>
              </w:rPr>
              <w:t>demand resources</w:t>
            </w:r>
          </w:p>
        </w:tc>
        <w:tc>
          <w:tcPr>
            <w:tcW w:w="108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xml:space="preserve">All oldest </w:t>
            </w:r>
            <w:r w:rsidR="00435271" w:rsidRPr="00703ACF">
              <w:rPr>
                <w:rFonts w:asciiTheme="majorHAnsi" w:hAnsiTheme="majorHAnsi" w:cs="Arial"/>
                <w:kern w:val="24"/>
                <w:sz w:val="18"/>
                <w:szCs w:val="18"/>
              </w:rPr>
              <w:t>o</w:t>
            </w:r>
            <w:r w:rsidRPr="00703ACF">
              <w:rPr>
                <w:rFonts w:asciiTheme="majorHAnsi" w:hAnsiTheme="majorHAnsi" w:cs="Arial"/>
                <w:kern w:val="24"/>
                <w:sz w:val="18"/>
                <w:szCs w:val="18"/>
              </w:rPr>
              <w:t>il/</w:t>
            </w:r>
            <w:r w:rsidR="00435271" w:rsidRPr="00703ACF">
              <w:rPr>
                <w:rFonts w:asciiTheme="majorHAnsi" w:hAnsiTheme="majorHAnsi" w:cs="Arial"/>
                <w:kern w:val="24"/>
                <w:sz w:val="18"/>
                <w:szCs w:val="18"/>
              </w:rPr>
              <w:t>c</w:t>
            </w:r>
            <w:r w:rsidRPr="00703ACF">
              <w:rPr>
                <w:rFonts w:asciiTheme="majorHAnsi" w:hAnsiTheme="majorHAnsi" w:cs="Arial"/>
                <w:kern w:val="24"/>
                <w:sz w:val="18"/>
                <w:szCs w:val="18"/>
              </w:rPr>
              <w:t>oal</w:t>
            </w:r>
            <w:r w:rsidR="003C5515" w:rsidRPr="00703ACF">
              <w:rPr>
                <w:rFonts w:asciiTheme="majorHAnsi" w:hAnsiTheme="majorHAnsi" w:cs="Arial"/>
                <w:kern w:val="24"/>
                <w:sz w:val="18"/>
                <w:szCs w:val="18"/>
              </w:rPr>
              <w:br/>
            </w:r>
            <w:r w:rsidRPr="00703ACF">
              <w:rPr>
                <w:rFonts w:asciiTheme="majorHAnsi" w:hAnsiTheme="majorHAnsi" w:cs="Arial"/>
                <w:kern w:val="24"/>
                <w:sz w:val="18"/>
                <w:szCs w:val="18"/>
              </w:rPr>
              <w:t>5,577 MW</w:t>
            </w:r>
          </w:p>
        </w:tc>
        <w:tc>
          <w:tcPr>
            <w:tcW w:w="122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4,800 MW</w:t>
            </w:r>
          </w:p>
        </w:tc>
        <w:tc>
          <w:tcPr>
            <w:tcW w:w="118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2,483 MW</w:t>
            </w:r>
          </w:p>
        </w:tc>
        <w:tc>
          <w:tcPr>
            <w:tcW w:w="8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w:t>
            </w:r>
          </w:p>
        </w:tc>
        <w:tc>
          <w:tcPr>
            <w:tcW w:w="760" w:type="dxa"/>
            <w:shd w:val="clear" w:color="auto" w:fill="auto"/>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xml:space="preserve">4.2 </w:t>
            </w:r>
            <w:r w:rsidR="00435271" w:rsidRPr="00703ACF">
              <w:rPr>
                <w:rFonts w:asciiTheme="majorHAnsi" w:hAnsiTheme="majorHAnsi" w:cs="Arial"/>
                <w:kern w:val="24"/>
                <w:sz w:val="18"/>
                <w:szCs w:val="18"/>
              </w:rPr>
              <w:t>m</w:t>
            </w:r>
            <w:r w:rsidRPr="00703ACF">
              <w:rPr>
                <w:rFonts w:asciiTheme="majorHAnsi" w:hAnsiTheme="majorHAnsi" w:cs="Arial"/>
                <w:kern w:val="24"/>
                <w:sz w:val="18"/>
                <w:szCs w:val="18"/>
              </w:rPr>
              <w:t>illion</w:t>
            </w:r>
          </w:p>
        </w:tc>
        <w:tc>
          <w:tcPr>
            <w:tcW w:w="91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2,000 MW</w:t>
            </w:r>
          </w:p>
        </w:tc>
      </w:tr>
      <w:tr w:rsidR="0008148E" w:rsidRPr="003C5515" w:rsidTr="002D123B">
        <w:trPr>
          <w:trHeight w:val="965"/>
          <w:jc w:val="center"/>
        </w:trPr>
        <w:tc>
          <w:tcPr>
            <w:tcW w:w="1560" w:type="dxa"/>
            <w:shd w:val="clear" w:color="auto" w:fill="CCEAF9" w:themeFill="accent1" w:themeFillTint="33"/>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A</w:t>
            </w:r>
            <w:r w:rsidR="00807497" w:rsidRPr="00703ACF">
              <w:rPr>
                <w:rFonts w:asciiTheme="majorHAnsi" w:hAnsiTheme="majorHAnsi" w:cs="Arial"/>
                <w:b/>
                <w:bCs/>
                <w:color w:val="000000"/>
                <w:kern w:val="24"/>
                <w:sz w:val="18"/>
                <w:szCs w:val="18"/>
              </w:rPr>
              <w:br/>
            </w:r>
            <w:r w:rsidRPr="00703ACF">
              <w:rPr>
                <w:rFonts w:asciiTheme="majorHAnsi" w:hAnsiTheme="majorHAnsi" w:cs="Arial"/>
                <w:b/>
                <w:bCs/>
                <w:color w:val="000000"/>
                <w:kern w:val="24"/>
                <w:sz w:val="18"/>
                <w:szCs w:val="18"/>
              </w:rPr>
              <w:t>EE + Offshore</w:t>
            </w:r>
          </w:p>
        </w:tc>
        <w:tc>
          <w:tcPr>
            <w:tcW w:w="132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33,343 MW</w:t>
            </w:r>
          </w:p>
        </w:tc>
        <w:tc>
          <w:tcPr>
            <w:tcW w:w="120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9,009 MW</w:t>
            </w:r>
          </w:p>
        </w:tc>
        <w:tc>
          <w:tcPr>
            <w:tcW w:w="13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8,000 MW</w:t>
            </w:r>
          </w:p>
        </w:tc>
        <w:tc>
          <w:tcPr>
            <w:tcW w:w="12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4,000 MW</w:t>
            </w:r>
          </w:p>
        </w:tc>
        <w:tc>
          <w:tcPr>
            <w:tcW w:w="120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1,319 MW </w:t>
            </w:r>
          </w:p>
        </w:tc>
        <w:tc>
          <w:tcPr>
            <w:tcW w:w="108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5,577 MW </w:t>
            </w:r>
          </w:p>
        </w:tc>
        <w:tc>
          <w:tcPr>
            <w:tcW w:w="122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2,000 MW</w:t>
            </w:r>
          </w:p>
        </w:tc>
        <w:tc>
          <w:tcPr>
            <w:tcW w:w="118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3,483 MW</w:t>
            </w:r>
          </w:p>
        </w:tc>
        <w:tc>
          <w:tcPr>
            <w:tcW w:w="8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 </w:t>
            </w:r>
          </w:p>
        </w:tc>
        <w:tc>
          <w:tcPr>
            <w:tcW w:w="760" w:type="dxa"/>
            <w:shd w:val="clear" w:color="auto" w:fill="CCEAF9" w:themeFill="accent1" w:themeFillTint="33"/>
            <w:tcMar>
              <w:top w:w="7" w:type="dxa"/>
              <w:left w:w="7" w:type="dxa"/>
              <w:bottom w:w="0" w:type="dxa"/>
              <w:right w:w="7" w:type="dxa"/>
            </w:tcMar>
            <w:vAlign w:val="center"/>
            <w:hideMark/>
          </w:tcPr>
          <w:p w:rsidR="00BD13F5" w:rsidRPr="00703ACF" w:rsidRDefault="00BD13F5" w:rsidP="003C551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4.2</w:t>
            </w:r>
            <w:r w:rsidR="003C5515" w:rsidRPr="00703ACF">
              <w:rPr>
                <w:rFonts w:asciiTheme="majorHAnsi" w:hAnsiTheme="majorHAnsi" w:cs="Arial"/>
                <w:kern w:val="24"/>
                <w:sz w:val="18"/>
                <w:szCs w:val="18"/>
              </w:rPr>
              <w:br/>
            </w:r>
            <w:r w:rsidR="00435271" w:rsidRPr="00703ACF">
              <w:rPr>
                <w:rFonts w:asciiTheme="majorHAnsi" w:hAnsiTheme="majorHAnsi" w:cs="Arial"/>
                <w:kern w:val="24"/>
                <w:sz w:val="18"/>
                <w:szCs w:val="18"/>
              </w:rPr>
              <w:t>m</w:t>
            </w:r>
            <w:r w:rsidRPr="00703ACF">
              <w:rPr>
                <w:rFonts w:asciiTheme="majorHAnsi" w:hAnsiTheme="majorHAnsi" w:cs="Arial"/>
                <w:kern w:val="24"/>
                <w:sz w:val="18"/>
                <w:szCs w:val="18"/>
              </w:rPr>
              <w:t>illion</w:t>
            </w:r>
          </w:p>
        </w:tc>
        <w:tc>
          <w:tcPr>
            <w:tcW w:w="91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1,000 MW</w:t>
            </w:r>
          </w:p>
        </w:tc>
      </w:tr>
      <w:tr w:rsidR="0008148E" w:rsidRPr="003C5515" w:rsidTr="002D123B">
        <w:trPr>
          <w:trHeight w:val="1320"/>
          <w:jc w:val="center"/>
        </w:trPr>
        <w:tc>
          <w:tcPr>
            <w:tcW w:w="1560" w:type="dxa"/>
            <w:shd w:val="clear" w:color="auto" w:fill="auto"/>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B</w:t>
            </w:r>
            <w:r w:rsidR="00807497" w:rsidRPr="00703ACF">
              <w:rPr>
                <w:rFonts w:asciiTheme="majorHAnsi" w:hAnsiTheme="majorHAnsi" w:cs="Arial"/>
                <w:b/>
                <w:bCs/>
                <w:color w:val="000000"/>
                <w:kern w:val="24"/>
                <w:sz w:val="18"/>
                <w:szCs w:val="18"/>
              </w:rPr>
              <w:br/>
            </w:r>
            <w:r w:rsidRPr="00703ACF">
              <w:rPr>
                <w:rFonts w:asciiTheme="majorHAnsi" w:hAnsiTheme="majorHAnsi" w:cs="Arial"/>
                <w:b/>
                <w:bCs/>
                <w:color w:val="000000"/>
                <w:kern w:val="24"/>
                <w:sz w:val="18"/>
                <w:szCs w:val="18"/>
              </w:rPr>
              <w:t>Onshore Less EE/PV</w:t>
            </w:r>
          </w:p>
        </w:tc>
        <w:tc>
          <w:tcPr>
            <w:tcW w:w="132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33,343 MW</w:t>
            </w:r>
          </w:p>
        </w:tc>
        <w:tc>
          <w:tcPr>
            <w:tcW w:w="120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4,739 MW</w:t>
            </w:r>
          </w:p>
        </w:tc>
        <w:tc>
          <w:tcPr>
            <w:tcW w:w="13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4,000 MW</w:t>
            </w:r>
          </w:p>
        </w:tc>
        <w:tc>
          <w:tcPr>
            <w:tcW w:w="12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154 MW</w:t>
            </w:r>
          </w:p>
        </w:tc>
        <w:tc>
          <w:tcPr>
            <w:tcW w:w="1200" w:type="dxa"/>
            <w:shd w:val="clear" w:color="auto" w:fill="auto"/>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xml:space="preserve">319 MW of </w:t>
            </w:r>
            <w:r w:rsidR="00435271" w:rsidRPr="00703ACF">
              <w:rPr>
                <w:rFonts w:asciiTheme="majorHAnsi" w:hAnsiTheme="majorHAnsi" w:cs="Arial"/>
                <w:kern w:val="24"/>
                <w:sz w:val="18"/>
                <w:szCs w:val="18"/>
              </w:rPr>
              <w:t>a</w:t>
            </w:r>
            <w:r w:rsidRPr="00703ACF">
              <w:rPr>
                <w:rFonts w:asciiTheme="majorHAnsi" w:hAnsiTheme="majorHAnsi" w:cs="Arial"/>
                <w:kern w:val="24"/>
                <w:sz w:val="18"/>
                <w:szCs w:val="18"/>
              </w:rPr>
              <w:t xml:space="preserve">ctive </w:t>
            </w:r>
            <w:r w:rsidR="00435271" w:rsidRPr="00703ACF">
              <w:rPr>
                <w:rFonts w:asciiTheme="majorHAnsi" w:hAnsiTheme="majorHAnsi" w:cs="Arial"/>
                <w:kern w:val="24"/>
                <w:sz w:val="18"/>
                <w:szCs w:val="18"/>
              </w:rPr>
              <w:t>demand resources</w:t>
            </w:r>
          </w:p>
        </w:tc>
        <w:tc>
          <w:tcPr>
            <w:tcW w:w="108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5,577 MW </w:t>
            </w:r>
          </w:p>
        </w:tc>
        <w:tc>
          <w:tcPr>
            <w:tcW w:w="122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7,000 MW</w:t>
            </w:r>
          </w:p>
        </w:tc>
        <w:tc>
          <w:tcPr>
            <w:tcW w:w="118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2,483 MW </w:t>
            </w:r>
          </w:p>
        </w:tc>
        <w:tc>
          <w:tcPr>
            <w:tcW w:w="84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0 MW</w:t>
            </w:r>
          </w:p>
        </w:tc>
        <w:tc>
          <w:tcPr>
            <w:tcW w:w="76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None</w:t>
            </w:r>
          </w:p>
        </w:tc>
        <w:tc>
          <w:tcPr>
            <w:tcW w:w="910" w:type="dxa"/>
            <w:shd w:val="clear" w:color="auto" w:fill="auto"/>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1,000 MW</w:t>
            </w:r>
          </w:p>
        </w:tc>
      </w:tr>
      <w:tr w:rsidR="0008148E" w:rsidRPr="003C5515" w:rsidTr="0012342C">
        <w:trPr>
          <w:trHeight w:val="1440"/>
          <w:jc w:val="center"/>
        </w:trPr>
        <w:tc>
          <w:tcPr>
            <w:tcW w:w="1560" w:type="dxa"/>
            <w:shd w:val="clear" w:color="auto" w:fill="CCEAF9" w:themeFill="accent1" w:themeFillTint="33"/>
            <w:tcMar>
              <w:top w:w="7" w:type="dxa"/>
              <w:left w:w="7" w:type="dxa"/>
              <w:bottom w:w="0" w:type="dxa"/>
              <w:right w:w="7" w:type="dxa"/>
            </w:tcMar>
            <w:vAlign w:val="center"/>
            <w:hideMark/>
          </w:tcPr>
          <w:p w:rsidR="00BD13F5" w:rsidRPr="00703ACF" w:rsidRDefault="00BD13F5" w:rsidP="00435271">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C</w:t>
            </w:r>
            <w:r w:rsidR="00807497" w:rsidRPr="00703ACF">
              <w:rPr>
                <w:rFonts w:asciiTheme="majorHAnsi" w:hAnsiTheme="majorHAnsi" w:cs="Arial"/>
                <w:b/>
                <w:bCs/>
                <w:color w:val="000000"/>
                <w:kern w:val="24"/>
                <w:sz w:val="18"/>
                <w:szCs w:val="18"/>
              </w:rPr>
              <w:br/>
            </w:r>
            <w:r w:rsidR="00AF6389">
              <w:rPr>
                <w:rFonts w:asciiTheme="majorHAnsi" w:hAnsiTheme="majorHAnsi" w:cs="Arial"/>
                <w:b/>
                <w:bCs/>
                <w:color w:val="000000"/>
                <w:kern w:val="24"/>
                <w:sz w:val="18"/>
                <w:szCs w:val="18"/>
              </w:rPr>
              <w:t>Wind Less Nuclear</w:t>
            </w:r>
          </w:p>
        </w:tc>
        <w:tc>
          <w:tcPr>
            <w:tcW w:w="132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eastAsiaTheme="minorEastAsia" w:hAnsiTheme="majorHAnsi" w:cstheme="minorBidi"/>
                <w:kern w:val="24"/>
                <w:sz w:val="18"/>
                <w:szCs w:val="18"/>
              </w:rPr>
              <w:t>33,343 MW</w:t>
            </w:r>
          </w:p>
        </w:tc>
        <w:tc>
          <w:tcPr>
            <w:tcW w:w="120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7,009 MW</w:t>
            </w:r>
          </w:p>
        </w:tc>
        <w:tc>
          <w:tcPr>
            <w:tcW w:w="13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 </w:t>
            </w:r>
          </w:p>
        </w:tc>
        <w:tc>
          <w:tcPr>
            <w:tcW w:w="12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6,000 MW</w:t>
            </w:r>
          </w:p>
        </w:tc>
        <w:tc>
          <w:tcPr>
            <w:tcW w:w="120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1,319 MW</w:t>
            </w:r>
          </w:p>
        </w:tc>
        <w:tc>
          <w:tcPr>
            <w:tcW w:w="1080" w:type="dxa"/>
            <w:shd w:val="clear" w:color="auto" w:fill="CCEAF9" w:themeFill="accent1" w:themeFillTint="33"/>
            <w:tcMar>
              <w:top w:w="7" w:type="dxa"/>
              <w:left w:w="7" w:type="dxa"/>
              <w:bottom w:w="0" w:type="dxa"/>
              <w:right w:w="7" w:type="dxa"/>
            </w:tcMar>
            <w:vAlign w:val="center"/>
            <w:hideMark/>
          </w:tcPr>
          <w:p w:rsidR="00BD13F5" w:rsidRPr="00703ACF" w:rsidRDefault="00BD13F5" w:rsidP="0008148E">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7,699 MW (</w:t>
            </w:r>
            <w:r w:rsidR="0008148E">
              <w:rPr>
                <w:rFonts w:asciiTheme="majorHAnsi" w:hAnsiTheme="majorHAnsi" w:cs="Arial"/>
                <w:kern w:val="24"/>
                <w:sz w:val="18"/>
                <w:szCs w:val="18"/>
              </w:rPr>
              <w:t>incl.</w:t>
            </w:r>
            <w:r w:rsidRPr="00703ACF">
              <w:rPr>
                <w:rFonts w:asciiTheme="majorHAnsi" w:hAnsiTheme="majorHAnsi" w:cs="Arial"/>
                <w:kern w:val="24"/>
                <w:sz w:val="18"/>
                <w:szCs w:val="18"/>
              </w:rPr>
              <w:t xml:space="preserve"> </w:t>
            </w:r>
            <w:r w:rsidR="0008148E">
              <w:rPr>
                <w:rFonts w:asciiTheme="majorHAnsi" w:hAnsiTheme="majorHAnsi" w:cs="Arial"/>
                <w:kern w:val="24"/>
                <w:sz w:val="18"/>
                <w:szCs w:val="18"/>
              </w:rPr>
              <w:t xml:space="preserve">the removal of </w:t>
            </w:r>
            <w:r w:rsidRPr="00703ACF">
              <w:rPr>
                <w:rFonts w:asciiTheme="majorHAnsi" w:hAnsiTheme="majorHAnsi" w:cs="Arial"/>
                <w:kern w:val="24"/>
                <w:sz w:val="18"/>
                <w:szCs w:val="18"/>
              </w:rPr>
              <w:t>2,122 MW</w:t>
            </w:r>
            <w:r w:rsidR="00807497" w:rsidRPr="00703ACF">
              <w:rPr>
                <w:rFonts w:asciiTheme="majorHAnsi" w:hAnsiTheme="majorHAnsi" w:cs="Arial"/>
                <w:kern w:val="24"/>
                <w:sz w:val="18"/>
                <w:szCs w:val="18"/>
              </w:rPr>
              <w:br/>
            </w:r>
            <w:r w:rsidRPr="00703ACF">
              <w:rPr>
                <w:rFonts w:asciiTheme="majorHAnsi" w:hAnsiTheme="majorHAnsi" w:cs="Arial"/>
                <w:kern w:val="24"/>
                <w:sz w:val="18"/>
                <w:szCs w:val="18"/>
              </w:rPr>
              <w:t>of nuclear generation)</w:t>
            </w:r>
          </w:p>
        </w:tc>
        <w:tc>
          <w:tcPr>
            <w:tcW w:w="122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8,906 MW</w:t>
            </w:r>
          </w:p>
        </w:tc>
        <w:tc>
          <w:tcPr>
            <w:tcW w:w="118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4,085 MW</w:t>
            </w:r>
          </w:p>
        </w:tc>
        <w:tc>
          <w:tcPr>
            <w:tcW w:w="84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w:t>
            </w:r>
          </w:p>
        </w:tc>
        <w:tc>
          <w:tcPr>
            <w:tcW w:w="760" w:type="dxa"/>
            <w:shd w:val="clear" w:color="auto" w:fill="CCEAF9" w:themeFill="accent1" w:themeFillTint="33"/>
            <w:tcMar>
              <w:top w:w="7" w:type="dxa"/>
              <w:left w:w="7" w:type="dxa"/>
              <w:bottom w:w="0" w:type="dxa"/>
              <w:right w:w="7" w:type="dxa"/>
            </w:tcMar>
            <w:vAlign w:val="center"/>
            <w:hideMark/>
          </w:tcPr>
          <w:p w:rsidR="00BD13F5" w:rsidRPr="00703ACF" w:rsidRDefault="00BD13F5" w:rsidP="003C551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4.2</w:t>
            </w:r>
            <w:r w:rsidR="00807497" w:rsidRPr="00703ACF">
              <w:rPr>
                <w:rFonts w:asciiTheme="majorHAnsi" w:hAnsiTheme="majorHAnsi" w:cs="Arial"/>
                <w:kern w:val="24"/>
                <w:sz w:val="18"/>
                <w:szCs w:val="18"/>
              </w:rPr>
              <w:br/>
            </w:r>
            <w:r w:rsidR="00435271" w:rsidRPr="00703ACF">
              <w:rPr>
                <w:rFonts w:asciiTheme="majorHAnsi" w:hAnsiTheme="majorHAnsi" w:cs="Arial"/>
                <w:kern w:val="24"/>
                <w:sz w:val="18"/>
                <w:szCs w:val="18"/>
              </w:rPr>
              <w:t>m</w:t>
            </w:r>
            <w:r w:rsidRPr="00703ACF">
              <w:rPr>
                <w:rFonts w:asciiTheme="majorHAnsi" w:hAnsiTheme="majorHAnsi" w:cs="Arial"/>
                <w:kern w:val="24"/>
                <w:sz w:val="18"/>
                <w:szCs w:val="18"/>
              </w:rPr>
              <w:t>illion</w:t>
            </w:r>
          </w:p>
        </w:tc>
        <w:tc>
          <w:tcPr>
            <w:tcW w:w="910" w:type="dxa"/>
            <w:shd w:val="clear" w:color="auto" w:fill="CCEAF9" w:themeFill="accent1" w:themeFillTint="33"/>
            <w:tcMar>
              <w:top w:w="7" w:type="dxa"/>
              <w:left w:w="7" w:type="dxa"/>
              <w:bottom w:w="0" w:type="dxa"/>
              <w:right w:w="7" w:type="dxa"/>
            </w:tcMar>
            <w:vAlign w:val="center"/>
            <w:hideMark/>
          </w:tcPr>
          <w:p w:rsidR="00BD13F5" w:rsidRPr="00703ACF" w:rsidRDefault="00BD13F5" w:rsidP="00BD13F5">
            <w:pPr>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2,000 MW</w:t>
            </w:r>
          </w:p>
        </w:tc>
      </w:tr>
    </w:tbl>
    <w:p w:rsidR="00BD13F5" w:rsidRDefault="00BD13F5" w:rsidP="00180946"/>
    <w:p w:rsidR="00180946" w:rsidRDefault="00180946" w:rsidP="00180946">
      <w:pPr>
        <w:rPr>
          <w:b/>
        </w:rPr>
      </w:pPr>
    </w:p>
    <w:p w:rsidR="000242A4" w:rsidRDefault="000242A4" w:rsidP="00180946">
      <w:pPr>
        <w:rPr>
          <w:b/>
        </w:rPr>
        <w:sectPr w:rsidR="000242A4" w:rsidSect="00F6244E">
          <w:footerReference w:type="default" r:id="rId19"/>
          <w:pgSz w:w="15840" w:h="12240" w:orient="landscape" w:code="1"/>
          <w:pgMar w:top="540" w:right="1440" w:bottom="1170" w:left="1440" w:header="720" w:footer="720" w:gutter="0"/>
          <w:cols w:space="720"/>
          <w:docGrid w:linePitch="360"/>
        </w:sectPr>
      </w:pPr>
    </w:p>
    <w:p w:rsidR="00B21B7D" w:rsidRPr="00FF76B8" w:rsidRDefault="00913518" w:rsidP="00B8270A">
      <w:pPr>
        <w:pStyle w:val="Heading2"/>
      </w:pPr>
      <w:bookmarkStart w:id="22" w:name="_Toc528571178"/>
      <w:r w:rsidRPr="00FF76B8">
        <w:t xml:space="preserve">Key </w:t>
      </w:r>
      <w:r w:rsidR="002177A3" w:rsidRPr="00FF76B8">
        <w:t>Observat</w:t>
      </w:r>
      <w:r w:rsidR="00D400DB" w:rsidRPr="00FF76B8">
        <w:t>i</w:t>
      </w:r>
      <w:r w:rsidR="002177A3" w:rsidRPr="00FF76B8">
        <w:t>ons</w:t>
      </w:r>
      <w:bookmarkEnd w:id="22"/>
    </w:p>
    <w:p w:rsidR="00645FAC" w:rsidRDefault="007D4256" w:rsidP="00B21B7D">
      <w:r>
        <w:t>All the s</w:t>
      </w:r>
      <w:r w:rsidR="00B21B7D" w:rsidRPr="00D65EB4">
        <w:t xml:space="preserve">cenarios </w:t>
      </w:r>
      <w:r>
        <w:t>reflect large amounts of energy efficiency and renewable wind and photovoltaic resources</w:t>
      </w:r>
      <w:r w:rsidR="005B7F32">
        <w:t>, but the amounts and locations of parameter assumptions affect results</w:t>
      </w:r>
      <w:r>
        <w:t xml:space="preserve">. </w:t>
      </w:r>
      <w:r w:rsidR="002D7AFD">
        <w:t xml:space="preserve">The </w:t>
      </w:r>
      <w:r w:rsidR="00D2541E">
        <w:t xml:space="preserve">Renewables Plus </w:t>
      </w:r>
      <w:r w:rsidR="002D7AFD">
        <w:t>scenario</w:t>
      </w:r>
      <w:r w:rsidR="00D2541E">
        <w:t xml:space="preserve"> </w:t>
      </w:r>
      <w:r w:rsidR="00645FAC">
        <w:t>show</w:t>
      </w:r>
      <w:r w:rsidR="004E649A">
        <w:t>s</w:t>
      </w:r>
      <w:r w:rsidR="00645FAC">
        <w:t xml:space="preserve"> the effects of</w:t>
      </w:r>
      <w:r w:rsidR="00645FAC" w:rsidRPr="00645FAC">
        <w:t xml:space="preserve"> </w:t>
      </w:r>
      <w:r w:rsidR="00645FAC">
        <w:t xml:space="preserve">the large-scale development of </w:t>
      </w:r>
      <w:r w:rsidR="00645FAC" w:rsidRPr="00645FAC">
        <w:t>renewable EE, PV, and offshore wind development in southern New England</w:t>
      </w:r>
      <w:r w:rsidR="00860D3B">
        <w:t xml:space="preserve">. </w:t>
      </w:r>
      <w:r w:rsidR="002D7AFD">
        <w:t xml:space="preserve">The EE + Offshore scenario </w:t>
      </w:r>
      <w:r w:rsidR="004E338C">
        <w:t xml:space="preserve">results demonstrate the effects of greater </w:t>
      </w:r>
      <w:r w:rsidR="005D3349">
        <w:t xml:space="preserve">EE and </w:t>
      </w:r>
      <w:r w:rsidR="004E338C">
        <w:t>o</w:t>
      </w:r>
      <w:r w:rsidR="005D3349">
        <w:t>ff</w:t>
      </w:r>
      <w:r w:rsidR="004E338C">
        <w:t xml:space="preserve">shore wind but less </w:t>
      </w:r>
      <w:r w:rsidR="005D3349">
        <w:t>onshore wind</w:t>
      </w:r>
      <w:r w:rsidR="004E338C">
        <w:t xml:space="preserve"> and imports</w:t>
      </w:r>
      <w:r w:rsidR="00860D3B">
        <w:t xml:space="preserve">. </w:t>
      </w:r>
      <w:r w:rsidR="004E338C">
        <w:t xml:space="preserve">The Onshore Less EE/PV cases tradeoff </w:t>
      </w:r>
      <w:r w:rsidR="002D7AFD">
        <w:t xml:space="preserve">greater </w:t>
      </w:r>
      <w:r w:rsidR="004E338C">
        <w:t xml:space="preserve">onshore wind development with less </w:t>
      </w:r>
      <w:r w:rsidR="002D7AFD">
        <w:t>energy efficiency</w:t>
      </w:r>
      <w:r w:rsidR="004E338C">
        <w:t xml:space="preserve">, PV, </w:t>
      </w:r>
      <w:r w:rsidR="005D3349" w:rsidRPr="005D3349">
        <w:t xml:space="preserve">active demand resources, </w:t>
      </w:r>
      <w:r w:rsidR="004E338C">
        <w:t>storage,</w:t>
      </w:r>
      <w:r w:rsidR="002D7AFD">
        <w:t xml:space="preserve"> </w:t>
      </w:r>
      <w:r w:rsidR="005D3349">
        <w:t xml:space="preserve">PHEV, </w:t>
      </w:r>
      <w:r w:rsidR="002D7AFD">
        <w:t xml:space="preserve">and </w:t>
      </w:r>
      <w:r w:rsidR="004E338C">
        <w:t xml:space="preserve">imports. The </w:t>
      </w:r>
      <w:r w:rsidR="00AF6389">
        <w:t>Wind Less Nuclear</w:t>
      </w:r>
      <w:r w:rsidR="004E338C">
        <w:t xml:space="preserve"> simulations retire 2,122 MW of nuclear generation but add onshore wind </w:t>
      </w:r>
      <w:r w:rsidR="006B6288">
        <w:t xml:space="preserve">and </w:t>
      </w:r>
      <w:r w:rsidR="004E338C">
        <w:t>offshore</w:t>
      </w:r>
      <w:r w:rsidR="00D2541E">
        <w:t xml:space="preserve"> </w:t>
      </w:r>
      <w:r w:rsidR="004E338C">
        <w:t>wind</w:t>
      </w:r>
      <w:r w:rsidR="00860D3B">
        <w:t>.</w:t>
      </w:r>
    </w:p>
    <w:p w:rsidR="00DA212C" w:rsidRDefault="00857B77" w:rsidP="00B21B7D">
      <w:r w:rsidRPr="00AB043E">
        <w:t xml:space="preserve">Many of the results for Scenarios </w:t>
      </w:r>
      <w:r w:rsidR="006B6288" w:rsidRPr="00AB043E">
        <w:t>A</w:t>
      </w:r>
      <w:r w:rsidRPr="00AB043E">
        <w:t xml:space="preserve">, </w:t>
      </w:r>
      <w:r w:rsidR="006B6288" w:rsidRPr="00AB043E">
        <w:t>B</w:t>
      </w:r>
      <w:r w:rsidRPr="00AB043E">
        <w:t xml:space="preserve">, and </w:t>
      </w:r>
      <w:r w:rsidR="006B6288" w:rsidRPr="00AB043E">
        <w:t>C</w:t>
      </w:r>
      <w:r w:rsidR="00C26096" w:rsidRPr="00AB043E">
        <w:t xml:space="preserve"> </w:t>
      </w:r>
      <w:r w:rsidRPr="00AB043E">
        <w:t xml:space="preserve">are similar to </w:t>
      </w:r>
      <w:r w:rsidR="006B6288" w:rsidRPr="00AB043E">
        <w:t>Scenario 3</w:t>
      </w:r>
      <w:r w:rsidR="00C26096" w:rsidRPr="00AB043E">
        <w:t xml:space="preserve">. </w:t>
      </w:r>
      <w:r w:rsidR="00F93188" w:rsidRPr="00AB043E">
        <w:t>O</w:t>
      </w:r>
      <w:r w:rsidRPr="00AB043E">
        <w:t>ther</w:t>
      </w:r>
      <w:r w:rsidR="00C26096" w:rsidRPr="00AB043E">
        <w:t xml:space="preserve"> result</w:t>
      </w:r>
      <w:r w:rsidRPr="00AB043E">
        <w:t>s differ</w:t>
      </w:r>
      <w:r w:rsidR="00C26096" w:rsidRPr="00AB043E">
        <w:t xml:space="preserve"> due to </w:t>
      </w:r>
      <w:r w:rsidR="002177A3" w:rsidRPr="00AB043E">
        <w:t xml:space="preserve">the </w:t>
      </w:r>
      <w:r w:rsidR="006B6288" w:rsidRPr="00AB043E">
        <w:t xml:space="preserve">changes in the resource mix, </w:t>
      </w:r>
      <w:r w:rsidR="002177A3" w:rsidRPr="00AB043E">
        <w:t xml:space="preserve">which </w:t>
      </w:r>
      <w:r w:rsidR="00B3632F">
        <w:t>reflect</w:t>
      </w:r>
      <w:r w:rsidR="006B6288" w:rsidRPr="00AB043E">
        <w:t xml:space="preserve"> </w:t>
      </w:r>
      <w:r w:rsidR="00AB043E" w:rsidRPr="00AB043E">
        <w:t xml:space="preserve">different types, amounts, and locations of nonemitting renewable resources. Like Scenario 3, all scenarios </w:t>
      </w:r>
      <w:r w:rsidRPr="00AB043E">
        <w:t>could present operational and transmission planning and economic issues</w:t>
      </w:r>
      <w:r w:rsidR="009E7B29" w:rsidRPr="00AB043E">
        <w:t>.</w:t>
      </w:r>
      <w:r w:rsidR="005E6960" w:rsidRPr="00AB043E">
        <w:rPr>
          <w:rStyle w:val="FootnoteReference"/>
        </w:rPr>
        <w:footnoteReference w:id="17"/>
      </w:r>
      <w:r w:rsidR="00114CE8">
        <w:t xml:space="preserve"> </w:t>
      </w:r>
    </w:p>
    <w:p w:rsidR="00DA212C" w:rsidRPr="001A708C" w:rsidRDefault="00DA212C" w:rsidP="00D27B9E">
      <w:pPr>
        <w:pStyle w:val="Heading3"/>
      </w:pPr>
      <w:bookmarkStart w:id="23" w:name="_Toc528571179"/>
      <w:r w:rsidRPr="001A708C">
        <w:t>Major Results Overall</w:t>
      </w:r>
      <w:bookmarkEnd w:id="23"/>
      <w:r w:rsidR="00E22D20" w:rsidRPr="001A708C">
        <w:t xml:space="preserve"> </w:t>
      </w:r>
    </w:p>
    <w:p w:rsidR="00B21B7D" w:rsidRDefault="00114CE8" w:rsidP="00B21B7D">
      <w:r>
        <w:t>Some of the major results and observations</w:t>
      </w:r>
      <w:r w:rsidR="00CD0974">
        <w:t xml:space="preserve"> across all scenarios</w:t>
      </w:r>
      <w:r>
        <w:t xml:space="preserve"> are as follows</w:t>
      </w:r>
      <w:r w:rsidR="008C16C4">
        <w:t>:</w:t>
      </w:r>
    </w:p>
    <w:p w:rsidR="00FB2BC4" w:rsidRPr="00B82E49" w:rsidRDefault="005F6394" w:rsidP="005F6394">
      <w:pPr>
        <w:pStyle w:val="ListParagraph"/>
        <w:numPr>
          <w:ilvl w:val="0"/>
          <w:numId w:val="35"/>
        </w:numPr>
      </w:pPr>
      <w:r>
        <w:t>Although the amount of resources assumed for each scenario adequately meets the systemwide energy requirements, even when transmission constraints are modeled, the</w:t>
      </w:r>
      <w:r w:rsidR="006D4399">
        <w:t xml:space="preserve"> </w:t>
      </w:r>
      <w:r>
        <w:t>production by price-</w:t>
      </w:r>
      <w:r w:rsidRPr="00B82E49">
        <w:t>taking resources simulated as $0/MWh</w:t>
      </w:r>
      <w:r w:rsidR="006D4399" w:rsidRPr="00B82E49">
        <w:t xml:space="preserve"> differ</w:t>
      </w:r>
      <w:r w:rsidR="00DF2456" w:rsidRPr="00B82E49">
        <w:t>;</w:t>
      </w:r>
      <w:r w:rsidR="00860D3B" w:rsidRPr="00B82E49">
        <w:t xml:space="preserve"> </w:t>
      </w:r>
    </w:p>
    <w:p w:rsidR="005F6394" w:rsidRDefault="005F6394" w:rsidP="00875A65">
      <w:pPr>
        <w:pStyle w:val="ListParagraph"/>
        <w:numPr>
          <w:ilvl w:val="1"/>
          <w:numId w:val="35"/>
        </w:numPr>
      </w:pPr>
      <w:r w:rsidRPr="00B82E49">
        <w:t xml:space="preserve">EE + Offshore (Offshore +1,000 MW; Onshore </w:t>
      </w:r>
      <w:r w:rsidR="006D4399" w:rsidRPr="00B82E49">
        <w:t>−</w:t>
      </w:r>
      <w:r w:rsidRPr="00B82E49">
        <w:t xml:space="preserve">2,800 MW) </w:t>
      </w:r>
      <w:r w:rsidR="00B82E49" w:rsidRPr="00B82E49">
        <w:t xml:space="preserve">reflects </w:t>
      </w:r>
      <w:r w:rsidRPr="00B82E49">
        <w:t>the least amount of wind energy</w:t>
      </w:r>
      <w:r w:rsidR="00B82E49" w:rsidRPr="00B82E49">
        <w:t xml:space="preserve"> production</w:t>
      </w:r>
      <w:r w:rsidRPr="00B82E49">
        <w:t xml:space="preserve">. Onshore Less EE/PV </w:t>
      </w:r>
      <w:r w:rsidR="00B82E49" w:rsidRPr="00B82E49">
        <w:t xml:space="preserve">produces </w:t>
      </w:r>
      <w:r w:rsidRPr="00B82E49">
        <w:t>more wind energy</w:t>
      </w:r>
      <w:r w:rsidR="00B82E49" w:rsidRPr="00B82E49">
        <w:t xml:space="preserve"> </w:t>
      </w:r>
      <w:r w:rsidRPr="00B82E49">
        <w:t xml:space="preserve">than the reference case. </w:t>
      </w:r>
      <w:r w:rsidR="00AF6389">
        <w:t>Wind Less Nuclear</w:t>
      </w:r>
      <w:r w:rsidRPr="00B82E49">
        <w:t xml:space="preserve"> has the most energy production from wind resource</w:t>
      </w:r>
      <w:r w:rsidR="00B170ED" w:rsidRPr="00B82E49">
        <w:t>s</w:t>
      </w:r>
      <w:r w:rsidRPr="00B82E49">
        <w:t>,</w:t>
      </w:r>
      <w:r>
        <w:t xml:space="preserve"> especially when the transmission system is unconstrained.</w:t>
      </w:r>
    </w:p>
    <w:p w:rsidR="004A6379" w:rsidRDefault="00AB043E" w:rsidP="00A06FEB">
      <w:pPr>
        <w:pStyle w:val="ListParagraph"/>
        <w:numPr>
          <w:ilvl w:val="1"/>
          <w:numId w:val="35"/>
        </w:numPr>
      </w:pPr>
      <w:r>
        <w:t>Production by n</w:t>
      </w:r>
      <w:r w:rsidR="005F6394">
        <w:t>atural-gas-fired generation fluctuates with the differences in production by price-taking resources simulated as $0/MWh and assumed retirements.</w:t>
      </w:r>
      <w:r>
        <w:t xml:space="preserve"> </w:t>
      </w:r>
      <w:r w:rsidR="006D4399">
        <w:t xml:space="preserve">The EE + Offshore </w:t>
      </w:r>
      <w:r w:rsidR="006D4399" w:rsidRPr="00B82E49">
        <w:t>scenario produces t</w:t>
      </w:r>
      <w:r w:rsidRPr="00B82E49">
        <w:t>he least amount of natural</w:t>
      </w:r>
      <w:r w:rsidR="00E85D4B">
        <w:t>-</w:t>
      </w:r>
      <w:r w:rsidRPr="00B82E49">
        <w:t xml:space="preserve">gas-fired </w:t>
      </w:r>
      <w:r w:rsidR="006D4399" w:rsidRPr="00B82E49">
        <w:t xml:space="preserve">electric </w:t>
      </w:r>
      <w:r w:rsidRPr="00B82E49">
        <w:t>energy</w:t>
      </w:r>
      <w:r w:rsidR="006D4399" w:rsidRPr="00B82E49">
        <w:t xml:space="preserve">, </w:t>
      </w:r>
      <w:r w:rsidR="004A6379" w:rsidRPr="00B82E49">
        <w:t xml:space="preserve">and the </w:t>
      </w:r>
      <w:r w:rsidR="006D4399" w:rsidRPr="00B82E49">
        <w:t>Onshore Less EE/PV scenario produces the most</w:t>
      </w:r>
      <w:r w:rsidR="005F6394" w:rsidRPr="00B82E49">
        <w:t>.</w:t>
      </w:r>
      <w:r w:rsidR="00FB2BC4" w:rsidRPr="00B82E49">
        <w:t xml:space="preserve"> </w:t>
      </w:r>
      <w:r w:rsidR="005F6394" w:rsidRPr="00B82E49">
        <w:t xml:space="preserve">Constraining the transmission system generally increases </w:t>
      </w:r>
      <w:r w:rsidR="006D4399" w:rsidRPr="00B82E49">
        <w:t xml:space="preserve">the </w:t>
      </w:r>
      <w:r w:rsidR="005F6394" w:rsidRPr="00B82E49">
        <w:t>production by gas-fired generation</w:t>
      </w:r>
      <w:r w:rsidR="004A6379" w:rsidRPr="00B82E49">
        <w:t xml:space="preserve"> </w:t>
      </w:r>
      <w:r w:rsidR="00B22172" w:rsidRPr="00B82E49">
        <w:t xml:space="preserve">because </w:t>
      </w:r>
      <w:r w:rsidR="00DF2456" w:rsidRPr="00B82E49">
        <w:t xml:space="preserve">limiting the Maine interfaces </w:t>
      </w:r>
      <w:r w:rsidR="004A6379" w:rsidRPr="00B82E49">
        <w:t>increase</w:t>
      </w:r>
      <w:r w:rsidR="006D4399" w:rsidRPr="00B82E49">
        <w:t>s</w:t>
      </w:r>
      <w:r w:rsidR="004A6379" w:rsidRPr="00B82E49">
        <w:t xml:space="preserve"> the amount of spilled onshore</w:t>
      </w:r>
      <w:r w:rsidR="00B82E49" w:rsidRPr="00B82E49">
        <w:t xml:space="preserve"> wind</w:t>
      </w:r>
      <w:r w:rsidR="005F6394" w:rsidRPr="00B82E49">
        <w:t>.</w:t>
      </w:r>
      <w:r w:rsidR="004A6379" w:rsidRPr="00B82E49">
        <w:t xml:space="preserve"> </w:t>
      </w:r>
      <w:r w:rsidR="00B22172" w:rsidRPr="00B82E49">
        <w:t>Although t</w:t>
      </w:r>
      <w:r w:rsidR="00D9404A" w:rsidRPr="00B82E49">
        <w:t xml:space="preserve">he </w:t>
      </w:r>
      <w:r w:rsidR="000E706C" w:rsidRPr="00B82E49">
        <w:t xml:space="preserve">constrained </w:t>
      </w:r>
      <w:r w:rsidR="00481842" w:rsidRPr="00B82E49">
        <w:t xml:space="preserve">Onshore Less EE/PV </w:t>
      </w:r>
      <w:r w:rsidR="00D9404A" w:rsidRPr="00B82E49">
        <w:t>scenario</w:t>
      </w:r>
      <w:r w:rsidR="000E706C" w:rsidRPr="00B82E49">
        <w:t xml:space="preserve"> uses the most natural</w:t>
      </w:r>
      <w:r w:rsidR="00E85D4B">
        <w:t>-</w:t>
      </w:r>
      <w:r w:rsidR="000E706C" w:rsidRPr="00B82E49">
        <w:t>gas-fired generation</w:t>
      </w:r>
      <w:r w:rsidR="00B22172" w:rsidRPr="00B82E49">
        <w:t>,</w:t>
      </w:r>
      <w:r w:rsidR="000E706C" w:rsidRPr="00B82E49">
        <w:t xml:space="preserve"> </w:t>
      </w:r>
      <w:r w:rsidR="00A06FEB" w:rsidRPr="00B82E49">
        <w:t xml:space="preserve">the </w:t>
      </w:r>
      <w:r w:rsidR="00AF6389">
        <w:t>Wind Less Nuclear</w:t>
      </w:r>
      <w:r w:rsidR="00A06FEB" w:rsidRPr="00B82E49">
        <w:t xml:space="preserve"> scenario shows the greatest</w:t>
      </w:r>
      <w:r w:rsidR="00A06FEB" w:rsidRPr="00A06FEB">
        <w:t xml:space="preserve"> increase in natural</w:t>
      </w:r>
      <w:r w:rsidR="00E85D4B">
        <w:t>-</w:t>
      </w:r>
      <w:r w:rsidR="00A06FEB" w:rsidRPr="00A06FEB">
        <w:t>gas</w:t>
      </w:r>
      <w:r w:rsidR="00E85D4B">
        <w:t>-</w:t>
      </w:r>
      <w:r w:rsidR="00A06FEB" w:rsidRPr="00A06FEB">
        <w:t>fired production</w:t>
      </w:r>
      <w:r w:rsidR="006D4399">
        <w:t>,</w:t>
      </w:r>
      <w:r w:rsidR="00A06FEB" w:rsidRPr="00A06FEB">
        <w:t xml:space="preserve"> </w:t>
      </w:r>
      <w:r w:rsidR="00A06FEB">
        <w:t xml:space="preserve">resulting from </w:t>
      </w:r>
      <w:r w:rsidR="008A4B4B">
        <w:t xml:space="preserve">the effects of </w:t>
      </w:r>
      <w:r w:rsidR="00A06FEB">
        <w:t>constraining the transmis</w:t>
      </w:r>
      <w:r w:rsidR="000577CF">
        <w:t>s</w:t>
      </w:r>
      <w:r w:rsidR="00A06FEB">
        <w:t>ion system</w:t>
      </w:r>
      <w:r w:rsidR="00D9404A">
        <w:t>.</w:t>
      </w:r>
    </w:p>
    <w:p w:rsidR="00B170ED" w:rsidRDefault="008A4B4B" w:rsidP="008A4B4B">
      <w:pPr>
        <w:pStyle w:val="ListParagraph"/>
        <w:numPr>
          <w:ilvl w:val="0"/>
          <w:numId w:val="35"/>
        </w:numPr>
      </w:pPr>
      <w:r w:rsidRPr="008A4B4B">
        <w:t>Natural gas consumption</w:t>
      </w:r>
      <w:r w:rsidR="006D4399">
        <w:t>,</w:t>
      </w:r>
      <w:r w:rsidRPr="008A4B4B">
        <w:t xml:space="preserve"> and to a lesser extent other fossil fuels</w:t>
      </w:r>
      <w:r w:rsidR="006D4399">
        <w:t>,</w:t>
      </w:r>
      <w:r w:rsidRPr="008A4B4B">
        <w:t xml:space="preserve"> drive</w:t>
      </w:r>
      <w:r w:rsidR="006D4399">
        <w:t>s</w:t>
      </w:r>
      <w:r w:rsidRPr="008A4B4B">
        <w:t xml:space="preserve"> production costs</w:t>
      </w:r>
      <w:r w:rsidR="00860D3B">
        <w:t xml:space="preserve">. </w:t>
      </w:r>
      <w:r w:rsidR="00B170ED">
        <w:t>EE + Offshore has the lowest systemwide production costs</w:t>
      </w:r>
      <w:r w:rsidR="006D4399">
        <w:t>,</w:t>
      </w:r>
      <w:r w:rsidR="00B170ED">
        <w:t xml:space="preserve"> while Onshore Less EE/PV has the highest</w:t>
      </w:r>
      <w:r w:rsidR="00860D3B">
        <w:t xml:space="preserve">. </w:t>
      </w:r>
      <w:r w:rsidR="009B3A3B">
        <w:t>The general simulation results</w:t>
      </w:r>
      <w:r w:rsidR="000577CF">
        <w:t xml:space="preserve"> show</w:t>
      </w:r>
      <w:r w:rsidR="00C37A1F">
        <w:t xml:space="preserve"> the following</w:t>
      </w:r>
      <w:r w:rsidR="009B3A3B" w:rsidRPr="00DE1E09">
        <w:t>:</w:t>
      </w:r>
    </w:p>
    <w:p w:rsidR="00B170ED" w:rsidRDefault="00B170ED" w:rsidP="00E660C2">
      <w:pPr>
        <w:pStyle w:val="ListParagraph"/>
        <w:numPr>
          <w:ilvl w:val="1"/>
          <w:numId w:val="35"/>
        </w:numPr>
      </w:pPr>
      <w:r>
        <w:t>Increased amounts of wind, PV, and EE reduce production costs</w:t>
      </w:r>
      <w:r w:rsidR="00836911">
        <w:t>.</w:t>
      </w:r>
    </w:p>
    <w:p w:rsidR="00B170ED" w:rsidRDefault="00B170ED" w:rsidP="00E660C2">
      <w:pPr>
        <w:pStyle w:val="ListParagraph"/>
        <w:numPr>
          <w:ilvl w:val="1"/>
          <w:numId w:val="35"/>
        </w:numPr>
      </w:pPr>
      <w:r>
        <w:t>Incr</w:t>
      </w:r>
      <w:r w:rsidR="00980CC3">
        <w:t>e</w:t>
      </w:r>
      <w:r>
        <w:t>ased amounts of imports reduce production costs</w:t>
      </w:r>
      <w:r w:rsidR="00836911">
        <w:t>.</w:t>
      </w:r>
    </w:p>
    <w:p w:rsidR="00B170ED" w:rsidRPr="00DE1E09" w:rsidRDefault="00B170ED" w:rsidP="004E6DFE">
      <w:pPr>
        <w:pStyle w:val="ListParagraph"/>
        <w:numPr>
          <w:ilvl w:val="1"/>
          <w:numId w:val="35"/>
        </w:numPr>
        <w:spacing w:after="240"/>
      </w:pPr>
      <w:r w:rsidRPr="00DE1E09">
        <w:t xml:space="preserve">Transmission constraints reduce the </w:t>
      </w:r>
      <w:r w:rsidR="00836911" w:rsidRPr="00DE1E09">
        <w:t xml:space="preserve">system’s </w:t>
      </w:r>
      <w:r w:rsidRPr="00DE1E09">
        <w:t xml:space="preserve">ability to utilize </w:t>
      </w:r>
      <w:r w:rsidR="00980CC3" w:rsidRPr="00DE1E09">
        <w:t xml:space="preserve">onshore </w:t>
      </w:r>
      <w:r w:rsidRPr="00DE1E09">
        <w:t xml:space="preserve">wind and increase </w:t>
      </w:r>
      <w:r w:rsidR="00836911" w:rsidRPr="00DE1E09">
        <w:t xml:space="preserve">its </w:t>
      </w:r>
      <w:r w:rsidRPr="00DE1E09">
        <w:t>reliance on natural gas.</w:t>
      </w:r>
    </w:p>
    <w:p w:rsidR="00FB2BC4" w:rsidRDefault="00FB2BC4" w:rsidP="00FB2BC4">
      <w:pPr>
        <w:pStyle w:val="ListParagraph"/>
        <w:numPr>
          <w:ilvl w:val="0"/>
          <w:numId w:val="35"/>
        </w:numPr>
      </w:pPr>
      <w:r>
        <w:t>Retaining existing resources and locating new r</w:t>
      </w:r>
      <w:r w:rsidRPr="00D11633">
        <w:t>esource</w:t>
      </w:r>
      <w:r>
        <w:t>s</w:t>
      </w:r>
      <w:r w:rsidRPr="00D11633">
        <w:t xml:space="preserve"> </w:t>
      </w:r>
      <w:r>
        <w:t xml:space="preserve">with relatively low production costs </w:t>
      </w:r>
      <w:r w:rsidRPr="00D11633">
        <w:t>near load</w:t>
      </w:r>
      <w:r>
        <w:t xml:space="preserve"> centers in southern New </w:t>
      </w:r>
      <w:r w:rsidRPr="00FD4059">
        <w:t>England reduces systemwide congestion and the need for transmission expansion</w:t>
      </w:r>
      <w:r>
        <w:t xml:space="preserve"> compared with scenarios that add remote resources without transmission improvements, </w:t>
      </w:r>
      <w:r w:rsidRPr="00555994">
        <w:t>such as the development</w:t>
      </w:r>
      <w:r>
        <w:t xml:space="preserve"> of renewable resources and imports in northern New England.</w:t>
      </w:r>
    </w:p>
    <w:p w:rsidR="009C7B0A" w:rsidRDefault="009C7B0A" w:rsidP="009C7B0A">
      <w:pPr>
        <w:pStyle w:val="ListParagraph"/>
        <w:numPr>
          <w:ilvl w:val="1"/>
          <w:numId w:val="35"/>
        </w:numPr>
      </w:pPr>
      <w:r>
        <w:t>The favorable location</w:t>
      </w:r>
      <w:r w:rsidR="00836911">
        <w:t>s</w:t>
      </w:r>
      <w:r>
        <w:t xml:space="preserve"> of nuclear plants, offshore wind interconnections, EE, and PV, which are generally close to the load centers in southern New England, tend to reduce congestion</w:t>
      </w:r>
      <w:r w:rsidR="00860D3B">
        <w:t xml:space="preserve">. </w:t>
      </w:r>
      <w:r w:rsidR="00EB2FB3">
        <w:t>This is shown by the EE + Offshore scenario that has the smallest difference of systemwide production costs between the constrained and the unconstrained cases.</w:t>
      </w:r>
      <w:r>
        <w:t xml:space="preserve"> </w:t>
      </w:r>
    </w:p>
    <w:p w:rsidR="00FB2BC4" w:rsidRDefault="00836911" w:rsidP="00FB2BC4">
      <w:pPr>
        <w:numPr>
          <w:ilvl w:val="1"/>
          <w:numId w:val="35"/>
        </w:numPr>
        <w:spacing w:after="120"/>
      </w:pPr>
      <w:r w:rsidRPr="00973E1F">
        <w:t>For the s</w:t>
      </w:r>
      <w:r w:rsidR="00FB2BC4" w:rsidRPr="00973E1F">
        <w:t xml:space="preserve">cenarios with </w:t>
      </w:r>
      <w:r w:rsidRPr="00973E1F">
        <w:t xml:space="preserve">resource </w:t>
      </w:r>
      <w:r w:rsidR="00FB2BC4" w:rsidRPr="00973E1F">
        <w:t>development in northern Maine</w:t>
      </w:r>
      <w:r w:rsidR="00973E1F" w:rsidRPr="00904178">
        <w:t>,</w:t>
      </w:r>
      <w:r w:rsidR="00FB2BC4" w:rsidRPr="00973E1F">
        <w:t xml:space="preserve"> the key transmission interfaces between northern Maine and the load centers in southern New England reach</w:t>
      </w:r>
      <w:r>
        <w:t xml:space="preserve"> their megawatt-flow </w:t>
      </w:r>
      <w:r w:rsidR="00FB2BC4">
        <w:t xml:space="preserve">limit, which causes the LMP at the sending end to be lower than at the receiving end in the constrained cases. </w:t>
      </w:r>
      <w:r w:rsidR="00AF6389">
        <w:t>Wind Less Nuclear</w:t>
      </w:r>
      <w:r w:rsidR="00EB2FB3">
        <w:t xml:space="preserve"> shows the greatest difference in production costs between the constrained and the unconstrained cases as a result of </w:t>
      </w:r>
      <w:r w:rsidR="001727AA">
        <w:t xml:space="preserve">the </w:t>
      </w:r>
      <w:r w:rsidR="00EB2FB3">
        <w:t xml:space="preserve">largest addition of onshore wind generation. </w:t>
      </w:r>
    </w:p>
    <w:p w:rsidR="0070261F" w:rsidRDefault="00D14072" w:rsidP="00E660C2">
      <w:pPr>
        <w:numPr>
          <w:ilvl w:val="1"/>
          <w:numId w:val="35"/>
        </w:numPr>
        <w:spacing w:after="120"/>
      </w:pPr>
      <w:r>
        <w:t xml:space="preserve">Scenarios with more energy production from price-taking resources result in lower </w:t>
      </w:r>
      <w:r w:rsidR="00F5425B">
        <w:t xml:space="preserve">average systemwide </w:t>
      </w:r>
      <w:r>
        <w:t>LMPs.</w:t>
      </w:r>
      <w:r w:rsidR="00F5425B">
        <w:t xml:space="preserve"> This is shown by cases with an unconstrained transmission system. </w:t>
      </w:r>
      <w:r w:rsidR="00AF6389">
        <w:t>Wind Less Nuclear</w:t>
      </w:r>
      <w:r w:rsidR="00F5425B">
        <w:t xml:space="preserve"> results in the lowest LMPs followed by EE + Offshore; Onshore Less EE/PV has the highest LMPs</w:t>
      </w:r>
      <w:r w:rsidR="00860D3B">
        <w:t xml:space="preserve">. </w:t>
      </w:r>
    </w:p>
    <w:p w:rsidR="00266410" w:rsidRDefault="00F5425B" w:rsidP="00067212">
      <w:pPr>
        <w:numPr>
          <w:ilvl w:val="1"/>
          <w:numId w:val="35"/>
        </w:numPr>
      </w:pPr>
      <w:r>
        <w:t>Transmission constraints cause the LMP at the sending end to be lower than at the receiving end, especially as additional onshore wind is added in northern Maine</w:t>
      </w:r>
      <w:r w:rsidR="00860D3B">
        <w:t xml:space="preserve">. </w:t>
      </w:r>
      <w:r w:rsidR="004E614A" w:rsidRPr="00E660C2">
        <w:t xml:space="preserve">The </w:t>
      </w:r>
      <w:r w:rsidR="00AF6389">
        <w:t>Wind Less Nuclear</w:t>
      </w:r>
      <w:r w:rsidR="004E614A" w:rsidRPr="00E660C2">
        <w:t xml:space="preserve"> scenario shows the largest price separation between BHE/ME </w:t>
      </w:r>
      <w:r w:rsidR="001F11D4">
        <w:t>(i.e., the Regional System Plan subareas for northeastern Maine/</w:t>
      </w:r>
      <w:r w:rsidR="001F11D4" w:rsidRPr="001F11D4">
        <w:t>western and central Maine</w:t>
      </w:r>
      <w:r w:rsidR="001F11D4">
        <w:t xml:space="preserve"> and </w:t>
      </w:r>
      <w:r w:rsidR="001F11D4" w:rsidRPr="001F11D4">
        <w:t>Saco Valley, New Hampshire</w:t>
      </w:r>
      <w:r w:rsidR="001F11D4">
        <w:t xml:space="preserve">) </w:t>
      </w:r>
      <w:r w:rsidR="004E614A" w:rsidRPr="00E660C2">
        <w:t>and the rest of the system</w:t>
      </w:r>
      <w:r w:rsidR="0070261F" w:rsidRPr="00E660C2">
        <w:t xml:space="preserve"> followed by Onshore Less EE/PV</w:t>
      </w:r>
      <w:r w:rsidR="004E614A" w:rsidRPr="00E660C2">
        <w:t>.</w:t>
      </w:r>
      <w:r w:rsidR="0070261F" w:rsidRPr="00E660C2">
        <w:t xml:space="preserve"> Congestion follows the same pattern of results</w:t>
      </w:r>
      <w:r w:rsidR="00860D3B">
        <w:t xml:space="preserve">. </w:t>
      </w:r>
    </w:p>
    <w:p w:rsidR="00163462" w:rsidRDefault="00913518" w:rsidP="00E660C2">
      <w:pPr>
        <w:pStyle w:val="ListParagraph"/>
        <w:ind w:left="0"/>
      </w:pPr>
      <w:r w:rsidRPr="00BF28E2">
        <w:t xml:space="preserve">The results for </w:t>
      </w:r>
      <w:r w:rsidR="00D34517" w:rsidRPr="00BF28E2">
        <w:t xml:space="preserve">all the renewable scenarios </w:t>
      </w:r>
      <w:r w:rsidR="00B21B7D" w:rsidRPr="00BF28E2">
        <w:t>are very different from today’s system</w:t>
      </w:r>
      <w:r w:rsidRPr="00686755">
        <w:t xml:space="preserve"> and could present</w:t>
      </w:r>
      <w:r w:rsidRPr="00170108">
        <w:t xml:space="preserve"> operational</w:t>
      </w:r>
      <w:r w:rsidR="00B247BC" w:rsidRPr="00170108">
        <w:t>,</w:t>
      </w:r>
      <w:r w:rsidR="00763384" w:rsidRPr="00170108">
        <w:t xml:space="preserve"> </w:t>
      </w:r>
      <w:r w:rsidRPr="00343106">
        <w:t>planning</w:t>
      </w:r>
      <w:r w:rsidR="00B247BC" w:rsidRPr="00343106">
        <w:t>, and economic issues</w:t>
      </w:r>
      <w:r w:rsidR="00E808DF" w:rsidRPr="00343106">
        <w:t>. I</w:t>
      </w:r>
      <w:r w:rsidR="00170108" w:rsidRPr="00343106">
        <w:t xml:space="preserve">n </w:t>
      </w:r>
      <w:r w:rsidR="00E808DF" w:rsidRPr="00343106">
        <w:t>these s</w:t>
      </w:r>
      <w:r w:rsidR="00170108" w:rsidRPr="00343106">
        <w:t>cenarios, f</w:t>
      </w:r>
      <w:r w:rsidR="00B21B7D" w:rsidRPr="00343106">
        <w:t>ossil units, including natural gas combined</w:t>
      </w:r>
      <w:r w:rsidRPr="00343106">
        <w:t>-</w:t>
      </w:r>
      <w:r w:rsidR="00B21B7D" w:rsidRPr="00343106">
        <w:t>cycle units, have relatively low capacity factors compared with today’s system</w:t>
      </w:r>
      <w:r w:rsidR="001F11D4">
        <w:t>,</w:t>
      </w:r>
      <w:r w:rsidR="00E808DF" w:rsidRPr="00F606BE">
        <w:t xml:space="preserve"> </w:t>
      </w:r>
      <w:r w:rsidR="005D5238" w:rsidRPr="0067174B">
        <w:t xml:space="preserve">suggesting </w:t>
      </w:r>
      <w:r w:rsidR="009E2E6D" w:rsidRPr="0067174B">
        <w:t>th</w:t>
      </w:r>
      <w:r w:rsidR="00CA0B57" w:rsidRPr="00D11A72">
        <w:t>e possibility th</w:t>
      </w:r>
      <w:r w:rsidR="009E2E6D" w:rsidRPr="0067174B">
        <w:t xml:space="preserve">at </w:t>
      </w:r>
      <w:r w:rsidR="00CA0B57" w:rsidRPr="00D11A72">
        <w:t>often</w:t>
      </w:r>
      <w:r w:rsidR="009E2E6D" w:rsidRPr="0067174B">
        <w:t>,</w:t>
      </w:r>
      <w:r w:rsidR="005D5238" w:rsidRPr="0067174B">
        <w:t xml:space="preserve"> </w:t>
      </w:r>
      <w:r w:rsidR="009E00E7" w:rsidRPr="00D11A72">
        <w:t>not many</w:t>
      </w:r>
      <w:r w:rsidR="005D5238" w:rsidRPr="0067174B">
        <w:t xml:space="preserve"> generating resource</w:t>
      </w:r>
      <w:r w:rsidR="00343106" w:rsidRPr="0067174B">
        <w:t>s</w:t>
      </w:r>
      <w:r w:rsidR="005D5238" w:rsidRPr="0067174B">
        <w:t xml:space="preserve"> </w:t>
      </w:r>
      <w:r w:rsidR="00CA0B57" w:rsidRPr="00D11A72">
        <w:t>w</w:t>
      </w:r>
      <w:r w:rsidR="009E00E7" w:rsidRPr="0067174B">
        <w:t xml:space="preserve">ould be </w:t>
      </w:r>
      <w:r w:rsidR="0000515C" w:rsidRPr="0067174B">
        <w:t>on</w:t>
      </w:r>
      <w:r w:rsidR="00343106" w:rsidRPr="0067174B">
        <w:t xml:space="preserve"> </w:t>
      </w:r>
      <w:r w:rsidR="0000515C" w:rsidRPr="0067174B">
        <w:t xml:space="preserve">line </w:t>
      </w:r>
      <w:r w:rsidR="005D5238" w:rsidRPr="0067174B">
        <w:t>to provide ramping and regulation service</w:t>
      </w:r>
      <w:r w:rsidR="00906DEF" w:rsidRPr="0067174B">
        <w:t>s</w:t>
      </w:r>
      <w:r w:rsidR="00E808DF" w:rsidRPr="0067174B">
        <w:t xml:space="preserve">. </w:t>
      </w:r>
      <w:r w:rsidR="00FC522B" w:rsidRPr="00D11A72">
        <w:t xml:space="preserve">System operations and planning </w:t>
      </w:r>
      <w:r w:rsidR="002C1D43" w:rsidRPr="00D11A72">
        <w:t>must address</w:t>
      </w:r>
      <w:r w:rsidR="00163462" w:rsidRPr="00D11A72">
        <w:t xml:space="preserve"> </w:t>
      </w:r>
      <w:r w:rsidR="002C1D43" w:rsidRPr="0067174B">
        <w:t xml:space="preserve">the </w:t>
      </w:r>
      <w:r w:rsidR="00163462" w:rsidRPr="00D11A72">
        <w:t xml:space="preserve">technical issues associated with </w:t>
      </w:r>
      <w:r w:rsidR="00FC522B" w:rsidRPr="0067174B">
        <w:t xml:space="preserve">large-scale reductions in traditional </w:t>
      </w:r>
      <w:r w:rsidR="00E96869" w:rsidRPr="0067174B">
        <w:t xml:space="preserve">thermal generating </w:t>
      </w:r>
      <w:r w:rsidR="00FC522B" w:rsidRPr="0067174B">
        <w:t>resources</w:t>
      </w:r>
      <w:r w:rsidR="00E96869" w:rsidRPr="0067174B">
        <w:t xml:space="preserve"> that provide inertia and other reliability services</w:t>
      </w:r>
      <w:r w:rsidR="00FC522B" w:rsidRPr="006C6C0A">
        <w:t>.</w:t>
      </w:r>
      <w:r w:rsidR="00FC522B" w:rsidRPr="00AA06D8">
        <w:t xml:space="preserve"> </w:t>
      </w:r>
    </w:p>
    <w:p w:rsidR="00FC522B" w:rsidRDefault="00FC522B" w:rsidP="00E808DF">
      <w:r w:rsidRPr="00AA06D8">
        <w:t xml:space="preserve">For example, under the study assumptions for </w:t>
      </w:r>
      <w:r w:rsidR="00D34517">
        <w:t xml:space="preserve">all </w:t>
      </w:r>
      <w:r w:rsidR="00D34517" w:rsidRPr="00E660C2">
        <w:t>scenarios,</w:t>
      </w:r>
      <w:r w:rsidR="00D34517">
        <w:t xml:space="preserve"> </w:t>
      </w:r>
      <w:r w:rsidRPr="00AA06D8">
        <w:t xml:space="preserve">in some simulated hours, the system </w:t>
      </w:r>
      <w:r w:rsidR="00D34517">
        <w:t>spills renewable energy production due to surpluses</w:t>
      </w:r>
      <w:r w:rsidR="00714344">
        <w:t xml:space="preserve"> and</w:t>
      </w:r>
      <w:r w:rsidR="00D34517">
        <w:t xml:space="preserve"> </w:t>
      </w:r>
      <w:r w:rsidRPr="00AA06D8">
        <w:t xml:space="preserve">operates with </w:t>
      </w:r>
      <w:r w:rsidR="00714344">
        <w:t>very few</w:t>
      </w:r>
      <w:r w:rsidRPr="00AA06D8">
        <w:t xml:space="preserve"> other </w:t>
      </w:r>
      <w:r w:rsidR="00F46D40" w:rsidRPr="00AA06D8">
        <w:t>synchronous resources</w:t>
      </w:r>
      <w:r w:rsidR="00320CE0" w:rsidRPr="00AA06D8">
        <w:t xml:space="preserve"> </w:t>
      </w:r>
      <w:r w:rsidR="00F46D40" w:rsidRPr="00AA06D8">
        <w:t xml:space="preserve">(i.e., </w:t>
      </w:r>
      <w:r w:rsidR="00714344">
        <w:t xml:space="preserve">nuclear, </w:t>
      </w:r>
      <w:r w:rsidR="00F46D40" w:rsidRPr="00AA06D8">
        <w:t>traditional steam</w:t>
      </w:r>
      <w:r w:rsidR="00714344">
        <w:t>,</w:t>
      </w:r>
      <w:r w:rsidR="00F46D40" w:rsidRPr="00AA06D8">
        <w:t xml:space="preserve"> and hydro spinning generation)</w:t>
      </w:r>
      <w:r w:rsidR="00B113BE" w:rsidRPr="00AA06D8">
        <w:t xml:space="preserve"> </w:t>
      </w:r>
      <w:r w:rsidRPr="00AA06D8">
        <w:t xml:space="preserve">on the New England system. This raises issues of </w:t>
      </w:r>
      <w:r w:rsidR="00B113BE" w:rsidRPr="00AA06D8">
        <w:t xml:space="preserve">the system’s ability to </w:t>
      </w:r>
      <w:r w:rsidRPr="00AA06D8">
        <w:t xml:space="preserve">meet operational requirements for system security, including </w:t>
      </w:r>
      <w:r w:rsidR="00B113BE" w:rsidRPr="00AA06D8">
        <w:t xml:space="preserve">for </w:t>
      </w:r>
      <w:r w:rsidRPr="00AA06D8">
        <w:t>regulation, ramping, and reserves. Other system issues would need to be addressed</w:t>
      </w:r>
      <w:r w:rsidR="00B113BE" w:rsidRPr="00AA06D8">
        <w:t xml:space="preserve"> also</w:t>
      </w:r>
      <w:r w:rsidRPr="00AA06D8">
        <w:t>, such as system protection, power quality, voltage regulation, and stability performance</w:t>
      </w:r>
      <w:r w:rsidR="009E7B29" w:rsidRPr="00AA06D8">
        <w:t xml:space="preserve">. </w:t>
      </w:r>
      <w:r w:rsidR="00AD062C">
        <w:t>The large</w:t>
      </w:r>
      <w:r w:rsidR="009E00E7">
        <w:t>-</w:t>
      </w:r>
      <w:r w:rsidR="00AD062C">
        <w:t>scale addition of energy efficiency</w:t>
      </w:r>
      <w:r w:rsidR="002C1D43">
        <w:t xml:space="preserve"> further</w:t>
      </w:r>
      <w:r w:rsidR="00AD062C">
        <w:t xml:space="preserve"> increase</w:t>
      </w:r>
      <w:r w:rsidR="00A37791">
        <w:t>s the need to address these issues, such as high system</w:t>
      </w:r>
      <w:r w:rsidR="00163462">
        <w:t>-</w:t>
      </w:r>
      <w:r w:rsidR="00A37791">
        <w:t>voltage conditions</w:t>
      </w:r>
      <w:r w:rsidR="002C1D43">
        <w:t xml:space="preserve"> during light</w:t>
      </w:r>
      <w:r w:rsidR="00163462">
        <w:t xml:space="preserve"> </w:t>
      </w:r>
      <w:r w:rsidR="002C1D43">
        <w:t>load</w:t>
      </w:r>
      <w:r w:rsidR="00AD062C">
        <w:t xml:space="preserve">. </w:t>
      </w:r>
      <w:r w:rsidR="002C1D43">
        <w:t xml:space="preserve">Potential solutions include the </w:t>
      </w:r>
      <w:r w:rsidR="00A56088">
        <w:t xml:space="preserve">application </w:t>
      </w:r>
      <w:r w:rsidR="002C1D43">
        <w:t xml:space="preserve">of special control systems on inverter-based resources, additional investment in the transmission system, and </w:t>
      </w:r>
      <w:r w:rsidR="00163462">
        <w:t xml:space="preserve">the </w:t>
      </w:r>
      <w:r w:rsidR="00A56088">
        <w:t xml:space="preserve">use of </w:t>
      </w:r>
      <w:r w:rsidR="002C1D43">
        <w:t>smart grid technologies.</w:t>
      </w:r>
    </w:p>
    <w:p w:rsidR="00870507" w:rsidRPr="000346F7" w:rsidRDefault="00870507" w:rsidP="00D27B9E">
      <w:pPr>
        <w:pStyle w:val="Heading3"/>
      </w:pPr>
      <w:bookmarkStart w:id="24" w:name="_Toc528571180"/>
      <w:r w:rsidRPr="000346F7">
        <w:t>High-Order-of-Magnitude Transmission Costs</w:t>
      </w:r>
      <w:bookmarkEnd w:id="24"/>
    </w:p>
    <w:p w:rsidR="00870507" w:rsidRDefault="00870507" w:rsidP="00E808DF">
      <w:r w:rsidRPr="00870507">
        <w:t xml:space="preserve">Similar to the 2016 </w:t>
      </w:r>
      <w:r w:rsidR="002048B7">
        <w:t>NEPOOL Scenario Analysis</w:t>
      </w:r>
      <w:r w:rsidRPr="00870507">
        <w:t>, high-order-of-magnitude cost estimates for integrator and congestion-relief systems in Maine formed the basis of the transmission</w:t>
      </w:r>
      <w:r>
        <w:t xml:space="preserve"> </w:t>
      </w:r>
      <w:r w:rsidRPr="00870507">
        <w:t>development costs associated with onshore wind for each individual scenario. The transmission cost estimates do not include individual plant development and interconnection costs, which are assumed as part of the capital costs of generation development. Offshore wind development assumed carefully planned points of interconnection split among Connecticut, Rhode Island, and southeastern Massachusetts that would eliminate the need for any integrator or congestion</w:t>
      </w:r>
      <w:r w:rsidR="00E9557B">
        <w:t>-</w:t>
      </w:r>
      <w:r w:rsidRPr="00870507">
        <w:t>relief systems</w:t>
      </w:r>
      <w:r w:rsidR="00860D3B">
        <w:t xml:space="preserve">. </w:t>
      </w:r>
      <w:r w:rsidRPr="00870507">
        <w:t>The points of interconnection are assumed as part of the offshore wind total overnight generator costs.</w:t>
      </w:r>
    </w:p>
    <w:p w:rsidR="00870507" w:rsidRDefault="00870507" w:rsidP="00E808DF">
      <w:r>
        <w:t>Transmission development</w:t>
      </w:r>
      <w:r w:rsidRPr="00870507">
        <w:t xml:space="preserve"> </w:t>
      </w:r>
      <w:r>
        <w:t xml:space="preserve">costs increase with greater amounts of assumed onshore wind development. The EE + Offshore scenario results in the least expensive high-order-of-magnitude transmission development costs and the </w:t>
      </w:r>
      <w:r w:rsidR="00AF6389">
        <w:t>Wind Less Nuclear</w:t>
      </w:r>
      <w:r>
        <w:t xml:space="preserve"> scenario resulted in the greatest costs. </w:t>
      </w:r>
    </w:p>
    <w:p w:rsidR="00DA212C" w:rsidRPr="003E329C" w:rsidRDefault="00DA212C" w:rsidP="00D27B9E">
      <w:pPr>
        <w:pStyle w:val="Heading3"/>
      </w:pPr>
      <w:bookmarkStart w:id="25" w:name="_Toc528571181"/>
      <w:r w:rsidRPr="003E329C">
        <w:t>Relative Annual Resource Costs</w:t>
      </w:r>
      <w:bookmarkEnd w:id="25"/>
    </w:p>
    <w:p w:rsidR="001E37B3" w:rsidRDefault="008C50BF" w:rsidP="00201D25">
      <w:r w:rsidRPr="008C50BF">
        <w:t xml:space="preserve">The </w:t>
      </w:r>
      <w:r w:rsidR="00A96085">
        <w:t>r</w:t>
      </w:r>
      <w:r w:rsidR="00634F8E" w:rsidRPr="005C7DD1">
        <w:t>elative</w:t>
      </w:r>
      <w:r w:rsidR="00866345" w:rsidRPr="005C7DD1">
        <w:t xml:space="preserve"> </w:t>
      </w:r>
      <w:r w:rsidR="00A96085">
        <w:t>a</w:t>
      </w:r>
      <w:r w:rsidRPr="005C7DD1">
        <w:t xml:space="preserve">nnual </w:t>
      </w:r>
      <w:r w:rsidR="00A96085">
        <w:t>r</w:t>
      </w:r>
      <w:r w:rsidRPr="005C7DD1">
        <w:t xml:space="preserve">esource </w:t>
      </w:r>
      <w:r w:rsidR="00A96085">
        <w:t>c</w:t>
      </w:r>
      <w:r w:rsidRPr="005C7DD1">
        <w:t>ost (</w:t>
      </w:r>
      <w:r w:rsidR="00634F8E" w:rsidRPr="005C7DD1">
        <w:t>R</w:t>
      </w:r>
      <w:r w:rsidRPr="005C7DD1">
        <w:t>ARC)</w:t>
      </w:r>
      <w:r w:rsidRPr="008C50BF">
        <w:t xml:space="preserve"> </w:t>
      </w:r>
      <w:r>
        <w:t xml:space="preserve">metric is a means of comparing the total </w:t>
      </w:r>
      <w:r w:rsidR="001E37B3">
        <w:t xml:space="preserve">annual </w:t>
      </w:r>
      <w:r>
        <w:t xml:space="preserve">costs of all </w:t>
      </w:r>
      <w:r w:rsidR="00046C8C">
        <w:t>three</w:t>
      </w:r>
      <w:r>
        <w:t xml:space="preserve"> scenarios</w:t>
      </w:r>
      <w:r w:rsidR="003124D0">
        <w:t xml:space="preserve"> with the constrained case for </w:t>
      </w:r>
      <w:r w:rsidR="00054A84">
        <w:t xml:space="preserve">the </w:t>
      </w:r>
      <w:r w:rsidR="00046C8C">
        <w:t>Renew</w:t>
      </w:r>
      <w:r w:rsidR="00B770F8">
        <w:t>able</w:t>
      </w:r>
      <w:r w:rsidR="00E9557B">
        <w:t>s</w:t>
      </w:r>
      <w:r w:rsidR="00046C8C">
        <w:t xml:space="preserve"> Plus</w:t>
      </w:r>
      <w:r w:rsidR="00054A84">
        <w:t xml:space="preserve"> scenario</w:t>
      </w:r>
      <w:r w:rsidR="00464371">
        <w:t>.</w:t>
      </w:r>
      <w:r>
        <w:t xml:space="preserve"> The </w:t>
      </w:r>
      <w:r w:rsidR="001F7209">
        <w:t>R</w:t>
      </w:r>
      <w:r>
        <w:t xml:space="preserve">ARC </w:t>
      </w:r>
      <w:r w:rsidR="001E37B3">
        <w:t>accounts for the yearly</w:t>
      </w:r>
      <w:r w:rsidRPr="008C50BF">
        <w:t xml:space="preserve"> systemwide production costs, which can be thought of </w:t>
      </w:r>
      <w:r w:rsidR="003F05D1">
        <w:t xml:space="preserve">as </w:t>
      </w:r>
      <w:r w:rsidRPr="008C50BF">
        <w:t>operating costs</w:t>
      </w:r>
      <w:r w:rsidR="005D5238">
        <w:t>, plus it</w:t>
      </w:r>
      <w:r w:rsidRPr="005C7DD1">
        <w:t xml:space="preserve"> </w:t>
      </w:r>
      <w:r w:rsidR="00763384">
        <w:t xml:space="preserve">captures </w:t>
      </w:r>
      <w:r w:rsidR="000B43E9">
        <w:t xml:space="preserve">the annual costs of capital additions by including the </w:t>
      </w:r>
      <w:r w:rsidR="00E96869">
        <w:t xml:space="preserve">annualized </w:t>
      </w:r>
      <w:r w:rsidR="000172CC">
        <w:t xml:space="preserve">carrying </w:t>
      </w:r>
      <w:r w:rsidR="00E96869">
        <w:t xml:space="preserve">costs </w:t>
      </w:r>
      <w:r w:rsidR="005C7DD1">
        <w:t xml:space="preserve">for new </w:t>
      </w:r>
      <w:r w:rsidR="005C7DD1" w:rsidRPr="00EC096F">
        <w:t>resources</w:t>
      </w:r>
      <w:r w:rsidR="00E96869" w:rsidRPr="00EC096F">
        <w:t xml:space="preserve"> and </w:t>
      </w:r>
      <w:r w:rsidR="00EC096F" w:rsidRPr="00EC096F">
        <w:t>high</w:t>
      </w:r>
      <w:r w:rsidR="00543810">
        <w:t>-</w:t>
      </w:r>
      <w:r w:rsidR="00EC096F" w:rsidRPr="00EC096F">
        <w:t xml:space="preserve">order-of-magnitude </w:t>
      </w:r>
      <w:r w:rsidRPr="00EC096F">
        <w:t>transmission</w:t>
      </w:r>
      <w:r w:rsidR="005C7DD1" w:rsidRPr="00EC096F">
        <w:t>-</w:t>
      </w:r>
      <w:r w:rsidRPr="00EC096F">
        <w:t>development costs.</w:t>
      </w:r>
      <w:r w:rsidR="00BB1FC7">
        <w:rPr>
          <w:rStyle w:val="FootnoteReference"/>
        </w:rPr>
        <w:footnoteReference w:id="18"/>
      </w:r>
      <w:r w:rsidRPr="00EC096F">
        <w:t xml:space="preserve"> </w:t>
      </w:r>
      <w:r w:rsidR="003124D0">
        <w:t xml:space="preserve">RARC is thus a measure of the relative </w:t>
      </w:r>
      <w:r w:rsidR="003124D0" w:rsidRPr="008D0195">
        <w:t>total</w:t>
      </w:r>
      <w:r w:rsidR="003124D0" w:rsidRPr="00D11A72">
        <w:t xml:space="preserve"> costs </w:t>
      </w:r>
      <w:r w:rsidR="003124D0">
        <w:t>for all scenarios</w:t>
      </w:r>
      <w:r w:rsidR="00791A5F">
        <w:t xml:space="preserve">  with</w:t>
      </w:r>
      <w:r w:rsidR="006F20CD">
        <w:t xml:space="preserve"> </w:t>
      </w:r>
      <w:r w:rsidR="00791A5F">
        <w:t>p</w:t>
      </w:r>
      <w:r w:rsidR="006F20CD">
        <w:t>ositive values reflect</w:t>
      </w:r>
      <w:r w:rsidR="00791A5F">
        <w:t>ing</w:t>
      </w:r>
      <w:r w:rsidR="006F20CD">
        <w:t xml:space="preserve"> higher costs than the constrained case for </w:t>
      </w:r>
      <w:r w:rsidR="000B228A">
        <w:t xml:space="preserve">the </w:t>
      </w:r>
      <w:r w:rsidR="006F20CD">
        <w:t xml:space="preserve">Renewables Plus </w:t>
      </w:r>
      <w:r w:rsidR="000B228A">
        <w:t xml:space="preserve">scenario </w:t>
      </w:r>
      <w:r w:rsidR="006F20CD">
        <w:t>and negative values reflect</w:t>
      </w:r>
      <w:r w:rsidR="00791A5F">
        <w:t>ing</w:t>
      </w:r>
      <w:r w:rsidR="006F20CD">
        <w:t xml:space="preserve"> lower costs. </w:t>
      </w:r>
      <w:r w:rsidR="0067610C">
        <w:t xml:space="preserve"> </w:t>
      </w:r>
      <w:r w:rsidR="00676A04" w:rsidRPr="00970ECF">
        <w:fldChar w:fldCharType="begin"/>
      </w:r>
      <w:r w:rsidR="00676A04" w:rsidRPr="00970ECF">
        <w:instrText xml:space="preserve"> REF _Ref476242598 \h  \* MERGEFORMAT </w:instrText>
      </w:r>
      <w:r w:rsidR="00676A04" w:rsidRPr="00970ECF">
        <w:fldChar w:fldCharType="separate"/>
      </w:r>
      <w:r w:rsidR="00872A95" w:rsidRPr="001F11D4">
        <w:rPr>
          <w:noProof/>
        </w:rPr>
        <w:t>Figure</w:t>
      </w:r>
      <w:r w:rsidR="00872A95" w:rsidRPr="001F11D4">
        <w:t xml:space="preserve"> </w:t>
      </w:r>
      <w:r w:rsidR="00872A95">
        <w:rPr>
          <w:noProof/>
        </w:rPr>
        <w:t>1</w:t>
      </w:r>
      <w:r w:rsidR="00872A95">
        <w:rPr>
          <w:noProof/>
        </w:rPr>
        <w:noBreakHyphen/>
        <w:t>1</w:t>
      </w:r>
      <w:r w:rsidR="00676A04" w:rsidRPr="00970ECF">
        <w:fldChar w:fldCharType="end"/>
      </w:r>
      <w:r w:rsidR="00676A04" w:rsidRPr="00970ECF">
        <w:t xml:space="preserve"> </w:t>
      </w:r>
      <w:r w:rsidR="00054A84">
        <w:t xml:space="preserve">and </w:t>
      </w:r>
      <w:r w:rsidR="00054A84">
        <w:fldChar w:fldCharType="begin"/>
      </w:r>
      <w:r w:rsidR="00054A84">
        <w:instrText xml:space="preserve"> REF _Ref520708703 \h </w:instrText>
      </w:r>
      <w:r w:rsidR="00054A84">
        <w:fldChar w:fldCharType="separate"/>
      </w:r>
      <w:r w:rsidR="00872A95" w:rsidRPr="00D241ED">
        <w:t xml:space="preserve">Table </w:t>
      </w:r>
      <w:r w:rsidR="00872A95">
        <w:rPr>
          <w:noProof/>
        </w:rPr>
        <w:t>1</w:t>
      </w:r>
      <w:r w:rsidR="00872A95">
        <w:noBreakHyphen/>
      </w:r>
      <w:r w:rsidR="00872A95">
        <w:rPr>
          <w:noProof/>
        </w:rPr>
        <w:t>3</w:t>
      </w:r>
      <w:r w:rsidR="00054A84">
        <w:fldChar w:fldCharType="end"/>
      </w:r>
      <w:r w:rsidR="001C2789">
        <w:t xml:space="preserve"> </w:t>
      </w:r>
      <w:r w:rsidR="0067610C">
        <w:t xml:space="preserve">summarize the relative total operating costs and capital costs of the scenarios </w:t>
      </w:r>
      <w:r w:rsidR="00791A5F">
        <w:t>expressed</w:t>
      </w:r>
      <w:r w:rsidR="0067610C">
        <w:t xml:space="preserve"> </w:t>
      </w:r>
      <w:r w:rsidR="00791A5F">
        <w:t xml:space="preserve">in billions of </w:t>
      </w:r>
      <w:r w:rsidR="0067610C">
        <w:t>dollars</w:t>
      </w:r>
      <w:r w:rsidR="001C2789">
        <w:t xml:space="preserve">, </w:t>
      </w:r>
      <w:r w:rsidR="0067610C">
        <w:t xml:space="preserve"> </w:t>
      </w:r>
      <w:r w:rsidR="000D7F9C">
        <w:t>and</w:t>
      </w:r>
      <w:r w:rsidR="00676A04" w:rsidRPr="00970ECF">
        <w:t xml:space="preserve"> </w:t>
      </w:r>
      <w:r w:rsidR="007B5F18">
        <w:t xml:space="preserve">Figure </w:t>
      </w:r>
      <w:r w:rsidR="00044C62">
        <w:t>1-</w:t>
      </w:r>
      <w:r w:rsidR="000D7F9C">
        <w:t>2</w:t>
      </w:r>
      <w:r w:rsidR="00676A04" w:rsidRPr="00970ECF">
        <w:t xml:space="preserve"> </w:t>
      </w:r>
      <w:r w:rsidR="001C2789">
        <w:t xml:space="preserve">and </w:t>
      </w:r>
      <w:r w:rsidR="001C2789">
        <w:fldChar w:fldCharType="begin"/>
      </w:r>
      <w:r w:rsidR="001C2789">
        <w:instrText xml:space="preserve"> REF _Ref520708742 \h </w:instrText>
      </w:r>
      <w:r w:rsidR="001C2789">
        <w:fldChar w:fldCharType="separate"/>
      </w:r>
      <w:r w:rsidR="00872A95" w:rsidRPr="009E5B67">
        <w:t xml:space="preserve">Table </w:t>
      </w:r>
      <w:r w:rsidR="00872A95">
        <w:rPr>
          <w:noProof/>
        </w:rPr>
        <w:t>1</w:t>
      </w:r>
      <w:r w:rsidR="00872A95">
        <w:noBreakHyphen/>
      </w:r>
      <w:r w:rsidR="00872A95">
        <w:rPr>
          <w:noProof/>
        </w:rPr>
        <w:t>4</w:t>
      </w:r>
      <w:r w:rsidR="001C2789">
        <w:fldChar w:fldCharType="end"/>
      </w:r>
      <w:r w:rsidR="001C2789">
        <w:t xml:space="preserve"> </w:t>
      </w:r>
      <w:r w:rsidR="00676A04" w:rsidRPr="00970ECF">
        <w:t>summarize the RARCs</w:t>
      </w:r>
      <w:r w:rsidR="00791A5F">
        <w:t xml:space="preserve"> shown as cents per kilowatt-hour (kWh)</w:t>
      </w:r>
      <w:r w:rsidR="00676A04" w:rsidRPr="00206DE8">
        <w:t xml:space="preserve">. </w:t>
      </w:r>
      <w:r w:rsidRPr="00206DE8">
        <w:t>The</w:t>
      </w:r>
      <w:r>
        <w:t xml:space="preserve"> </w:t>
      </w:r>
      <w:r w:rsidR="0072412E">
        <w:t xml:space="preserve">white dashes in the </w:t>
      </w:r>
      <w:r w:rsidR="00206DE8">
        <w:t xml:space="preserve">figures </w:t>
      </w:r>
      <w:r w:rsidRPr="005C7DD1">
        <w:t>compare</w:t>
      </w:r>
      <w:r>
        <w:t xml:space="preserve"> the </w:t>
      </w:r>
      <w:r w:rsidR="0072412E">
        <w:t xml:space="preserve">total </w:t>
      </w:r>
      <w:r>
        <w:t>annual costs</w:t>
      </w:r>
      <w:r w:rsidR="008E637E">
        <w:t xml:space="preserve"> </w:t>
      </w:r>
      <w:r w:rsidR="00DF5823">
        <w:t xml:space="preserve">of all cases </w:t>
      </w:r>
      <w:r w:rsidR="008E637E">
        <w:t xml:space="preserve">with </w:t>
      </w:r>
      <w:r w:rsidR="008E637E" w:rsidRPr="005C7DD1">
        <w:t xml:space="preserve">the constrained case for </w:t>
      </w:r>
      <w:r w:rsidR="00870507">
        <w:t>Renew Plus</w:t>
      </w:r>
      <w:r w:rsidR="009E7B29" w:rsidRPr="005C7DD1">
        <w:t>.</w:t>
      </w:r>
      <w:r w:rsidR="00496106">
        <w:t xml:space="preserve"> </w:t>
      </w:r>
    </w:p>
    <w:p w:rsidR="001F11D4" w:rsidRDefault="001F11D4" w:rsidP="008712A9">
      <w:pPr>
        <w:keepNext/>
        <w:keepLines/>
        <w:spacing w:after="0" w:line="240" w:lineRule="auto"/>
        <w:jc w:val="center"/>
      </w:pPr>
      <w:r w:rsidRPr="001F11D4">
        <w:rPr>
          <w:noProof/>
        </w:rPr>
        <w:drawing>
          <wp:inline distT="0" distB="0" distL="0" distR="0" wp14:anchorId="7F3739E6" wp14:editId="04B537B3">
            <wp:extent cx="4950307" cy="2722880"/>
            <wp:effectExtent l="19050" t="19050" r="2222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899" cy="2736407"/>
                    </a:xfrm>
                    <a:prstGeom prst="rect">
                      <a:avLst/>
                    </a:prstGeom>
                    <a:noFill/>
                    <a:ln w="3175">
                      <a:solidFill>
                        <a:schemeClr val="tx1"/>
                      </a:solidFill>
                    </a:ln>
                  </pic:spPr>
                </pic:pic>
              </a:graphicData>
            </a:graphic>
          </wp:inline>
        </w:drawing>
      </w:r>
    </w:p>
    <w:p w:rsidR="00A961AC" w:rsidRPr="001F11D4" w:rsidRDefault="007977A9" w:rsidP="008712A9">
      <w:pPr>
        <w:pStyle w:val="Caption"/>
        <w:spacing w:before="120" w:after="80"/>
        <w:ind w:left="720" w:right="630"/>
      </w:pPr>
      <w:bookmarkStart w:id="26" w:name="_Ref476242598"/>
      <w:bookmarkStart w:id="27" w:name="_Toc519511495"/>
      <w:r w:rsidRPr="001F11D4">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1</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1</w:t>
      </w:r>
      <w:r w:rsidR="00E930AF">
        <w:rPr>
          <w:noProof/>
        </w:rPr>
        <w:fldChar w:fldCharType="end"/>
      </w:r>
      <w:bookmarkEnd w:id="26"/>
      <w:r w:rsidRPr="008712A9">
        <w:t xml:space="preserve">: </w:t>
      </w:r>
      <w:r w:rsidR="009D3DDD" w:rsidRPr="008712A9">
        <w:t>Total r</w:t>
      </w:r>
      <w:r w:rsidR="00DF5823" w:rsidRPr="008712A9">
        <w:t>elative</w:t>
      </w:r>
      <w:r w:rsidR="00A961AC" w:rsidRPr="008712A9">
        <w:t xml:space="preserve"> </w:t>
      </w:r>
      <w:r w:rsidRPr="008712A9">
        <w:t>a</w:t>
      </w:r>
      <w:r w:rsidR="00A961AC" w:rsidRPr="008712A9">
        <w:t xml:space="preserve">nnual </w:t>
      </w:r>
      <w:r w:rsidRPr="008712A9">
        <w:t>r</w:t>
      </w:r>
      <w:r w:rsidR="00A961AC" w:rsidRPr="008712A9">
        <w:t xml:space="preserve">esource </w:t>
      </w:r>
      <w:r w:rsidRPr="008712A9">
        <w:t>c</w:t>
      </w:r>
      <w:r w:rsidR="00A961AC" w:rsidRPr="008712A9">
        <w:t>osts</w:t>
      </w:r>
      <w:r w:rsidRPr="008712A9">
        <w:t xml:space="preserve">, </w:t>
      </w:r>
      <w:r w:rsidR="00A961AC" w:rsidRPr="008712A9">
        <w:t>20</w:t>
      </w:r>
      <w:r w:rsidR="00B770F8" w:rsidRPr="008712A9">
        <w:t>30</w:t>
      </w:r>
      <w:r w:rsidR="00F76E2B" w:rsidRPr="008712A9">
        <w:t xml:space="preserve"> (constrained and unconstrained)</w:t>
      </w:r>
      <w:r w:rsidRPr="008712A9">
        <w:t xml:space="preserve">, </w:t>
      </w:r>
      <w:r w:rsidR="003414BF" w:rsidRPr="008712A9">
        <w:t>s</w:t>
      </w:r>
      <w:r w:rsidR="00A961AC" w:rsidRPr="008712A9">
        <w:t>how</w:t>
      </w:r>
      <w:r w:rsidR="003414BF" w:rsidRPr="008712A9">
        <w:t>ing</w:t>
      </w:r>
      <w:r w:rsidR="00A961AC" w:rsidRPr="008712A9">
        <w:t xml:space="preserve"> </w:t>
      </w:r>
      <w:r w:rsidRPr="008712A9">
        <w:t>c</w:t>
      </w:r>
      <w:r w:rsidR="00A961AC" w:rsidRPr="008712A9">
        <w:t xml:space="preserve">hanges </w:t>
      </w:r>
      <w:r w:rsidRPr="008712A9">
        <w:t>c</w:t>
      </w:r>
      <w:r w:rsidR="00A961AC" w:rsidRPr="008712A9">
        <w:t xml:space="preserve">ompared </w:t>
      </w:r>
      <w:r w:rsidRPr="008712A9">
        <w:t xml:space="preserve">with </w:t>
      </w:r>
      <w:r w:rsidR="00A961AC" w:rsidRPr="008712A9">
        <w:t>20</w:t>
      </w:r>
      <w:r w:rsidR="00B770F8" w:rsidRPr="008712A9">
        <w:t>30</w:t>
      </w:r>
      <w:r w:rsidR="00A961AC" w:rsidRPr="008712A9">
        <w:t xml:space="preserve"> Scenario </w:t>
      </w:r>
      <w:r w:rsidR="00B770F8" w:rsidRPr="008712A9">
        <w:t>3</w:t>
      </w:r>
      <w:r w:rsidR="00BE0D84" w:rsidRPr="008712A9">
        <w:t xml:space="preserve"> </w:t>
      </w:r>
      <w:r w:rsidR="0053314D" w:rsidRPr="008712A9">
        <w:t xml:space="preserve">(constrained) </w:t>
      </w:r>
      <w:r w:rsidR="00BE0D84" w:rsidRPr="008712A9">
        <w:t>($ billions)</w:t>
      </w:r>
      <w:bookmarkEnd w:id="27"/>
      <w:r w:rsidR="00BE0D84" w:rsidRPr="008712A9">
        <w:t xml:space="preserve"> </w:t>
      </w:r>
    </w:p>
    <w:p w:rsidR="000B228A" w:rsidRDefault="00DF5823" w:rsidP="00904178">
      <w:pPr>
        <w:adjustRightInd/>
        <w:spacing w:line="240" w:lineRule="auto"/>
        <w:ind w:left="720" w:right="634"/>
        <w:textAlignment w:val="auto"/>
        <w:rPr>
          <w:rFonts w:asciiTheme="minorHAnsi" w:hAnsiTheme="minorHAnsi"/>
          <w:sz w:val="16"/>
          <w:szCs w:val="16"/>
        </w:rPr>
      </w:pPr>
      <w:r w:rsidRPr="008712A9">
        <w:rPr>
          <w:rFonts w:asciiTheme="minorHAnsi" w:hAnsiTheme="minorHAnsi"/>
          <w:b/>
          <w:sz w:val="16"/>
          <w:szCs w:val="16"/>
        </w:rPr>
        <w:t>Note</w:t>
      </w:r>
      <w:r w:rsidR="007977A9" w:rsidRPr="008712A9">
        <w:rPr>
          <w:rFonts w:asciiTheme="minorHAnsi" w:hAnsiTheme="minorHAnsi"/>
          <w:b/>
          <w:sz w:val="16"/>
          <w:szCs w:val="16"/>
        </w:rPr>
        <w:t>s</w:t>
      </w:r>
      <w:r w:rsidRPr="008712A9">
        <w:rPr>
          <w:rFonts w:asciiTheme="minorHAnsi" w:hAnsiTheme="minorHAnsi"/>
          <w:b/>
          <w:sz w:val="16"/>
          <w:szCs w:val="16"/>
        </w:rPr>
        <w:t>:</w:t>
      </w:r>
      <w:r w:rsidRPr="008712A9">
        <w:rPr>
          <w:rFonts w:asciiTheme="minorHAnsi" w:hAnsiTheme="minorHAnsi"/>
          <w:sz w:val="16"/>
          <w:szCs w:val="16"/>
        </w:rPr>
        <w:t xml:space="preserve">  Energy </w:t>
      </w:r>
      <w:r w:rsidR="007977A9" w:rsidRPr="008712A9">
        <w:rPr>
          <w:rFonts w:asciiTheme="minorHAnsi" w:hAnsiTheme="minorHAnsi"/>
          <w:sz w:val="16"/>
          <w:szCs w:val="16"/>
        </w:rPr>
        <w:t>e</w:t>
      </w:r>
      <w:r w:rsidRPr="008712A9">
        <w:rPr>
          <w:rFonts w:asciiTheme="minorHAnsi" w:hAnsiTheme="minorHAnsi"/>
          <w:sz w:val="16"/>
          <w:szCs w:val="16"/>
        </w:rPr>
        <w:t xml:space="preserve">fficiency and </w:t>
      </w:r>
      <w:r w:rsidR="007977A9" w:rsidRPr="008712A9">
        <w:rPr>
          <w:rFonts w:asciiTheme="minorHAnsi" w:hAnsiTheme="minorHAnsi"/>
          <w:sz w:val="16"/>
          <w:szCs w:val="16"/>
        </w:rPr>
        <w:t>s</w:t>
      </w:r>
      <w:r w:rsidRPr="008712A9">
        <w:rPr>
          <w:rFonts w:asciiTheme="minorHAnsi" w:hAnsiTheme="minorHAnsi"/>
          <w:sz w:val="16"/>
          <w:szCs w:val="16"/>
        </w:rPr>
        <w:t xml:space="preserve">olar include costs </w:t>
      </w:r>
      <w:r w:rsidR="00F87EAE" w:rsidRPr="008712A9">
        <w:rPr>
          <w:rFonts w:asciiTheme="minorHAnsi" w:hAnsiTheme="minorHAnsi"/>
          <w:sz w:val="16"/>
          <w:szCs w:val="16"/>
        </w:rPr>
        <w:t xml:space="preserve">resulting from </w:t>
      </w:r>
      <w:r w:rsidRPr="008712A9">
        <w:rPr>
          <w:rFonts w:asciiTheme="minorHAnsi" w:hAnsiTheme="minorHAnsi"/>
          <w:sz w:val="16"/>
          <w:szCs w:val="16"/>
        </w:rPr>
        <w:t>individual cus</w:t>
      </w:r>
      <w:r w:rsidRPr="001F11D4">
        <w:rPr>
          <w:rFonts w:asciiTheme="minorHAnsi" w:hAnsiTheme="minorHAnsi"/>
          <w:sz w:val="16"/>
          <w:szCs w:val="16"/>
        </w:rPr>
        <w:t xml:space="preserve">tomer investments that do not reflect </w:t>
      </w:r>
      <w:r w:rsidR="00E9557B">
        <w:rPr>
          <w:rFonts w:asciiTheme="minorHAnsi" w:hAnsiTheme="minorHAnsi"/>
          <w:sz w:val="16"/>
          <w:szCs w:val="16"/>
        </w:rPr>
        <w:t xml:space="preserve">the </w:t>
      </w:r>
      <w:r w:rsidRPr="001F11D4">
        <w:rPr>
          <w:rFonts w:asciiTheme="minorHAnsi" w:hAnsiTheme="minorHAnsi"/>
          <w:sz w:val="16"/>
          <w:szCs w:val="16"/>
        </w:rPr>
        <w:t xml:space="preserve">benefits </w:t>
      </w:r>
      <w:r w:rsidR="00474D29" w:rsidRPr="008712A9">
        <w:rPr>
          <w:rFonts w:asciiTheme="minorHAnsi" w:hAnsiTheme="minorHAnsi"/>
          <w:sz w:val="16"/>
          <w:szCs w:val="16"/>
        </w:rPr>
        <w:t>the owners</w:t>
      </w:r>
      <w:r w:rsidR="002F2F9F" w:rsidRPr="008712A9">
        <w:rPr>
          <w:rFonts w:asciiTheme="minorHAnsi" w:hAnsiTheme="minorHAnsi"/>
          <w:sz w:val="16"/>
          <w:szCs w:val="16"/>
        </w:rPr>
        <w:t xml:space="preserve"> would </w:t>
      </w:r>
      <w:r w:rsidRPr="008712A9">
        <w:rPr>
          <w:rFonts w:asciiTheme="minorHAnsi" w:hAnsiTheme="minorHAnsi"/>
          <w:sz w:val="16"/>
          <w:szCs w:val="16"/>
        </w:rPr>
        <w:t>receive.</w:t>
      </w:r>
      <w:r w:rsidR="007977A9" w:rsidRPr="008712A9">
        <w:rPr>
          <w:rFonts w:asciiTheme="minorHAnsi" w:hAnsiTheme="minorHAnsi"/>
          <w:sz w:val="16"/>
          <w:szCs w:val="16"/>
        </w:rPr>
        <w:t xml:space="preserve"> </w:t>
      </w:r>
      <w:r w:rsidR="00F87EAE" w:rsidRPr="008712A9">
        <w:rPr>
          <w:rFonts w:asciiTheme="minorHAnsi" w:hAnsiTheme="minorHAnsi"/>
          <w:sz w:val="16"/>
          <w:szCs w:val="16"/>
        </w:rPr>
        <w:t>P</w:t>
      </w:r>
      <w:r w:rsidRPr="008712A9">
        <w:rPr>
          <w:rFonts w:asciiTheme="minorHAnsi" w:hAnsiTheme="minorHAnsi"/>
          <w:sz w:val="16"/>
          <w:szCs w:val="16"/>
        </w:rPr>
        <w:t>roduction cost</w:t>
      </w:r>
      <w:r w:rsidR="00BF534A" w:rsidRPr="008712A9">
        <w:rPr>
          <w:rFonts w:asciiTheme="minorHAnsi" w:hAnsiTheme="minorHAnsi"/>
          <w:sz w:val="16"/>
          <w:szCs w:val="16"/>
        </w:rPr>
        <w:t>s</w:t>
      </w:r>
      <w:r w:rsidRPr="008712A9">
        <w:rPr>
          <w:rFonts w:asciiTheme="minorHAnsi" w:hAnsiTheme="minorHAnsi"/>
          <w:sz w:val="16"/>
          <w:szCs w:val="16"/>
        </w:rPr>
        <w:t xml:space="preserve"> reflect the price of carbon emissions at $</w:t>
      </w:r>
      <w:r w:rsidR="007B5F18" w:rsidRPr="008712A9">
        <w:rPr>
          <w:rFonts w:asciiTheme="minorHAnsi" w:hAnsiTheme="minorHAnsi"/>
          <w:sz w:val="16"/>
          <w:szCs w:val="16"/>
        </w:rPr>
        <w:t>24</w:t>
      </w:r>
      <w:r w:rsidRPr="008712A9">
        <w:rPr>
          <w:rFonts w:asciiTheme="minorHAnsi" w:hAnsiTheme="minorHAnsi"/>
          <w:sz w:val="16"/>
          <w:szCs w:val="16"/>
        </w:rPr>
        <w:t>/ton.</w:t>
      </w:r>
    </w:p>
    <w:p w:rsidR="000B228A" w:rsidRDefault="000B228A" w:rsidP="00A31918">
      <w:pPr>
        <w:pStyle w:val="Caption"/>
        <w:keepNext w:val="0"/>
        <w:keepLines w:val="0"/>
        <w:jc w:val="center"/>
      </w:pPr>
      <w:bookmarkStart w:id="28" w:name="_Ref520708703"/>
      <w:bookmarkStart w:id="29" w:name="_Toc520721013"/>
      <w:r w:rsidRPr="00D241ED">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1</w:t>
      </w:r>
      <w:r w:rsidR="00EA3757">
        <w:rPr>
          <w:noProof/>
        </w:rPr>
        <w:fldChar w:fldCharType="end"/>
      </w:r>
      <w:r>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3</w:t>
      </w:r>
      <w:r w:rsidR="00EA3757">
        <w:rPr>
          <w:noProof/>
        </w:rPr>
        <w:fldChar w:fldCharType="end"/>
      </w:r>
      <w:bookmarkEnd w:id="28"/>
      <w:r w:rsidRPr="00D241ED">
        <w:br/>
        <w:t>Relative Annual Resource Costs, 2030 ($ Millions)</w:t>
      </w:r>
      <w:bookmarkEnd w:id="29"/>
      <w:r w:rsidR="00973E1F" w:rsidRPr="005D493A">
        <w:rPr>
          <w:vertAlign w:val="superscript"/>
        </w:rPr>
        <w:t>(a)</w:t>
      </w:r>
    </w:p>
    <w:tbl>
      <w:tblPr>
        <w:tblW w:w="105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260"/>
        <w:gridCol w:w="1488"/>
        <w:gridCol w:w="951"/>
        <w:gridCol w:w="721"/>
        <w:gridCol w:w="721"/>
        <w:gridCol w:w="721"/>
        <w:gridCol w:w="722"/>
        <w:gridCol w:w="721"/>
        <w:gridCol w:w="721"/>
        <w:gridCol w:w="883"/>
        <w:gridCol w:w="810"/>
        <w:gridCol w:w="817"/>
      </w:tblGrid>
      <w:tr w:rsidR="000B228A" w:rsidRPr="00D241ED" w:rsidTr="000B228A">
        <w:trPr>
          <w:jc w:val="center"/>
        </w:trPr>
        <w:tc>
          <w:tcPr>
            <w:tcW w:w="1260"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 xml:space="preserve">Transmission </w:t>
            </w:r>
          </w:p>
        </w:tc>
        <w:tc>
          <w:tcPr>
            <w:tcW w:w="1488"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Scenario</w:t>
            </w:r>
          </w:p>
        </w:tc>
        <w:tc>
          <w:tcPr>
            <w:tcW w:w="95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Production Cost</w:t>
            </w:r>
          </w:p>
        </w:tc>
        <w:tc>
          <w:tcPr>
            <w:tcW w:w="72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Transm. Cost</w:t>
            </w:r>
          </w:p>
        </w:tc>
        <w:tc>
          <w:tcPr>
            <w:tcW w:w="72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Ties</w:t>
            </w:r>
          </w:p>
        </w:tc>
        <w:tc>
          <w:tcPr>
            <w:tcW w:w="72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Comb.  Cycle</w:t>
            </w:r>
          </w:p>
        </w:tc>
        <w:tc>
          <w:tcPr>
            <w:tcW w:w="722"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New Onshore Wind</w:t>
            </w:r>
          </w:p>
        </w:tc>
        <w:tc>
          <w:tcPr>
            <w:tcW w:w="72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New Offshore Wind</w:t>
            </w:r>
          </w:p>
        </w:tc>
        <w:tc>
          <w:tcPr>
            <w:tcW w:w="721"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Solar</w:t>
            </w:r>
          </w:p>
        </w:tc>
        <w:tc>
          <w:tcPr>
            <w:tcW w:w="883"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Energy Efficiency</w:t>
            </w:r>
          </w:p>
        </w:tc>
        <w:tc>
          <w:tcPr>
            <w:tcW w:w="810"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Battery</w:t>
            </w:r>
          </w:p>
        </w:tc>
        <w:tc>
          <w:tcPr>
            <w:tcW w:w="817" w:type="dxa"/>
            <w:shd w:val="clear" w:color="auto" w:fill="1795D2" w:themeFill="accent1"/>
            <w:vAlign w:val="center"/>
          </w:tcPr>
          <w:p w:rsidR="000B228A" w:rsidRPr="00D241ED"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Total</w:t>
            </w:r>
          </w:p>
        </w:tc>
      </w:tr>
      <w:tr w:rsidR="000B228A" w:rsidRPr="00D241ED" w:rsidTr="000B228A">
        <w:trPr>
          <w:jc w:val="center"/>
        </w:trPr>
        <w:tc>
          <w:tcPr>
            <w:tcW w:w="1260" w:type="dxa"/>
            <w:vMerge w:val="restart"/>
            <w:shd w:val="clear" w:color="auto" w:fill="auto"/>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b/>
                <w:sz w:val="18"/>
                <w:szCs w:val="18"/>
              </w:rPr>
            </w:pPr>
            <w:r w:rsidRPr="00D241ED">
              <w:rPr>
                <w:rFonts w:asciiTheme="majorHAnsi" w:eastAsia="Calibri" w:hAnsiTheme="majorHAnsi"/>
                <w:b/>
                <w:sz w:val="18"/>
                <w:szCs w:val="18"/>
              </w:rPr>
              <w:t xml:space="preserve"> Constrained</w:t>
            </w:r>
          </w:p>
        </w:tc>
        <w:tc>
          <w:tcPr>
            <w:tcW w:w="1488" w:type="dxa"/>
            <w:shd w:val="clear" w:color="auto" w:fill="auto"/>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Renew Plus</w:t>
            </w:r>
          </w:p>
        </w:tc>
        <w:tc>
          <w:tcPr>
            <w:tcW w:w="95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r>
      <w:tr w:rsidR="000B228A" w:rsidRPr="00D241ED" w:rsidTr="000B228A">
        <w:trPr>
          <w:jc w:val="center"/>
        </w:trPr>
        <w:tc>
          <w:tcPr>
            <w:tcW w:w="1260" w:type="dxa"/>
            <w:vMerge/>
            <w:shd w:val="clear" w:color="auto" w:fill="auto"/>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EE + Offshore</w:t>
            </w:r>
          </w:p>
        </w:tc>
        <w:tc>
          <w:tcPr>
            <w:tcW w:w="95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352</w:t>
            </w:r>
          </w:p>
        </w:tc>
        <w:tc>
          <w:tcPr>
            <w:tcW w:w="721" w:type="dxa"/>
            <w:shd w:val="clear" w:color="auto" w:fill="auto"/>
            <w:tcMar>
              <w:left w:w="0" w:type="dxa"/>
              <w:right w:w="115" w:type="dxa"/>
            </w:tcMar>
            <w:vAlign w:val="center"/>
          </w:tcPr>
          <w:p w:rsidR="000B228A" w:rsidRPr="00D241ED" w:rsidRDefault="00E862C4" w:rsidP="000B228A">
            <w:pPr>
              <w:spacing w:before="40" w:after="40" w:line="240" w:lineRule="auto"/>
              <w:jc w:val="right"/>
              <w:rPr>
                <w:rFonts w:asciiTheme="majorHAnsi" w:hAnsiTheme="majorHAnsi"/>
                <w:sz w:val="18"/>
                <w:szCs w:val="18"/>
              </w:rPr>
            </w:pPr>
            <w:r w:rsidRPr="00E862C4">
              <w:rPr>
                <w:rFonts w:asciiTheme="majorHAnsi" w:hAnsiTheme="majorHAnsi"/>
                <w:sz w:val="18"/>
                <w:szCs w:val="18"/>
              </w:rPr>
              <w:t>−</w:t>
            </w:r>
            <w:r w:rsidR="000B228A" w:rsidRPr="00D241ED">
              <w:rPr>
                <w:rFonts w:asciiTheme="majorHAnsi" w:hAnsiTheme="majorHAnsi"/>
                <w:sz w:val="18"/>
                <w:szCs w:val="18"/>
              </w:rPr>
              <w:t>338</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1,047</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974</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863</w:t>
            </w:r>
          </w:p>
        </w:tc>
        <w:tc>
          <w:tcPr>
            <w:tcW w:w="810"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124</w:t>
            </w:r>
          </w:p>
        </w:tc>
      </w:tr>
      <w:tr w:rsidR="000B228A" w:rsidRPr="00D241ED" w:rsidTr="000B228A">
        <w:trPr>
          <w:jc w:val="center"/>
        </w:trPr>
        <w:tc>
          <w:tcPr>
            <w:tcW w:w="1260" w:type="dxa"/>
            <w:vMerge/>
            <w:shd w:val="clear" w:color="auto" w:fill="auto"/>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Onshore Less EE/PV</w:t>
            </w:r>
          </w:p>
        </w:tc>
        <w:tc>
          <w:tcPr>
            <w:tcW w:w="95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968</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219</w:t>
            </w:r>
          </w:p>
        </w:tc>
        <w:tc>
          <w:tcPr>
            <w:tcW w:w="722"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803</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3,013</w:t>
            </w:r>
          </w:p>
        </w:tc>
        <w:tc>
          <w:tcPr>
            <w:tcW w:w="883"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980</w:t>
            </w:r>
          </w:p>
        </w:tc>
        <w:tc>
          <w:tcPr>
            <w:tcW w:w="810" w:type="dxa"/>
            <w:shd w:val="clear" w:color="auto" w:fill="auto"/>
            <w:tcMar>
              <w:left w:w="0" w:type="dxa"/>
              <w:right w:w="115" w:type="dxa"/>
            </w:tcMar>
            <w:vAlign w:val="center"/>
          </w:tcPr>
          <w:p w:rsidR="000B228A" w:rsidRPr="00D241ED" w:rsidRDefault="00E862C4" w:rsidP="000B228A">
            <w:pPr>
              <w:spacing w:before="40" w:after="40" w:line="240" w:lineRule="auto"/>
              <w:jc w:val="right"/>
              <w:rPr>
                <w:rFonts w:asciiTheme="majorHAnsi" w:hAnsiTheme="majorHAnsi"/>
                <w:sz w:val="18"/>
                <w:szCs w:val="18"/>
              </w:rPr>
            </w:pPr>
            <w:r w:rsidRPr="00E862C4">
              <w:rPr>
                <w:rFonts w:asciiTheme="majorHAnsi" w:hAnsiTheme="majorHAnsi"/>
                <w:sz w:val="18"/>
                <w:szCs w:val="18"/>
              </w:rPr>
              <w:t>−</w:t>
            </w:r>
            <w:r w:rsidR="000B228A" w:rsidRPr="00D241ED">
              <w:rPr>
                <w:rFonts w:asciiTheme="majorHAnsi" w:hAnsiTheme="majorHAnsi"/>
                <w:sz w:val="18"/>
                <w:szCs w:val="18"/>
              </w:rPr>
              <w:t>375</w:t>
            </w:r>
          </w:p>
        </w:tc>
        <w:tc>
          <w:tcPr>
            <w:tcW w:w="817"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2,603</w:t>
            </w:r>
          </w:p>
        </w:tc>
      </w:tr>
      <w:tr w:rsidR="000B228A" w:rsidRPr="00D241ED" w:rsidTr="000B228A">
        <w:trPr>
          <w:jc w:val="center"/>
        </w:trPr>
        <w:tc>
          <w:tcPr>
            <w:tcW w:w="1260" w:type="dxa"/>
            <w:vMerge/>
            <w:shd w:val="clear" w:color="auto" w:fill="auto"/>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AF6389" w:rsidP="00E862C4">
            <w:pPr>
              <w:keepNext/>
              <w:keepLines/>
              <w:adjustRightInd/>
              <w:spacing w:before="40" w:after="40" w:line="240" w:lineRule="auto"/>
              <w:textAlignment w:val="auto"/>
              <w:rPr>
                <w:rFonts w:asciiTheme="majorHAnsi" w:eastAsia="Calibri" w:hAnsiTheme="majorHAnsi"/>
                <w:sz w:val="18"/>
                <w:szCs w:val="18"/>
              </w:rPr>
            </w:pPr>
            <w:r>
              <w:rPr>
                <w:rFonts w:asciiTheme="majorHAnsi" w:eastAsia="Calibri" w:hAnsiTheme="majorHAnsi"/>
                <w:sz w:val="18"/>
                <w:szCs w:val="18"/>
              </w:rPr>
              <w:t>Wind Less Nuclear</w:t>
            </w:r>
          </w:p>
        </w:tc>
        <w:tc>
          <w:tcPr>
            <w:tcW w:w="95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396</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338</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1,508</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1,560</w:t>
            </w:r>
          </w:p>
        </w:tc>
        <w:tc>
          <w:tcPr>
            <w:tcW w:w="721"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3,802</w:t>
            </w:r>
          </w:p>
        </w:tc>
      </w:tr>
      <w:tr w:rsidR="000B228A" w:rsidRPr="00D241ED" w:rsidTr="000B228A">
        <w:trPr>
          <w:jc w:val="center"/>
        </w:trPr>
        <w:tc>
          <w:tcPr>
            <w:tcW w:w="1260" w:type="dxa"/>
            <w:vMerge w:val="restart"/>
            <w:shd w:val="clear" w:color="auto" w:fill="CCEAF9" w:themeFill="accent1" w:themeFillTint="33"/>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b/>
                <w:sz w:val="18"/>
                <w:szCs w:val="18"/>
              </w:rPr>
            </w:pPr>
            <w:r w:rsidRPr="00D241ED">
              <w:rPr>
                <w:rFonts w:asciiTheme="majorHAnsi" w:eastAsia="Calibri" w:hAnsiTheme="majorHAnsi"/>
                <w:b/>
                <w:sz w:val="18"/>
                <w:szCs w:val="18"/>
              </w:rPr>
              <w:t xml:space="preserve"> Unconstrained</w:t>
            </w:r>
          </w:p>
        </w:tc>
        <w:tc>
          <w:tcPr>
            <w:tcW w:w="1488" w:type="dxa"/>
            <w:shd w:val="clear" w:color="auto" w:fill="CCEAF9" w:themeFill="accent1" w:themeFillTint="33"/>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Renew Plus</w:t>
            </w:r>
          </w:p>
        </w:tc>
        <w:tc>
          <w:tcPr>
            <w:tcW w:w="95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167</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825</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658</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EE + Offshore</w:t>
            </w:r>
          </w:p>
        </w:tc>
        <w:tc>
          <w:tcPr>
            <w:tcW w:w="95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358</w:t>
            </w:r>
          </w:p>
        </w:tc>
        <w:tc>
          <w:tcPr>
            <w:tcW w:w="721" w:type="dxa"/>
            <w:shd w:val="clear" w:color="auto" w:fill="CCEAF9" w:themeFill="accent1" w:themeFillTint="33"/>
            <w:tcMar>
              <w:left w:w="0" w:type="dxa"/>
              <w:right w:w="115" w:type="dxa"/>
            </w:tcMar>
            <w:vAlign w:val="center"/>
          </w:tcPr>
          <w:p w:rsidR="000B228A" w:rsidRPr="00D241ED" w:rsidRDefault="00E862C4" w:rsidP="000B228A">
            <w:pPr>
              <w:spacing w:before="40" w:after="40" w:line="240" w:lineRule="auto"/>
              <w:jc w:val="right"/>
              <w:rPr>
                <w:rFonts w:asciiTheme="majorHAnsi" w:hAnsiTheme="majorHAnsi"/>
                <w:sz w:val="18"/>
                <w:szCs w:val="18"/>
              </w:rPr>
            </w:pPr>
            <w:r w:rsidRPr="00E862C4">
              <w:rPr>
                <w:rFonts w:asciiTheme="majorHAnsi" w:hAnsiTheme="majorHAnsi"/>
                <w:sz w:val="18"/>
                <w:szCs w:val="18"/>
              </w:rPr>
              <w:t>−</w:t>
            </w:r>
            <w:r w:rsidR="000B228A" w:rsidRPr="00D241ED">
              <w:rPr>
                <w:rFonts w:asciiTheme="majorHAnsi" w:hAnsiTheme="majorHAnsi"/>
                <w:sz w:val="18"/>
                <w:szCs w:val="18"/>
              </w:rPr>
              <w:t>338</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1,047</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974</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863</w:t>
            </w:r>
          </w:p>
        </w:tc>
        <w:tc>
          <w:tcPr>
            <w:tcW w:w="810"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130</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0B228A" w:rsidP="000B228A">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Onshore Less EE/PV</w:t>
            </w:r>
          </w:p>
        </w:tc>
        <w:tc>
          <w:tcPr>
            <w:tcW w:w="95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624</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1,133</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219</w:t>
            </w:r>
          </w:p>
        </w:tc>
        <w:tc>
          <w:tcPr>
            <w:tcW w:w="722"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803</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3,013</w:t>
            </w:r>
          </w:p>
        </w:tc>
        <w:tc>
          <w:tcPr>
            <w:tcW w:w="883"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980</w:t>
            </w:r>
          </w:p>
        </w:tc>
        <w:tc>
          <w:tcPr>
            <w:tcW w:w="810" w:type="dxa"/>
            <w:shd w:val="clear" w:color="auto" w:fill="CCEAF9" w:themeFill="accent1" w:themeFillTint="33"/>
            <w:tcMar>
              <w:left w:w="0" w:type="dxa"/>
              <w:right w:w="115" w:type="dxa"/>
            </w:tcMar>
            <w:vAlign w:val="center"/>
          </w:tcPr>
          <w:p w:rsidR="000B228A" w:rsidRPr="00D241ED" w:rsidRDefault="00E862C4" w:rsidP="000B228A">
            <w:pPr>
              <w:spacing w:before="40" w:after="40" w:line="240" w:lineRule="auto"/>
              <w:jc w:val="right"/>
              <w:rPr>
                <w:rFonts w:asciiTheme="majorHAnsi" w:hAnsiTheme="majorHAnsi"/>
                <w:sz w:val="18"/>
                <w:szCs w:val="18"/>
              </w:rPr>
            </w:pPr>
            <w:r w:rsidRPr="00E862C4">
              <w:rPr>
                <w:rFonts w:asciiTheme="majorHAnsi" w:hAnsiTheme="majorHAnsi"/>
                <w:sz w:val="18"/>
                <w:szCs w:val="18"/>
              </w:rPr>
              <w:t>−</w:t>
            </w:r>
            <w:r w:rsidR="000B228A" w:rsidRPr="00D241ED">
              <w:rPr>
                <w:rFonts w:asciiTheme="majorHAnsi" w:hAnsiTheme="majorHAnsi"/>
                <w:sz w:val="18"/>
                <w:szCs w:val="18"/>
              </w:rPr>
              <w:t>375</w:t>
            </w:r>
          </w:p>
        </w:tc>
        <w:tc>
          <w:tcPr>
            <w:tcW w:w="817"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1,814</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0B228A">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AF6389" w:rsidP="000B228A">
            <w:pPr>
              <w:keepNext/>
              <w:keepLines/>
              <w:adjustRightInd/>
              <w:spacing w:before="40" w:after="40" w:line="240" w:lineRule="auto"/>
              <w:textAlignment w:val="auto"/>
              <w:rPr>
                <w:rFonts w:asciiTheme="majorHAnsi" w:eastAsia="Calibri" w:hAnsiTheme="majorHAnsi"/>
                <w:sz w:val="18"/>
                <w:szCs w:val="18"/>
              </w:rPr>
            </w:pPr>
            <w:r>
              <w:rPr>
                <w:rFonts w:asciiTheme="majorHAnsi" w:eastAsia="Calibri" w:hAnsiTheme="majorHAnsi"/>
                <w:sz w:val="18"/>
                <w:szCs w:val="18"/>
              </w:rPr>
              <w:t>Wind Less Nuclear</w:t>
            </w:r>
          </w:p>
        </w:tc>
        <w:tc>
          <w:tcPr>
            <w:tcW w:w="95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152</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1,607</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1,508</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1,560</w:t>
            </w:r>
          </w:p>
        </w:tc>
        <w:tc>
          <w:tcPr>
            <w:tcW w:w="721"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0B228A">
            <w:pPr>
              <w:spacing w:before="40" w:after="40" w:line="240" w:lineRule="auto"/>
              <w:jc w:val="right"/>
              <w:rPr>
                <w:rFonts w:asciiTheme="majorHAnsi" w:hAnsiTheme="majorHAnsi"/>
                <w:sz w:val="18"/>
                <w:szCs w:val="18"/>
              </w:rPr>
            </w:pPr>
            <w:r w:rsidRPr="00D241ED">
              <w:rPr>
                <w:rFonts w:asciiTheme="majorHAnsi" w:hAnsiTheme="majorHAnsi"/>
                <w:sz w:val="18"/>
                <w:szCs w:val="18"/>
              </w:rPr>
              <w:t>4,524</w:t>
            </w:r>
          </w:p>
        </w:tc>
      </w:tr>
    </w:tbl>
    <w:p w:rsidR="00180DFF" w:rsidRPr="005D493A" w:rsidRDefault="00180DFF" w:rsidP="005D493A">
      <w:pPr>
        <w:pStyle w:val="ListParagraph"/>
        <w:numPr>
          <w:ilvl w:val="0"/>
          <w:numId w:val="91"/>
        </w:numPr>
        <w:spacing w:before="120" w:after="240" w:line="240" w:lineRule="auto"/>
        <w:ind w:left="-270" w:hanging="270"/>
        <w:rPr>
          <w:rFonts w:asciiTheme="majorHAnsi" w:hAnsiTheme="majorHAnsi"/>
          <w:sz w:val="16"/>
          <w:szCs w:val="16"/>
        </w:rPr>
      </w:pPr>
      <w:r w:rsidRPr="005D493A">
        <w:rPr>
          <w:rFonts w:asciiTheme="majorHAnsi" w:hAnsiTheme="majorHAnsi"/>
          <w:sz w:val="16"/>
          <w:szCs w:val="16"/>
        </w:rPr>
        <w:t xml:space="preserve">Numbers may not add due to rounding. </w:t>
      </w:r>
    </w:p>
    <w:p w:rsidR="001F11D4" w:rsidRPr="008712A9" w:rsidRDefault="001F11D4" w:rsidP="008712A9">
      <w:pPr>
        <w:adjustRightInd/>
        <w:spacing w:after="80" w:line="240" w:lineRule="auto"/>
        <w:textAlignment w:val="auto"/>
        <w:rPr>
          <w:rFonts w:asciiTheme="minorHAnsi" w:hAnsiTheme="minorHAnsi"/>
          <w:sz w:val="16"/>
          <w:szCs w:val="16"/>
        </w:rPr>
      </w:pPr>
    </w:p>
    <w:p w:rsidR="001F11D4" w:rsidRPr="001F11D4" w:rsidRDefault="001F11D4" w:rsidP="008712A9">
      <w:pPr>
        <w:keepNext/>
        <w:keepLines/>
        <w:adjustRightInd/>
        <w:spacing w:after="0" w:line="240" w:lineRule="auto"/>
        <w:jc w:val="center"/>
        <w:textAlignment w:val="auto"/>
      </w:pPr>
      <w:r w:rsidRPr="001F11D4">
        <w:rPr>
          <w:noProof/>
        </w:rPr>
        <w:drawing>
          <wp:inline distT="0" distB="0" distL="0" distR="0" wp14:anchorId="37268D58" wp14:editId="5D092F1A">
            <wp:extent cx="5168192" cy="3749040"/>
            <wp:effectExtent l="19050" t="19050" r="1397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607" cy="3752968"/>
                    </a:xfrm>
                    <a:prstGeom prst="rect">
                      <a:avLst/>
                    </a:prstGeom>
                    <a:noFill/>
                    <a:ln w="3175">
                      <a:solidFill>
                        <a:schemeClr val="tx1"/>
                      </a:solidFill>
                    </a:ln>
                  </pic:spPr>
                </pic:pic>
              </a:graphicData>
            </a:graphic>
          </wp:inline>
        </w:drawing>
      </w:r>
    </w:p>
    <w:p w:rsidR="00A961AC" w:rsidRPr="008712A9" w:rsidRDefault="00F87EAE" w:rsidP="008712A9">
      <w:pPr>
        <w:pStyle w:val="Caption"/>
        <w:spacing w:before="120" w:after="80"/>
        <w:ind w:left="630" w:right="630"/>
      </w:pPr>
      <w:bookmarkStart w:id="30" w:name="_Ref477180587"/>
      <w:bookmarkStart w:id="31" w:name="_Toc519511496"/>
      <w:r w:rsidRPr="008712A9">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1</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2</w:t>
      </w:r>
      <w:r w:rsidR="00E930AF">
        <w:rPr>
          <w:noProof/>
        </w:rPr>
        <w:fldChar w:fldCharType="end"/>
      </w:r>
      <w:bookmarkEnd w:id="30"/>
      <w:r w:rsidRPr="008712A9">
        <w:t xml:space="preserve">: </w:t>
      </w:r>
      <w:r w:rsidR="00A961AC" w:rsidRPr="008712A9">
        <w:t xml:space="preserve">Total </w:t>
      </w:r>
      <w:r w:rsidR="009D3DDD" w:rsidRPr="008712A9">
        <w:t xml:space="preserve">relative </w:t>
      </w:r>
      <w:r w:rsidRPr="008712A9">
        <w:t>a</w:t>
      </w:r>
      <w:r w:rsidR="00A961AC" w:rsidRPr="008712A9">
        <w:t xml:space="preserve">nnual </w:t>
      </w:r>
      <w:r w:rsidRPr="008712A9">
        <w:t>r</w:t>
      </w:r>
      <w:r w:rsidR="00A961AC" w:rsidRPr="008712A9">
        <w:t xml:space="preserve">esource </w:t>
      </w:r>
      <w:r w:rsidRPr="008712A9">
        <w:t>c</w:t>
      </w:r>
      <w:r w:rsidR="00A961AC" w:rsidRPr="008712A9">
        <w:t>osts</w:t>
      </w:r>
      <w:r w:rsidRPr="008712A9">
        <w:t xml:space="preserve">, </w:t>
      </w:r>
      <w:r w:rsidR="00B770F8" w:rsidRPr="008712A9">
        <w:t>2030</w:t>
      </w:r>
      <w:r w:rsidR="00F76E2B" w:rsidRPr="008712A9">
        <w:t xml:space="preserve"> (constrained and unconstrained)</w:t>
      </w:r>
      <w:r w:rsidRPr="008712A9">
        <w:t xml:space="preserve">, </w:t>
      </w:r>
      <w:r w:rsidR="003414BF" w:rsidRPr="008712A9">
        <w:t>s</w:t>
      </w:r>
      <w:r w:rsidR="00A961AC" w:rsidRPr="008712A9">
        <w:t>how</w:t>
      </w:r>
      <w:r w:rsidR="003414BF" w:rsidRPr="008712A9">
        <w:t>ing</w:t>
      </w:r>
      <w:r w:rsidR="00A961AC" w:rsidRPr="008712A9">
        <w:t xml:space="preserve"> </w:t>
      </w:r>
      <w:r w:rsidRPr="008712A9">
        <w:t>c</w:t>
      </w:r>
      <w:r w:rsidR="00A961AC" w:rsidRPr="008712A9">
        <w:t xml:space="preserve">hanges </w:t>
      </w:r>
      <w:r w:rsidRPr="008712A9">
        <w:t>c</w:t>
      </w:r>
      <w:r w:rsidR="00A961AC" w:rsidRPr="008712A9">
        <w:t xml:space="preserve">ompared </w:t>
      </w:r>
      <w:r w:rsidRPr="008712A9">
        <w:t xml:space="preserve">with </w:t>
      </w:r>
      <w:r w:rsidR="00A961AC" w:rsidRPr="008712A9">
        <w:t>20</w:t>
      </w:r>
      <w:r w:rsidR="00B770F8" w:rsidRPr="008712A9">
        <w:t>30</w:t>
      </w:r>
      <w:r w:rsidR="00A961AC" w:rsidRPr="008712A9">
        <w:t xml:space="preserve"> Scenario </w:t>
      </w:r>
      <w:r w:rsidR="00B770F8" w:rsidRPr="008712A9">
        <w:t>3</w:t>
      </w:r>
      <w:r w:rsidR="00A961AC" w:rsidRPr="008712A9">
        <w:t xml:space="preserve"> </w:t>
      </w:r>
      <w:r w:rsidR="0053314D" w:rsidRPr="008712A9">
        <w:t>(</w:t>
      </w:r>
      <w:r w:rsidR="00BE0D84" w:rsidRPr="008712A9">
        <w:t>c</w:t>
      </w:r>
      <w:r w:rsidR="00A961AC" w:rsidRPr="008712A9">
        <w:t>onstrained</w:t>
      </w:r>
      <w:r w:rsidR="0053314D" w:rsidRPr="008712A9">
        <w:t>)</w:t>
      </w:r>
      <w:r w:rsidR="00BE0D84" w:rsidRPr="008712A9">
        <w:t xml:space="preserve"> (</w:t>
      </w:r>
      <w:r w:rsidR="003414BF" w:rsidRPr="008712A9">
        <w:t>¢</w:t>
      </w:r>
      <w:r w:rsidR="00A961AC" w:rsidRPr="008712A9">
        <w:t>/kWh</w:t>
      </w:r>
      <w:r w:rsidR="00BE0D84" w:rsidRPr="008712A9">
        <w:t>)</w:t>
      </w:r>
      <w:r w:rsidR="00BF534A" w:rsidRPr="008712A9">
        <w:t>.</w:t>
      </w:r>
      <w:bookmarkEnd w:id="31"/>
    </w:p>
    <w:p w:rsidR="00DF5823" w:rsidRDefault="00DF5823" w:rsidP="00904178">
      <w:pPr>
        <w:adjustRightInd/>
        <w:spacing w:line="240" w:lineRule="auto"/>
        <w:ind w:left="634" w:right="634"/>
        <w:textAlignment w:val="auto"/>
        <w:rPr>
          <w:rFonts w:asciiTheme="minorHAnsi" w:hAnsiTheme="minorHAnsi"/>
          <w:sz w:val="16"/>
          <w:szCs w:val="16"/>
        </w:rPr>
      </w:pPr>
      <w:r w:rsidRPr="008712A9">
        <w:rPr>
          <w:rFonts w:asciiTheme="minorHAnsi" w:hAnsiTheme="minorHAnsi"/>
          <w:b/>
          <w:sz w:val="16"/>
          <w:szCs w:val="16"/>
        </w:rPr>
        <w:t>Note</w:t>
      </w:r>
      <w:r w:rsidR="00EE2870" w:rsidRPr="008712A9">
        <w:rPr>
          <w:rFonts w:asciiTheme="minorHAnsi" w:hAnsiTheme="minorHAnsi"/>
          <w:b/>
          <w:sz w:val="16"/>
          <w:szCs w:val="16"/>
        </w:rPr>
        <w:t>s</w:t>
      </w:r>
      <w:r w:rsidRPr="008712A9">
        <w:rPr>
          <w:rFonts w:asciiTheme="minorHAnsi" w:hAnsiTheme="minorHAnsi"/>
          <w:b/>
          <w:sz w:val="16"/>
          <w:szCs w:val="16"/>
        </w:rPr>
        <w:t>:</w:t>
      </w:r>
      <w:r w:rsidRPr="008712A9">
        <w:rPr>
          <w:rFonts w:asciiTheme="minorHAnsi" w:hAnsiTheme="minorHAnsi"/>
          <w:sz w:val="16"/>
          <w:szCs w:val="16"/>
        </w:rPr>
        <w:t xml:space="preserve">  Energy </w:t>
      </w:r>
      <w:r w:rsidR="00F87EAE" w:rsidRPr="008712A9">
        <w:rPr>
          <w:rFonts w:asciiTheme="minorHAnsi" w:hAnsiTheme="minorHAnsi"/>
          <w:sz w:val="16"/>
          <w:szCs w:val="16"/>
        </w:rPr>
        <w:t>e</w:t>
      </w:r>
      <w:r w:rsidRPr="008712A9">
        <w:rPr>
          <w:rFonts w:asciiTheme="minorHAnsi" w:hAnsiTheme="minorHAnsi"/>
          <w:sz w:val="16"/>
          <w:szCs w:val="16"/>
        </w:rPr>
        <w:t xml:space="preserve">fficiency and </w:t>
      </w:r>
      <w:r w:rsidR="00F87EAE" w:rsidRPr="008712A9">
        <w:rPr>
          <w:rFonts w:asciiTheme="minorHAnsi" w:hAnsiTheme="minorHAnsi"/>
          <w:sz w:val="16"/>
          <w:szCs w:val="16"/>
        </w:rPr>
        <w:t>s</w:t>
      </w:r>
      <w:r w:rsidRPr="008712A9">
        <w:rPr>
          <w:rFonts w:asciiTheme="minorHAnsi" w:hAnsiTheme="minorHAnsi"/>
          <w:sz w:val="16"/>
          <w:szCs w:val="16"/>
        </w:rPr>
        <w:t xml:space="preserve">olar include costs </w:t>
      </w:r>
      <w:r w:rsidR="00F87EAE" w:rsidRPr="008712A9">
        <w:rPr>
          <w:rFonts w:asciiTheme="minorHAnsi" w:hAnsiTheme="minorHAnsi"/>
          <w:sz w:val="16"/>
          <w:szCs w:val="16"/>
        </w:rPr>
        <w:t xml:space="preserve">resulting from </w:t>
      </w:r>
      <w:r w:rsidRPr="008712A9">
        <w:rPr>
          <w:rFonts w:asciiTheme="minorHAnsi" w:hAnsiTheme="minorHAnsi"/>
          <w:sz w:val="16"/>
          <w:szCs w:val="16"/>
        </w:rPr>
        <w:t xml:space="preserve">individual customer investments that do not reflect </w:t>
      </w:r>
      <w:r w:rsidR="00E9557B">
        <w:rPr>
          <w:rFonts w:asciiTheme="minorHAnsi" w:hAnsiTheme="minorHAnsi"/>
          <w:sz w:val="16"/>
          <w:szCs w:val="16"/>
        </w:rPr>
        <w:t xml:space="preserve">the </w:t>
      </w:r>
      <w:r w:rsidRPr="008712A9">
        <w:rPr>
          <w:rFonts w:asciiTheme="minorHAnsi" w:hAnsiTheme="minorHAnsi"/>
          <w:sz w:val="16"/>
          <w:szCs w:val="16"/>
        </w:rPr>
        <w:t xml:space="preserve">benefits </w:t>
      </w:r>
      <w:r w:rsidR="00BD5893" w:rsidRPr="008712A9">
        <w:rPr>
          <w:rFonts w:asciiTheme="minorHAnsi" w:hAnsiTheme="minorHAnsi"/>
          <w:sz w:val="16"/>
          <w:szCs w:val="16"/>
        </w:rPr>
        <w:t xml:space="preserve">the owners </w:t>
      </w:r>
      <w:r w:rsidR="002F2F9F" w:rsidRPr="008712A9">
        <w:rPr>
          <w:rFonts w:asciiTheme="minorHAnsi" w:hAnsiTheme="minorHAnsi"/>
          <w:sz w:val="16"/>
          <w:szCs w:val="16"/>
        </w:rPr>
        <w:t xml:space="preserve">would </w:t>
      </w:r>
      <w:r w:rsidRPr="008712A9">
        <w:rPr>
          <w:rFonts w:asciiTheme="minorHAnsi" w:hAnsiTheme="minorHAnsi"/>
          <w:sz w:val="16"/>
          <w:szCs w:val="16"/>
        </w:rPr>
        <w:t>receive.</w:t>
      </w:r>
      <w:r w:rsidR="00BF534A" w:rsidRPr="008712A9">
        <w:rPr>
          <w:rFonts w:asciiTheme="minorHAnsi" w:hAnsiTheme="minorHAnsi"/>
          <w:sz w:val="16"/>
          <w:szCs w:val="16"/>
        </w:rPr>
        <w:t xml:space="preserve"> </w:t>
      </w:r>
      <w:r w:rsidRPr="008712A9">
        <w:rPr>
          <w:rFonts w:asciiTheme="minorHAnsi" w:hAnsiTheme="minorHAnsi"/>
          <w:sz w:val="16"/>
          <w:szCs w:val="16"/>
        </w:rPr>
        <w:t>Production cost</w:t>
      </w:r>
      <w:r w:rsidR="00BF534A" w:rsidRPr="008712A9">
        <w:rPr>
          <w:rFonts w:asciiTheme="minorHAnsi" w:hAnsiTheme="minorHAnsi"/>
          <w:sz w:val="16"/>
          <w:szCs w:val="16"/>
        </w:rPr>
        <w:t>s</w:t>
      </w:r>
      <w:r w:rsidRPr="008712A9">
        <w:rPr>
          <w:rFonts w:asciiTheme="minorHAnsi" w:hAnsiTheme="minorHAnsi"/>
          <w:sz w:val="16"/>
          <w:szCs w:val="16"/>
        </w:rPr>
        <w:t xml:space="preserve"> reflect the price of carbon emissions at $</w:t>
      </w:r>
      <w:r w:rsidR="004F11DC" w:rsidRPr="008712A9">
        <w:rPr>
          <w:rFonts w:asciiTheme="minorHAnsi" w:hAnsiTheme="minorHAnsi"/>
          <w:sz w:val="16"/>
          <w:szCs w:val="16"/>
        </w:rPr>
        <w:t>19</w:t>
      </w:r>
      <w:r w:rsidRPr="008712A9">
        <w:rPr>
          <w:rFonts w:asciiTheme="minorHAnsi" w:hAnsiTheme="minorHAnsi"/>
          <w:sz w:val="16"/>
          <w:szCs w:val="16"/>
        </w:rPr>
        <w:t>/ton.</w:t>
      </w:r>
    </w:p>
    <w:p w:rsidR="000B228A" w:rsidRDefault="000B228A" w:rsidP="000B228A">
      <w:pPr>
        <w:pStyle w:val="Caption"/>
        <w:jc w:val="center"/>
      </w:pPr>
      <w:bookmarkStart w:id="32" w:name="_Ref520708742"/>
      <w:bookmarkStart w:id="33" w:name="_Toc520721014"/>
      <w:r w:rsidRPr="009E5B67">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1</w:t>
      </w:r>
      <w:r w:rsidR="00EA3757">
        <w:rPr>
          <w:noProof/>
        </w:rPr>
        <w:fldChar w:fldCharType="end"/>
      </w:r>
      <w:r>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4</w:t>
      </w:r>
      <w:r w:rsidR="00EA3757">
        <w:rPr>
          <w:noProof/>
        </w:rPr>
        <w:fldChar w:fldCharType="end"/>
      </w:r>
      <w:bookmarkEnd w:id="32"/>
      <w:r w:rsidRPr="009E5B67">
        <w:br/>
        <w:t>Relative Annual Resource Costs, 2030 (¢/kWh)</w:t>
      </w:r>
      <w:bookmarkEnd w:id="33"/>
      <w:r w:rsidR="00E862C4" w:rsidRPr="005D493A">
        <w:rPr>
          <w:vertAlign w:val="superscript"/>
        </w:rPr>
        <w:t>(a)</w:t>
      </w:r>
    </w:p>
    <w:tbl>
      <w:tblPr>
        <w:tblW w:w="106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58" w:type="dxa"/>
        </w:tblCellMar>
        <w:tblLook w:val="04A0" w:firstRow="1" w:lastRow="0" w:firstColumn="1" w:lastColumn="0" w:noHBand="0" w:noVBand="1"/>
      </w:tblPr>
      <w:tblGrid>
        <w:gridCol w:w="1260"/>
        <w:gridCol w:w="1620"/>
        <w:gridCol w:w="955"/>
        <w:gridCol w:w="721"/>
        <w:gridCol w:w="721"/>
        <w:gridCol w:w="721"/>
        <w:gridCol w:w="842"/>
        <w:gridCol w:w="810"/>
        <w:gridCol w:w="720"/>
        <w:gridCol w:w="813"/>
        <w:gridCol w:w="810"/>
        <w:gridCol w:w="679"/>
      </w:tblGrid>
      <w:tr w:rsidR="000B228A" w:rsidRPr="009E5B67" w:rsidTr="000B228A">
        <w:trPr>
          <w:cantSplit/>
          <w:jc w:val="center"/>
        </w:trPr>
        <w:tc>
          <w:tcPr>
            <w:tcW w:w="1260"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 xml:space="preserve">Transmission </w:t>
            </w:r>
          </w:p>
        </w:tc>
        <w:tc>
          <w:tcPr>
            <w:tcW w:w="1620"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Scenario</w:t>
            </w:r>
          </w:p>
        </w:tc>
        <w:tc>
          <w:tcPr>
            <w:tcW w:w="955"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Production Cost</w:t>
            </w:r>
          </w:p>
        </w:tc>
        <w:tc>
          <w:tcPr>
            <w:tcW w:w="721"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Transm. Cost</w:t>
            </w:r>
          </w:p>
        </w:tc>
        <w:tc>
          <w:tcPr>
            <w:tcW w:w="721"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Ties</w:t>
            </w:r>
          </w:p>
        </w:tc>
        <w:tc>
          <w:tcPr>
            <w:tcW w:w="721"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Comb.  Cycle</w:t>
            </w:r>
          </w:p>
        </w:tc>
        <w:tc>
          <w:tcPr>
            <w:tcW w:w="842"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New Onshore Wind</w:t>
            </w:r>
          </w:p>
        </w:tc>
        <w:tc>
          <w:tcPr>
            <w:tcW w:w="810"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New Offshore Wind</w:t>
            </w:r>
          </w:p>
        </w:tc>
        <w:tc>
          <w:tcPr>
            <w:tcW w:w="720"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Solar</w:t>
            </w:r>
          </w:p>
        </w:tc>
        <w:tc>
          <w:tcPr>
            <w:tcW w:w="813"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Energy Efficiency</w:t>
            </w:r>
          </w:p>
        </w:tc>
        <w:tc>
          <w:tcPr>
            <w:tcW w:w="810"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Battery</w:t>
            </w:r>
          </w:p>
        </w:tc>
        <w:tc>
          <w:tcPr>
            <w:tcW w:w="679" w:type="dxa"/>
            <w:shd w:val="clear" w:color="auto" w:fill="1795D2" w:themeFill="accent1"/>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Total</w:t>
            </w:r>
          </w:p>
        </w:tc>
      </w:tr>
      <w:tr w:rsidR="000B228A" w:rsidRPr="009E5B67" w:rsidTr="000B228A">
        <w:trPr>
          <w:cantSplit/>
          <w:jc w:val="center"/>
        </w:trPr>
        <w:tc>
          <w:tcPr>
            <w:tcW w:w="1260" w:type="dxa"/>
            <w:vMerge w:val="restart"/>
            <w:shd w:val="clear" w:color="auto" w:fill="auto"/>
            <w:vAlign w:val="center"/>
          </w:tcPr>
          <w:p w:rsidR="000B228A" w:rsidRPr="009E5B67" w:rsidRDefault="000B228A" w:rsidP="000B228A">
            <w:pPr>
              <w:keepNext/>
              <w:keepLines/>
              <w:adjustRightInd/>
              <w:spacing w:before="40" w:after="40" w:line="240" w:lineRule="auto"/>
              <w:textAlignment w:val="auto"/>
              <w:rPr>
                <w:rFonts w:asciiTheme="majorHAnsi" w:eastAsia="Calibri" w:hAnsiTheme="majorHAnsi"/>
                <w:b/>
                <w:sz w:val="18"/>
                <w:szCs w:val="18"/>
              </w:rPr>
            </w:pPr>
            <w:r w:rsidRPr="009E5B67">
              <w:rPr>
                <w:rFonts w:asciiTheme="majorHAnsi" w:eastAsia="Calibri" w:hAnsiTheme="majorHAnsi"/>
                <w:b/>
                <w:sz w:val="18"/>
                <w:szCs w:val="18"/>
              </w:rPr>
              <w:t>Constrained</w:t>
            </w:r>
          </w:p>
        </w:tc>
        <w:tc>
          <w:tcPr>
            <w:tcW w:w="1620" w:type="dxa"/>
            <w:shd w:val="clear" w:color="auto" w:fill="auto"/>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Renew Plus</w:t>
            </w:r>
          </w:p>
        </w:tc>
        <w:tc>
          <w:tcPr>
            <w:tcW w:w="955"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r>
      <w:tr w:rsidR="000B228A" w:rsidRPr="009E5B67" w:rsidTr="000B228A">
        <w:trPr>
          <w:cantSplit/>
          <w:jc w:val="center"/>
        </w:trPr>
        <w:tc>
          <w:tcPr>
            <w:tcW w:w="1260" w:type="dxa"/>
            <w:vMerge/>
            <w:shd w:val="clear" w:color="auto" w:fill="auto"/>
            <w:vAlign w:val="center"/>
          </w:tcPr>
          <w:p w:rsidR="000B228A" w:rsidRPr="009E5B67" w:rsidRDefault="000B228A" w:rsidP="000B228A">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EE + Offshore</w:t>
            </w:r>
          </w:p>
        </w:tc>
        <w:tc>
          <w:tcPr>
            <w:tcW w:w="955"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0.21</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0.13</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0.61</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72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0.51</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0.07</w:t>
            </w:r>
          </w:p>
        </w:tc>
      </w:tr>
      <w:tr w:rsidR="000B228A" w:rsidRPr="009E5B67" w:rsidTr="000B228A">
        <w:trPr>
          <w:cantSplit/>
          <w:jc w:val="center"/>
        </w:trPr>
        <w:tc>
          <w:tcPr>
            <w:tcW w:w="1260" w:type="dxa"/>
            <w:vMerge/>
            <w:shd w:val="clear" w:color="auto" w:fill="auto"/>
            <w:vAlign w:val="center"/>
          </w:tcPr>
          <w:p w:rsidR="000B228A" w:rsidRPr="009E5B67" w:rsidRDefault="000B228A" w:rsidP="000B228A">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Onshore Less EE/PV</w:t>
            </w:r>
          </w:p>
        </w:tc>
        <w:tc>
          <w:tcPr>
            <w:tcW w:w="955"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0.67</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0.03</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0.12</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0.14</w:t>
            </w:r>
          </w:p>
        </w:tc>
        <w:tc>
          <w:tcPr>
            <w:tcW w:w="842"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0.09</w:t>
            </w:r>
          </w:p>
        </w:tc>
        <w:tc>
          <w:tcPr>
            <w:tcW w:w="72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1.70</w:t>
            </w:r>
          </w:p>
        </w:tc>
        <w:tc>
          <w:tcPr>
            <w:tcW w:w="813"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0.48</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0.22</w:t>
            </w:r>
          </w:p>
        </w:tc>
        <w:tc>
          <w:tcPr>
            <w:tcW w:w="679"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1.01</w:t>
            </w:r>
          </w:p>
        </w:tc>
      </w:tr>
      <w:tr w:rsidR="000B228A" w:rsidRPr="009E5B67" w:rsidTr="000B228A">
        <w:trPr>
          <w:cantSplit/>
          <w:jc w:val="center"/>
        </w:trPr>
        <w:tc>
          <w:tcPr>
            <w:tcW w:w="1260" w:type="dxa"/>
            <w:vMerge/>
            <w:shd w:val="clear" w:color="auto" w:fill="auto"/>
            <w:vAlign w:val="center"/>
          </w:tcPr>
          <w:p w:rsidR="000B228A" w:rsidRPr="009E5B67" w:rsidRDefault="000B228A" w:rsidP="000B228A">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0B228A" w:rsidRPr="009E5B67" w:rsidRDefault="00AF6389" w:rsidP="00E862C4">
            <w:pPr>
              <w:spacing w:before="40" w:after="40" w:line="240" w:lineRule="auto"/>
              <w:rPr>
                <w:rFonts w:asciiTheme="majorHAnsi" w:hAnsiTheme="majorHAnsi"/>
                <w:sz w:val="18"/>
                <w:szCs w:val="18"/>
              </w:rPr>
            </w:pPr>
            <w:r>
              <w:rPr>
                <w:rFonts w:asciiTheme="majorHAnsi" w:hAnsiTheme="majorHAnsi"/>
                <w:sz w:val="18"/>
                <w:szCs w:val="18"/>
              </w:rPr>
              <w:t>Wind Less Nuclear</w:t>
            </w:r>
          </w:p>
        </w:tc>
        <w:tc>
          <w:tcPr>
            <w:tcW w:w="955"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0.23</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0.20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0.89</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0.92</w:t>
            </w:r>
          </w:p>
        </w:tc>
        <w:tc>
          <w:tcPr>
            <w:tcW w:w="72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2.23</w:t>
            </w:r>
          </w:p>
        </w:tc>
      </w:tr>
      <w:tr w:rsidR="000B228A" w:rsidRPr="009E5B67" w:rsidTr="000B228A">
        <w:trPr>
          <w:cantSplit/>
          <w:jc w:val="center"/>
        </w:trPr>
        <w:tc>
          <w:tcPr>
            <w:tcW w:w="1260" w:type="dxa"/>
            <w:vMerge w:val="restart"/>
            <w:shd w:val="clear" w:color="auto" w:fill="CCEAF9" w:themeFill="accent1" w:themeFillTint="33"/>
            <w:vAlign w:val="center"/>
          </w:tcPr>
          <w:p w:rsidR="000B228A" w:rsidRPr="009E5B67" w:rsidRDefault="000B228A" w:rsidP="000B228A">
            <w:pPr>
              <w:keepNext/>
              <w:keepLines/>
              <w:adjustRightInd/>
              <w:spacing w:before="40" w:after="40" w:line="240" w:lineRule="auto"/>
              <w:jc w:val="center"/>
              <w:textAlignment w:val="auto"/>
              <w:rPr>
                <w:rFonts w:asciiTheme="majorHAnsi" w:eastAsia="Calibri" w:hAnsiTheme="majorHAnsi"/>
                <w:b/>
                <w:sz w:val="18"/>
                <w:szCs w:val="18"/>
              </w:rPr>
            </w:pPr>
            <w:r w:rsidRPr="009E5B67">
              <w:rPr>
                <w:rFonts w:asciiTheme="majorHAnsi" w:eastAsia="Calibri" w:hAnsiTheme="majorHAnsi"/>
                <w:b/>
                <w:sz w:val="18"/>
                <w:szCs w:val="18"/>
              </w:rPr>
              <w:t>Unconstrained</w:t>
            </w:r>
          </w:p>
        </w:tc>
        <w:tc>
          <w:tcPr>
            <w:tcW w:w="1620" w:type="dxa"/>
            <w:shd w:val="clear" w:color="auto" w:fill="CCEAF9" w:themeFill="accent1" w:themeFillTint="33"/>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Renew Plus</w:t>
            </w:r>
          </w:p>
        </w:tc>
        <w:tc>
          <w:tcPr>
            <w:tcW w:w="955"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0.10</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0.48</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0.39</w:t>
            </w:r>
          </w:p>
        </w:tc>
      </w:tr>
      <w:tr w:rsidR="000B228A" w:rsidRPr="009E5B67" w:rsidTr="000B228A">
        <w:trPr>
          <w:cantSplit/>
          <w:jc w:val="center"/>
        </w:trPr>
        <w:tc>
          <w:tcPr>
            <w:tcW w:w="1260" w:type="dxa"/>
            <w:vMerge/>
            <w:shd w:val="clear" w:color="auto" w:fill="CCEAF9" w:themeFill="accent1" w:themeFillTint="33"/>
            <w:vAlign w:val="center"/>
          </w:tcPr>
          <w:p w:rsidR="000B228A" w:rsidRPr="009E5B67" w:rsidRDefault="000B228A" w:rsidP="000B228A">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EE + Offshore</w:t>
            </w:r>
          </w:p>
        </w:tc>
        <w:tc>
          <w:tcPr>
            <w:tcW w:w="955"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0.21</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0.20</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0.13</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0.61</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72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0.51</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0.08</w:t>
            </w:r>
          </w:p>
        </w:tc>
      </w:tr>
      <w:tr w:rsidR="000B228A" w:rsidRPr="009E5B67" w:rsidTr="000B228A">
        <w:trPr>
          <w:cantSplit/>
          <w:jc w:val="center"/>
        </w:trPr>
        <w:tc>
          <w:tcPr>
            <w:tcW w:w="1260" w:type="dxa"/>
            <w:vMerge/>
            <w:shd w:val="clear" w:color="auto" w:fill="CCEAF9" w:themeFill="accent1" w:themeFillTint="33"/>
            <w:vAlign w:val="center"/>
          </w:tcPr>
          <w:p w:rsidR="000B228A" w:rsidRPr="009E5B67" w:rsidRDefault="000B228A" w:rsidP="000B228A">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0B228A" w:rsidRPr="009E5B67" w:rsidRDefault="000B228A" w:rsidP="000B228A">
            <w:pPr>
              <w:spacing w:before="40" w:after="40" w:line="240" w:lineRule="auto"/>
              <w:rPr>
                <w:rFonts w:asciiTheme="majorHAnsi" w:hAnsiTheme="majorHAnsi"/>
                <w:sz w:val="18"/>
                <w:szCs w:val="18"/>
              </w:rPr>
            </w:pPr>
            <w:r w:rsidRPr="009E5B67">
              <w:rPr>
                <w:rFonts w:asciiTheme="majorHAnsi" w:hAnsiTheme="majorHAnsi"/>
                <w:sz w:val="18"/>
                <w:szCs w:val="18"/>
              </w:rPr>
              <w:t>Onshore Less EE/PV</w:t>
            </w:r>
          </w:p>
        </w:tc>
        <w:tc>
          <w:tcPr>
            <w:tcW w:w="955"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0.45</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0.75</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0.12</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0.14</w:t>
            </w:r>
          </w:p>
        </w:tc>
        <w:tc>
          <w:tcPr>
            <w:tcW w:w="842"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0.09</w:t>
            </w:r>
          </w:p>
        </w:tc>
        <w:tc>
          <w:tcPr>
            <w:tcW w:w="72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1.70</w:t>
            </w:r>
          </w:p>
        </w:tc>
        <w:tc>
          <w:tcPr>
            <w:tcW w:w="813"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0.48</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0.22</w:t>
            </w:r>
          </w:p>
        </w:tc>
        <w:tc>
          <w:tcPr>
            <w:tcW w:w="679"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0.51</w:t>
            </w:r>
          </w:p>
        </w:tc>
      </w:tr>
      <w:tr w:rsidR="000B228A" w:rsidRPr="009E5B67" w:rsidTr="000B228A">
        <w:trPr>
          <w:cantSplit/>
          <w:jc w:val="center"/>
        </w:trPr>
        <w:tc>
          <w:tcPr>
            <w:tcW w:w="1260" w:type="dxa"/>
            <w:vMerge/>
            <w:shd w:val="clear" w:color="auto" w:fill="CCEAF9" w:themeFill="accent1" w:themeFillTint="33"/>
            <w:vAlign w:val="center"/>
          </w:tcPr>
          <w:p w:rsidR="000B228A" w:rsidRPr="009E5B67" w:rsidRDefault="000B228A" w:rsidP="000B228A">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0B228A" w:rsidRPr="009E5B67" w:rsidRDefault="00AF6389" w:rsidP="000B228A">
            <w:pPr>
              <w:spacing w:before="40" w:after="40" w:line="240" w:lineRule="auto"/>
              <w:rPr>
                <w:rFonts w:asciiTheme="majorHAnsi" w:hAnsiTheme="majorHAnsi"/>
                <w:sz w:val="18"/>
                <w:szCs w:val="18"/>
              </w:rPr>
            </w:pPr>
            <w:r>
              <w:rPr>
                <w:rFonts w:asciiTheme="majorHAnsi" w:hAnsiTheme="majorHAnsi"/>
                <w:sz w:val="18"/>
                <w:szCs w:val="18"/>
              </w:rPr>
              <w:t>Wind Less Nuclear</w:t>
            </w:r>
          </w:p>
        </w:tc>
        <w:tc>
          <w:tcPr>
            <w:tcW w:w="955"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Pr>
                <w:rFonts w:asciiTheme="majorHAnsi" w:hAnsiTheme="majorHAnsi"/>
                <w:sz w:val="18"/>
                <w:szCs w:val="18"/>
              </w:rPr>
              <w:t>−</w:t>
            </w:r>
            <w:r w:rsidRPr="009E5B67">
              <w:rPr>
                <w:rFonts w:asciiTheme="majorHAnsi" w:hAnsiTheme="majorHAnsi"/>
                <w:sz w:val="18"/>
                <w:szCs w:val="18"/>
              </w:rPr>
              <w:t>0.09</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0.94</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0.89</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0.92</w:t>
            </w:r>
          </w:p>
        </w:tc>
        <w:tc>
          <w:tcPr>
            <w:tcW w:w="72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0B228A" w:rsidRPr="009E5B67" w:rsidRDefault="000B228A" w:rsidP="000B228A">
            <w:pPr>
              <w:spacing w:before="40" w:after="40" w:line="240" w:lineRule="auto"/>
              <w:jc w:val="right"/>
              <w:rPr>
                <w:rFonts w:asciiTheme="majorHAnsi" w:hAnsiTheme="majorHAnsi"/>
                <w:sz w:val="18"/>
                <w:szCs w:val="18"/>
              </w:rPr>
            </w:pPr>
            <w:r w:rsidRPr="009E5B67">
              <w:rPr>
                <w:rFonts w:asciiTheme="majorHAnsi" w:hAnsiTheme="majorHAnsi"/>
                <w:sz w:val="18"/>
                <w:szCs w:val="18"/>
              </w:rPr>
              <w:t>2.66</w:t>
            </w:r>
          </w:p>
        </w:tc>
      </w:tr>
    </w:tbl>
    <w:p w:rsidR="00A31918" w:rsidRPr="005D493A" w:rsidRDefault="00633C23" w:rsidP="005D493A">
      <w:pPr>
        <w:pStyle w:val="ListParagraph"/>
        <w:numPr>
          <w:ilvl w:val="0"/>
          <w:numId w:val="92"/>
        </w:numPr>
        <w:spacing w:before="120" w:after="240" w:line="240" w:lineRule="auto"/>
        <w:ind w:left="-360" w:hanging="270"/>
        <w:rPr>
          <w:rFonts w:asciiTheme="majorHAnsi" w:hAnsiTheme="majorHAnsi"/>
          <w:sz w:val="16"/>
          <w:szCs w:val="16"/>
        </w:rPr>
      </w:pPr>
      <w:r w:rsidRPr="005D493A">
        <w:rPr>
          <w:rFonts w:asciiTheme="majorHAnsi" w:hAnsiTheme="majorHAnsi"/>
          <w:sz w:val="16"/>
          <w:szCs w:val="16"/>
        </w:rPr>
        <w:t xml:space="preserve">Numbers may not add due to rounding. </w:t>
      </w:r>
    </w:p>
    <w:p w:rsidR="001F11D4" w:rsidRDefault="001F11D4" w:rsidP="008712A9">
      <w:r w:rsidRPr="003124D0">
        <w:t>Scenarios with lower RARCs show lower total operating and</w:t>
      </w:r>
      <w:r>
        <w:t xml:space="preserve"> annual fixed costs and may be viewed as</w:t>
      </w:r>
      <w:r w:rsidRPr="003124D0">
        <w:t xml:space="preserve"> more economical relative to the other scenarios. </w:t>
      </w:r>
      <w:r>
        <w:t>Annual carrying costs for resource mixes drive the</w:t>
      </w:r>
      <w:r w:rsidRPr="0072412E">
        <w:t xml:space="preserve"> </w:t>
      </w:r>
      <w:r>
        <w:t>main differences in the total RARCs</w:t>
      </w:r>
      <w:r w:rsidR="00A31918">
        <w:t>,</w:t>
      </w:r>
      <w:r>
        <w:t xml:space="preserve"> with resource additions increasing costs and fewer new resources reducing costs. Lower scenario </w:t>
      </w:r>
      <w:r w:rsidRPr="0072412E">
        <w:t xml:space="preserve">production costs </w:t>
      </w:r>
      <w:r>
        <w:t xml:space="preserve">reduce the total RARC. Although </w:t>
      </w:r>
      <w:r w:rsidR="00CB3A3F">
        <w:t xml:space="preserve">for given scenarios </w:t>
      </w:r>
      <w:r>
        <w:t>the results show reduced production costs for unconstrained cases</w:t>
      </w:r>
      <w:r w:rsidR="00CB3A3F">
        <w:t xml:space="preserve"> compared with the constrained cases</w:t>
      </w:r>
      <w:r>
        <w:t xml:space="preserve">, the RARC illustrates the additional annual carrying charges of the associated </w:t>
      </w:r>
      <w:r w:rsidRPr="00EC096F">
        <w:t>high</w:t>
      </w:r>
      <w:r>
        <w:t>-</w:t>
      </w:r>
      <w:r w:rsidRPr="00EC096F">
        <w:t>order-of-magnitude transmission-development costs</w:t>
      </w:r>
      <w:r>
        <w:t xml:space="preserve">. </w:t>
      </w:r>
      <w:r w:rsidRPr="0072412E">
        <w:t xml:space="preserve"> </w:t>
      </w:r>
    </w:p>
    <w:p w:rsidR="001F11D4" w:rsidRDefault="001F11D4" w:rsidP="001F11D4">
      <w:r w:rsidRPr="00662F30">
        <w:fldChar w:fldCharType="begin"/>
      </w:r>
      <w:r w:rsidRPr="00662F30">
        <w:instrText xml:space="preserve"> REF _Ref476242598 \h  \* MERGEFORMAT </w:instrText>
      </w:r>
      <w:r w:rsidRPr="00662F30">
        <w:fldChar w:fldCharType="separate"/>
      </w:r>
      <w:r w:rsidR="00872A95" w:rsidRPr="001F11D4">
        <w:rPr>
          <w:noProof/>
        </w:rPr>
        <w:t>Figure</w:t>
      </w:r>
      <w:r w:rsidR="00872A95" w:rsidRPr="001F11D4">
        <w:t xml:space="preserve"> </w:t>
      </w:r>
      <w:r w:rsidR="00872A95">
        <w:rPr>
          <w:noProof/>
        </w:rPr>
        <w:t>1</w:t>
      </w:r>
      <w:r w:rsidR="00872A95">
        <w:rPr>
          <w:noProof/>
        </w:rPr>
        <w:noBreakHyphen/>
        <w:t>1</w:t>
      </w:r>
      <w:r w:rsidRPr="00662F30">
        <w:fldChar w:fldCharType="end"/>
      </w:r>
      <w:r w:rsidRPr="00662F30">
        <w:t xml:space="preserve"> </w:t>
      </w:r>
      <w:r w:rsidR="00792C2D">
        <w:t xml:space="preserve">and </w:t>
      </w:r>
      <w:r w:rsidR="00792C2D">
        <w:fldChar w:fldCharType="begin"/>
      </w:r>
      <w:r w:rsidR="00792C2D">
        <w:instrText xml:space="preserve"> REF _Ref520708703 \h </w:instrText>
      </w:r>
      <w:r w:rsidR="00792C2D">
        <w:fldChar w:fldCharType="separate"/>
      </w:r>
      <w:r w:rsidR="00872A95" w:rsidRPr="00D241ED">
        <w:t xml:space="preserve">Table </w:t>
      </w:r>
      <w:r w:rsidR="00872A95">
        <w:rPr>
          <w:noProof/>
        </w:rPr>
        <w:t>1</w:t>
      </w:r>
      <w:r w:rsidR="00872A95">
        <w:noBreakHyphen/>
      </w:r>
      <w:r w:rsidR="00872A95">
        <w:rPr>
          <w:noProof/>
        </w:rPr>
        <w:t>3</w:t>
      </w:r>
      <w:r w:rsidR="00792C2D">
        <w:fldChar w:fldCharType="end"/>
      </w:r>
      <w:r w:rsidR="00792C2D">
        <w:t xml:space="preserve">, </w:t>
      </w:r>
      <w:r w:rsidR="002D5668">
        <w:t>as well as</w:t>
      </w:r>
      <w:r w:rsidR="00792C2D">
        <w:t xml:space="preserve"> </w:t>
      </w:r>
      <w:r>
        <w:t xml:space="preserve">Figure 1-2 </w:t>
      </w:r>
      <w:r w:rsidR="00792C2D">
        <w:t xml:space="preserve">and </w:t>
      </w:r>
      <w:r w:rsidR="00792C2D">
        <w:fldChar w:fldCharType="begin"/>
      </w:r>
      <w:r w:rsidR="00792C2D">
        <w:instrText xml:space="preserve"> REF _Ref520708742 \h </w:instrText>
      </w:r>
      <w:r w:rsidR="00792C2D">
        <w:fldChar w:fldCharType="separate"/>
      </w:r>
      <w:r w:rsidR="00872A95" w:rsidRPr="009E5B67">
        <w:t xml:space="preserve">Table </w:t>
      </w:r>
      <w:r w:rsidR="00872A95">
        <w:rPr>
          <w:noProof/>
        </w:rPr>
        <w:t>1</w:t>
      </w:r>
      <w:r w:rsidR="00872A95">
        <w:noBreakHyphen/>
      </w:r>
      <w:r w:rsidR="00872A95">
        <w:rPr>
          <w:noProof/>
        </w:rPr>
        <w:t>4</w:t>
      </w:r>
      <w:r w:rsidR="00792C2D">
        <w:fldChar w:fldCharType="end"/>
      </w:r>
      <w:r w:rsidR="00792C2D">
        <w:t xml:space="preserve"> </w:t>
      </w:r>
      <w:r>
        <w:t xml:space="preserve">illustrate differences among the scenarios for 2030. </w:t>
      </w:r>
      <w:r w:rsidR="002048B7">
        <w:t xml:space="preserve">The </w:t>
      </w:r>
      <w:r>
        <w:t>Onshore Less EE/PV</w:t>
      </w:r>
      <w:r w:rsidR="002048B7">
        <w:t xml:space="preserve"> scenario</w:t>
      </w:r>
      <w:r>
        <w:t xml:space="preserve"> (Scenario B) has the lowest </w:t>
      </w:r>
      <w:r w:rsidRPr="002048B7">
        <w:t xml:space="preserve">total RARC. </w:t>
      </w:r>
      <w:r w:rsidR="00C007A1">
        <w:t>T</w:t>
      </w:r>
      <w:r w:rsidRPr="002048B7">
        <w:t xml:space="preserve">he production costs are higher for </w:t>
      </w:r>
      <w:r w:rsidR="00067212" w:rsidRPr="002048B7">
        <w:t xml:space="preserve">the </w:t>
      </w:r>
      <w:r w:rsidR="00E652E8">
        <w:t>Onshore Less EE/PV s</w:t>
      </w:r>
      <w:r w:rsidRPr="002048B7">
        <w:t>cenario</w:t>
      </w:r>
      <w:r w:rsidR="000B0879">
        <w:t xml:space="preserve"> </w:t>
      </w:r>
      <w:r w:rsidRPr="002048B7">
        <w:t xml:space="preserve">than the other scenarios with other mixes of large penetrations of renewable resources, </w:t>
      </w:r>
      <w:r w:rsidR="00C007A1">
        <w:t xml:space="preserve">but it </w:t>
      </w:r>
      <w:r w:rsidR="0019677D">
        <w:t xml:space="preserve">requires the lowest investment in </w:t>
      </w:r>
      <w:r w:rsidR="00E862C4">
        <w:t xml:space="preserve">developing </w:t>
      </w:r>
      <w:r w:rsidR="0019677D">
        <w:t>new resources</w:t>
      </w:r>
      <w:r w:rsidR="00C007A1">
        <w:t xml:space="preserve">. The </w:t>
      </w:r>
      <w:r w:rsidRPr="002048B7">
        <w:t xml:space="preserve">figures </w:t>
      </w:r>
      <w:r w:rsidR="00792C2D">
        <w:t xml:space="preserve">and tables </w:t>
      </w:r>
      <w:r w:rsidRPr="002048B7">
        <w:t xml:space="preserve">show significantly higher total RARCs for </w:t>
      </w:r>
      <w:r w:rsidR="00DB314E">
        <w:t xml:space="preserve">all </w:t>
      </w:r>
      <w:r w:rsidR="00067212" w:rsidRPr="002048B7">
        <w:t>the</w:t>
      </w:r>
      <w:r w:rsidR="00DB314E">
        <w:t xml:space="preserve"> other scenarios (</w:t>
      </w:r>
      <w:r w:rsidR="00067212" w:rsidRPr="002048B7">
        <w:t>Renew Plus, EE + Offshore, a</w:t>
      </w:r>
      <w:r w:rsidR="002048B7" w:rsidRPr="002048B7">
        <w:t>n</w:t>
      </w:r>
      <w:r w:rsidR="00067212" w:rsidRPr="002048B7">
        <w:t xml:space="preserve">d </w:t>
      </w:r>
      <w:r w:rsidR="00AF6389">
        <w:t>Wind Less Nuclear</w:t>
      </w:r>
      <w:r w:rsidR="00067212" w:rsidRPr="002048B7">
        <w:t xml:space="preserve"> </w:t>
      </w:r>
      <w:r w:rsidR="00067212" w:rsidRPr="00B64774">
        <w:t>s</w:t>
      </w:r>
      <w:r w:rsidRPr="00B64774">
        <w:t>cenarios</w:t>
      </w:r>
      <w:r w:rsidR="00DB314E" w:rsidRPr="00B64774">
        <w:t>)</w:t>
      </w:r>
      <w:r w:rsidR="002048B7" w:rsidRPr="00B64774">
        <w:t xml:space="preserve"> (Scenarios</w:t>
      </w:r>
      <w:r w:rsidR="002022DF" w:rsidRPr="00B64774">
        <w:t xml:space="preserve"> </w:t>
      </w:r>
      <w:r w:rsidRPr="00B64774">
        <w:t>3, A, and C</w:t>
      </w:r>
      <w:r w:rsidR="002048B7" w:rsidRPr="00B64774">
        <w:t>)</w:t>
      </w:r>
      <w:r w:rsidRPr="00B64774">
        <w:t xml:space="preserve"> as</w:t>
      </w:r>
      <w:r w:rsidRPr="002048B7">
        <w:t xml:space="preserve"> a result of their higher annual carrying charges for new resources. </w:t>
      </w:r>
      <w:r w:rsidR="00067212" w:rsidRPr="002048B7">
        <w:t xml:space="preserve">The </w:t>
      </w:r>
      <w:r w:rsidR="00AF6389">
        <w:t>Wind Less Nuclear</w:t>
      </w:r>
      <w:r w:rsidR="00067212" w:rsidRPr="002048B7">
        <w:t xml:space="preserve"> s</w:t>
      </w:r>
      <w:r w:rsidRPr="002048B7">
        <w:t>cenario results in the</w:t>
      </w:r>
      <w:r>
        <w:t xml:space="preserve"> highest RARC due to higher resource and transmission development costs. EE + Offshore has the lowest production costs across all scenarios</w:t>
      </w:r>
      <w:r w:rsidR="00DB314E">
        <w:t>, but i</w:t>
      </w:r>
      <w:r>
        <w:t>ts total RARC is slightly lower than Renew</w:t>
      </w:r>
      <w:r w:rsidR="00737F47">
        <w:t>ables</w:t>
      </w:r>
      <w:r>
        <w:t xml:space="preserve"> Plus after consideration of all annual operating and capital costs.</w:t>
      </w:r>
    </w:p>
    <w:p w:rsidR="000D7F9C" w:rsidRPr="00D61B18" w:rsidRDefault="000D7F9C" w:rsidP="00D27B9E">
      <w:pPr>
        <w:pStyle w:val="Heading3"/>
      </w:pPr>
      <w:bookmarkStart w:id="34" w:name="_Toc528571182"/>
      <w:r w:rsidRPr="00D61B18">
        <w:t>CO</w:t>
      </w:r>
      <w:r w:rsidRPr="00D61B18">
        <w:rPr>
          <w:vertAlign w:val="subscript"/>
        </w:rPr>
        <w:t>2</w:t>
      </w:r>
      <w:r w:rsidRPr="00D61B18">
        <w:t xml:space="preserve"> Emissions Compared with RGGI Targets</w:t>
      </w:r>
      <w:bookmarkEnd w:id="34"/>
    </w:p>
    <w:p w:rsidR="00EE1BB2" w:rsidRDefault="000D7F9C" w:rsidP="00EE1BB2">
      <w:r w:rsidRPr="00D61B18">
        <w:t>The potential RGGI targets for total CO</w:t>
      </w:r>
      <w:r w:rsidRPr="00D61B18">
        <w:rPr>
          <w:vertAlign w:val="subscript"/>
        </w:rPr>
        <w:t>2</w:t>
      </w:r>
      <w:r w:rsidRPr="00D61B18">
        <w:t xml:space="preserve"> emissions in the New England states range from </w:t>
      </w:r>
      <w:r w:rsidR="00444710" w:rsidRPr="00D61B18">
        <w:t>13.3</w:t>
      </w:r>
      <w:r w:rsidRPr="00D61B18">
        <w:t xml:space="preserve"> million short tons (</w:t>
      </w:r>
      <w:r w:rsidR="00737F47" w:rsidRPr="00D61B18">
        <w:t xml:space="preserve">a </w:t>
      </w:r>
      <w:r w:rsidRPr="00D61B18">
        <w:t xml:space="preserve">5.0% reduction) to </w:t>
      </w:r>
      <w:r w:rsidR="00444710" w:rsidRPr="00D61B18">
        <w:t>19.9</w:t>
      </w:r>
      <w:r w:rsidRPr="00D61B18">
        <w:t xml:space="preserve"> million short tons (</w:t>
      </w:r>
      <w:r w:rsidR="00737F47" w:rsidRPr="00D61B18">
        <w:t xml:space="preserve">a </w:t>
      </w:r>
      <w:r w:rsidRPr="00D61B18">
        <w:t>2.5% reduction)</w:t>
      </w:r>
      <w:r w:rsidR="00860D3B" w:rsidRPr="00D61B18">
        <w:t>.</w:t>
      </w:r>
      <w:r w:rsidR="00860D3B">
        <w:t xml:space="preserve"> </w:t>
      </w:r>
      <w:r w:rsidR="008B12B3">
        <w:t>Although RGGI allows for several means of complying with CO</w:t>
      </w:r>
      <w:r w:rsidR="008B12B3" w:rsidRPr="00D61B18">
        <w:rPr>
          <w:vertAlign w:val="subscript"/>
        </w:rPr>
        <w:t>2</w:t>
      </w:r>
      <w:r w:rsidR="008B12B3">
        <w:t xml:space="preserve"> emission</w:t>
      </w:r>
      <w:r w:rsidR="00EE1BB2">
        <w:t xml:space="preserve"> requirement</w:t>
      </w:r>
      <w:r w:rsidR="008B12B3">
        <w:t>s, a comparison of th</w:t>
      </w:r>
      <w:r w:rsidR="00EE1BB2">
        <w:t>e C</w:t>
      </w:r>
      <w:r w:rsidR="008B12B3">
        <w:t>O</w:t>
      </w:r>
      <w:r w:rsidR="008B12B3" w:rsidRPr="00D61B18">
        <w:rPr>
          <w:vertAlign w:val="subscript"/>
        </w:rPr>
        <w:t>2</w:t>
      </w:r>
      <w:r w:rsidR="008B12B3">
        <w:t xml:space="preserve"> </w:t>
      </w:r>
      <w:r w:rsidR="00EE1BB2">
        <w:t>emissions targets with the total emissions provides a useful metric to stakeholders</w:t>
      </w:r>
      <w:r w:rsidR="00860D3B">
        <w:t xml:space="preserve">. </w:t>
      </w:r>
    </w:p>
    <w:p w:rsidR="00EE1BB2" w:rsidRDefault="00EE1BB2" w:rsidP="00EE1BB2">
      <w:r w:rsidRPr="00477416">
        <w:t xml:space="preserve">As shown in </w:t>
      </w:r>
      <w:r w:rsidR="00B95209" w:rsidRPr="00477416">
        <w:fldChar w:fldCharType="begin"/>
      </w:r>
      <w:r w:rsidR="00B95209" w:rsidRPr="00477416">
        <w:instrText xml:space="preserve"> REF _Ref516483096 \h </w:instrText>
      </w:r>
      <w:r w:rsidR="00477416">
        <w:instrText xml:space="preserve"> \* MERGEFORMAT </w:instrText>
      </w:r>
      <w:r w:rsidR="00B95209" w:rsidRPr="00477416">
        <w:fldChar w:fldCharType="separate"/>
      </w:r>
      <w:r w:rsidR="00872A95" w:rsidRPr="00BB5915">
        <w:t xml:space="preserve">Figure </w:t>
      </w:r>
      <w:r w:rsidR="00872A95">
        <w:rPr>
          <w:noProof/>
        </w:rPr>
        <w:t>1</w:t>
      </w:r>
      <w:r w:rsidR="00872A95" w:rsidRPr="00BB5915">
        <w:rPr>
          <w:noProof/>
        </w:rPr>
        <w:noBreakHyphen/>
      </w:r>
      <w:r w:rsidR="00872A95">
        <w:rPr>
          <w:noProof/>
        </w:rPr>
        <w:t>3</w:t>
      </w:r>
      <w:r w:rsidR="00B95209" w:rsidRPr="00477416">
        <w:fldChar w:fldCharType="end"/>
      </w:r>
      <w:r w:rsidRPr="00477416">
        <w:t>, the scenarios with the large-scale development of zero-emitting</w:t>
      </w:r>
      <w:r w:rsidRPr="00EE1BB2">
        <w:t xml:space="preserve"> resources result in lower CO</w:t>
      </w:r>
      <w:r w:rsidRPr="005B36AB">
        <w:rPr>
          <w:vertAlign w:val="subscript"/>
        </w:rPr>
        <w:t>2</w:t>
      </w:r>
      <w:r w:rsidRPr="00EE1BB2">
        <w:t xml:space="preserve"> emissions. </w:t>
      </w:r>
      <w:r>
        <w:t>Some key observations are as follows:</w:t>
      </w:r>
    </w:p>
    <w:p w:rsidR="001772E7" w:rsidRDefault="001772E7" w:rsidP="00EE1BB2">
      <w:pPr>
        <w:pStyle w:val="ListParagraph"/>
        <w:numPr>
          <w:ilvl w:val="0"/>
          <w:numId w:val="69"/>
        </w:numPr>
      </w:pPr>
      <w:r>
        <w:t xml:space="preserve">The Renew Plus </w:t>
      </w:r>
      <w:r w:rsidR="0091286A">
        <w:t xml:space="preserve">and EE + </w:t>
      </w:r>
      <w:r w:rsidR="002F67C7">
        <w:t xml:space="preserve">Offshore </w:t>
      </w:r>
      <w:r w:rsidR="0091286A">
        <w:t>scenarios</w:t>
      </w:r>
      <w:r w:rsidR="0091286A" w:rsidRPr="00EE1BB2">
        <w:t xml:space="preserve"> satisf</w:t>
      </w:r>
      <w:r w:rsidR="0091286A">
        <w:t>y</w:t>
      </w:r>
      <w:r w:rsidR="0091286A" w:rsidRPr="00EE1BB2">
        <w:t xml:space="preserve"> both the New England 2.5% and 5.0% reduction targets by 2030, with or without the transmission system constraints modeled.</w:t>
      </w:r>
      <w:r>
        <w:t xml:space="preserve"> </w:t>
      </w:r>
    </w:p>
    <w:p w:rsidR="00EE1BB2" w:rsidRDefault="00EE1BB2" w:rsidP="00EE1BB2">
      <w:pPr>
        <w:pStyle w:val="ListParagraph"/>
        <w:numPr>
          <w:ilvl w:val="0"/>
          <w:numId w:val="69"/>
        </w:numPr>
      </w:pPr>
      <w:r>
        <w:t xml:space="preserve">EE+ </w:t>
      </w:r>
      <w:r w:rsidR="002F67C7">
        <w:t xml:space="preserve">Offshore </w:t>
      </w:r>
      <w:r>
        <w:t>produces the least amount of carbon emissions</w:t>
      </w:r>
      <w:r w:rsidR="0091286A">
        <w:t xml:space="preserve"> across all scenarios.</w:t>
      </w:r>
    </w:p>
    <w:p w:rsidR="00EE1BB2" w:rsidRDefault="00AF6389" w:rsidP="00EE1BB2">
      <w:pPr>
        <w:pStyle w:val="ListParagraph"/>
        <w:numPr>
          <w:ilvl w:val="0"/>
          <w:numId w:val="69"/>
        </w:numPr>
      </w:pPr>
      <w:r>
        <w:t>Wind Less Nuclear</w:t>
      </w:r>
      <w:r w:rsidR="00EE1BB2">
        <w:t xml:space="preserve"> produces more carbon emissions compared to the Rene</w:t>
      </w:r>
      <w:r w:rsidR="00AC5070">
        <w:t>w</w:t>
      </w:r>
      <w:r w:rsidR="00EE1BB2">
        <w:t xml:space="preserve">ables Plus case. When the transmission system is unconstrained, carbon emissions of the </w:t>
      </w:r>
      <w:r>
        <w:t>Wind Less Nuclear</w:t>
      </w:r>
      <w:r w:rsidR="00EE1BB2">
        <w:t xml:space="preserve"> scenario satisfy both the New England 2.5% and 5% reduction targets. When the transmission system is constrained, carbon emission of the </w:t>
      </w:r>
      <w:r>
        <w:t>Wind Less Nuclear</w:t>
      </w:r>
      <w:r w:rsidR="00EE1BB2">
        <w:t xml:space="preserve"> scenario satisfies the New England 2.5% reduction target, but exceeds the New England 5.0% reduction target.</w:t>
      </w:r>
    </w:p>
    <w:p w:rsidR="0039051B" w:rsidRPr="00EE1BB2" w:rsidRDefault="0039051B" w:rsidP="000346F7">
      <w:pPr>
        <w:pStyle w:val="ListParagraph"/>
        <w:numPr>
          <w:ilvl w:val="0"/>
          <w:numId w:val="69"/>
        </w:numPr>
        <w:spacing w:after="240"/>
      </w:pPr>
      <w:r w:rsidRPr="0039051B">
        <w:t xml:space="preserve">Onshore Less EE/PV produces the most carbon emissions due to the </w:t>
      </w:r>
      <w:r>
        <w:t>retirement of zero</w:t>
      </w:r>
      <w:r w:rsidR="00B95209">
        <w:t>-</w:t>
      </w:r>
      <w:r>
        <w:t xml:space="preserve">emitting nuclear generation and the </w:t>
      </w:r>
      <w:r w:rsidRPr="0039051B">
        <w:t xml:space="preserve">addition of 1,378 MW of </w:t>
      </w:r>
      <w:r w:rsidR="00096B10">
        <w:t>natural gas combined-cycle (</w:t>
      </w:r>
      <w:r w:rsidRPr="0039051B">
        <w:t>NGCC</w:t>
      </w:r>
      <w:r w:rsidR="00096B10">
        <w:t>)</w:t>
      </w:r>
      <w:r w:rsidRPr="0039051B">
        <w:t xml:space="preserve"> units. Carbon emission</w:t>
      </w:r>
      <w:r>
        <w:t>s</w:t>
      </w:r>
      <w:r w:rsidRPr="0039051B">
        <w:t xml:space="preserve"> f</w:t>
      </w:r>
      <w:r>
        <w:t>or this scenario satisfy</w:t>
      </w:r>
      <w:r w:rsidRPr="0039051B">
        <w:t xml:space="preserve"> the New England 2.5% reduction target but exceeds the New England 5.0% reduction target under both constrained and unconstrained conditions</w:t>
      </w:r>
      <w:r w:rsidR="000346F7" w:rsidRPr="000346F7">
        <w:t xml:space="preserve"> </w:t>
      </w:r>
      <w:r w:rsidR="000346F7">
        <w:t xml:space="preserve">of the </w:t>
      </w:r>
      <w:r w:rsidR="000346F7" w:rsidRPr="0039051B">
        <w:t>transmission system</w:t>
      </w:r>
      <w:r w:rsidRPr="0039051B">
        <w:t>.</w:t>
      </w:r>
    </w:p>
    <w:p w:rsidR="0087130E" w:rsidRDefault="00477416" w:rsidP="001E700D">
      <w:pPr>
        <w:spacing w:after="0" w:line="240" w:lineRule="auto"/>
        <w:jc w:val="center"/>
      </w:pPr>
      <w:r w:rsidRPr="008F265A">
        <w:rPr>
          <w:noProof/>
        </w:rPr>
        <w:drawing>
          <wp:inline distT="0" distB="0" distL="0" distR="0" wp14:anchorId="4460D2E2" wp14:editId="51870B28">
            <wp:extent cx="5693344" cy="3088153"/>
            <wp:effectExtent l="19050" t="19050" r="2222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8856" cy="3091143"/>
                    </a:xfrm>
                    <a:prstGeom prst="rect">
                      <a:avLst/>
                    </a:prstGeom>
                    <a:noFill/>
                    <a:ln w="3175">
                      <a:solidFill>
                        <a:srgbClr val="03131B"/>
                      </a:solidFill>
                    </a:ln>
                  </pic:spPr>
                </pic:pic>
              </a:graphicData>
            </a:graphic>
          </wp:inline>
        </w:drawing>
      </w:r>
    </w:p>
    <w:p w:rsidR="0091286A" w:rsidRPr="00BB5915" w:rsidRDefault="00737F47" w:rsidP="001E700D">
      <w:pPr>
        <w:pStyle w:val="Caption"/>
        <w:spacing w:before="120" w:after="240"/>
        <w:ind w:left="270"/>
      </w:pPr>
      <w:bookmarkStart w:id="35" w:name="_Ref516483096"/>
      <w:bookmarkStart w:id="36" w:name="_Toc519511497"/>
      <w:r w:rsidRPr="00BB5915">
        <w:t xml:space="preserve">Figure </w:t>
      </w:r>
      <w:r w:rsidR="00EA3757">
        <w:rPr>
          <w:noProof/>
        </w:rPr>
        <w:fldChar w:fldCharType="begin"/>
      </w:r>
      <w:r w:rsidR="00EA3757">
        <w:rPr>
          <w:noProof/>
        </w:rPr>
        <w:instrText xml:space="preserve"> STYLEREF 1 \s </w:instrText>
      </w:r>
      <w:r w:rsidR="00EA3757">
        <w:rPr>
          <w:noProof/>
        </w:rPr>
        <w:fldChar w:fldCharType="separate"/>
      </w:r>
      <w:r w:rsidR="00872A95">
        <w:rPr>
          <w:noProof/>
        </w:rPr>
        <w:t>1</w:t>
      </w:r>
      <w:r w:rsidR="00EA3757">
        <w:rPr>
          <w:noProof/>
        </w:rPr>
        <w:fldChar w:fldCharType="end"/>
      </w:r>
      <w:r w:rsidR="00CF5BC5" w:rsidRPr="00BB5915">
        <w:noBreakHyphen/>
      </w:r>
      <w:r w:rsidR="00EA3757">
        <w:rPr>
          <w:noProof/>
        </w:rPr>
        <w:fldChar w:fldCharType="begin"/>
      </w:r>
      <w:r w:rsidR="00EA3757">
        <w:rPr>
          <w:noProof/>
        </w:rPr>
        <w:instrText xml:space="preserve"> SEQ Figure \* ARABIC \s 1 </w:instrText>
      </w:r>
      <w:r w:rsidR="00EA3757">
        <w:rPr>
          <w:noProof/>
        </w:rPr>
        <w:fldChar w:fldCharType="separate"/>
      </w:r>
      <w:r w:rsidR="00872A95">
        <w:rPr>
          <w:noProof/>
        </w:rPr>
        <w:t>3</w:t>
      </w:r>
      <w:r w:rsidR="00EA3757">
        <w:rPr>
          <w:noProof/>
        </w:rPr>
        <w:fldChar w:fldCharType="end"/>
      </w:r>
      <w:bookmarkEnd w:id="35"/>
      <w:r w:rsidR="00BF534A" w:rsidRPr="00BB5915">
        <w:t xml:space="preserve">: </w:t>
      </w:r>
      <w:r w:rsidR="0091286A" w:rsidRPr="00BB5915">
        <w:t>CO</w:t>
      </w:r>
      <w:r w:rsidR="0091286A" w:rsidRPr="00BB5915">
        <w:rPr>
          <w:vertAlign w:val="subscript"/>
        </w:rPr>
        <w:t>2</w:t>
      </w:r>
      <w:r w:rsidR="0091286A" w:rsidRPr="00BB5915">
        <w:t xml:space="preserve"> emissions, 2030 (millions of short tons, %) compared with range of RGGI limits.</w:t>
      </w:r>
      <w:bookmarkEnd w:id="36"/>
    </w:p>
    <w:p w:rsidR="00913518" w:rsidRDefault="00913518" w:rsidP="00B8270A">
      <w:pPr>
        <w:pStyle w:val="Heading2"/>
      </w:pPr>
      <w:bookmarkStart w:id="37" w:name="_Toc528571183"/>
      <w:r>
        <w:t>Conclusions and Next Steps</w:t>
      </w:r>
      <w:bookmarkEnd w:id="37"/>
      <w:r w:rsidR="00266410">
        <w:t xml:space="preserve"> </w:t>
      </w:r>
    </w:p>
    <w:p w:rsidR="00266762" w:rsidRDefault="003F2228" w:rsidP="00913518">
      <w:r w:rsidRPr="003414BF">
        <w:t>Scenario analyses inform stakeholders of key regional issues and possible ways of addressing these issues.</w:t>
      </w:r>
      <w:r>
        <w:t xml:space="preserve"> </w:t>
      </w:r>
      <w:r w:rsidR="00DB4FB0" w:rsidRPr="003E329C">
        <w:t xml:space="preserve">This </w:t>
      </w:r>
      <w:r w:rsidR="00A105C0" w:rsidRPr="003E329C">
        <w:t xml:space="preserve">study </w:t>
      </w:r>
      <w:r w:rsidR="00D807F6" w:rsidRPr="003E329C">
        <w:t>makes evident</w:t>
      </w:r>
      <w:r w:rsidR="00E9678A" w:rsidRPr="003E329C">
        <w:t xml:space="preserve"> </w:t>
      </w:r>
      <w:r w:rsidR="00A105C0" w:rsidRPr="003E329C">
        <w:t>several</w:t>
      </w:r>
      <w:r w:rsidR="00266762" w:rsidRPr="003E329C">
        <w:t xml:space="preserve"> </w:t>
      </w:r>
      <w:r w:rsidR="00A105C0" w:rsidRPr="003E329C">
        <w:t>issues</w:t>
      </w:r>
      <w:r w:rsidR="00DB4FB0" w:rsidRPr="003E329C">
        <w:t xml:space="preserve"> </w:t>
      </w:r>
      <w:r w:rsidR="00266762" w:rsidRPr="003E329C">
        <w:t xml:space="preserve">facing </w:t>
      </w:r>
      <w:r w:rsidR="00DB4FB0" w:rsidRPr="003E329C">
        <w:t xml:space="preserve">the New England </w:t>
      </w:r>
      <w:r w:rsidR="00266762" w:rsidRPr="003E329C">
        <w:t>region and provides a</w:t>
      </w:r>
      <w:r w:rsidR="00266762">
        <w:t xml:space="preserve"> common framework for </w:t>
      </w:r>
      <w:r w:rsidR="00DB4FB0">
        <w:t>f</w:t>
      </w:r>
      <w:r w:rsidR="00266762">
        <w:t>uture discussions on the need for physical infrastructure and improvements to the wholesale electric</w:t>
      </w:r>
      <w:r w:rsidR="00096B10">
        <w:t>ity</w:t>
      </w:r>
      <w:r w:rsidR="00266762">
        <w:t xml:space="preserve"> markets. </w:t>
      </w:r>
      <w:r w:rsidR="00784768">
        <w:t xml:space="preserve">Key </w:t>
      </w:r>
      <w:r w:rsidR="00915CB1">
        <w:t xml:space="preserve">observations from </w:t>
      </w:r>
      <w:r w:rsidR="005E52B4">
        <w:t xml:space="preserve">the </w:t>
      </w:r>
      <w:r w:rsidR="00915CB1">
        <w:t xml:space="preserve">simulation results </w:t>
      </w:r>
      <w:r w:rsidR="00784768">
        <w:t>are as follows:</w:t>
      </w:r>
      <w:r w:rsidR="00D807F6">
        <w:t xml:space="preserve"> </w:t>
      </w:r>
    </w:p>
    <w:p w:rsidR="00784768" w:rsidRDefault="00276FEA" w:rsidP="003F4E70">
      <w:pPr>
        <w:numPr>
          <w:ilvl w:val="0"/>
          <w:numId w:val="34"/>
        </w:numPr>
        <w:spacing w:after="120"/>
      </w:pPr>
      <w:r>
        <w:t>T</w:t>
      </w:r>
      <w:r w:rsidR="00784768">
        <w:t xml:space="preserve">ransitioning </w:t>
      </w:r>
      <w:r>
        <w:t xml:space="preserve">New England </w:t>
      </w:r>
      <w:r w:rsidR="00784768">
        <w:t>to a system with decreasing amounts of traditional resources (</w:t>
      </w:r>
      <w:r w:rsidR="003414BF">
        <w:t xml:space="preserve">e.g., </w:t>
      </w:r>
      <w:r w:rsidR="00784768">
        <w:t>coal, oil, nuclear) and increasing amounts of renewable resources</w:t>
      </w:r>
      <w:r>
        <w:t xml:space="preserve"> </w:t>
      </w:r>
      <w:r w:rsidR="003F4E70" w:rsidRPr="003F4E70">
        <w:t xml:space="preserve">presents a number of technical and </w:t>
      </w:r>
      <w:r w:rsidR="009430A6">
        <w:t>economic</w:t>
      </w:r>
      <w:r w:rsidR="003F4E70" w:rsidRPr="003F4E70">
        <w:t xml:space="preserve"> issues that would need to be addressed.</w:t>
      </w:r>
    </w:p>
    <w:p w:rsidR="00276FEA" w:rsidRPr="003E329C" w:rsidRDefault="003414BF" w:rsidP="003E329C">
      <w:pPr>
        <w:numPr>
          <w:ilvl w:val="0"/>
          <w:numId w:val="34"/>
        </w:numPr>
        <w:spacing w:after="120"/>
      </w:pPr>
      <w:r w:rsidRPr="003E329C">
        <w:t>The d</w:t>
      </w:r>
      <w:r w:rsidR="00AA4923" w:rsidRPr="003E329C">
        <w:t xml:space="preserve">evelopment of resources close to load centers, such as </w:t>
      </w:r>
      <w:r w:rsidRPr="003E329C">
        <w:t xml:space="preserve">at </w:t>
      </w:r>
      <w:r w:rsidR="00AA4923" w:rsidRPr="003E329C">
        <w:t xml:space="preserve">existing generation sites, requires </w:t>
      </w:r>
      <w:r w:rsidR="00A22FC0">
        <w:t>comparatively less</w:t>
      </w:r>
      <w:r w:rsidR="00AA4923" w:rsidRPr="003E329C">
        <w:t xml:space="preserve"> transmission development</w:t>
      </w:r>
      <w:r w:rsidR="00A22FC0">
        <w:t xml:space="preserve"> than scenarios with the remote development of large amounts of renewable energy resources.</w:t>
      </w:r>
      <w:r w:rsidR="00276FEA" w:rsidRPr="003E329C">
        <w:t xml:space="preserve"> </w:t>
      </w:r>
    </w:p>
    <w:p w:rsidR="007D4812" w:rsidRDefault="007D4812" w:rsidP="009221ED">
      <w:pPr>
        <w:numPr>
          <w:ilvl w:val="0"/>
          <w:numId w:val="34"/>
        </w:numPr>
        <w:spacing w:after="120"/>
      </w:pPr>
      <w:r>
        <w:t>Regional carbon-reduction obligations may require flexible compliance options (such as proposed by RGGI), additional imports from neighboring systems, and the large-scale development of energy efficiency and renewable resources</w:t>
      </w:r>
      <w:r w:rsidR="00860D3B">
        <w:t xml:space="preserve">. </w:t>
      </w:r>
    </w:p>
    <w:p w:rsidR="00107F6B" w:rsidRDefault="0092152B" w:rsidP="00107F6B">
      <w:pPr>
        <w:numPr>
          <w:ilvl w:val="0"/>
          <w:numId w:val="34"/>
        </w:numPr>
        <w:spacing w:after="120"/>
      </w:pPr>
      <w:r>
        <w:t>The study does not address transitions to the studied scenarios, which could raise several issues that</w:t>
      </w:r>
      <w:r w:rsidR="009221ED">
        <w:t xml:space="preserve"> </w:t>
      </w:r>
      <w:r>
        <w:t>need to be addressed</w:t>
      </w:r>
      <w:r w:rsidR="00EC0A08">
        <w:t xml:space="preserve"> as the region develops more energy efficiency and inverter-based resources, such as wind generation, PV, and HVDC ties</w:t>
      </w:r>
      <w:r>
        <w:t>.</w:t>
      </w:r>
      <w:r w:rsidR="00915CB1">
        <w:t xml:space="preserve"> Some considerations regarding these issues are offered below</w:t>
      </w:r>
      <w:r w:rsidR="00297119">
        <w:t>:</w:t>
      </w:r>
      <w:r w:rsidR="00915CB1">
        <w:t xml:space="preserve"> </w:t>
      </w:r>
    </w:p>
    <w:p w:rsidR="00915CB1" w:rsidRDefault="00915CB1" w:rsidP="00107F6B">
      <w:pPr>
        <w:numPr>
          <w:ilvl w:val="1"/>
          <w:numId w:val="34"/>
        </w:numPr>
        <w:spacing w:after="120"/>
      </w:pPr>
      <w:r>
        <w:t xml:space="preserve">Observability, controllability, and interconnection performance are key technical issues that must be addressed for distributed resources and the large-scale development of wind generation resources. </w:t>
      </w:r>
    </w:p>
    <w:p w:rsidR="00915CB1" w:rsidRPr="00970ECF" w:rsidRDefault="00915CB1" w:rsidP="00107F6B">
      <w:pPr>
        <w:numPr>
          <w:ilvl w:val="1"/>
          <w:numId w:val="34"/>
        </w:numPr>
        <w:spacing w:after="120"/>
      </w:pPr>
      <w:r w:rsidRPr="00970ECF">
        <w:t xml:space="preserve">Advanced software will facilitate future analysis of the system, especially probabilistic simulations that consider the production of variable </w:t>
      </w:r>
      <w:r>
        <w:t xml:space="preserve">(i.e., intermittent) </w:t>
      </w:r>
      <w:r w:rsidRPr="00970ECF">
        <w:t xml:space="preserve">energy resources. </w:t>
      </w:r>
      <w:r>
        <w:t xml:space="preserve">Understanding the needs of </w:t>
      </w:r>
      <w:r w:rsidRPr="00E851BF">
        <w:t>intrahour ramping, regulation, and reserve requirements</w:t>
      </w:r>
      <w:r>
        <w:t xml:space="preserve"> becomes increasingly important with the large penetration of variable energy resources. </w:t>
      </w:r>
    </w:p>
    <w:p w:rsidR="00915CB1" w:rsidRDefault="00915CB1" w:rsidP="00107F6B">
      <w:pPr>
        <w:numPr>
          <w:ilvl w:val="1"/>
          <w:numId w:val="34"/>
        </w:numPr>
      </w:pPr>
      <w:r w:rsidRPr="00970ECF">
        <w:t xml:space="preserve">Efficient storage technologies, such as pumped storage and distributed storage, and the ability to make rapid changes in tie schedules can provide systemwide flexibility and </w:t>
      </w:r>
      <w:r>
        <w:t xml:space="preserve">could </w:t>
      </w:r>
      <w:r w:rsidRPr="00970ECF">
        <w:t>facilitate the integration of variable energy resources</w:t>
      </w:r>
      <w:r>
        <w:t xml:space="preserve">. </w:t>
      </w:r>
      <w:r w:rsidRPr="00D11A72">
        <w:t xml:space="preserve">  </w:t>
      </w:r>
    </w:p>
    <w:p w:rsidR="006F416A" w:rsidRDefault="006F416A" w:rsidP="00562350"/>
    <w:p w:rsidR="00F565D2" w:rsidRPr="00946F0E" w:rsidRDefault="00F565D2" w:rsidP="00466FBF">
      <w:pPr>
        <w:pStyle w:val="Heading1"/>
      </w:pPr>
      <w:r w:rsidRPr="00607262">
        <w:br/>
      </w:r>
      <w:bookmarkStart w:id="38" w:name="_Toc173682259"/>
      <w:bookmarkStart w:id="39" w:name="_Toc528571184"/>
      <w:r w:rsidRPr="00946F0E">
        <w:t>Introduction</w:t>
      </w:r>
      <w:bookmarkEnd w:id="38"/>
      <w:bookmarkEnd w:id="39"/>
      <w:r w:rsidR="002E0948">
        <w:t xml:space="preserve"> </w:t>
      </w:r>
    </w:p>
    <w:p w:rsidR="00C74B0B" w:rsidRDefault="002E5621" w:rsidP="00094584">
      <w:r>
        <w:t xml:space="preserve">This report presents the results of </w:t>
      </w:r>
      <w:r w:rsidR="00E9310E" w:rsidRPr="00866345">
        <w:t>the</w:t>
      </w:r>
      <w:r w:rsidR="00E9310E">
        <w:t xml:space="preserve"> </w:t>
      </w:r>
      <w:r w:rsidR="009221ED">
        <w:t xml:space="preserve">ISO New England (ISO) </w:t>
      </w:r>
      <w:r>
        <w:t>201</w:t>
      </w:r>
      <w:r w:rsidR="0039051B">
        <w:t>7</w:t>
      </w:r>
      <w:r w:rsidR="009270CA">
        <w:t xml:space="preserve"> E</w:t>
      </w:r>
      <w:r>
        <w:t xml:space="preserve">conomic </w:t>
      </w:r>
      <w:r w:rsidR="009270CA">
        <w:t>S</w:t>
      </w:r>
      <w:r>
        <w:t>tud</w:t>
      </w:r>
      <w:r w:rsidR="000C503E">
        <w:t>y</w:t>
      </w:r>
      <w:r>
        <w:t xml:space="preserve"> conducted in </w:t>
      </w:r>
      <w:r w:rsidRPr="00731C19">
        <w:t xml:space="preserve">response to a request submitted by </w:t>
      </w:r>
      <w:r w:rsidR="0039051B">
        <w:t xml:space="preserve">Conservation Load Foundation </w:t>
      </w:r>
      <w:r w:rsidR="00B52683">
        <w:t xml:space="preserve">(CLF) </w:t>
      </w:r>
      <w:r w:rsidR="0039051B">
        <w:t xml:space="preserve">and discussed with </w:t>
      </w:r>
      <w:r w:rsidRPr="00731C19">
        <w:t>the</w:t>
      </w:r>
      <w:r>
        <w:t xml:space="preserve"> Planning Advisory Committee (PAC)</w:t>
      </w:r>
      <w:r w:rsidRPr="0089164E">
        <w:t>.</w:t>
      </w:r>
      <w:r>
        <w:t xml:space="preserve"> The report documents the methodologies, data and assumptions, simulation results, and observations of an economic study </w:t>
      </w:r>
      <w:r w:rsidR="000C503E">
        <w:t xml:space="preserve">of </w:t>
      </w:r>
      <w:r>
        <w:t xml:space="preserve">the </w:t>
      </w:r>
      <w:r w:rsidRPr="002E5621">
        <w:t>ISO</w:t>
      </w:r>
      <w:r>
        <w:t xml:space="preserve"> </w:t>
      </w:r>
      <w:r w:rsidRPr="002E5621">
        <w:t>N</w:t>
      </w:r>
      <w:r>
        <w:t xml:space="preserve">ew </w:t>
      </w:r>
      <w:r w:rsidRPr="002E5621">
        <w:t>E</w:t>
      </w:r>
      <w:r>
        <w:t>ngland</w:t>
      </w:r>
      <w:r w:rsidRPr="002E5621">
        <w:t xml:space="preserve"> </w:t>
      </w:r>
      <w:r w:rsidR="00B05A4B">
        <w:t xml:space="preserve">power system that stakeholders </w:t>
      </w:r>
      <w:r w:rsidR="00877A27">
        <w:t xml:space="preserve">can </w:t>
      </w:r>
      <w:r w:rsidR="00877A27" w:rsidRPr="00F45812">
        <w:t xml:space="preserve">use </w:t>
      </w:r>
      <w:r w:rsidR="00B05A4B" w:rsidRPr="00F45812">
        <w:t xml:space="preserve">to assess the implications of public policy </w:t>
      </w:r>
      <w:r w:rsidR="00877A27" w:rsidRPr="00F45812">
        <w:t>on</w:t>
      </w:r>
      <w:r w:rsidR="00DB2897" w:rsidRPr="00F45812">
        <w:t xml:space="preserve"> </w:t>
      </w:r>
      <w:r w:rsidRPr="00F45812">
        <w:t xml:space="preserve">market design, </w:t>
      </w:r>
      <w:r w:rsidR="00731C19" w:rsidRPr="00F45812">
        <w:t xml:space="preserve">system </w:t>
      </w:r>
      <w:r w:rsidRPr="00F45812">
        <w:t>reliability</w:t>
      </w:r>
      <w:r w:rsidR="00731C19" w:rsidRPr="00F45812">
        <w:t xml:space="preserve"> and operability</w:t>
      </w:r>
      <w:r w:rsidRPr="00F45812">
        <w:t>, resource</w:t>
      </w:r>
      <w:r w:rsidRPr="000A4048">
        <w:t xml:space="preserve"> </w:t>
      </w:r>
      <w:r w:rsidR="00731C19" w:rsidRPr="000A4048">
        <w:t>costs and revenues for new generation</w:t>
      </w:r>
      <w:r w:rsidRPr="000A4048">
        <w:t xml:space="preserve">, </w:t>
      </w:r>
      <w:r w:rsidR="00F251DA" w:rsidRPr="000A4048">
        <w:t>relative</w:t>
      </w:r>
      <w:r w:rsidRPr="000A4048">
        <w:t xml:space="preserve"> cost, </w:t>
      </w:r>
      <w:r w:rsidR="00731C19" w:rsidRPr="000A4048">
        <w:t xml:space="preserve">and </w:t>
      </w:r>
      <w:r w:rsidRPr="000A4048">
        <w:t>emissions.</w:t>
      </w:r>
      <w:r>
        <w:t xml:space="preserve"> </w:t>
      </w:r>
      <w:bookmarkStart w:id="40" w:name="_Toc459884082"/>
    </w:p>
    <w:p w:rsidR="00336BFF" w:rsidRPr="000D75FE" w:rsidRDefault="00336BFF" w:rsidP="00B8270A">
      <w:pPr>
        <w:pStyle w:val="Heading2"/>
      </w:pPr>
      <w:bookmarkStart w:id="41" w:name="_Toc528571185"/>
      <w:r w:rsidRPr="000D75FE">
        <w:t>Economic Study Process</w:t>
      </w:r>
      <w:bookmarkEnd w:id="40"/>
      <w:bookmarkEnd w:id="41"/>
      <w:r w:rsidRPr="000D75FE">
        <w:t xml:space="preserve"> </w:t>
      </w:r>
    </w:p>
    <w:p w:rsidR="00094584" w:rsidRDefault="00D13707" w:rsidP="00D01615">
      <w:r w:rsidRPr="00D13707">
        <w:t xml:space="preserve">As a part of the regional system planning effort, </w:t>
      </w:r>
      <w:r w:rsidR="009221ED">
        <w:t xml:space="preserve">the </w:t>
      </w:r>
      <w:r w:rsidRPr="00D13707">
        <w:t xml:space="preserve">ISO </w:t>
      </w:r>
      <w:r w:rsidR="00D01615">
        <w:t xml:space="preserve">may </w:t>
      </w:r>
      <w:r w:rsidRPr="00D13707">
        <w:t xml:space="preserve">conduct economic planning studies each year, as specified in Attachment K of its </w:t>
      </w:r>
      <w:r w:rsidRPr="000A4048">
        <w:rPr>
          <w:i/>
        </w:rPr>
        <w:t>Open-Access Transmission Tariff</w:t>
      </w:r>
      <w:r w:rsidRPr="00D13707">
        <w:t xml:space="preserve"> (OATT).</w:t>
      </w:r>
      <w:r w:rsidR="008519C0">
        <w:rPr>
          <w:rStyle w:val="FootnoteReference"/>
        </w:rPr>
        <w:footnoteReference w:id="19"/>
      </w:r>
      <w:r w:rsidRPr="00D13707">
        <w:t xml:space="preserve"> The economic studies provide information on system performance, such as estimated production costs, load-serving entity (LSE) energy </w:t>
      </w:r>
      <w:r w:rsidRPr="004A2DCA">
        <w:t>expenses, transmission congestion, and environmental emission levels.</w:t>
      </w:r>
      <w:r w:rsidR="0070159E" w:rsidRPr="004A2DCA">
        <w:rPr>
          <w:rStyle w:val="FootnoteReference"/>
        </w:rPr>
        <w:footnoteReference w:id="20"/>
      </w:r>
      <w:r w:rsidRPr="004A2DCA">
        <w:t xml:space="preserve"> The ISO </w:t>
      </w:r>
      <w:r w:rsidR="003763E4" w:rsidRPr="004A2DCA">
        <w:t xml:space="preserve">may </w:t>
      </w:r>
      <w:r w:rsidRPr="004A2DCA">
        <w:t>annually perform</w:t>
      </w:r>
      <w:r w:rsidRPr="00D13707">
        <w:t xml:space="preserve"> studies </w:t>
      </w:r>
      <w:r w:rsidR="003763E4">
        <w:t xml:space="preserve">in response to </w:t>
      </w:r>
      <w:r w:rsidRPr="00D13707">
        <w:t>request</w:t>
      </w:r>
      <w:r w:rsidR="003763E4">
        <w:t>s</w:t>
      </w:r>
      <w:r w:rsidRPr="00D13707">
        <w:t xml:space="preserve"> by participants that analyze various future scenarios. This information can assist stakeholders in evaluating various resource and transmission options that can affect New England’s wholesale electricity markets. The studies may also assist policymakers who formulate strategic visions of the future New England power system.</w:t>
      </w:r>
      <w:r w:rsidR="00336BFF">
        <w:t xml:space="preserve"> </w:t>
      </w:r>
    </w:p>
    <w:p w:rsidR="00F479A8" w:rsidRDefault="00336BFF" w:rsidP="00D01615">
      <w:r>
        <w:t xml:space="preserve">The role of the PAC in the economic study process is to discuss, identify, and </w:t>
      </w:r>
      <w:r w:rsidR="00D01615">
        <w:t xml:space="preserve">otherwise </w:t>
      </w:r>
      <w:r w:rsidR="003763E4">
        <w:t xml:space="preserve">assist the ISO by advising on the </w:t>
      </w:r>
      <w:r>
        <w:t>proposed studies.</w:t>
      </w:r>
      <w:r>
        <w:rPr>
          <w:rStyle w:val="FootnoteReference"/>
        </w:rPr>
        <w:footnoteReference w:id="21"/>
      </w:r>
      <w:r>
        <w:t xml:space="preserve"> The ISO then performs up to three economic studies and subsequently reviews all results and findings with the PAC.</w:t>
      </w:r>
    </w:p>
    <w:p w:rsidR="00C74B0B" w:rsidRPr="00D50F4A" w:rsidRDefault="00C74B0B" w:rsidP="00B8270A">
      <w:pPr>
        <w:pStyle w:val="Heading2"/>
      </w:pPr>
      <w:bookmarkStart w:id="42" w:name="_Toc528571186"/>
      <w:r w:rsidRPr="00D50F4A">
        <w:t>Disclaimer</w:t>
      </w:r>
      <w:bookmarkEnd w:id="42"/>
    </w:p>
    <w:p w:rsidR="00C74B0B" w:rsidRDefault="00F2550E" w:rsidP="00336BFF">
      <w:r w:rsidRPr="00F2550E">
        <w:t>Scenario analyses inform stakeholders about different future systems. These hypothetical systems should not be regarded as the ISO’s vision of realistic future development, plans, projections, and preferences. The scenarios do not fully capture</w:t>
      </w:r>
      <w:r w:rsidR="00402545" w:rsidRPr="00D72F87">
        <w:t xml:space="preserve"> </w:t>
      </w:r>
      <w:r w:rsidRPr="00D72F87">
        <w:t>c</w:t>
      </w:r>
      <w:r w:rsidRPr="00F2550E">
        <w:t>urrent laws and regulations</w:t>
      </w:r>
      <w:r w:rsidR="00B77274">
        <w:t xml:space="preserve">, </w:t>
      </w:r>
      <w:r w:rsidR="00B77274" w:rsidRPr="001830DC">
        <w:t>such as the tim</w:t>
      </w:r>
      <w:r w:rsidR="00402545" w:rsidRPr="001830DC">
        <w:t xml:space="preserve">eframe for </w:t>
      </w:r>
      <w:r w:rsidR="00B77274" w:rsidRPr="001830DC">
        <w:t>renewable resource development</w:t>
      </w:r>
      <w:r w:rsidR="00402545" w:rsidRPr="001830DC">
        <w:t xml:space="preserve"> </w:t>
      </w:r>
      <w:r w:rsidR="00B77274" w:rsidRPr="001830DC">
        <w:t>and the</w:t>
      </w:r>
      <w:r w:rsidR="00EC0A08" w:rsidRPr="001830DC">
        <w:t>ir</w:t>
      </w:r>
      <w:r w:rsidR="00B77274" w:rsidRPr="001830DC">
        <w:t xml:space="preserve"> cost implications</w:t>
      </w:r>
      <w:r w:rsidRPr="001830DC">
        <w:t>. The</w:t>
      </w:r>
      <w:r w:rsidR="00402545" w:rsidRPr="001830DC">
        <w:t>y</w:t>
      </w:r>
      <w:r w:rsidRPr="00F2550E">
        <w:t xml:space="preserve"> </w:t>
      </w:r>
      <w:r w:rsidR="00402545">
        <w:t xml:space="preserve">do, </w:t>
      </w:r>
      <w:r w:rsidRPr="00F2550E">
        <w:t xml:space="preserve">however, identify </w:t>
      </w:r>
      <w:r w:rsidR="00B52683">
        <w:t xml:space="preserve">several </w:t>
      </w:r>
      <w:r w:rsidRPr="00F2550E">
        <w:t xml:space="preserve">key </w:t>
      </w:r>
      <w:r w:rsidR="00B52683">
        <w:t xml:space="preserve">future physical and market </w:t>
      </w:r>
      <w:r w:rsidRPr="00F2550E">
        <w:t>issues th</w:t>
      </w:r>
      <w:r w:rsidR="00B52683">
        <w:t xml:space="preserve">e region </w:t>
      </w:r>
      <w:r w:rsidRPr="00F2550E">
        <w:t>must address</w:t>
      </w:r>
      <w:r w:rsidR="00B52683">
        <w:t xml:space="preserve">, </w:t>
      </w:r>
      <w:r w:rsidR="00EC0A08">
        <w:t>for</w:t>
      </w:r>
      <w:r w:rsidRPr="00F2550E">
        <w:t xml:space="preserve"> the large-scale development of renewable resources. It also summarizes high-order-of-magnitude transmission system expansion costs, which provide cost information but do not identify particular facilities or include detailed plans associated with any of the scenarios.</w:t>
      </w:r>
    </w:p>
    <w:p w:rsidR="000C5445" w:rsidRPr="00675A2D" w:rsidRDefault="000C5445" w:rsidP="00B8270A">
      <w:pPr>
        <w:pStyle w:val="Heading2"/>
      </w:pPr>
      <w:bookmarkStart w:id="43" w:name="_Toc528571187"/>
      <w:r w:rsidRPr="00675A2D">
        <w:t xml:space="preserve">2016 NEPOOL </w:t>
      </w:r>
      <w:r w:rsidR="00F9528A">
        <w:t>Scenario Analysis</w:t>
      </w:r>
      <w:r w:rsidR="004A2FF8">
        <w:t xml:space="preserve"> Process and Goals</w:t>
      </w:r>
      <w:bookmarkEnd w:id="43"/>
    </w:p>
    <w:p w:rsidR="00393352" w:rsidRDefault="00B24F99" w:rsidP="004C73F1">
      <w:r w:rsidRPr="00D13707">
        <w:t>In April 201</w:t>
      </w:r>
      <w:r w:rsidR="001B3579">
        <w:t>7</w:t>
      </w:r>
      <w:r w:rsidRPr="00D13707">
        <w:t xml:space="preserve">, </w:t>
      </w:r>
      <w:r w:rsidR="001B3579">
        <w:t xml:space="preserve">CLF </w:t>
      </w:r>
      <w:r w:rsidR="004167F9">
        <w:t xml:space="preserve">submitted its </w:t>
      </w:r>
      <w:r w:rsidRPr="00D13707">
        <w:t xml:space="preserve">request </w:t>
      </w:r>
      <w:r w:rsidR="004167F9">
        <w:t xml:space="preserve">to </w:t>
      </w:r>
      <w:r w:rsidRPr="00D13707">
        <w:t xml:space="preserve">the ISO </w:t>
      </w:r>
      <w:r w:rsidR="004167F9">
        <w:t xml:space="preserve">for a </w:t>
      </w:r>
      <w:r w:rsidRPr="00D13707">
        <w:t>scenario</w:t>
      </w:r>
      <w:r w:rsidR="004167F9">
        <w:t xml:space="preserve"> analysi</w:t>
      </w:r>
      <w:r w:rsidRPr="00D13707">
        <w:t>s of the ISO New England system</w:t>
      </w:r>
      <w:r w:rsidR="004167F9">
        <w:t xml:space="preserve"> </w:t>
      </w:r>
      <w:r w:rsidR="004167F9" w:rsidRPr="00924838">
        <w:t>under a range of assumptions</w:t>
      </w:r>
      <w:r w:rsidR="00393352" w:rsidRPr="00821E90">
        <w:t>.</w:t>
      </w:r>
      <w:r w:rsidR="00B170B9" w:rsidRPr="00821E90">
        <w:rPr>
          <w:rStyle w:val="FootnoteReference"/>
        </w:rPr>
        <w:footnoteReference w:id="22"/>
      </w:r>
      <w:r w:rsidR="004167F9" w:rsidRPr="00924838">
        <w:t xml:space="preserve"> </w:t>
      </w:r>
      <w:r w:rsidR="00842268">
        <w:t>As indicated by CLF, t</w:t>
      </w:r>
      <w:r w:rsidR="006B4441" w:rsidRPr="001B3579">
        <w:t xml:space="preserve">he goal of </w:t>
      </w:r>
      <w:r w:rsidR="00842268">
        <w:t>the study</w:t>
      </w:r>
      <w:r w:rsidR="006B4441" w:rsidRPr="001B3579">
        <w:t xml:space="preserve"> request </w:t>
      </w:r>
      <w:r w:rsidR="006B4441">
        <w:t>wa</w:t>
      </w:r>
      <w:r w:rsidR="006B4441" w:rsidRPr="001B3579">
        <w:t xml:space="preserve">s to explore scenarios with similar </w:t>
      </w:r>
      <w:r w:rsidR="00842268">
        <w:t xml:space="preserve">or lower </w:t>
      </w:r>
      <w:r w:rsidR="006B4441" w:rsidRPr="001B3579">
        <w:t xml:space="preserve">total system </w:t>
      </w:r>
      <w:r w:rsidR="006B4441">
        <w:t>CO</w:t>
      </w:r>
      <w:r w:rsidR="006B4441" w:rsidRPr="001830DC">
        <w:rPr>
          <w:vertAlign w:val="subscript"/>
        </w:rPr>
        <w:t>2</w:t>
      </w:r>
      <w:r w:rsidR="006B4441">
        <w:t xml:space="preserve"> </w:t>
      </w:r>
      <w:r w:rsidR="006B4441" w:rsidRPr="001B3579">
        <w:t xml:space="preserve">emissions and a lower </w:t>
      </w:r>
      <w:r w:rsidR="00C509B0">
        <w:t>r</w:t>
      </w:r>
      <w:r w:rsidR="006B4441" w:rsidRPr="001B3579">
        <w:t xml:space="preserve">elative </w:t>
      </w:r>
      <w:r w:rsidR="00C509B0">
        <w:t>a</w:t>
      </w:r>
      <w:r w:rsidR="006B4441" w:rsidRPr="001B3579">
        <w:t xml:space="preserve">nnual </w:t>
      </w:r>
      <w:r w:rsidR="00C509B0">
        <w:t>r</w:t>
      </w:r>
      <w:r w:rsidR="006B4441" w:rsidRPr="001B3579">
        <w:t xml:space="preserve">esource </w:t>
      </w:r>
      <w:r w:rsidR="00C509B0">
        <w:t>c</w:t>
      </w:r>
      <w:r w:rsidR="006B4441" w:rsidRPr="001B3579">
        <w:t>ost</w:t>
      </w:r>
      <w:r w:rsidR="00C509B0">
        <w:t xml:space="preserve"> (RARC)</w:t>
      </w:r>
      <w:r w:rsidR="006B4441" w:rsidRPr="001B3579">
        <w:t xml:space="preserve"> than the 2016 Economic Study </w:t>
      </w:r>
      <w:r w:rsidR="006B4441" w:rsidRPr="0075245C">
        <w:t>Scenario 3</w:t>
      </w:r>
      <w:r w:rsidR="00C509B0" w:rsidRPr="001830DC">
        <w:t xml:space="preserve">, </w:t>
      </w:r>
      <w:r w:rsidR="0075245C" w:rsidRPr="001830DC">
        <w:t xml:space="preserve">set up with </w:t>
      </w:r>
      <w:r w:rsidR="00C509B0" w:rsidRPr="001830DC">
        <w:t>the generation fleet meet</w:t>
      </w:r>
      <w:r w:rsidR="0075245C" w:rsidRPr="001830DC">
        <w:t>ing</w:t>
      </w:r>
      <w:r w:rsidR="00C509B0" w:rsidRPr="001830DC">
        <w:t xml:space="preserve"> </w:t>
      </w:r>
      <w:r w:rsidR="0075245C" w:rsidRPr="001830DC">
        <w:t xml:space="preserve">the states’ </w:t>
      </w:r>
      <w:r w:rsidR="00C509B0" w:rsidRPr="001830DC">
        <w:t>exi</w:t>
      </w:r>
      <w:r w:rsidR="00ED4DEB">
        <w:t>s</w:t>
      </w:r>
      <w:r w:rsidR="00C509B0" w:rsidRPr="001830DC">
        <w:t>ting Renewable Portfolio Standards (RPSs) and the system ha</w:t>
      </w:r>
      <w:r w:rsidR="0075245C" w:rsidRPr="001830DC">
        <w:t>ving</w:t>
      </w:r>
      <w:r w:rsidR="00C509B0" w:rsidRPr="001830DC">
        <w:t xml:space="preserve"> additional renewable/clean energy resources</w:t>
      </w:r>
      <w:r w:rsidR="00860D3B" w:rsidRPr="0075245C">
        <w:t>.</w:t>
      </w:r>
      <w:r w:rsidR="00860D3B">
        <w:t xml:space="preserve"> </w:t>
      </w:r>
      <w:r w:rsidR="006B4441">
        <w:t>Exploring several scenarios</w:t>
      </w:r>
      <w:r w:rsidR="006B4441" w:rsidRPr="006B4441">
        <w:t xml:space="preserve"> </w:t>
      </w:r>
      <w:r w:rsidR="00393352" w:rsidRPr="00D13707">
        <w:t>provide</w:t>
      </w:r>
      <w:r w:rsidR="004C73F1">
        <w:t>s</w:t>
      </w:r>
      <w:r w:rsidR="00393352" w:rsidRPr="00D13707">
        <w:t xml:space="preserve"> </w:t>
      </w:r>
      <w:r w:rsidR="00C509B0">
        <w:t>New England Power Pool (</w:t>
      </w:r>
      <w:r w:rsidR="00985535" w:rsidRPr="000A4048">
        <w:t>NEPOOL</w:t>
      </w:r>
      <w:r w:rsidR="00C509B0">
        <w:t>)</w:t>
      </w:r>
      <w:r w:rsidR="00985535" w:rsidRPr="000A4048">
        <w:t xml:space="preserve"> participants</w:t>
      </w:r>
      <w:r w:rsidR="001E7CB8" w:rsidRPr="000A4048">
        <w:t>,</w:t>
      </w:r>
      <w:r w:rsidR="00985535" w:rsidRPr="000A4048">
        <w:t xml:space="preserve"> </w:t>
      </w:r>
      <w:r w:rsidR="00985535" w:rsidRPr="00D13707">
        <w:t xml:space="preserve">regional </w:t>
      </w:r>
      <w:r w:rsidR="00FA62EC" w:rsidRPr="00D13707">
        <w:t>electricity</w:t>
      </w:r>
      <w:r w:rsidR="00985535" w:rsidRPr="00D13707">
        <w:t xml:space="preserve"> market </w:t>
      </w:r>
      <w:r w:rsidR="00985535" w:rsidRPr="000A4048">
        <w:t>stakeholders</w:t>
      </w:r>
      <w:r w:rsidR="001E7CB8" w:rsidRPr="000A4048">
        <w:t xml:space="preserve">, </w:t>
      </w:r>
      <w:r w:rsidR="00985535" w:rsidRPr="000A4048">
        <w:t>policymakers, and consumers,</w:t>
      </w:r>
      <w:r w:rsidR="008720C5" w:rsidRPr="00D13707">
        <w:t xml:space="preserve"> </w:t>
      </w:r>
      <w:r w:rsidR="004C73F1">
        <w:t xml:space="preserve">with </w:t>
      </w:r>
      <w:r w:rsidR="00393352" w:rsidRPr="00D13707">
        <w:t xml:space="preserve">information, analyses, and observations on the </w:t>
      </w:r>
      <w:r w:rsidR="00393352" w:rsidRPr="00F45812">
        <w:t>potential impacts on the ISO New England markets of implementing public policies in the New</w:t>
      </w:r>
      <w:r w:rsidR="00393352" w:rsidRPr="000E4BAE">
        <w:t xml:space="preserve"> England states</w:t>
      </w:r>
      <w:r w:rsidR="004C73F1">
        <w:t xml:space="preserve">. The study results summarize several key economic metrics </w:t>
      </w:r>
      <w:r w:rsidR="00431CC2">
        <w:t xml:space="preserve">and </w:t>
      </w:r>
      <w:r w:rsidR="004C73F1">
        <w:t>CO</w:t>
      </w:r>
      <w:r w:rsidR="004C73F1" w:rsidRPr="001830DC">
        <w:rPr>
          <w:vertAlign w:val="subscript"/>
        </w:rPr>
        <w:t>2</w:t>
      </w:r>
      <w:r w:rsidR="004C73F1">
        <w:t xml:space="preserve"> </w:t>
      </w:r>
      <w:r w:rsidR="00393352" w:rsidRPr="000E4BAE">
        <w:t>emission</w:t>
      </w:r>
      <w:r w:rsidR="00C509B0">
        <w:t xml:space="preserve"> level</w:t>
      </w:r>
      <w:r w:rsidR="00393352" w:rsidRPr="000E4BAE">
        <w:t>s in New England</w:t>
      </w:r>
      <w:r w:rsidR="004C73F1">
        <w:t xml:space="preserve"> for each</w:t>
      </w:r>
      <w:r w:rsidR="0012560F">
        <w:t xml:space="preserve"> </w:t>
      </w:r>
      <w:r w:rsidR="004C73F1">
        <w:t>of the scenarios.</w:t>
      </w:r>
      <w:r w:rsidR="00393352">
        <w:t xml:space="preserve"> </w:t>
      </w:r>
    </w:p>
    <w:p w:rsidR="00BA7A9A" w:rsidRPr="00BA7A9A" w:rsidRDefault="005A2506" w:rsidP="00256CE8">
      <w:r>
        <w:t xml:space="preserve">CLF </w:t>
      </w:r>
      <w:r w:rsidR="004167F9" w:rsidRPr="00B17D43">
        <w:t xml:space="preserve">worked with the ISO to collaboratively identify the mixes of additional conventional and renewable technology resources to be included in each scenario, the respective operating profiles or drivers, operating costs, and environmental goals. In fulfillment of its tariff obligations, the ISO presented the scope of work, </w:t>
      </w:r>
      <w:r w:rsidR="004167F9" w:rsidRPr="00B170B9">
        <w:t xml:space="preserve">assumptions, and results to the PAC, who provided input on draft items of the study </w:t>
      </w:r>
      <w:r>
        <w:t xml:space="preserve">scope </w:t>
      </w:r>
      <w:r w:rsidR="004167F9" w:rsidRPr="00B170B9">
        <w:t xml:space="preserve">during </w:t>
      </w:r>
      <w:r>
        <w:t>a</w:t>
      </w:r>
      <w:r w:rsidR="005E24F5">
        <w:t> </w:t>
      </w:r>
      <w:r w:rsidR="004167F9" w:rsidRPr="00B17D43">
        <w:t xml:space="preserve">PAC </w:t>
      </w:r>
      <w:r>
        <w:t>meeting and on the draft results.</w:t>
      </w:r>
      <w:r w:rsidR="004167F9" w:rsidRPr="00B17D43">
        <w:rPr>
          <w:rStyle w:val="FootnoteReference"/>
        </w:rPr>
        <w:footnoteReference w:id="23"/>
      </w:r>
    </w:p>
    <w:p w:rsidR="001C537B" w:rsidRPr="00256CE8" w:rsidRDefault="00F832D4" w:rsidP="00B8270A">
      <w:pPr>
        <w:pStyle w:val="Heading2"/>
      </w:pPr>
      <w:bookmarkStart w:id="44" w:name="_Toc162256767"/>
      <w:bookmarkStart w:id="45" w:name="_Toc162257090"/>
      <w:bookmarkStart w:id="46" w:name="_Toc162257282"/>
      <w:bookmarkStart w:id="47" w:name="_Toc162258372"/>
      <w:bookmarkStart w:id="48" w:name="_Toc162258448"/>
      <w:bookmarkStart w:id="49" w:name="_Toc162779946"/>
      <w:bookmarkStart w:id="50" w:name="_Toc163032225"/>
      <w:bookmarkStart w:id="51" w:name="_Toc163032813"/>
      <w:bookmarkStart w:id="52" w:name="_Toc163032940"/>
      <w:bookmarkStart w:id="53" w:name="_Toc162256768"/>
      <w:bookmarkStart w:id="54" w:name="_Toc162257091"/>
      <w:bookmarkStart w:id="55" w:name="_Toc162257283"/>
      <w:bookmarkStart w:id="56" w:name="_Toc162258373"/>
      <w:bookmarkStart w:id="57" w:name="_Toc162258449"/>
      <w:bookmarkStart w:id="58" w:name="_Toc162779947"/>
      <w:bookmarkStart w:id="59" w:name="_Toc163032226"/>
      <w:bookmarkStart w:id="60" w:name="_Toc163032814"/>
      <w:bookmarkStart w:id="61" w:name="_Toc163032941"/>
      <w:bookmarkStart w:id="62" w:name="_Toc162256769"/>
      <w:bookmarkStart w:id="63" w:name="_Toc162257092"/>
      <w:bookmarkStart w:id="64" w:name="_Toc162257284"/>
      <w:bookmarkStart w:id="65" w:name="_Toc162258374"/>
      <w:bookmarkStart w:id="66" w:name="_Toc162258450"/>
      <w:bookmarkStart w:id="67" w:name="_Toc162779948"/>
      <w:bookmarkStart w:id="68" w:name="_Toc163032815"/>
      <w:bookmarkStart w:id="69" w:name="_Toc163032942"/>
      <w:bookmarkStart w:id="70" w:name="_Toc162256770"/>
      <w:bookmarkStart w:id="71" w:name="_Toc162257093"/>
      <w:bookmarkStart w:id="72" w:name="_Toc162257285"/>
      <w:bookmarkStart w:id="73" w:name="_Toc162258375"/>
      <w:bookmarkStart w:id="74" w:name="_Toc162258451"/>
      <w:bookmarkStart w:id="75" w:name="_Toc162779949"/>
      <w:bookmarkStart w:id="76" w:name="_Toc163032228"/>
      <w:bookmarkStart w:id="77" w:name="_Toc163032816"/>
      <w:bookmarkStart w:id="78" w:name="_Toc163032943"/>
      <w:bookmarkStart w:id="79" w:name="_Toc52857118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56CE8">
        <w:t>Topics Addressed</w:t>
      </w:r>
      <w:bookmarkEnd w:id="79"/>
    </w:p>
    <w:p w:rsidR="001C537B" w:rsidRDefault="001C537B" w:rsidP="001C537B">
      <w:r w:rsidRPr="00BF28E2">
        <w:t>The sections that follow describe the</w:t>
      </w:r>
      <w:r w:rsidR="00513625" w:rsidRPr="00BF28E2">
        <w:t xml:space="preserve"> scenarios (</w:t>
      </w:r>
      <w:r w:rsidR="00513625" w:rsidRPr="00BF28E2">
        <w:fldChar w:fldCharType="begin"/>
      </w:r>
      <w:r w:rsidR="00513625" w:rsidRPr="00BF28E2">
        <w:instrText xml:space="preserve"> REF _Ref477520229 \r \h  \* MERGEFORMAT </w:instrText>
      </w:r>
      <w:r w:rsidR="00513625" w:rsidRPr="00BF28E2">
        <w:fldChar w:fldCharType="separate"/>
      </w:r>
      <w:r w:rsidR="00872A95">
        <w:t>Section 3</w:t>
      </w:r>
      <w:r w:rsidR="00513625" w:rsidRPr="00BF28E2">
        <w:fldChar w:fldCharType="end"/>
      </w:r>
      <w:r w:rsidR="00513625" w:rsidRPr="00BF28E2">
        <w:t>)</w:t>
      </w:r>
      <w:r w:rsidR="00B17D43" w:rsidRPr="00BF28E2">
        <w:t>, t</w:t>
      </w:r>
      <w:r w:rsidR="00513625" w:rsidRPr="00BF28E2">
        <w:t xml:space="preserve">he methodology used and </w:t>
      </w:r>
      <w:r w:rsidRPr="00BF28E2">
        <w:t>metrics</w:t>
      </w:r>
      <w:r w:rsidR="00513625" w:rsidRPr="00BF28E2">
        <w:t xml:space="preserve"> analyzed (</w:t>
      </w:r>
      <w:r w:rsidR="00513625" w:rsidRPr="00BF28E2">
        <w:fldChar w:fldCharType="begin"/>
      </w:r>
      <w:r w:rsidR="00513625" w:rsidRPr="00686755">
        <w:instrText xml:space="preserve"> REF _Ref162681656 \r \h  \* MERGEFORMAT </w:instrText>
      </w:r>
      <w:r w:rsidR="00513625" w:rsidRPr="00BF28E2">
        <w:fldChar w:fldCharType="separate"/>
      </w:r>
      <w:r w:rsidR="00872A95">
        <w:t>Section 4</w:t>
      </w:r>
      <w:r w:rsidR="00513625" w:rsidRPr="00BF28E2">
        <w:fldChar w:fldCharType="end"/>
      </w:r>
      <w:r w:rsidR="00513625" w:rsidRPr="00BF28E2">
        <w:t>)</w:t>
      </w:r>
      <w:r w:rsidRPr="00BF28E2">
        <w:t xml:space="preserve">, </w:t>
      </w:r>
      <w:r w:rsidR="00513625" w:rsidRPr="00BF28E2">
        <w:t xml:space="preserve">the assumptions applied </w:t>
      </w:r>
      <w:r w:rsidRPr="00BF28E2">
        <w:t>(</w:t>
      </w:r>
      <w:r w:rsidR="00513625" w:rsidRPr="00BF28E2">
        <w:fldChar w:fldCharType="begin"/>
      </w:r>
      <w:r w:rsidR="00513625" w:rsidRPr="00686755">
        <w:instrText xml:space="preserve"> REF _Ref477520325 \r \h  \* MERGEFORMAT </w:instrText>
      </w:r>
      <w:r w:rsidR="00513625" w:rsidRPr="00BF28E2">
        <w:fldChar w:fldCharType="separate"/>
      </w:r>
      <w:r w:rsidR="00872A95">
        <w:t>Section 5</w:t>
      </w:r>
      <w:r w:rsidR="00513625" w:rsidRPr="00BF28E2">
        <w:fldChar w:fldCharType="end"/>
      </w:r>
      <w:r w:rsidRPr="00BF28E2">
        <w:t xml:space="preserve">), </w:t>
      </w:r>
      <w:r w:rsidR="00513625" w:rsidRPr="00BF28E2">
        <w:t>and</w:t>
      </w:r>
      <w:r w:rsidRPr="00BF28E2">
        <w:t xml:space="preserve"> the main results and observations (</w:t>
      </w:r>
      <w:r w:rsidRPr="00BF28E2">
        <w:fldChar w:fldCharType="begin"/>
      </w:r>
      <w:r w:rsidRPr="00686755">
        <w:instrText xml:space="preserve"> REF _Ref166224567 \r \h  \* MERGEFORMAT </w:instrText>
      </w:r>
      <w:r w:rsidRPr="00BF28E2">
        <w:fldChar w:fldCharType="separate"/>
      </w:r>
      <w:r w:rsidR="00872A95">
        <w:t>Section 6</w:t>
      </w:r>
      <w:r w:rsidRPr="00BF28E2">
        <w:fldChar w:fldCharType="end"/>
      </w:r>
      <w:r w:rsidRPr="00BF28E2">
        <w:t>)</w:t>
      </w:r>
      <w:r w:rsidR="009D3DDD" w:rsidRPr="00BF28E2">
        <w:t xml:space="preserve">. </w:t>
      </w:r>
      <w:r w:rsidR="00513625" w:rsidRPr="00BF28E2">
        <w:fldChar w:fldCharType="begin"/>
      </w:r>
      <w:r w:rsidR="00513625" w:rsidRPr="00BF28E2">
        <w:instrText xml:space="preserve"> REF _Ref476319046 \r \h  \* MERGEFORMAT </w:instrText>
      </w:r>
      <w:r w:rsidR="00513625" w:rsidRPr="00BF28E2">
        <w:fldChar w:fldCharType="separate"/>
      </w:r>
      <w:r w:rsidR="00872A95">
        <w:t>Section 7</w:t>
      </w:r>
      <w:r w:rsidR="00513625" w:rsidRPr="00BF28E2">
        <w:fldChar w:fldCharType="end"/>
      </w:r>
      <w:r w:rsidR="00513625" w:rsidRPr="00BF28E2">
        <w:t xml:space="preserve"> </w:t>
      </w:r>
      <w:r w:rsidR="00D81930" w:rsidRPr="00BF28E2">
        <w:t xml:space="preserve">summarizes </w:t>
      </w:r>
      <w:r w:rsidRPr="00BF28E2">
        <w:t>the key conclusions</w:t>
      </w:r>
      <w:r w:rsidR="004F7A05" w:rsidRPr="00BF28E2">
        <w:t>; supplemental market, operational, and transmission issues;</w:t>
      </w:r>
      <w:r w:rsidRPr="00BF28E2">
        <w:t xml:space="preserve"> and how policymakers and other stakeholders might be able to use this information and data</w:t>
      </w:r>
      <w:r w:rsidR="00BA7A9A" w:rsidRPr="00BF28E2">
        <w:t>.</w:t>
      </w:r>
    </w:p>
    <w:p w:rsidR="001C537B" w:rsidRPr="005B4D9E" w:rsidRDefault="001C537B" w:rsidP="001C537B">
      <w:r w:rsidRPr="00513625">
        <w:t xml:space="preserve">The report includes hyperlinks throughout to presentations and other materials that contain more detailed information. These links are to PAC presentations on the background and scope of the analysis; the development of the scenarios, assumptions, methodology, and metrics used; and the draft and final results. </w:t>
      </w:r>
      <w:r w:rsidRPr="00E46649">
        <w:t>The links also reference</w:t>
      </w:r>
      <w:r w:rsidRPr="00513625">
        <w:t xml:space="preserve"> the</w:t>
      </w:r>
      <w:r w:rsidR="006D7133">
        <w:t xml:space="preserve"> 2016 </w:t>
      </w:r>
      <w:r w:rsidR="005B36AB">
        <w:t>NEPOOL Scenario Analysis</w:t>
      </w:r>
      <w:r w:rsidR="006D7133">
        <w:t xml:space="preserve">, which provides much of the detailed background </w:t>
      </w:r>
      <w:r w:rsidR="006D7133" w:rsidRPr="00910EF9">
        <w:t xml:space="preserve">information on </w:t>
      </w:r>
      <w:r w:rsidR="0023578C" w:rsidRPr="00910EF9">
        <w:t xml:space="preserve">its </w:t>
      </w:r>
      <w:r w:rsidR="006D7133" w:rsidRPr="00910EF9">
        <w:t>Scenario 3</w:t>
      </w:r>
      <w:r w:rsidRPr="00910EF9">
        <w:t xml:space="preserve">, </w:t>
      </w:r>
      <w:r w:rsidR="006D7133" w:rsidRPr="00910EF9">
        <w:t xml:space="preserve">and the 2017 Economic Study </w:t>
      </w:r>
      <w:r w:rsidR="00684CB7" w:rsidRPr="00910EF9">
        <w:t xml:space="preserve">presentations, </w:t>
      </w:r>
      <w:r w:rsidR="00684CB7" w:rsidRPr="001830DC">
        <w:t xml:space="preserve">draft </w:t>
      </w:r>
      <w:r w:rsidR="006D7133" w:rsidRPr="001830DC">
        <w:t>report</w:t>
      </w:r>
      <w:r w:rsidR="00910EF9" w:rsidRPr="001830DC">
        <w:t>,</w:t>
      </w:r>
      <w:r w:rsidR="006D7133" w:rsidRPr="001830DC">
        <w:t xml:space="preserve"> and </w:t>
      </w:r>
      <w:r w:rsidRPr="001830DC">
        <w:t>stakeholder comments</w:t>
      </w:r>
      <w:r w:rsidRPr="00910EF9">
        <w:t xml:space="preserve">. </w:t>
      </w:r>
      <w:r w:rsidR="00513625" w:rsidRPr="00910EF9">
        <w:t>The links are up to date as of the publication of the report.</w:t>
      </w:r>
    </w:p>
    <w:p w:rsidR="0049252C" w:rsidRPr="00256CE8" w:rsidRDefault="001C537B" w:rsidP="00466FBF">
      <w:pPr>
        <w:pStyle w:val="Heading1"/>
      </w:pPr>
      <w:bookmarkStart w:id="80" w:name="_Toc477794607"/>
      <w:bookmarkEnd w:id="80"/>
      <w:r>
        <w:br/>
      </w:r>
      <w:bookmarkStart w:id="81" w:name="_Ref477520229"/>
      <w:bookmarkStart w:id="82" w:name="_Toc528571189"/>
      <w:r>
        <w:t xml:space="preserve">Description of </w:t>
      </w:r>
      <w:r w:rsidR="0049252C" w:rsidRPr="00256CE8">
        <w:t>the Scenarios</w:t>
      </w:r>
      <w:bookmarkEnd w:id="81"/>
      <w:bookmarkEnd w:id="82"/>
    </w:p>
    <w:p w:rsidR="0033544D" w:rsidRDefault="00D71F78" w:rsidP="00080FC7">
      <w:pPr>
        <w:rPr>
          <w:szCs w:val="20"/>
        </w:rPr>
      </w:pPr>
      <w:r w:rsidRPr="0049252C">
        <w:rPr>
          <w:szCs w:val="20"/>
        </w:rPr>
        <w:t xml:space="preserve">The </w:t>
      </w:r>
      <w:r w:rsidR="006E182C">
        <w:rPr>
          <w:szCs w:val="20"/>
        </w:rPr>
        <w:t>a</w:t>
      </w:r>
      <w:r w:rsidR="00D8497C" w:rsidRPr="0049252C">
        <w:rPr>
          <w:szCs w:val="20"/>
        </w:rPr>
        <w:t xml:space="preserve">nalysis </w:t>
      </w:r>
      <w:r w:rsidRPr="0049252C">
        <w:rPr>
          <w:szCs w:val="20"/>
        </w:rPr>
        <w:t xml:space="preserve">examined </w:t>
      </w:r>
      <w:r w:rsidR="006D7133">
        <w:rPr>
          <w:szCs w:val="20"/>
        </w:rPr>
        <w:t>three</w:t>
      </w:r>
      <w:r w:rsidR="00066542" w:rsidRPr="0049252C">
        <w:rPr>
          <w:szCs w:val="20"/>
        </w:rPr>
        <w:t xml:space="preserve"> </w:t>
      </w:r>
      <w:r w:rsidRPr="0049252C">
        <w:rPr>
          <w:szCs w:val="20"/>
        </w:rPr>
        <w:t xml:space="preserve">scenarios </w:t>
      </w:r>
      <w:r w:rsidR="006D7133">
        <w:rPr>
          <w:szCs w:val="20"/>
        </w:rPr>
        <w:t xml:space="preserve">based on </w:t>
      </w:r>
      <w:r w:rsidR="002048B7">
        <w:rPr>
          <w:szCs w:val="20"/>
        </w:rPr>
        <w:t xml:space="preserve">Scenario 3 of </w:t>
      </w:r>
      <w:r w:rsidR="006D7133">
        <w:rPr>
          <w:szCs w:val="20"/>
        </w:rPr>
        <w:t xml:space="preserve">the 2016 </w:t>
      </w:r>
      <w:r w:rsidR="002048B7">
        <w:rPr>
          <w:szCs w:val="20"/>
        </w:rPr>
        <w:t>NEPOOL Scenario Analysis</w:t>
      </w:r>
      <w:r w:rsidR="006D7133">
        <w:rPr>
          <w:szCs w:val="20"/>
        </w:rPr>
        <w:t>, the Renewable</w:t>
      </w:r>
      <w:r w:rsidR="00E9557B">
        <w:rPr>
          <w:szCs w:val="20"/>
        </w:rPr>
        <w:t>s</w:t>
      </w:r>
      <w:r w:rsidR="006D7133">
        <w:rPr>
          <w:szCs w:val="20"/>
        </w:rPr>
        <w:t xml:space="preserve"> Plus Scenario</w:t>
      </w:r>
      <w:r w:rsidR="00860D3B">
        <w:rPr>
          <w:szCs w:val="20"/>
        </w:rPr>
        <w:t xml:space="preserve">. </w:t>
      </w:r>
      <w:r w:rsidR="00566A5F">
        <w:rPr>
          <w:szCs w:val="20"/>
        </w:rPr>
        <w:t>While most scenario assumptions and i</w:t>
      </w:r>
      <w:r w:rsidR="00A734BA">
        <w:rPr>
          <w:szCs w:val="20"/>
        </w:rPr>
        <w:t>n</w:t>
      </w:r>
      <w:r w:rsidR="00566A5F">
        <w:rPr>
          <w:szCs w:val="20"/>
        </w:rPr>
        <w:t>puts remained the same</w:t>
      </w:r>
      <w:r w:rsidR="00710E65">
        <w:rPr>
          <w:szCs w:val="20"/>
        </w:rPr>
        <w:t xml:space="preserve"> as Scenario 3</w:t>
      </w:r>
      <w:r w:rsidR="00566A5F">
        <w:rPr>
          <w:szCs w:val="20"/>
        </w:rPr>
        <w:t xml:space="preserve">, </w:t>
      </w:r>
      <w:r w:rsidR="00710E65">
        <w:rPr>
          <w:szCs w:val="20"/>
        </w:rPr>
        <w:t xml:space="preserve">the 2017 </w:t>
      </w:r>
      <w:r w:rsidR="00E74520">
        <w:rPr>
          <w:szCs w:val="20"/>
        </w:rPr>
        <w:t>Scenario</w:t>
      </w:r>
      <w:r w:rsidR="00710E65">
        <w:rPr>
          <w:szCs w:val="20"/>
        </w:rPr>
        <w:t>s</w:t>
      </w:r>
      <w:r w:rsidR="00E74520">
        <w:rPr>
          <w:szCs w:val="20"/>
        </w:rPr>
        <w:t xml:space="preserve"> A, B, and C reflect changes </w:t>
      </w:r>
      <w:r w:rsidR="00566A5F">
        <w:rPr>
          <w:szCs w:val="20"/>
        </w:rPr>
        <w:t xml:space="preserve">in the resource mix, including </w:t>
      </w:r>
      <w:r w:rsidR="00910EF9">
        <w:rPr>
          <w:szCs w:val="20"/>
        </w:rPr>
        <w:t>energy efficiency (</w:t>
      </w:r>
      <w:r w:rsidR="00566A5F">
        <w:rPr>
          <w:szCs w:val="20"/>
        </w:rPr>
        <w:t>EE</w:t>
      </w:r>
      <w:r w:rsidR="00910EF9">
        <w:rPr>
          <w:szCs w:val="20"/>
        </w:rPr>
        <w:t>)</w:t>
      </w:r>
      <w:r w:rsidR="00566A5F">
        <w:rPr>
          <w:szCs w:val="20"/>
        </w:rPr>
        <w:t xml:space="preserve">, </w:t>
      </w:r>
      <w:r w:rsidR="00910EF9">
        <w:rPr>
          <w:szCs w:val="20"/>
        </w:rPr>
        <w:t>behind-the meter photovoltaics (</w:t>
      </w:r>
      <w:r w:rsidR="00566A5F">
        <w:rPr>
          <w:szCs w:val="20"/>
        </w:rPr>
        <w:t>BTM PV</w:t>
      </w:r>
      <w:r w:rsidR="00910EF9">
        <w:rPr>
          <w:szCs w:val="20"/>
        </w:rPr>
        <w:t>)</w:t>
      </w:r>
      <w:r w:rsidR="00566A5F">
        <w:rPr>
          <w:szCs w:val="20"/>
        </w:rPr>
        <w:t xml:space="preserve">, </w:t>
      </w:r>
      <w:r w:rsidR="00910EF9">
        <w:rPr>
          <w:szCs w:val="20"/>
        </w:rPr>
        <w:t>u</w:t>
      </w:r>
      <w:r w:rsidR="00566A5F">
        <w:rPr>
          <w:szCs w:val="20"/>
        </w:rPr>
        <w:t>tility</w:t>
      </w:r>
      <w:r w:rsidR="00910EF9">
        <w:rPr>
          <w:szCs w:val="20"/>
        </w:rPr>
        <w:t>-scale</w:t>
      </w:r>
      <w:r w:rsidR="00566A5F">
        <w:rPr>
          <w:szCs w:val="20"/>
        </w:rPr>
        <w:t xml:space="preserve"> PV, </w:t>
      </w:r>
      <w:r w:rsidR="00910EF9">
        <w:rPr>
          <w:szCs w:val="20"/>
        </w:rPr>
        <w:t>a</w:t>
      </w:r>
      <w:r w:rsidR="00566A5F">
        <w:rPr>
          <w:szCs w:val="20"/>
        </w:rPr>
        <w:t xml:space="preserve">ctive </w:t>
      </w:r>
      <w:r w:rsidR="00910EF9">
        <w:rPr>
          <w:szCs w:val="20"/>
        </w:rPr>
        <w:t>d</w:t>
      </w:r>
      <w:r w:rsidR="00566A5F">
        <w:rPr>
          <w:szCs w:val="20"/>
        </w:rPr>
        <w:t xml:space="preserve">emand </w:t>
      </w:r>
      <w:r w:rsidR="00910EF9">
        <w:rPr>
          <w:szCs w:val="20"/>
        </w:rPr>
        <w:t>r</w:t>
      </w:r>
      <w:r w:rsidR="00566A5F">
        <w:rPr>
          <w:szCs w:val="20"/>
        </w:rPr>
        <w:t xml:space="preserve">esources, </w:t>
      </w:r>
      <w:r w:rsidR="00910EF9">
        <w:rPr>
          <w:szCs w:val="20"/>
        </w:rPr>
        <w:t>o</w:t>
      </w:r>
      <w:r w:rsidR="00566A5F">
        <w:rPr>
          <w:szCs w:val="20"/>
        </w:rPr>
        <w:t xml:space="preserve">nshore </w:t>
      </w:r>
      <w:r w:rsidR="00910EF9">
        <w:rPr>
          <w:szCs w:val="20"/>
        </w:rPr>
        <w:t>w</w:t>
      </w:r>
      <w:r w:rsidR="00566A5F">
        <w:rPr>
          <w:szCs w:val="20"/>
        </w:rPr>
        <w:t xml:space="preserve">ind, </w:t>
      </w:r>
      <w:r w:rsidR="00910EF9">
        <w:rPr>
          <w:szCs w:val="20"/>
        </w:rPr>
        <w:t>o</w:t>
      </w:r>
      <w:r w:rsidR="00566A5F">
        <w:rPr>
          <w:szCs w:val="20"/>
        </w:rPr>
        <w:t xml:space="preserve">ffshore </w:t>
      </w:r>
      <w:r w:rsidR="00910EF9">
        <w:rPr>
          <w:szCs w:val="20"/>
        </w:rPr>
        <w:t>w</w:t>
      </w:r>
      <w:r w:rsidR="00566A5F">
        <w:rPr>
          <w:szCs w:val="20"/>
        </w:rPr>
        <w:t xml:space="preserve">ind, </w:t>
      </w:r>
      <w:r w:rsidR="00910EF9">
        <w:rPr>
          <w:szCs w:val="20"/>
        </w:rPr>
        <w:t>b</w:t>
      </w:r>
      <w:r w:rsidR="00566A5F">
        <w:rPr>
          <w:szCs w:val="20"/>
        </w:rPr>
        <w:t xml:space="preserve">attery </w:t>
      </w:r>
      <w:r w:rsidR="00910EF9">
        <w:rPr>
          <w:szCs w:val="20"/>
        </w:rPr>
        <w:t>s</w:t>
      </w:r>
      <w:r w:rsidR="00566A5F">
        <w:rPr>
          <w:szCs w:val="20"/>
        </w:rPr>
        <w:t xml:space="preserve">torage, </w:t>
      </w:r>
      <w:r w:rsidR="00910EF9">
        <w:rPr>
          <w:szCs w:val="20"/>
        </w:rPr>
        <w:t>plug-in hybrid electric vehicles (</w:t>
      </w:r>
      <w:r w:rsidR="00566A5F">
        <w:rPr>
          <w:szCs w:val="20"/>
        </w:rPr>
        <w:t>PHEV</w:t>
      </w:r>
      <w:r w:rsidR="00910EF9">
        <w:rPr>
          <w:szCs w:val="20"/>
        </w:rPr>
        <w:t>s)</w:t>
      </w:r>
      <w:r w:rsidR="00566A5F">
        <w:rPr>
          <w:szCs w:val="20"/>
        </w:rPr>
        <w:t>, and imports from Canada</w:t>
      </w:r>
      <w:r w:rsidR="00860D3B">
        <w:rPr>
          <w:szCs w:val="20"/>
        </w:rPr>
        <w:t>.</w:t>
      </w:r>
      <w:r w:rsidR="00C46987">
        <w:rPr>
          <w:rStyle w:val="FootnoteReference"/>
        </w:rPr>
        <w:footnoteReference w:id="24"/>
      </w:r>
      <w:r w:rsidR="00860D3B">
        <w:rPr>
          <w:szCs w:val="20"/>
        </w:rPr>
        <w:t xml:space="preserve"> </w:t>
      </w:r>
      <w:r w:rsidR="00C01532">
        <w:rPr>
          <w:szCs w:val="20"/>
        </w:rPr>
        <w:fldChar w:fldCharType="begin"/>
      </w:r>
      <w:r w:rsidR="00C01532">
        <w:rPr>
          <w:szCs w:val="20"/>
        </w:rPr>
        <w:instrText xml:space="preserve"> REF _Ref477520325 \r \h </w:instrText>
      </w:r>
      <w:r w:rsidR="00C01532">
        <w:rPr>
          <w:szCs w:val="20"/>
        </w:rPr>
      </w:r>
      <w:r w:rsidR="00C01532">
        <w:rPr>
          <w:szCs w:val="20"/>
        </w:rPr>
        <w:fldChar w:fldCharType="separate"/>
      </w:r>
      <w:r w:rsidR="00872A95">
        <w:rPr>
          <w:szCs w:val="20"/>
        </w:rPr>
        <w:t>Section 5</w:t>
      </w:r>
      <w:r w:rsidR="00C01532">
        <w:rPr>
          <w:szCs w:val="20"/>
        </w:rPr>
        <w:fldChar w:fldCharType="end"/>
      </w:r>
      <w:r w:rsidR="00C01532">
        <w:rPr>
          <w:szCs w:val="20"/>
        </w:rPr>
        <w:t xml:space="preserve"> discusses the assumptions in more detail</w:t>
      </w:r>
      <w:r w:rsidR="006D7133">
        <w:rPr>
          <w:szCs w:val="20"/>
        </w:rPr>
        <w:t>, including</w:t>
      </w:r>
      <w:r w:rsidR="006D7133" w:rsidRPr="006D7133">
        <w:rPr>
          <w:szCs w:val="20"/>
        </w:rPr>
        <w:t xml:space="preserve"> </w:t>
      </w:r>
      <w:r w:rsidR="006D7133" w:rsidRPr="0049252C">
        <w:rPr>
          <w:szCs w:val="20"/>
        </w:rPr>
        <w:t>various combinations of the assumed parameters</w:t>
      </w:r>
      <w:r w:rsidR="00C01532">
        <w:rPr>
          <w:szCs w:val="20"/>
        </w:rPr>
        <w:t>.</w:t>
      </w:r>
    </w:p>
    <w:p w:rsidR="00D63097" w:rsidRPr="002F45F6" w:rsidRDefault="0078269A" w:rsidP="00B8270A">
      <w:pPr>
        <w:pStyle w:val="Heading2"/>
      </w:pPr>
      <w:bookmarkStart w:id="83" w:name="_Toc528571190"/>
      <w:r w:rsidRPr="002F45F6">
        <w:t>Scenario 3—</w:t>
      </w:r>
      <w:r w:rsidR="001B3ACB" w:rsidRPr="002F45F6">
        <w:t>“</w:t>
      </w:r>
      <w:r w:rsidR="001B3ACB" w:rsidRPr="0060060E">
        <w:t xml:space="preserve">Renewables </w:t>
      </w:r>
      <w:r w:rsidR="001B3ACB" w:rsidRPr="002F45F6">
        <w:t>Plus”</w:t>
      </w:r>
      <w:r w:rsidR="001D53F4">
        <w:t xml:space="preserve"> (also “Renew Plus”)</w:t>
      </w:r>
      <w:r w:rsidR="001B3ACB" w:rsidRPr="002F45F6">
        <w:t>—</w:t>
      </w:r>
      <w:r w:rsidRPr="002F45F6">
        <w:t>Generation Fleet Meet</w:t>
      </w:r>
      <w:r w:rsidR="00204FC1" w:rsidRPr="002F45F6">
        <w:t xml:space="preserve">s </w:t>
      </w:r>
      <w:r w:rsidRPr="002F45F6">
        <w:t>Existing RPS</w:t>
      </w:r>
      <w:r w:rsidR="00EA4DDA" w:rsidRPr="002F45F6">
        <w:t>s</w:t>
      </w:r>
      <w:r w:rsidR="006F0DB2" w:rsidRPr="002F45F6">
        <w:t>,</w:t>
      </w:r>
      <w:r w:rsidRPr="002F45F6">
        <w:t xml:space="preserve"> </w:t>
      </w:r>
      <w:r w:rsidR="00B55B30" w:rsidRPr="002F45F6">
        <w:t>and</w:t>
      </w:r>
      <w:r w:rsidRPr="002F45F6">
        <w:t xml:space="preserve"> </w:t>
      </w:r>
      <w:r w:rsidR="00925D80" w:rsidRPr="002F45F6">
        <w:t xml:space="preserve">Additional Renewable/Clean Energy Resources Are Used Above the Existing RPS </w:t>
      </w:r>
      <w:r w:rsidR="00042D88" w:rsidRPr="002F45F6">
        <w:t>T</w:t>
      </w:r>
      <w:r w:rsidR="00925D80" w:rsidRPr="002F45F6">
        <w:t>argets</w:t>
      </w:r>
      <w:bookmarkEnd w:id="83"/>
      <w:r w:rsidR="00925D80" w:rsidRPr="002F45F6">
        <w:t xml:space="preserve"> </w:t>
      </w:r>
    </w:p>
    <w:p w:rsidR="002E0948" w:rsidRDefault="00445221" w:rsidP="002E0948">
      <w:r w:rsidRPr="00445221">
        <w:t xml:space="preserve">Consistent with the 2016 </w:t>
      </w:r>
      <w:r w:rsidR="002048B7">
        <w:t>NEPOOL Scenario Analysis</w:t>
      </w:r>
      <w:r w:rsidRPr="00445221">
        <w:t xml:space="preserve">, </w:t>
      </w:r>
      <w:r w:rsidR="00921A36">
        <w:t xml:space="preserve">the basis for </w:t>
      </w:r>
      <w:r w:rsidRPr="00445221">
        <w:t xml:space="preserve">Scenario 3 </w:t>
      </w:r>
      <w:r w:rsidR="00921A36">
        <w:t xml:space="preserve">was </w:t>
      </w:r>
      <w:r w:rsidRPr="00445221">
        <w:t xml:space="preserve">the </w:t>
      </w:r>
      <w:r w:rsidR="00796C44">
        <w:t>mix</w:t>
      </w:r>
      <w:r w:rsidRPr="00445221">
        <w:t xml:space="preserve"> of generation</w:t>
      </w:r>
      <w:r w:rsidR="00796C44">
        <w:t xml:space="preserve"> resources</w:t>
      </w:r>
      <w:r w:rsidRPr="00445221">
        <w:t xml:space="preserve"> expected as of 2019/2020 and the gross demand and amounts of photovoltaic</w:t>
      </w:r>
      <w:r w:rsidR="0075245C">
        <w:t>s</w:t>
      </w:r>
      <w:r w:rsidRPr="00445221">
        <w:t xml:space="preserve"> and energy efficiency </w:t>
      </w:r>
      <w:r w:rsidR="00921A36">
        <w:t xml:space="preserve">reported in </w:t>
      </w:r>
      <w:r w:rsidRPr="00445221">
        <w:t xml:space="preserve">the ISO’s </w:t>
      </w:r>
      <w:r w:rsidRPr="001830DC">
        <w:rPr>
          <w:i/>
        </w:rPr>
        <w:t>2016 Report on Capacity, Energy, Load, and Transmission</w:t>
      </w:r>
      <w:r w:rsidRPr="0075245C">
        <w:t xml:space="preserve"> </w:t>
      </w:r>
      <w:r w:rsidRPr="00445221">
        <w:t>(2016 CELT Report)</w:t>
      </w:r>
      <w:r w:rsidR="00860D3B">
        <w:t xml:space="preserve">. </w:t>
      </w:r>
      <w:r w:rsidRPr="00445221">
        <w:t xml:space="preserve">Imports </w:t>
      </w:r>
      <w:r>
        <w:t xml:space="preserve">on existing ties </w:t>
      </w:r>
      <w:r w:rsidRPr="00445221">
        <w:t>were based on historical profiles</w:t>
      </w:r>
      <w:r w:rsidR="0075245C">
        <w:t>,</w:t>
      </w:r>
      <w:r w:rsidRPr="00445221">
        <w:t xml:space="preserve"> and all physical renewable/clean energy resources as of April 1, 2016—interconnected, under construction, or with “I.3.9” approval—were used to meet the RPS requirements.</w:t>
      </w:r>
      <w:r w:rsidR="00710E65" w:rsidRPr="00392602">
        <w:rPr>
          <w:rStyle w:val="FootnoteReference"/>
        </w:rPr>
        <w:footnoteReference w:id="25"/>
      </w:r>
      <w:r w:rsidR="00710E65" w:rsidRPr="00392602">
        <w:t xml:space="preserve"> </w:t>
      </w:r>
      <w:r w:rsidR="001A2220" w:rsidRPr="00924838">
        <w:t>S</w:t>
      </w:r>
      <w:r w:rsidR="00D63097" w:rsidRPr="00924838">
        <w:t>cenario</w:t>
      </w:r>
      <w:r w:rsidR="001A2220" w:rsidRPr="00924838">
        <w:t xml:space="preserve"> 3</w:t>
      </w:r>
      <w:r w:rsidR="00D63097" w:rsidRPr="00924838">
        <w:t xml:space="preserve">, </w:t>
      </w:r>
      <w:r>
        <w:t>however, add</w:t>
      </w:r>
      <w:r w:rsidR="00921A36">
        <w:t>ed</w:t>
      </w:r>
      <w:r>
        <w:t xml:space="preserve"> </w:t>
      </w:r>
      <w:r w:rsidR="00D63097" w:rsidRPr="00924838">
        <w:t xml:space="preserve">additional renewable/clean energy resources </w:t>
      </w:r>
      <w:r w:rsidR="00CD41A3" w:rsidRPr="00924838">
        <w:t xml:space="preserve">(i.e., </w:t>
      </w:r>
      <w:r w:rsidR="00567108" w:rsidRPr="00924838">
        <w:t xml:space="preserve">behind-the meter and utility-scale </w:t>
      </w:r>
      <w:r w:rsidR="00CD41A3" w:rsidRPr="00924838">
        <w:t xml:space="preserve">PV, EE, </w:t>
      </w:r>
      <w:r w:rsidR="004B5EE1" w:rsidRPr="00924838">
        <w:t xml:space="preserve">and </w:t>
      </w:r>
      <w:r w:rsidR="00CD41A3" w:rsidRPr="00924838">
        <w:t>wind, and hydro</w:t>
      </w:r>
      <w:r w:rsidR="0060060E" w:rsidRPr="00924838">
        <w:t>electric</w:t>
      </w:r>
      <w:r w:rsidR="004B5EE1" w:rsidRPr="00924838">
        <w:t xml:space="preserve"> imports</w:t>
      </w:r>
      <w:r w:rsidR="00CD41A3" w:rsidRPr="00924838">
        <w:t xml:space="preserve">) </w:t>
      </w:r>
      <w:r>
        <w:t>to</w:t>
      </w:r>
      <w:r w:rsidR="00C96B72" w:rsidRPr="00266284">
        <w:t xml:space="preserve"> replac</w:t>
      </w:r>
      <w:r>
        <w:t>e generation</w:t>
      </w:r>
      <w:r w:rsidR="00C96B72" w:rsidRPr="00266284">
        <w:t xml:space="preserve"> retirements</w:t>
      </w:r>
      <w:r>
        <w:t xml:space="preserve"> an</w:t>
      </w:r>
      <w:r w:rsidR="00C96B72" w:rsidRPr="00266284">
        <w:t>d provid</w:t>
      </w:r>
      <w:r>
        <w:t>e</w:t>
      </w:r>
      <w:r w:rsidR="00C96B72" w:rsidRPr="00266284">
        <w:t xml:space="preserve"> zero</w:t>
      </w:r>
      <w:r w:rsidR="00B5615D">
        <w:t>-</w:t>
      </w:r>
      <w:r w:rsidR="00C96B72" w:rsidRPr="00266284">
        <w:t>emitting energy</w:t>
      </w:r>
      <w:r w:rsidR="006F0DB2" w:rsidRPr="00266284">
        <w:t xml:space="preserve">. </w:t>
      </w:r>
      <w:r w:rsidR="0068777A" w:rsidRPr="0068777A">
        <w:t>The renewable resource locations were consistent with the ISO</w:t>
      </w:r>
      <w:r w:rsidR="00921A36">
        <w:t>’s</w:t>
      </w:r>
      <w:r w:rsidR="0068777A" w:rsidRPr="0068777A">
        <w:t xml:space="preserve"> </w:t>
      </w:r>
      <w:r w:rsidR="0068777A">
        <w:t xml:space="preserve">PV forecast and the </w:t>
      </w:r>
      <w:r w:rsidR="0068777A" w:rsidRPr="0068777A">
        <w:t xml:space="preserve">Interconnection </w:t>
      </w:r>
      <w:r w:rsidR="00921A36">
        <w:t xml:space="preserve">Request </w:t>
      </w:r>
      <w:r w:rsidR="0068777A" w:rsidRPr="0068777A">
        <w:t>Queue (the queue) as of April 1, 2016</w:t>
      </w:r>
      <w:r w:rsidR="00860D3B">
        <w:t xml:space="preserve">. </w:t>
      </w:r>
      <w:r w:rsidR="00C96B72" w:rsidRPr="00266284">
        <w:t>T</w:t>
      </w:r>
      <w:r w:rsidR="00CD41A3" w:rsidRPr="00266284">
        <w:t>his scenario</w:t>
      </w:r>
      <w:r w:rsidR="00C96B72" w:rsidRPr="00266284">
        <w:t xml:space="preserve"> also add</w:t>
      </w:r>
      <w:r w:rsidR="00921A36">
        <w:t>ed</w:t>
      </w:r>
      <w:r w:rsidR="00D63097" w:rsidRPr="00266284">
        <w:t xml:space="preserve"> </w:t>
      </w:r>
      <w:r w:rsidR="00EE28A4" w:rsidRPr="0060060E">
        <w:t xml:space="preserve">two new tie </w:t>
      </w:r>
      <w:r w:rsidR="00EE28A4" w:rsidRPr="006F2233">
        <w:t>lines</w:t>
      </w:r>
      <w:r w:rsidR="00266284" w:rsidRPr="006F2233">
        <w:t xml:space="preserve"> with capacity contracts</w:t>
      </w:r>
      <w:r w:rsidR="00C96B72" w:rsidRPr="006F2233">
        <w:t xml:space="preserve">, </w:t>
      </w:r>
      <w:r w:rsidR="00C96B72" w:rsidRPr="00924838">
        <w:t xml:space="preserve">plug-in </w:t>
      </w:r>
      <w:r w:rsidR="009D1738" w:rsidRPr="00924838">
        <w:t xml:space="preserve">hybrid </w:t>
      </w:r>
      <w:r w:rsidR="00C96B72" w:rsidRPr="00924838">
        <w:t>electric vehicles,</w:t>
      </w:r>
      <w:r w:rsidR="00C96B72" w:rsidRPr="006F2233">
        <w:t xml:space="preserve"> and battery energy systems</w:t>
      </w:r>
      <w:r w:rsidR="006F0DB2" w:rsidRPr="006F2233">
        <w:t>. The</w:t>
      </w:r>
      <w:r w:rsidR="00D63097" w:rsidRPr="00266284">
        <w:t xml:space="preserve"> </w:t>
      </w:r>
      <w:r w:rsidR="006F0DB2" w:rsidRPr="00266284">
        <w:t>r</w:t>
      </w:r>
      <w:r w:rsidR="00D63097" w:rsidRPr="00266284">
        <w:t>esource mix and demand differ markedly from historic</w:t>
      </w:r>
      <w:r w:rsidR="00D63097" w:rsidRPr="005B4D9E">
        <w:t xml:space="preserve"> trends</w:t>
      </w:r>
      <w:r w:rsidR="0060321B">
        <w:t>.</w:t>
      </w:r>
      <w:r w:rsidR="00D63097" w:rsidRPr="005B4D9E">
        <w:t xml:space="preserve"> </w:t>
      </w:r>
      <w:r w:rsidR="006E6925" w:rsidRPr="006E6925">
        <w:t xml:space="preserve">The amount of </w:t>
      </w:r>
      <w:r w:rsidR="006E6925">
        <w:t>resources added exceeded</w:t>
      </w:r>
      <w:r w:rsidR="006E6925" w:rsidRPr="006E6925">
        <w:t xml:space="preserve"> </w:t>
      </w:r>
      <w:r w:rsidR="006E6925">
        <w:t xml:space="preserve">the assumed </w:t>
      </w:r>
      <w:r w:rsidR="00921A36">
        <w:t>n</w:t>
      </w:r>
      <w:r w:rsidR="006D7133">
        <w:t xml:space="preserve">et </w:t>
      </w:r>
      <w:r w:rsidR="006E6925" w:rsidRPr="006E6925">
        <w:t>I</w:t>
      </w:r>
      <w:r w:rsidR="006D7133">
        <w:t xml:space="preserve">nstalled </w:t>
      </w:r>
      <w:r w:rsidR="006E6925" w:rsidRPr="006E6925">
        <w:t>C</w:t>
      </w:r>
      <w:r w:rsidR="006D7133">
        <w:t xml:space="preserve">apacity </w:t>
      </w:r>
      <w:r w:rsidR="006E6925" w:rsidRPr="006E6925">
        <w:t>R</w:t>
      </w:r>
      <w:r w:rsidR="006D7133">
        <w:t>equirement (NICR)</w:t>
      </w:r>
      <w:r w:rsidR="006E6925" w:rsidRPr="006E6925">
        <w:t>.</w:t>
      </w:r>
    </w:p>
    <w:p w:rsidR="002E0948" w:rsidRDefault="002E0948" w:rsidP="00B8270A">
      <w:pPr>
        <w:pStyle w:val="Heading2"/>
      </w:pPr>
      <w:bookmarkStart w:id="84" w:name="_Toc528571191"/>
      <w:r>
        <w:t>Scenario A</w:t>
      </w:r>
      <w:r w:rsidR="00C46987" w:rsidRPr="002F45F6">
        <w:t>—</w:t>
      </w:r>
      <w:r>
        <w:t>“EE + Offshore”</w:t>
      </w:r>
      <w:r w:rsidR="00C46987" w:rsidRPr="002F45F6">
        <w:t>—</w:t>
      </w:r>
      <w:r w:rsidR="00E74520">
        <w:t>C</w:t>
      </w:r>
      <w:r>
        <w:t xml:space="preserve">hange in </w:t>
      </w:r>
      <w:r w:rsidR="00E74520">
        <w:t>M</w:t>
      </w:r>
      <w:r>
        <w:t xml:space="preserve">ix of </w:t>
      </w:r>
      <w:r w:rsidR="00E74520">
        <w:t>N</w:t>
      </w:r>
      <w:r>
        <w:t xml:space="preserve">ew </w:t>
      </w:r>
      <w:r w:rsidR="00E74520">
        <w:t>R</w:t>
      </w:r>
      <w:r>
        <w:t>enewable/</w:t>
      </w:r>
      <w:r w:rsidR="00E74520">
        <w:t>C</w:t>
      </w:r>
      <w:r>
        <w:t xml:space="preserve">lean </w:t>
      </w:r>
      <w:r w:rsidR="00E74520">
        <w:t>E</w:t>
      </w:r>
      <w:r>
        <w:t xml:space="preserve">nergy </w:t>
      </w:r>
      <w:r w:rsidR="00E74520">
        <w:t>R</w:t>
      </w:r>
      <w:r>
        <w:t xml:space="preserve">esources, with </w:t>
      </w:r>
      <w:r w:rsidR="00E74520">
        <w:t>E</w:t>
      </w:r>
      <w:r>
        <w:t xml:space="preserve">mphasis on </w:t>
      </w:r>
      <w:r w:rsidR="00E74520">
        <w:t>E</w:t>
      </w:r>
      <w:r>
        <w:t xml:space="preserve">nergy </w:t>
      </w:r>
      <w:r w:rsidR="00E74520">
        <w:t>E</w:t>
      </w:r>
      <w:r>
        <w:t xml:space="preserve">fficiency and </w:t>
      </w:r>
      <w:r w:rsidR="00E74520">
        <w:t>O</w:t>
      </w:r>
      <w:r>
        <w:t>ff</w:t>
      </w:r>
      <w:r w:rsidR="00C46987">
        <w:t>s</w:t>
      </w:r>
      <w:r>
        <w:t xml:space="preserve">hore </w:t>
      </w:r>
      <w:r w:rsidR="00E74520">
        <w:t>W</w:t>
      </w:r>
      <w:r>
        <w:t>ind</w:t>
      </w:r>
      <w:bookmarkEnd w:id="84"/>
    </w:p>
    <w:p w:rsidR="00E74520" w:rsidRPr="00E74520" w:rsidRDefault="00504AB5" w:rsidP="00E74520">
      <w:r>
        <w:t>Scenario A increases the amounts of EE and offshore wind but reduces the amount</w:t>
      </w:r>
      <w:r w:rsidR="00F05A28">
        <w:t>s</w:t>
      </w:r>
      <w:r>
        <w:t xml:space="preserve"> of </w:t>
      </w:r>
      <w:r w:rsidR="00F05A28">
        <w:t xml:space="preserve">onshore wind and </w:t>
      </w:r>
      <w:r>
        <w:t xml:space="preserve">new imports from Canada. </w:t>
      </w:r>
      <w:r w:rsidR="00F05A28">
        <w:t xml:space="preserve">The scenario trades off equal amounts of BTM PV with </w:t>
      </w:r>
      <w:r w:rsidR="00921A36">
        <w:t>u</w:t>
      </w:r>
      <w:r w:rsidR="00F05A28">
        <w:t>tility PV.</w:t>
      </w:r>
      <w:r>
        <w:t xml:space="preserve"> </w:t>
      </w:r>
    </w:p>
    <w:p w:rsidR="00E74520" w:rsidRDefault="00E74520" w:rsidP="00B8270A">
      <w:pPr>
        <w:pStyle w:val="Heading2"/>
      </w:pPr>
      <w:bookmarkStart w:id="85" w:name="_Toc528571192"/>
      <w:r w:rsidRPr="00E74520">
        <w:t>Scenario B—“Onshore Less EE/PV”</w:t>
      </w:r>
      <w:r w:rsidR="00C46987" w:rsidRPr="002F45F6">
        <w:t>—</w:t>
      </w:r>
      <w:r>
        <w:t>C</w:t>
      </w:r>
      <w:r w:rsidRPr="00E74520">
        <w:t xml:space="preserve">hange in </w:t>
      </w:r>
      <w:r>
        <w:t>M</w:t>
      </w:r>
      <w:r w:rsidRPr="00E74520">
        <w:t xml:space="preserve">ix of </w:t>
      </w:r>
      <w:r>
        <w:t>N</w:t>
      </w:r>
      <w:r w:rsidRPr="00E74520">
        <w:t xml:space="preserve">ew </w:t>
      </w:r>
      <w:r>
        <w:t>R</w:t>
      </w:r>
      <w:r w:rsidRPr="00E74520">
        <w:t>enewable/</w:t>
      </w:r>
      <w:r>
        <w:t>C</w:t>
      </w:r>
      <w:r w:rsidRPr="00E74520">
        <w:t xml:space="preserve">lean </w:t>
      </w:r>
      <w:r>
        <w:t>E</w:t>
      </w:r>
      <w:r w:rsidRPr="00E74520">
        <w:t xml:space="preserve">nergy </w:t>
      </w:r>
      <w:r>
        <w:t>R</w:t>
      </w:r>
      <w:r w:rsidRPr="00E74520">
        <w:t xml:space="preserve">esources, with </w:t>
      </w:r>
      <w:r>
        <w:t>E</w:t>
      </w:r>
      <w:r w:rsidRPr="00E74520">
        <w:t xml:space="preserve">mphasis on </w:t>
      </w:r>
      <w:r>
        <w:t>O</w:t>
      </w:r>
      <w:r w:rsidRPr="00E74520">
        <w:t>n</w:t>
      </w:r>
      <w:r w:rsidR="00C46987">
        <w:t>s</w:t>
      </w:r>
      <w:r w:rsidRPr="00E74520">
        <w:t xml:space="preserve">hore </w:t>
      </w:r>
      <w:r>
        <w:t>W</w:t>
      </w:r>
      <w:r w:rsidRPr="00E74520">
        <w:t>ind</w:t>
      </w:r>
      <w:bookmarkEnd w:id="85"/>
    </w:p>
    <w:p w:rsidR="00F05A28" w:rsidRPr="00F05A28" w:rsidRDefault="00710E65" w:rsidP="00F05A28">
      <w:r>
        <w:t xml:space="preserve">Scenario B reduces the amounts of EE, BTM and </w:t>
      </w:r>
      <w:r w:rsidR="00C46987">
        <w:t>u</w:t>
      </w:r>
      <w:r>
        <w:t>tility</w:t>
      </w:r>
      <w:r w:rsidR="00691755">
        <w:t xml:space="preserve"> </w:t>
      </w:r>
      <w:r>
        <w:t xml:space="preserve">PV, </w:t>
      </w:r>
      <w:r w:rsidR="00C46987">
        <w:t>a</w:t>
      </w:r>
      <w:r>
        <w:t xml:space="preserve">ctive </w:t>
      </w:r>
      <w:r w:rsidR="00C46987">
        <w:t>demand resources</w:t>
      </w:r>
      <w:r>
        <w:t>, battery storage, PHEV, and imports from Canada. The scenario, however, adds 2</w:t>
      </w:r>
      <w:r w:rsidR="009270CA">
        <w:t>,</w:t>
      </w:r>
      <w:r w:rsidR="00F57AA9">
        <w:t>2</w:t>
      </w:r>
      <w:r>
        <w:t xml:space="preserve">00 </w:t>
      </w:r>
      <w:r w:rsidR="000C69F3">
        <w:t>megawatts (</w:t>
      </w:r>
      <w:r>
        <w:t>MW</w:t>
      </w:r>
      <w:r w:rsidR="000C69F3">
        <w:t>)</w:t>
      </w:r>
      <w:r>
        <w:t xml:space="preserve"> of onshore wind. </w:t>
      </w:r>
    </w:p>
    <w:p w:rsidR="00E74520" w:rsidRDefault="00E74520" w:rsidP="00B8270A">
      <w:pPr>
        <w:pStyle w:val="Heading2"/>
      </w:pPr>
      <w:bookmarkStart w:id="86" w:name="_Toc528571193"/>
      <w:r w:rsidRPr="00E74520">
        <w:t>Scenario C—“</w:t>
      </w:r>
      <w:r w:rsidR="00AF6389">
        <w:t>Wind Less Nuclear</w:t>
      </w:r>
      <w:r w:rsidRPr="00E74520">
        <w:t>”</w:t>
      </w:r>
      <w:r w:rsidR="00C46987" w:rsidRPr="002F45F6">
        <w:t>—</w:t>
      </w:r>
      <w:r>
        <w:t>R</w:t>
      </w:r>
      <w:r w:rsidRPr="00E74520">
        <w:t xml:space="preserve">eplacement of </w:t>
      </w:r>
      <w:r>
        <w:t>S</w:t>
      </w:r>
      <w:r w:rsidRPr="00E74520">
        <w:t xml:space="preserve">ome of the </w:t>
      </w:r>
      <w:r w:rsidRPr="00C46987">
        <w:t>Base</w:t>
      </w:r>
      <w:r w:rsidR="00B87970" w:rsidRPr="00C46987">
        <w:t>l</w:t>
      </w:r>
      <w:r w:rsidRPr="00C46987">
        <w:t>oad</w:t>
      </w:r>
      <w:r w:rsidRPr="00E74520">
        <w:t xml:space="preserve"> </w:t>
      </w:r>
      <w:r>
        <w:t>N</w:t>
      </w:r>
      <w:r w:rsidRPr="00E74520">
        <w:t xml:space="preserve">uclear </w:t>
      </w:r>
      <w:r>
        <w:t>G</w:t>
      </w:r>
      <w:r w:rsidRPr="00E74520">
        <w:t xml:space="preserve">eneration with </w:t>
      </w:r>
      <w:r>
        <w:t>R</w:t>
      </w:r>
      <w:r w:rsidRPr="00E74520">
        <w:t>enewable/</w:t>
      </w:r>
      <w:r>
        <w:t>Cl</w:t>
      </w:r>
      <w:r w:rsidR="00C46987">
        <w:t>e</w:t>
      </w:r>
      <w:r w:rsidRPr="00E74520">
        <w:t xml:space="preserve">an </w:t>
      </w:r>
      <w:r>
        <w:t>En</w:t>
      </w:r>
      <w:r w:rsidRPr="00E74520">
        <w:t xml:space="preserve">ergy </w:t>
      </w:r>
      <w:r>
        <w:t>R</w:t>
      </w:r>
      <w:r w:rsidRPr="00E74520">
        <w:t>esources</w:t>
      </w:r>
      <w:bookmarkEnd w:id="86"/>
    </w:p>
    <w:p w:rsidR="00710E65" w:rsidRPr="00710E65" w:rsidRDefault="00710E65" w:rsidP="00710E65">
      <w:r>
        <w:t>Scenario C retires 2,122 MW of nuclear generation</w:t>
      </w:r>
      <w:r w:rsidR="00860D3B">
        <w:t xml:space="preserve">. </w:t>
      </w:r>
      <w:r>
        <w:t xml:space="preserve">Onshore wind is added to make up for </w:t>
      </w:r>
      <w:r w:rsidR="00C46987">
        <w:t>two-thirds</w:t>
      </w:r>
      <w:r w:rsidR="006B6288">
        <w:t xml:space="preserve"> of the lost energy production</w:t>
      </w:r>
      <w:r w:rsidR="00C46987">
        <w:t>,</w:t>
      </w:r>
      <w:r w:rsidR="006B6288">
        <w:t xml:space="preserve"> </w:t>
      </w:r>
      <w:r w:rsidR="00C46987">
        <w:t xml:space="preserve">with additional offshore wind generators providing </w:t>
      </w:r>
      <w:r w:rsidR="006B6288">
        <w:t xml:space="preserve">the remaining </w:t>
      </w:r>
      <w:r w:rsidR="00C46987">
        <w:t>one-third</w:t>
      </w:r>
      <w:r w:rsidR="00860D3B">
        <w:t xml:space="preserve">. </w:t>
      </w:r>
    </w:p>
    <w:p w:rsidR="00044B8A" w:rsidRDefault="00D41FBC" w:rsidP="00B8270A">
      <w:pPr>
        <w:pStyle w:val="Heading2"/>
      </w:pPr>
      <w:bookmarkStart w:id="87" w:name="_Toc165018187"/>
      <w:bookmarkStart w:id="88" w:name="_Toc173682264"/>
      <w:bookmarkStart w:id="89" w:name="_Toc528571194"/>
      <w:r>
        <w:t xml:space="preserve">Overview of </w:t>
      </w:r>
      <w:r w:rsidR="006253E7">
        <w:t xml:space="preserve">Scenario </w:t>
      </w:r>
      <w:r>
        <w:t>Parameters</w:t>
      </w:r>
      <w:bookmarkEnd w:id="89"/>
    </w:p>
    <w:p w:rsidR="006253E7" w:rsidRDefault="00F57AA9" w:rsidP="006253E7">
      <w:r>
        <w:rPr>
          <w:szCs w:val="20"/>
        </w:rPr>
        <w:t>Table 3-1</w:t>
      </w:r>
      <w:r w:rsidR="00567108">
        <w:rPr>
          <w:szCs w:val="20"/>
        </w:rPr>
        <w:t xml:space="preserve"> </w:t>
      </w:r>
      <w:r w:rsidR="006253E7" w:rsidRPr="006B2D49">
        <w:rPr>
          <w:szCs w:val="20"/>
        </w:rPr>
        <w:t xml:space="preserve">provides an overview of the </w:t>
      </w:r>
      <w:r w:rsidR="006253E7" w:rsidRPr="00EF60FA">
        <w:rPr>
          <w:szCs w:val="20"/>
        </w:rPr>
        <w:t xml:space="preserve">main </w:t>
      </w:r>
      <w:r w:rsidR="0063026C">
        <w:rPr>
          <w:szCs w:val="20"/>
        </w:rPr>
        <w:t>parameter</w:t>
      </w:r>
      <w:r w:rsidR="006B6288">
        <w:rPr>
          <w:szCs w:val="20"/>
        </w:rPr>
        <w:t xml:space="preserve"> changes from Scenario 3</w:t>
      </w:r>
      <w:r w:rsidR="0063026C">
        <w:rPr>
          <w:szCs w:val="20"/>
        </w:rPr>
        <w:t xml:space="preserve"> </w:t>
      </w:r>
      <w:r w:rsidR="006253E7" w:rsidRPr="006B2D49">
        <w:rPr>
          <w:szCs w:val="20"/>
        </w:rPr>
        <w:t>used in the simulations for retirements, load, resource capacity, and external ties and transfer limits.</w:t>
      </w:r>
      <w:r w:rsidR="006B6288">
        <w:rPr>
          <w:szCs w:val="20"/>
        </w:rPr>
        <w:t xml:space="preserve"> Table 3-2 provides the nameplate values of the resource mix</w:t>
      </w:r>
      <w:r w:rsidR="00860D3B">
        <w:rPr>
          <w:szCs w:val="20"/>
        </w:rPr>
        <w:t xml:space="preserve">. </w:t>
      </w:r>
      <w:r w:rsidR="000357EE">
        <w:fldChar w:fldCharType="begin"/>
      </w:r>
      <w:r w:rsidR="000357EE">
        <w:instrText xml:space="preserve"> REF _Ref477520325 \r \h </w:instrText>
      </w:r>
      <w:r w:rsidR="000357EE">
        <w:fldChar w:fldCharType="separate"/>
      </w:r>
      <w:r w:rsidR="00872A95">
        <w:t>Section 5</w:t>
      </w:r>
      <w:r w:rsidR="000357EE">
        <w:fldChar w:fldCharType="end"/>
      </w:r>
      <w:r w:rsidR="000357EE">
        <w:t xml:space="preserve"> describes the assumptions used in greater detail.</w:t>
      </w:r>
    </w:p>
    <w:p w:rsidR="00BC0509" w:rsidRDefault="00BC0509" w:rsidP="006253E7"/>
    <w:p w:rsidR="00BC0509" w:rsidRDefault="00BC0509" w:rsidP="006253E7">
      <w:pPr>
        <w:sectPr w:rsidR="00BC0509" w:rsidSect="00E17AAE">
          <w:footerReference w:type="default" r:id="rId23"/>
          <w:pgSz w:w="12240" w:h="15840" w:code="1"/>
          <w:pgMar w:top="1440" w:right="1440" w:bottom="1440" w:left="1440" w:header="720" w:footer="720" w:gutter="0"/>
          <w:cols w:space="720"/>
          <w:docGrid w:linePitch="360"/>
        </w:sectPr>
      </w:pPr>
    </w:p>
    <w:p w:rsidR="00C46987" w:rsidRPr="001830DC" w:rsidRDefault="00C46987" w:rsidP="00077B46">
      <w:pPr>
        <w:spacing w:after="120" w:line="240" w:lineRule="auto"/>
        <w:jc w:val="center"/>
        <w:rPr>
          <w:rFonts w:asciiTheme="minorHAnsi" w:hAnsiTheme="minorHAnsi"/>
        </w:rPr>
      </w:pPr>
      <w:r w:rsidRPr="001830DC">
        <w:rPr>
          <w:rFonts w:asciiTheme="minorHAnsi" w:hAnsiTheme="minorHAnsi"/>
          <w:b/>
        </w:rPr>
        <w:t>Table 3-1</w:t>
      </w:r>
      <w:r w:rsidRPr="001830DC">
        <w:rPr>
          <w:rFonts w:asciiTheme="minorHAnsi" w:hAnsiTheme="minorHAnsi"/>
          <w:b/>
        </w:rPr>
        <w:br/>
        <w:t>Assumed Changes in Net Demand and Resources from the Renew Plus Scenario for the</w:t>
      </w:r>
      <w:r w:rsidRPr="001830DC">
        <w:rPr>
          <w:rFonts w:asciiTheme="minorHAnsi" w:hAnsiTheme="minorHAnsi"/>
          <w:b/>
        </w:rPr>
        <w:br/>
        <w:t xml:space="preserve">EE + Offshore, Onshore Less EE/PV, and </w:t>
      </w:r>
      <w:r w:rsidR="00AF6389">
        <w:rPr>
          <w:rFonts w:asciiTheme="minorHAnsi" w:hAnsiTheme="minorHAnsi"/>
          <w:b/>
        </w:rPr>
        <w:t>Wind Less Nuclear</w:t>
      </w:r>
      <w:r w:rsidRPr="001830DC">
        <w:rPr>
          <w:rFonts w:asciiTheme="minorHAnsi" w:hAnsiTheme="minorHAnsi"/>
          <w:b/>
        </w:rPr>
        <w:t xml:space="preserve"> Scenarios (MW increases and reductions)</w:t>
      </w:r>
    </w:p>
    <w:tbl>
      <w:tblPr>
        <w:tblW w:w="14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1529"/>
        <w:gridCol w:w="981"/>
        <w:gridCol w:w="1350"/>
        <w:gridCol w:w="1350"/>
        <w:gridCol w:w="1340"/>
        <w:gridCol w:w="1184"/>
        <w:gridCol w:w="1076"/>
        <w:gridCol w:w="1211"/>
        <w:gridCol w:w="1172"/>
        <w:gridCol w:w="947"/>
        <w:gridCol w:w="900"/>
        <w:gridCol w:w="1080"/>
      </w:tblGrid>
      <w:tr w:rsidR="002F4604" w:rsidRPr="0084330D" w:rsidTr="00904178">
        <w:trPr>
          <w:trHeight w:val="1044"/>
          <w:jc w:val="center"/>
        </w:trPr>
        <w:tc>
          <w:tcPr>
            <w:tcW w:w="1529"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hAnsiTheme="minorHAnsi" w:cs="Arial"/>
                <w:b/>
                <w:bCs/>
                <w:color w:val="FFFFFF" w:themeColor="background1"/>
                <w:kern w:val="24"/>
                <w:sz w:val="16"/>
                <w:szCs w:val="16"/>
              </w:rPr>
              <w:t>Year 2030</w:t>
            </w:r>
          </w:p>
        </w:tc>
        <w:tc>
          <w:tcPr>
            <w:tcW w:w="981"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Gross Demand</w:t>
            </w:r>
          </w:p>
        </w:tc>
        <w:tc>
          <w:tcPr>
            <w:tcW w:w="1350"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Energy Efficiency</w:t>
            </w:r>
          </w:p>
        </w:tc>
        <w:tc>
          <w:tcPr>
            <w:tcW w:w="1350"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327F16">
              <w:rPr>
                <w:rFonts w:asciiTheme="minorHAnsi" w:eastAsiaTheme="minorEastAsia" w:hAnsiTheme="minorHAnsi" w:cstheme="minorBidi"/>
                <w:b/>
                <w:bCs/>
                <w:color w:val="FFFFFF" w:themeColor="background1"/>
                <w:kern w:val="24"/>
                <w:sz w:val="16"/>
                <w:szCs w:val="16"/>
              </w:rPr>
              <w:t>Behind-the-</w:t>
            </w:r>
            <w:r w:rsidRPr="00F63A90">
              <w:rPr>
                <w:rFonts w:asciiTheme="minorHAnsi" w:eastAsiaTheme="minorEastAsia" w:hAnsiTheme="minorHAnsi" w:cstheme="minorBidi"/>
                <w:b/>
                <w:bCs/>
                <w:color w:val="FFFFFF" w:themeColor="background1"/>
                <w:kern w:val="24"/>
                <w:sz w:val="16"/>
                <w:szCs w:val="16"/>
              </w:rPr>
              <w:t>Meter PV (Nameplate)</w:t>
            </w:r>
          </w:p>
        </w:tc>
        <w:tc>
          <w:tcPr>
            <w:tcW w:w="1340"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Utility PV (Nameplate)</w:t>
            </w:r>
          </w:p>
        </w:tc>
        <w:tc>
          <w:tcPr>
            <w:tcW w:w="1184"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Demand Resources</w:t>
            </w:r>
          </w:p>
        </w:tc>
        <w:tc>
          <w:tcPr>
            <w:tcW w:w="1076"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Retirements</w:t>
            </w:r>
          </w:p>
        </w:tc>
        <w:tc>
          <w:tcPr>
            <w:tcW w:w="1211" w:type="dxa"/>
            <w:shd w:val="clear" w:color="auto" w:fill="1795D2" w:themeFill="accent1"/>
            <w:tcMar>
              <w:top w:w="58" w:type="dxa"/>
              <w:left w:w="58" w:type="dxa"/>
              <w:bottom w:w="58" w:type="dxa"/>
              <w:right w:w="58" w:type="dxa"/>
            </w:tcMar>
            <w:vAlign w:val="center"/>
            <w:hideMark/>
          </w:tcPr>
          <w:p w:rsidR="002F4604" w:rsidRPr="00327F16"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327F16">
              <w:rPr>
                <w:rFonts w:asciiTheme="minorHAnsi" w:eastAsiaTheme="minorEastAsia" w:hAnsiTheme="minorHAnsi" w:cstheme="minorBidi"/>
                <w:b/>
                <w:bCs/>
                <w:color w:val="FFFFFF" w:themeColor="background1"/>
                <w:kern w:val="24"/>
                <w:sz w:val="16"/>
                <w:szCs w:val="16"/>
              </w:rPr>
              <w:t xml:space="preserve">Onshore </w:t>
            </w:r>
          </w:p>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Wind</w:t>
            </w:r>
          </w:p>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(Nameplate)</w:t>
            </w:r>
          </w:p>
        </w:tc>
        <w:tc>
          <w:tcPr>
            <w:tcW w:w="1172"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327F16">
              <w:rPr>
                <w:rFonts w:asciiTheme="minorHAnsi" w:eastAsiaTheme="minorEastAsia" w:hAnsiTheme="minorHAnsi" w:cstheme="minorBidi"/>
                <w:b/>
                <w:bCs/>
                <w:color w:val="FFFFFF" w:themeColor="background1"/>
                <w:kern w:val="24"/>
                <w:sz w:val="16"/>
                <w:szCs w:val="16"/>
              </w:rPr>
              <w:t xml:space="preserve">Offshore </w:t>
            </w:r>
            <w:r w:rsidRPr="00F63A90">
              <w:rPr>
                <w:rFonts w:asciiTheme="minorHAnsi" w:eastAsiaTheme="minorEastAsia" w:hAnsiTheme="minorHAnsi" w:cstheme="minorBidi"/>
                <w:b/>
                <w:bCs/>
                <w:color w:val="FFFFFF" w:themeColor="background1"/>
                <w:kern w:val="24"/>
                <w:sz w:val="16"/>
                <w:szCs w:val="16"/>
              </w:rPr>
              <w:t>Wind (Nameplate)</w:t>
            </w:r>
          </w:p>
        </w:tc>
        <w:tc>
          <w:tcPr>
            <w:tcW w:w="947"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F63A90">
              <w:rPr>
                <w:rFonts w:asciiTheme="minorHAnsi" w:eastAsiaTheme="minorEastAsia" w:hAnsiTheme="minorHAnsi" w:cstheme="minorBidi"/>
                <w:b/>
                <w:bCs/>
                <w:color w:val="FFFFFF" w:themeColor="background1"/>
                <w:kern w:val="24"/>
                <w:sz w:val="16"/>
                <w:szCs w:val="16"/>
              </w:rPr>
              <w:t>Battery Storage</w:t>
            </w:r>
          </w:p>
        </w:tc>
        <w:tc>
          <w:tcPr>
            <w:tcW w:w="900"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327F16">
              <w:rPr>
                <w:rFonts w:asciiTheme="minorHAnsi" w:eastAsiaTheme="minorEastAsia" w:hAnsiTheme="minorHAnsi" w:cstheme="minorBidi"/>
                <w:b/>
                <w:bCs/>
                <w:color w:val="FFFFFF" w:themeColor="background1"/>
                <w:kern w:val="24"/>
                <w:sz w:val="16"/>
                <w:szCs w:val="16"/>
              </w:rPr>
              <w:t>Plug-In Hybrid Electric Vehicles</w:t>
            </w:r>
          </w:p>
        </w:tc>
        <w:tc>
          <w:tcPr>
            <w:tcW w:w="1080" w:type="dxa"/>
            <w:shd w:val="clear" w:color="auto" w:fill="1795D2" w:themeFill="accent1"/>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color w:val="FFFFFF" w:themeColor="background1"/>
                <w:sz w:val="16"/>
                <w:szCs w:val="16"/>
              </w:rPr>
            </w:pPr>
            <w:r w:rsidRPr="00327F16">
              <w:rPr>
                <w:rFonts w:asciiTheme="minorHAnsi" w:eastAsiaTheme="minorEastAsia" w:hAnsiTheme="minorHAnsi" w:cstheme="minorBidi"/>
                <w:b/>
                <w:bCs/>
                <w:color w:val="FFFFFF" w:themeColor="background1"/>
                <w:kern w:val="24"/>
                <w:sz w:val="16"/>
                <w:szCs w:val="16"/>
              </w:rPr>
              <w:t>Add. Imports from Hydro-Québec (HQ) and New Brunswick (NB)</w:t>
            </w:r>
          </w:p>
        </w:tc>
      </w:tr>
      <w:tr w:rsidR="002F4604" w:rsidRPr="0084330D" w:rsidTr="005D493A">
        <w:trPr>
          <w:trHeight w:val="1228"/>
          <w:jc w:val="center"/>
        </w:trPr>
        <w:tc>
          <w:tcPr>
            <w:tcW w:w="1529"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b/>
                <w:bCs/>
                <w:color w:val="000000"/>
                <w:kern w:val="24"/>
                <w:sz w:val="16"/>
                <w:szCs w:val="16"/>
              </w:rPr>
            </w:pPr>
            <w:r w:rsidRPr="00F63A90">
              <w:rPr>
                <w:rFonts w:asciiTheme="minorHAnsi" w:hAnsiTheme="minorHAnsi" w:cs="Arial"/>
                <w:b/>
                <w:bCs/>
                <w:color w:val="000000"/>
                <w:kern w:val="24"/>
                <w:sz w:val="16"/>
                <w:szCs w:val="16"/>
              </w:rPr>
              <w:t>2016 Scenario 3</w:t>
            </w:r>
          </w:p>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b/>
                <w:bCs/>
                <w:color w:val="000000"/>
                <w:kern w:val="24"/>
                <w:sz w:val="16"/>
                <w:szCs w:val="16"/>
              </w:rPr>
              <w:t>Renew Plus</w:t>
            </w:r>
          </w:p>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847291">
              <w:rPr>
                <w:rFonts w:asciiTheme="minorHAnsi" w:hAnsiTheme="minorHAnsi" w:cs="Arial"/>
                <w:b/>
                <w:bCs/>
                <w:kern w:val="24"/>
                <w:sz w:val="16"/>
                <w:szCs w:val="16"/>
              </w:rPr>
              <w:t>(Reference)</w:t>
            </w:r>
          </w:p>
        </w:tc>
        <w:tc>
          <w:tcPr>
            <w:tcW w:w="981"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 xml:space="preserve">Based on 2016 CELT </w:t>
            </w:r>
            <w:r w:rsidRPr="002150AB">
              <w:rPr>
                <w:rFonts w:asciiTheme="minorHAnsi" w:hAnsiTheme="minorHAnsi" w:cs="Arial"/>
                <w:kern w:val="24"/>
                <w:sz w:val="16"/>
                <w:szCs w:val="16"/>
              </w:rPr>
              <w:t>Forecast</w:t>
            </w:r>
            <w:r>
              <w:rPr>
                <w:rFonts w:asciiTheme="minorHAnsi" w:hAnsiTheme="minorHAnsi" w:cs="Arial"/>
                <w:kern w:val="24"/>
                <w:sz w:val="16"/>
                <w:szCs w:val="16"/>
              </w:rPr>
              <w:br/>
            </w:r>
            <w:r w:rsidRPr="002150AB">
              <w:rPr>
                <w:rFonts w:asciiTheme="minorHAnsi" w:hAnsiTheme="minorHAnsi" w:cs="Arial"/>
                <w:kern w:val="24"/>
                <w:sz w:val="16"/>
                <w:szCs w:val="16"/>
              </w:rPr>
              <w:t>33,343 MW</w:t>
            </w:r>
          </w:p>
        </w:tc>
        <w:tc>
          <w:tcPr>
            <w:tcW w:w="1350"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7,009 MW</w:t>
            </w:r>
          </w:p>
        </w:tc>
        <w:tc>
          <w:tcPr>
            <w:tcW w:w="1350"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6,000 MW</w:t>
            </w:r>
          </w:p>
        </w:tc>
        <w:tc>
          <w:tcPr>
            <w:tcW w:w="1340"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6,000 MW</w:t>
            </w:r>
          </w:p>
        </w:tc>
        <w:tc>
          <w:tcPr>
            <w:tcW w:w="1184"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FCA #10</w:t>
            </w:r>
            <w:r>
              <w:rPr>
                <w:rFonts w:asciiTheme="minorHAnsi" w:hAnsiTheme="minorHAnsi" w:cs="Arial"/>
                <w:kern w:val="24"/>
                <w:sz w:val="16"/>
                <w:szCs w:val="16"/>
              </w:rPr>
              <w:t>, e</w:t>
            </w:r>
            <w:r w:rsidRPr="00F63A90">
              <w:rPr>
                <w:rFonts w:asciiTheme="minorHAnsi" w:hAnsiTheme="minorHAnsi" w:cs="Arial"/>
                <w:kern w:val="24"/>
                <w:sz w:val="16"/>
                <w:szCs w:val="16"/>
              </w:rPr>
              <w:t>xcl. real-time emergency generation (RTEG)</w:t>
            </w:r>
            <w:r>
              <w:rPr>
                <w:rFonts w:asciiTheme="minorHAnsi" w:hAnsiTheme="minorHAnsi" w:cs="Arial"/>
                <w:kern w:val="24"/>
                <w:sz w:val="16"/>
                <w:szCs w:val="16"/>
              </w:rPr>
              <w:t>;</w:t>
            </w:r>
            <w:r w:rsidRPr="00F63A90">
              <w:rPr>
                <w:rFonts w:asciiTheme="minorHAnsi" w:hAnsiTheme="minorHAnsi" w:cs="Arial"/>
                <w:kern w:val="24"/>
                <w:sz w:val="16"/>
                <w:szCs w:val="16"/>
              </w:rPr>
              <w:br/>
            </w:r>
            <w:r>
              <w:rPr>
                <w:rFonts w:asciiTheme="minorHAnsi" w:hAnsiTheme="minorHAnsi" w:cs="Arial"/>
                <w:kern w:val="24"/>
                <w:sz w:val="16"/>
                <w:szCs w:val="16"/>
              </w:rPr>
              <w:t>a</w:t>
            </w:r>
            <w:r w:rsidRPr="002150AB">
              <w:rPr>
                <w:rFonts w:asciiTheme="minorHAnsi" w:hAnsiTheme="minorHAnsi" w:cs="Arial"/>
                <w:kern w:val="24"/>
                <w:sz w:val="16"/>
                <w:szCs w:val="16"/>
              </w:rPr>
              <w:t>dd</w:t>
            </w:r>
            <w:r>
              <w:rPr>
                <w:rFonts w:asciiTheme="minorHAnsi" w:hAnsiTheme="minorHAnsi" w:cs="Arial"/>
                <w:kern w:val="24"/>
                <w:sz w:val="16"/>
                <w:szCs w:val="16"/>
              </w:rPr>
              <w:t>ed</w:t>
            </w:r>
            <w:r>
              <w:rPr>
                <w:rFonts w:asciiTheme="minorHAnsi" w:hAnsiTheme="minorHAnsi" w:cs="Arial"/>
                <w:kern w:val="24"/>
                <w:sz w:val="16"/>
                <w:szCs w:val="16"/>
              </w:rPr>
              <w:br/>
            </w:r>
            <w:r w:rsidRPr="002150AB">
              <w:rPr>
                <w:rFonts w:asciiTheme="minorHAnsi" w:hAnsiTheme="minorHAnsi" w:cs="Arial"/>
                <w:kern w:val="24"/>
                <w:sz w:val="16"/>
                <w:szCs w:val="16"/>
              </w:rPr>
              <w:t xml:space="preserve">1,000 MW </w:t>
            </w:r>
            <w:r w:rsidRPr="00F63A90">
              <w:rPr>
                <w:rFonts w:asciiTheme="minorHAnsi" w:hAnsiTheme="minorHAnsi" w:cs="Arial"/>
                <w:kern w:val="24"/>
                <w:sz w:val="16"/>
                <w:szCs w:val="16"/>
              </w:rPr>
              <w:t xml:space="preserve">of </w:t>
            </w:r>
            <w:r>
              <w:rPr>
                <w:rFonts w:asciiTheme="minorHAnsi" w:hAnsiTheme="minorHAnsi" w:cs="Arial"/>
                <w:kern w:val="24"/>
                <w:sz w:val="16"/>
                <w:szCs w:val="16"/>
              </w:rPr>
              <w:t>a</w:t>
            </w:r>
            <w:r w:rsidRPr="00F63A90">
              <w:rPr>
                <w:rFonts w:asciiTheme="minorHAnsi" w:hAnsiTheme="minorHAnsi" w:cs="Arial"/>
                <w:kern w:val="24"/>
                <w:sz w:val="16"/>
                <w:szCs w:val="16"/>
              </w:rPr>
              <w:t>ctive demand resources</w:t>
            </w:r>
          </w:p>
        </w:tc>
        <w:tc>
          <w:tcPr>
            <w:tcW w:w="1076"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2150AB">
              <w:rPr>
                <w:rFonts w:asciiTheme="minorHAnsi" w:hAnsiTheme="minorHAnsi" w:cs="Arial"/>
                <w:kern w:val="24"/>
                <w:sz w:val="16"/>
                <w:szCs w:val="16"/>
              </w:rPr>
              <w:t xml:space="preserve">All oldest oil/coal </w:t>
            </w:r>
            <w:r>
              <w:rPr>
                <w:rFonts w:asciiTheme="minorHAnsi" w:hAnsiTheme="minorHAnsi" w:cs="Arial"/>
                <w:kern w:val="24"/>
                <w:sz w:val="16"/>
                <w:szCs w:val="16"/>
              </w:rPr>
              <w:br/>
            </w:r>
            <w:r w:rsidRPr="002150AB">
              <w:rPr>
                <w:rFonts w:asciiTheme="minorHAnsi" w:hAnsiTheme="minorHAnsi" w:cs="Arial"/>
                <w:kern w:val="24"/>
                <w:sz w:val="16"/>
                <w:szCs w:val="16"/>
              </w:rPr>
              <w:t>approx.</w:t>
            </w:r>
            <w:r>
              <w:rPr>
                <w:rFonts w:asciiTheme="minorHAnsi" w:hAnsiTheme="minorHAnsi" w:cs="Arial"/>
                <w:kern w:val="24"/>
                <w:sz w:val="16"/>
                <w:szCs w:val="16"/>
              </w:rPr>
              <w:br/>
            </w:r>
            <w:r w:rsidRPr="002150AB">
              <w:rPr>
                <w:rFonts w:asciiTheme="minorHAnsi" w:hAnsiTheme="minorHAnsi" w:cs="Arial"/>
                <w:kern w:val="24"/>
                <w:sz w:val="16"/>
                <w:szCs w:val="16"/>
              </w:rPr>
              <w:t>5,600 MW</w:t>
            </w:r>
          </w:p>
        </w:tc>
        <w:tc>
          <w:tcPr>
            <w:tcW w:w="1211"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4,800 MW</w:t>
            </w:r>
          </w:p>
        </w:tc>
        <w:tc>
          <w:tcPr>
            <w:tcW w:w="1172"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2,483 MW</w:t>
            </w:r>
          </w:p>
        </w:tc>
        <w:tc>
          <w:tcPr>
            <w:tcW w:w="947"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2,500 MW</w:t>
            </w:r>
          </w:p>
        </w:tc>
        <w:tc>
          <w:tcPr>
            <w:tcW w:w="900"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4.2 million</w:t>
            </w:r>
          </w:p>
        </w:tc>
        <w:tc>
          <w:tcPr>
            <w:tcW w:w="1080" w:type="dxa"/>
            <w:shd w:val="clear" w:color="auto" w:fill="auto"/>
            <w:tcMar>
              <w:top w:w="58" w:type="dxa"/>
              <w:left w:w="58" w:type="dxa"/>
              <w:bottom w:w="58" w:type="dxa"/>
              <w:right w:w="58" w:type="dxa"/>
            </w:tcMar>
            <w:vAlign w:val="center"/>
            <w:hideMark/>
          </w:tcPr>
          <w:p w:rsidR="002F4604" w:rsidRPr="00F63A90"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2,000 MW</w:t>
            </w:r>
          </w:p>
        </w:tc>
      </w:tr>
      <w:tr w:rsidR="00A23B9B" w:rsidRPr="0084330D" w:rsidTr="005D493A">
        <w:trPr>
          <w:trHeight w:val="705"/>
          <w:jc w:val="center"/>
        </w:trPr>
        <w:tc>
          <w:tcPr>
            <w:tcW w:w="1529"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b/>
                <w:bCs/>
                <w:color w:val="000000"/>
                <w:kern w:val="24"/>
                <w:sz w:val="16"/>
                <w:szCs w:val="16"/>
              </w:rPr>
              <w:t>2017 Scenario A</w:t>
            </w:r>
          </w:p>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b/>
                <w:bCs/>
                <w:color w:val="000000"/>
                <w:kern w:val="24"/>
                <w:sz w:val="16"/>
                <w:szCs w:val="16"/>
              </w:rPr>
              <w:t>EE + Offshore</w:t>
            </w:r>
          </w:p>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b/>
                <w:bCs/>
                <w:color w:val="000000"/>
                <w:kern w:val="24"/>
                <w:sz w:val="16"/>
                <w:szCs w:val="16"/>
              </w:rPr>
              <w:t>(Change from 2016 Scenario 3)</w:t>
            </w:r>
          </w:p>
        </w:tc>
        <w:tc>
          <w:tcPr>
            <w:tcW w:w="981"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No change </w:t>
            </w:r>
          </w:p>
        </w:tc>
        <w:tc>
          <w:tcPr>
            <w:tcW w:w="1350"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Increased by 2,000 MW</w:t>
            </w:r>
          </w:p>
        </w:tc>
        <w:tc>
          <w:tcPr>
            <w:tcW w:w="1350"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Increased by 2,000 MW</w:t>
            </w:r>
          </w:p>
        </w:tc>
        <w:tc>
          <w:tcPr>
            <w:tcW w:w="1340"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807497">
              <w:rPr>
                <w:rFonts w:asciiTheme="minorHAnsi" w:hAnsiTheme="minorHAnsi" w:cs="Arial"/>
                <w:kern w:val="24"/>
                <w:sz w:val="16"/>
                <w:szCs w:val="16"/>
              </w:rPr>
              <w:t>Reduced by</w:t>
            </w:r>
            <w:r>
              <w:rPr>
                <w:rFonts w:asciiTheme="minorHAnsi" w:hAnsiTheme="minorHAnsi" w:cs="Arial"/>
                <w:kern w:val="24"/>
                <w:sz w:val="16"/>
                <w:szCs w:val="16"/>
              </w:rPr>
              <w:br/>
            </w:r>
            <w:r w:rsidRPr="00807497">
              <w:rPr>
                <w:rFonts w:asciiTheme="minorHAnsi" w:hAnsiTheme="minorHAnsi" w:cs="Arial"/>
                <w:kern w:val="24"/>
                <w:sz w:val="16"/>
                <w:szCs w:val="16"/>
              </w:rPr>
              <w:t>2,000 MW</w:t>
            </w:r>
          </w:p>
        </w:tc>
        <w:tc>
          <w:tcPr>
            <w:tcW w:w="1184"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4A7FBC">
              <w:rPr>
                <w:rFonts w:asciiTheme="minorHAnsi" w:hAnsiTheme="minorHAnsi" w:cs="Arial"/>
                <w:kern w:val="24"/>
                <w:sz w:val="16"/>
                <w:szCs w:val="16"/>
              </w:rPr>
              <w:t>No change</w:t>
            </w:r>
          </w:p>
        </w:tc>
        <w:tc>
          <w:tcPr>
            <w:tcW w:w="1076"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4A7FBC">
              <w:rPr>
                <w:rFonts w:asciiTheme="minorHAnsi" w:hAnsiTheme="minorHAnsi" w:cs="Arial"/>
                <w:kern w:val="24"/>
                <w:sz w:val="16"/>
                <w:szCs w:val="16"/>
              </w:rPr>
              <w:t>No change</w:t>
            </w:r>
          </w:p>
        </w:tc>
        <w:tc>
          <w:tcPr>
            <w:tcW w:w="1211"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Reduced by 2,800 MW</w:t>
            </w:r>
          </w:p>
        </w:tc>
        <w:tc>
          <w:tcPr>
            <w:tcW w:w="1172"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Increased by 1,000 MW</w:t>
            </w:r>
          </w:p>
        </w:tc>
        <w:tc>
          <w:tcPr>
            <w:tcW w:w="947"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4601FE">
              <w:rPr>
                <w:rFonts w:asciiTheme="minorHAnsi" w:hAnsiTheme="minorHAnsi" w:cs="Arial"/>
                <w:kern w:val="24"/>
                <w:sz w:val="16"/>
                <w:szCs w:val="16"/>
              </w:rPr>
              <w:t>No change</w:t>
            </w:r>
          </w:p>
        </w:tc>
        <w:tc>
          <w:tcPr>
            <w:tcW w:w="900"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4601FE">
              <w:rPr>
                <w:rFonts w:asciiTheme="minorHAnsi" w:hAnsiTheme="minorHAnsi" w:cs="Arial"/>
                <w:kern w:val="24"/>
                <w:sz w:val="16"/>
                <w:szCs w:val="16"/>
              </w:rPr>
              <w:t>No change</w:t>
            </w:r>
          </w:p>
        </w:tc>
        <w:tc>
          <w:tcPr>
            <w:tcW w:w="1080" w:type="dxa"/>
            <w:shd w:val="clear" w:color="auto" w:fill="CCEAF9" w:themeFill="accent1" w:themeFillTint="33"/>
            <w:tcMar>
              <w:top w:w="58" w:type="dxa"/>
              <w:left w:w="58" w:type="dxa"/>
              <w:bottom w:w="58" w:type="dxa"/>
              <w:right w:w="58" w:type="dxa"/>
            </w:tcMar>
            <w:vAlign w:val="center"/>
            <w:hideMark/>
          </w:tcPr>
          <w:p w:rsidR="00A23B9B" w:rsidRPr="00F63A90"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Reduced by</w:t>
            </w:r>
            <w:r w:rsidRPr="00F63A90">
              <w:rPr>
                <w:rFonts w:asciiTheme="minorHAnsi" w:hAnsiTheme="minorHAnsi" w:cs="Arial"/>
                <w:kern w:val="24"/>
                <w:sz w:val="16"/>
                <w:szCs w:val="16"/>
              </w:rPr>
              <w:br/>
              <w:t>1,000 MW</w:t>
            </w:r>
          </w:p>
        </w:tc>
      </w:tr>
      <w:tr w:rsidR="002F4604" w:rsidRPr="0084330D" w:rsidTr="005D493A">
        <w:trPr>
          <w:trHeight w:val="1008"/>
          <w:jc w:val="center"/>
        </w:trPr>
        <w:tc>
          <w:tcPr>
            <w:tcW w:w="1529" w:type="dxa"/>
            <w:shd w:val="clear" w:color="auto" w:fill="auto"/>
            <w:tcMar>
              <w:top w:w="58" w:type="dxa"/>
              <w:left w:w="58" w:type="dxa"/>
              <w:bottom w:w="58" w:type="dxa"/>
              <w:right w:w="58" w:type="dxa"/>
            </w:tcMar>
            <w:vAlign w:val="center"/>
            <w:hideMark/>
          </w:tcPr>
          <w:p w:rsidR="002F4604" w:rsidRPr="00BD414C" w:rsidRDefault="002F4604" w:rsidP="002D123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b/>
                <w:bCs/>
                <w:color w:val="000000"/>
                <w:kern w:val="24"/>
                <w:sz w:val="16"/>
                <w:szCs w:val="16"/>
              </w:rPr>
              <w:t>2017</w:t>
            </w:r>
            <w:r w:rsidR="0012342C">
              <w:rPr>
                <w:rFonts w:asciiTheme="minorHAnsi" w:hAnsiTheme="minorHAnsi" w:cs="Arial"/>
                <w:b/>
                <w:bCs/>
                <w:color w:val="000000"/>
                <w:kern w:val="24"/>
                <w:sz w:val="16"/>
                <w:szCs w:val="16"/>
              </w:rPr>
              <w:t xml:space="preserve"> </w:t>
            </w:r>
            <w:r w:rsidRPr="00BD414C">
              <w:rPr>
                <w:rFonts w:asciiTheme="minorHAnsi" w:hAnsiTheme="minorHAnsi" w:cs="Arial"/>
                <w:b/>
                <w:bCs/>
                <w:color w:val="000000"/>
                <w:kern w:val="24"/>
                <w:sz w:val="16"/>
                <w:szCs w:val="16"/>
              </w:rPr>
              <w:t>Scenario B</w:t>
            </w:r>
          </w:p>
          <w:p w:rsidR="002F4604" w:rsidRPr="00BD414C" w:rsidRDefault="002F4604" w:rsidP="002D123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b/>
                <w:bCs/>
                <w:color w:val="000000"/>
                <w:kern w:val="24"/>
                <w:sz w:val="16"/>
                <w:szCs w:val="16"/>
              </w:rPr>
              <w:t>Onshore Less EE/PV</w:t>
            </w:r>
          </w:p>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b/>
                <w:bCs/>
                <w:color w:val="000000"/>
                <w:kern w:val="24"/>
                <w:sz w:val="16"/>
                <w:szCs w:val="16"/>
              </w:rPr>
              <w:t>(Change from 2016 Scenario 3)</w:t>
            </w:r>
          </w:p>
        </w:tc>
        <w:tc>
          <w:tcPr>
            <w:tcW w:w="981"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No change </w:t>
            </w:r>
          </w:p>
        </w:tc>
        <w:tc>
          <w:tcPr>
            <w:tcW w:w="1350"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807497">
              <w:rPr>
                <w:rFonts w:asciiTheme="minorHAnsi" w:hAnsiTheme="minorHAnsi" w:cs="Arial"/>
                <w:kern w:val="24"/>
                <w:sz w:val="16"/>
                <w:szCs w:val="16"/>
              </w:rPr>
              <w:t>Reduced to 2016 CELT forecast</w:t>
            </w:r>
            <w:r>
              <w:rPr>
                <w:rFonts w:asciiTheme="minorHAnsi" w:hAnsiTheme="minorHAnsi" w:cs="Arial"/>
                <w:kern w:val="24"/>
                <w:sz w:val="16"/>
                <w:szCs w:val="16"/>
              </w:rPr>
              <w:br/>
            </w:r>
            <w:r w:rsidRPr="00807497">
              <w:rPr>
                <w:rFonts w:asciiTheme="minorHAnsi" w:hAnsiTheme="minorHAnsi" w:cs="Arial"/>
                <w:kern w:val="24"/>
                <w:sz w:val="16"/>
                <w:szCs w:val="16"/>
              </w:rPr>
              <w:t>4,739 MW</w:t>
            </w:r>
            <w:r>
              <w:rPr>
                <w:rFonts w:asciiTheme="minorHAnsi" w:hAnsiTheme="minorHAnsi" w:cs="Arial"/>
                <w:kern w:val="24"/>
                <w:sz w:val="16"/>
                <w:szCs w:val="16"/>
              </w:rPr>
              <w:t>;</w:t>
            </w:r>
            <w:r>
              <w:rPr>
                <w:rFonts w:asciiTheme="minorHAnsi" w:hAnsiTheme="minorHAnsi" w:cs="Arial"/>
                <w:kern w:val="24"/>
                <w:sz w:val="16"/>
                <w:szCs w:val="16"/>
              </w:rPr>
              <w:br/>
            </w:r>
            <w:r w:rsidRPr="00807497">
              <w:rPr>
                <w:rFonts w:asciiTheme="minorHAnsi" w:hAnsiTheme="minorHAnsi" w:cs="Arial"/>
                <w:kern w:val="24"/>
                <w:sz w:val="16"/>
                <w:szCs w:val="16"/>
              </w:rPr>
              <w:t>approx.</w:t>
            </w:r>
            <w:r w:rsidRPr="00807497">
              <w:rPr>
                <w:rFonts w:asciiTheme="minorHAnsi" w:hAnsiTheme="minorHAnsi" w:cs="Arial"/>
                <w:kern w:val="24"/>
                <w:sz w:val="16"/>
                <w:szCs w:val="16"/>
              </w:rPr>
              <w:br/>
              <w:t xml:space="preserve">2,300 </w:t>
            </w:r>
            <w:r w:rsidRPr="008E5936">
              <w:rPr>
                <w:rFonts w:asciiTheme="minorHAnsi" w:hAnsiTheme="minorHAnsi" w:cs="Arial"/>
                <w:kern w:val="24"/>
                <w:sz w:val="16"/>
                <w:szCs w:val="16"/>
              </w:rPr>
              <w:t>MW reduc</w:t>
            </w:r>
            <w:r>
              <w:rPr>
                <w:rFonts w:asciiTheme="minorHAnsi" w:hAnsiTheme="minorHAnsi" w:cs="Arial"/>
                <w:kern w:val="24"/>
                <w:sz w:val="16"/>
                <w:szCs w:val="16"/>
              </w:rPr>
              <w:t>ed</w:t>
            </w:r>
          </w:p>
        </w:tc>
        <w:tc>
          <w:tcPr>
            <w:tcW w:w="1350"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807497">
              <w:rPr>
                <w:rFonts w:asciiTheme="minorHAnsi" w:hAnsiTheme="minorHAnsi" w:cs="Arial"/>
                <w:kern w:val="24"/>
                <w:sz w:val="16"/>
                <w:szCs w:val="16"/>
              </w:rPr>
              <w:t>Reduced to</w:t>
            </w:r>
            <w:r>
              <w:rPr>
                <w:rFonts w:asciiTheme="minorHAnsi" w:hAnsiTheme="minorHAnsi" w:cs="Arial"/>
                <w:kern w:val="24"/>
                <w:sz w:val="16"/>
                <w:szCs w:val="16"/>
              </w:rPr>
              <w:br/>
            </w:r>
            <w:r w:rsidRPr="00807497">
              <w:rPr>
                <w:rFonts w:asciiTheme="minorHAnsi" w:hAnsiTheme="minorHAnsi" w:cs="Arial"/>
                <w:kern w:val="24"/>
                <w:sz w:val="16"/>
                <w:szCs w:val="16"/>
              </w:rPr>
              <w:t>reach target</w:t>
            </w:r>
            <w:r>
              <w:rPr>
                <w:rFonts w:asciiTheme="minorHAnsi" w:hAnsiTheme="minorHAnsi" w:cs="Arial"/>
                <w:kern w:val="24"/>
                <w:sz w:val="16"/>
                <w:szCs w:val="16"/>
              </w:rPr>
              <w:br/>
            </w:r>
            <w:r w:rsidRPr="00807497">
              <w:rPr>
                <w:rFonts w:asciiTheme="minorHAnsi" w:hAnsiTheme="minorHAnsi" w:cs="Arial"/>
                <w:kern w:val="24"/>
                <w:sz w:val="16"/>
                <w:szCs w:val="16"/>
              </w:rPr>
              <w:t>of 4,000 MW</w:t>
            </w:r>
            <w:r>
              <w:rPr>
                <w:rFonts w:asciiTheme="minorHAnsi" w:hAnsiTheme="minorHAnsi" w:cs="Arial"/>
                <w:kern w:val="24"/>
                <w:sz w:val="16"/>
                <w:szCs w:val="16"/>
              </w:rPr>
              <w:t>;</w:t>
            </w:r>
            <w:r>
              <w:rPr>
                <w:rFonts w:asciiTheme="minorHAnsi" w:hAnsiTheme="minorHAnsi" w:cs="Arial"/>
                <w:kern w:val="24"/>
                <w:sz w:val="16"/>
                <w:szCs w:val="16"/>
              </w:rPr>
              <w:br/>
            </w:r>
            <w:r w:rsidRPr="008E5936">
              <w:rPr>
                <w:rFonts w:asciiTheme="minorHAnsi" w:hAnsiTheme="minorHAnsi" w:cs="Arial"/>
                <w:kern w:val="24"/>
                <w:sz w:val="16"/>
                <w:szCs w:val="16"/>
              </w:rPr>
              <w:t>approx.</w:t>
            </w:r>
            <w:r w:rsidRPr="008E5936">
              <w:rPr>
                <w:rFonts w:asciiTheme="minorHAnsi" w:hAnsiTheme="minorHAnsi" w:cs="Arial"/>
                <w:kern w:val="24"/>
                <w:sz w:val="16"/>
                <w:szCs w:val="16"/>
              </w:rPr>
              <w:br/>
            </w:r>
            <w:r w:rsidRPr="00D72F87">
              <w:rPr>
                <w:rFonts w:asciiTheme="minorHAnsi" w:hAnsiTheme="minorHAnsi" w:cs="Arial"/>
                <w:kern w:val="24"/>
                <w:sz w:val="16"/>
                <w:szCs w:val="16"/>
              </w:rPr>
              <w:t>2,000 MW reduced</w:t>
            </w:r>
          </w:p>
        </w:tc>
        <w:tc>
          <w:tcPr>
            <w:tcW w:w="1340"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2150AB">
              <w:rPr>
                <w:rFonts w:asciiTheme="minorHAnsi" w:hAnsiTheme="minorHAnsi" w:cs="Arial"/>
                <w:kern w:val="24"/>
                <w:sz w:val="16"/>
                <w:szCs w:val="16"/>
              </w:rPr>
              <w:t>Reduced to</w:t>
            </w:r>
            <w:r>
              <w:rPr>
                <w:rFonts w:asciiTheme="minorHAnsi" w:hAnsiTheme="minorHAnsi" w:cs="Arial"/>
                <w:kern w:val="24"/>
                <w:sz w:val="16"/>
                <w:szCs w:val="16"/>
              </w:rPr>
              <w:br/>
            </w:r>
            <w:r w:rsidRPr="002150AB">
              <w:rPr>
                <w:rFonts w:asciiTheme="minorHAnsi" w:hAnsiTheme="minorHAnsi" w:cs="Arial"/>
                <w:kern w:val="24"/>
                <w:sz w:val="16"/>
                <w:szCs w:val="16"/>
              </w:rPr>
              <w:t>FCA #10</w:t>
            </w:r>
            <w:r>
              <w:rPr>
                <w:rFonts w:asciiTheme="minorHAnsi" w:hAnsiTheme="minorHAnsi" w:cs="Arial"/>
                <w:kern w:val="24"/>
                <w:sz w:val="16"/>
                <w:szCs w:val="16"/>
              </w:rPr>
              <w:br/>
              <w:t>a</w:t>
            </w:r>
            <w:r w:rsidRPr="002150AB">
              <w:rPr>
                <w:rFonts w:asciiTheme="minorHAnsi" w:hAnsiTheme="minorHAnsi" w:cs="Arial"/>
                <w:kern w:val="24"/>
                <w:sz w:val="16"/>
                <w:szCs w:val="16"/>
              </w:rPr>
              <w:t>mounts</w:t>
            </w:r>
            <w:r>
              <w:rPr>
                <w:rFonts w:asciiTheme="minorHAnsi" w:hAnsiTheme="minorHAnsi" w:cs="Arial"/>
                <w:kern w:val="24"/>
                <w:sz w:val="16"/>
                <w:szCs w:val="16"/>
              </w:rPr>
              <w:t>;</w:t>
            </w:r>
            <w:r>
              <w:rPr>
                <w:rFonts w:asciiTheme="minorHAnsi" w:hAnsiTheme="minorHAnsi" w:cs="Arial"/>
                <w:kern w:val="24"/>
                <w:sz w:val="16"/>
                <w:szCs w:val="16"/>
              </w:rPr>
              <w:br/>
            </w:r>
            <w:r w:rsidRPr="002150AB">
              <w:rPr>
                <w:rFonts w:asciiTheme="minorHAnsi" w:hAnsiTheme="minorHAnsi" w:cs="Arial"/>
                <w:kern w:val="24"/>
                <w:sz w:val="16"/>
                <w:szCs w:val="16"/>
              </w:rPr>
              <w:t>approx. 5,800 MW reduc</w:t>
            </w:r>
            <w:r>
              <w:rPr>
                <w:rFonts w:asciiTheme="minorHAnsi" w:hAnsiTheme="minorHAnsi" w:cs="Arial"/>
                <w:kern w:val="24"/>
                <w:sz w:val="16"/>
                <w:szCs w:val="16"/>
              </w:rPr>
              <w:t>ed</w:t>
            </w:r>
          </w:p>
        </w:tc>
        <w:tc>
          <w:tcPr>
            <w:tcW w:w="1184"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Remove</w:t>
            </w:r>
            <w:r>
              <w:rPr>
                <w:rFonts w:asciiTheme="minorHAnsi" w:hAnsiTheme="minorHAnsi" w:cs="Arial"/>
                <w:kern w:val="24"/>
                <w:sz w:val="16"/>
                <w:szCs w:val="16"/>
              </w:rPr>
              <w:t>d</w:t>
            </w:r>
            <w:r w:rsidRPr="00F63A90">
              <w:rPr>
                <w:rFonts w:asciiTheme="minorHAnsi" w:hAnsiTheme="minorHAnsi" w:cs="Arial"/>
                <w:kern w:val="24"/>
                <w:sz w:val="16"/>
                <w:szCs w:val="16"/>
              </w:rPr>
              <w:t xml:space="preserve"> additional active demand resources</w:t>
            </w:r>
          </w:p>
        </w:tc>
        <w:tc>
          <w:tcPr>
            <w:tcW w:w="1076" w:type="dxa"/>
            <w:shd w:val="clear" w:color="auto" w:fill="auto"/>
            <w:tcMar>
              <w:top w:w="58" w:type="dxa"/>
              <w:left w:w="58" w:type="dxa"/>
              <w:bottom w:w="58" w:type="dxa"/>
              <w:right w:w="58" w:type="dxa"/>
            </w:tcMar>
            <w:vAlign w:val="center"/>
            <w:hideMark/>
          </w:tcPr>
          <w:p w:rsidR="002F4604" w:rsidRPr="008E5936" w:rsidRDefault="00A23B9B" w:rsidP="00A23B9B">
            <w:pPr>
              <w:adjustRightInd/>
              <w:spacing w:after="0" w:line="240" w:lineRule="auto"/>
              <w:jc w:val="center"/>
              <w:textAlignment w:val="center"/>
              <w:rPr>
                <w:rFonts w:asciiTheme="minorHAnsi" w:hAnsiTheme="minorHAnsi" w:cs="Arial"/>
                <w:sz w:val="16"/>
                <w:szCs w:val="16"/>
              </w:rPr>
            </w:pPr>
            <w:r w:rsidRPr="00A23B9B">
              <w:rPr>
                <w:rFonts w:asciiTheme="minorHAnsi" w:hAnsiTheme="minorHAnsi" w:cs="Arial"/>
                <w:kern w:val="24"/>
                <w:sz w:val="16"/>
                <w:szCs w:val="16"/>
              </w:rPr>
              <w:t>No change</w:t>
            </w:r>
          </w:p>
        </w:tc>
        <w:tc>
          <w:tcPr>
            <w:tcW w:w="1211"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2150AB">
              <w:rPr>
                <w:rFonts w:asciiTheme="minorHAnsi" w:hAnsiTheme="minorHAnsi" w:cs="Arial"/>
                <w:kern w:val="24"/>
                <w:sz w:val="16"/>
                <w:szCs w:val="16"/>
              </w:rPr>
              <w:t xml:space="preserve">Increased to reach target </w:t>
            </w:r>
            <w:r>
              <w:rPr>
                <w:rFonts w:asciiTheme="minorHAnsi" w:hAnsiTheme="minorHAnsi" w:cs="Arial"/>
                <w:kern w:val="24"/>
                <w:sz w:val="16"/>
                <w:szCs w:val="16"/>
              </w:rPr>
              <w:br/>
            </w:r>
            <w:r w:rsidRPr="002150AB">
              <w:rPr>
                <w:rFonts w:asciiTheme="minorHAnsi" w:hAnsiTheme="minorHAnsi" w:cs="Arial"/>
                <w:kern w:val="24"/>
                <w:sz w:val="16"/>
                <w:szCs w:val="16"/>
              </w:rPr>
              <w:t>of 7,000 MW</w:t>
            </w:r>
            <w:r>
              <w:rPr>
                <w:rFonts w:asciiTheme="minorHAnsi" w:hAnsiTheme="minorHAnsi" w:cs="Arial"/>
                <w:kern w:val="24"/>
                <w:sz w:val="16"/>
                <w:szCs w:val="16"/>
              </w:rPr>
              <w:t>;</w:t>
            </w:r>
            <w:r>
              <w:rPr>
                <w:rFonts w:asciiTheme="minorHAnsi" w:hAnsiTheme="minorHAnsi" w:cs="Arial"/>
                <w:kern w:val="24"/>
                <w:sz w:val="16"/>
                <w:szCs w:val="16"/>
              </w:rPr>
              <w:br/>
            </w:r>
            <w:r w:rsidRPr="002150AB">
              <w:rPr>
                <w:rFonts w:asciiTheme="minorHAnsi" w:hAnsiTheme="minorHAnsi" w:cs="Arial"/>
                <w:kern w:val="24"/>
                <w:sz w:val="16"/>
                <w:szCs w:val="16"/>
              </w:rPr>
              <w:t>approx.</w:t>
            </w:r>
            <w:r w:rsidRPr="002150AB">
              <w:rPr>
                <w:rFonts w:asciiTheme="minorHAnsi" w:hAnsiTheme="minorHAnsi" w:cs="Arial"/>
                <w:kern w:val="24"/>
                <w:sz w:val="16"/>
                <w:szCs w:val="16"/>
              </w:rPr>
              <w:br/>
              <w:t>2,200 MW increase</w:t>
            </w:r>
            <w:r>
              <w:rPr>
                <w:rFonts w:asciiTheme="minorHAnsi" w:hAnsiTheme="minorHAnsi" w:cs="Arial"/>
                <w:kern w:val="24"/>
                <w:sz w:val="16"/>
                <w:szCs w:val="16"/>
              </w:rPr>
              <w:t>d</w:t>
            </w:r>
          </w:p>
        </w:tc>
        <w:tc>
          <w:tcPr>
            <w:tcW w:w="1172" w:type="dxa"/>
            <w:shd w:val="clear" w:color="auto" w:fill="auto"/>
            <w:tcMar>
              <w:top w:w="58" w:type="dxa"/>
              <w:left w:w="58" w:type="dxa"/>
              <w:bottom w:w="58" w:type="dxa"/>
              <w:right w:w="58" w:type="dxa"/>
            </w:tcMar>
            <w:vAlign w:val="center"/>
            <w:hideMark/>
          </w:tcPr>
          <w:p w:rsidR="002F4604" w:rsidRPr="008E5936" w:rsidRDefault="00A23B9B" w:rsidP="00A23B9B">
            <w:pPr>
              <w:adjustRightInd/>
              <w:spacing w:after="0" w:line="240" w:lineRule="auto"/>
              <w:jc w:val="center"/>
              <w:textAlignment w:val="center"/>
              <w:rPr>
                <w:rFonts w:asciiTheme="minorHAnsi" w:hAnsiTheme="minorHAnsi" w:cs="Arial"/>
                <w:sz w:val="16"/>
                <w:szCs w:val="16"/>
              </w:rPr>
            </w:pPr>
            <w:r w:rsidRPr="00A23B9B">
              <w:rPr>
                <w:rFonts w:asciiTheme="minorHAnsi" w:hAnsiTheme="minorHAnsi" w:cs="Arial"/>
                <w:kern w:val="24"/>
                <w:sz w:val="16"/>
                <w:szCs w:val="16"/>
              </w:rPr>
              <w:t>No change</w:t>
            </w:r>
          </w:p>
        </w:tc>
        <w:tc>
          <w:tcPr>
            <w:tcW w:w="947"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8E5936">
              <w:rPr>
                <w:rFonts w:asciiTheme="minorHAnsi" w:hAnsiTheme="minorHAnsi" w:cs="Arial"/>
                <w:kern w:val="24"/>
                <w:sz w:val="16"/>
                <w:szCs w:val="16"/>
              </w:rPr>
              <w:t>Remove</w:t>
            </w:r>
            <w:r>
              <w:rPr>
                <w:rFonts w:asciiTheme="minorHAnsi" w:hAnsiTheme="minorHAnsi" w:cs="Arial"/>
                <w:kern w:val="24"/>
                <w:sz w:val="16"/>
                <w:szCs w:val="16"/>
              </w:rPr>
              <w:t>d</w:t>
            </w:r>
            <w:r w:rsidRPr="008E5936">
              <w:rPr>
                <w:rFonts w:asciiTheme="minorHAnsi" w:hAnsiTheme="minorHAnsi" w:cs="Arial"/>
                <w:kern w:val="24"/>
                <w:sz w:val="16"/>
                <w:szCs w:val="16"/>
              </w:rPr>
              <w:t xml:space="preserve"> battery storage</w:t>
            </w:r>
          </w:p>
        </w:tc>
        <w:tc>
          <w:tcPr>
            <w:tcW w:w="900"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8E5936">
              <w:rPr>
                <w:rFonts w:asciiTheme="minorHAnsi" w:hAnsiTheme="minorHAnsi" w:cs="Arial"/>
                <w:kern w:val="24"/>
                <w:sz w:val="16"/>
                <w:szCs w:val="16"/>
              </w:rPr>
              <w:t>Remove</w:t>
            </w:r>
            <w:r>
              <w:rPr>
                <w:rFonts w:asciiTheme="minorHAnsi" w:hAnsiTheme="minorHAnsi" w:cs="Arial"/>
                <w:kern w:val="24"/>
                <w:sz w:val="16"/>
                <w:szCs w:val="16"/>
              </w:rPr>
              <w:t>d</w:t>
            </w:r>
            <w:r w:rsidRPr="008E5936">
              <w:rPr>
                <w:rFonts w:asciiTheme="minorHAnsi" w:hAnsiTheme="minorHAnsi" w:cs="Arial"/>
                <w:kern w:val="24"/>
                <w:sz w:val="16"/>
                <w:szCs w:val="16"/>
              </w:rPr>
              <w:t xml:space="preserve"> PHEV</w:t>
            </w:r>
          </w:p>
        </w:tc>
        <w:tc>
          <w:tcPr>
            <w:tcW w:w="1080" w:type="dxa"/>
            <w:shd w:val="clear" w:color="auto" w:fill="auto"/>
            <w:tcMar>
              <w:top w:w="58" w:type="dxa"/>
              <w:left w:w="58" w:type="dxa"/>
              <w:bottom w:w="58" w:type="dxa"/>
              <w:right w:w="58" w:type="dxa"/>
            </w:tcMar>
            <w:vAlign w:val="center"/>
            <w:hideMark/>
          </w:tcPr>
          <w:p w:rsidR="002F4604" w:rsidRPr="008E5936" w:rsidRDefault="002F4604" w:rsidP="002D123B">
            <w:pPr>
              <w:adjustRightInd/>
              <w:spacing w:after="0" w:line="240" w:lineRule="auto"/>
              <w:jc w:val="center"/>
              <w:textAlignment w:val="center"/>
              <w:rPr>
                <w:rFonts w:asciiTheme="minorHAnsi" w:hAnsiTheme="minorHAnsi" w:cs="Arial"/>
                <w:sz w:val="16"/>
                <w:szCs w:val="16"/>
              </w:rPr>
            </w:pPr>
            <w:r w:rsidRPr="008E5936">
              <w:rPr>
                <w:rFonts w:asciiTheme="minorHAnsi" w:hAnsiTheme="minorHAnsi" w:cs="Arial"/>
                <w:kern w:val="24"/>
                <w:sz w:val="16"/>
                <w:szCs w:val="16"/>
              </w:rPr>
              <w:t>Reduced by</w:t>
            </w:r>
            <w:r w:rsidRPr="008E5936">
              <w:rPr>
                <w:rFonts w:asciiTheme="minorHAnsi" w:hAnsiTheme="minorHAnsi" w:cs="Arial"/>
                <w:kern w:val="24"/>
                <w:sz w:val="16"/>
                <w:szCs w:val="16"/>
              </w:rPr>
              <w:br/>
              <w:t>1,000 MW</w:t>
            </w:r>
          </w:p>
        </w:tc>
      </w:tr>
      <w:tr w:rsidR="00A23B9B" w:rsidRPr="0084330D" w:rsidTr="005D493A">
        <w:trPr>
          <w:trHeight w:val="1584"/>
          <w:jc w:val="center"/>
        </w:trPr>
        <w:tc>
          <w:tcPr>
            <w:tcW w:w="1529"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b/>
                <w:bCs/>
                <w:color w:val="000000"/>
                <w:kern w:val="24"/>
                <w:sz w:val="16"/>
                <w:szCs w:val="16"/>
              </w:rPr>
              <w:t>2017</w:t>
            </w:r>
            <w:r>
              <w:rPr>
                <w:rFonts w:asciiTheme="minorHAnsi" w:hAnsiTheme="minorHAnsi" w:cs="Arial"/>
                <w:b/>
                <w:bCs/>
                <w:color w:val="000000"/>
                <w:kern w:val="24"/>
                <w:sz w:val="16"/>
                <w:szCs w:val="16"/>
              </w:rPr>
              <w:t xml:space="preserve"> </w:t>
            </w:r>
            <w:r w:rsidRPr="00BD414C">
              <w:rPr>
                <w:rFonts w:asciiTheme="minorHAnsi" w:hAnsiTheme="minorHAnsi" w:cs="Arial"/>
                <w:b/>
                <w:bCs/>
                <w:color w:val="000000"/>
                <w:kern w:val="24"/>
                <w:sz w:val="16"/>
                <w:szCs w:val="16"/>
              </w:rPr>
              <w:t>Scenario C</w:t>
            </w:r>
          </w:p>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Pr>
                <w:rFonts w:asciiTheme="minorHAnsi" w:hAnsiTheme="minorHAnsi" w:cs="Arial"/>
                <w:b/>
                <w:bCs/>
                <w:color w:val="000000"/>
                <w:kern w:val="24"/>
                <w:sz w:val="16"/>
                <w:szCs w:val="16"/>
              </w:rPr>
              <w:t>Wind Less Nuclear</w:t>
            </w:r>
          </w:p>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b/>
                <w:bCs/>
                <w:color w:val="000000"/>
                <w:kern w:val="24"/>
                <w:sz w:val="16"/>
                <w:szCs w:val="16"/>
              </w:rPr>
              <w:t>(Change from 2016 Scenario 3)</w:t>
            </w:r>
          </w:p>
        </w:tc>
        <w:tc>
          <w:tcPr>
            <w:tcW w:w="981"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F63A90">
              <w:rPr>
                <w:rFonts w:asciiTheme="minorHAnsi" w:hAnsiTheme="minorHAnsi" w:cs="Arial"/>
                <w:kern w:val="24"/>
                <w:sz w:val="16"/>
                <w:szCs w:val="16"/>
              </w:rPr>
              <w:t>No change </w:t>
            </w:r>
          </w:p>
        </w:tc>
        <w:tc>
          <w:tcPr>
            <w:tcW w:w="1350"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925B9">
              <w:rPr>
                <w:rFonts w:asciiTheme="minorHAnsi" w:hAnsiTheme="minorHAnsi" w:cs="Arial"/>
                <w:kern w:val="24"/>
                <w:sz w:val="16"/>
                <w:szCs w:val="16"/>
              </w:rPr>
              <w:t>No change</w:t>
            </w:r>
          </w:p>
        </w:tc>
        <w:tc>
          <w:tcPr>
            <w:tcW w:w="1350"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925B9">
              <w:rPr>
                <w:rFonts w:asciiTheme="minorHAnsi" w:hAnsiTheme="minorHAnsi" w:cs="Arial"/>
                <w:kern w:val="24"/>
                <w:sz w:val="16"/>
                <w:szCs w:val="16"/>
              </w:rPr>
              <w:t>No change</w:t>
            </w:r>
          </w:p>
        </w:tc>
        <w:tc>
          <w:tcPr>
            <w:tcW w:w="1340"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925B9">
              <w:rPr>
                <w:rFonts w:asciiTheme="minorHAnsi" w:hAnsiTheme="minorHAnsi" w:cs="Arial"/>
                <w:kern w:val="24"/>
                <w:sz w:val="16"/>
                <w:szCs w:val="16"/>
              </w:rPr>
              <w:t>No change</w:t>
            </w:r>
          </w:p>
        </w:tc>
        <w:tc>
          <w:tcPr>
            <w:tcW w:w="1184"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925B9">
              <w:rPr>
                <w:rFonts w:asciiTheme="minorHAnsi" w:hAnsiTheme="minorHAnsi" w:cs="Arial"/>
                <w:kern w:val="24"/>
                <w:sz w:val="16"/>
                <w:szCs w:val="16"/>
              </w:rPr>
              <w:t>No change</w:t>
            </w:r>
          </w:p>
        </w:tc>
        <w:tc>
          <w:tcPr>
            <w:tcW w:w="1076"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kern w:val="24"/>
                <w:sz w:val="16"/>
                <w:szCs w:val="16"/>
              </w:rPr>
              <w:t>Remove</w:t>
            </w:r>
            <w:r>
              <w:rPr>
                <w:rFonts w:asciiTheme="minorHAnsi" w:hAnsiTheme="minorHAnsi" w:cs="Arial"/>
                <w:kern w:val="24"/>
                <w:sz w:val="16"/>
                <w:szCs w:val="16"/>
              </w:rPr>
              <w:t>d</w:t>
            </w:r>
            <w:r w:rsidRPr="00BD414C">
              <w:rPr>
                <w:rFonts w:asciiTheme="minorHAnsi" w:hAnsiTheme="minorHAnsi" w:cs="Arial"/>
                <w:kern w:val="24"/>
                <w:sz w:val="16"/>
                <w:szCs w:val="16"/>
              </w:rPr>
              <w:t xml:space="preserve"> an additional 2,</w:t>
            </w:r>
            <w:r w:rsidRPr="00807497">
              <w:rPr>
                <w:rFonts w:asciiTheme="minorHAnsi" w:hAnsiTheme="minorHAnsi" w:cs="Arial"/>
                <w:kern w:val="24"/>
                <w:sz w:val="16"/>
                <w:szCs w:val="16"/>
              </w:rPr>
              <w:t>122 MW</w:t>
            </w:r>
            <w:r>
              <w:rPr>
                <w:rFonts w:asciiTheme="minorHAnsi" w:hAnsiTheme="minorHAnsi" w:cs="Arial"/>
                <w:kern w:val="24"/>
                <w:sz w:val="16"/>
                <w:szCs w:val="16"/>
              </w:rPr>
              <w:br/>
            </w:r>
            <w:r w:rsidRPr="00807497">
              <w:rPr>
                <w:rFonts w:asciiTheme="minorHAnsi" w:hAnsiTheme="minorHAnsi" w:cs="Arial"/>
                <w:kern w:val="24"/>
                <w:sz w:val="16"/>
                <w:szCs w:val="16"/>
              </w:rPr>
              <w:t>of nuclear generation</w:t>
            </w:r>
          </w:p>
        </w:tc>
        <w:tc>
          <w:tcPr>
            <w:tcW w:w="1211"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kern w:val="24"/>
                <w:sz w:val="16"/>
                <w:szCs w:val="16"/>
              </w:rPr>
              <w:t>Amount determined necessary to replace 2/3 of energy production lost from additional retirements</w:t>
            </w:r>
          </w:p>
        </w:tc>
        <w:tc>
          <w:tcPr>
            <w:tcW w:w="1172"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BD414C">
              <w:rPr>
                <w:rFonts w:asciiTheme="minorHAnsi" w:hAnsiTheme="minorHAnsi" w:cs="Arial"/>
                <w:kern w:val="24"/>
                <w:sz w:val="16"/>
                <w:szCs w:val="16"/>
              </w:rPr>
              <w:t>Amount determined necessary to replace 1/3 of energy production lost from additional retirements</w:t>
            </w:r>
          </w:p>
        </w:tc>
        <w:tc>
          <w:tcPr>
            <w:tcW w:w="947"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13051A">
              <w:rPr>
                <w:rFonts w:asciiTheme="minorHAnsi" w:hAnsiTheme="minorHAnsi" w:cs="Arial"/>
                <w:kern w:val="24"/>
                <w:sz w:val="16"/>
                <w:szCs w:val="16"/>
              </w:rPr>
              <w:t>No change</w:t>
            </w:r>
          </w:p>
        </w:tc>
        <w:tc>
          <w:tcPr>
            <w:tcW w:w="900"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13051A">
              <w:rPr>
                <w:rFonts w:asciiTheme="minorHAnsi" w:hAnsiTheme="minorHAnsi" w:cs="Arial"/>
                <w:kern w:val="24"/>
                <w:sz w:val="16"/>
                <w:szCs w:val="16"/>
              </w:rPr>
              <w:t>No change</w:t>
            </w:r>
          </w:p>
        </w:tc>
        <w:tc>
          <w:tcPr>
            <w:tcW w:w="1080" w:type="dxa"/>
            <w:shd w:val="clear" w:color="auto" w:fill="CCEAF9" w:themeFill="accent1" w:themeFillTint="33"/>
            <w:tcMar>
              <w:top w:w="58" w:type="dxa"/>
              <w:left w:w="58" w:type="dxa"/>
              <w:bottom w:w="58" w:type="dxa"/>
              <w:right w:w="58" w:type="dxa"/>
            </w:tcMar>
            <w:vAlign w:val="center"/>
            <w:hideMark/>
          </w:tcPr>
          <w:p w:rsidR="00A23B9B" w:rsidRPr="00BD414C" w:rsidRDefault="00A23B9B" w:rsidP="00A23B9B">
            <w:pPr>
              <w:adjustRightInd/>
              <w:spacing w:after="0" w:line="240" w:lineRule="auto"/>
              <w:jc w:val="center"/>
              <w:textAlignment w:val="center"/>
              <w:rPr>
                <w:rFonts w:asciiTheme="minorHAnsi" w:hAnsiTheme="minorHAnsi" w:cs="Arial"/>
                <w:sz w:val="16"/>
                <w:szCs w:val="16"/>
              </w:rPr>
            </w:pPr>
            <w:r w:rsidRPr="0013051A">
              <w:rPr>
                <w:rFonts w:asciiTheme="minorHAnsi" w:hAnsiTheme="minorHAnsi" w:cs="Arial"/>
                <w:kern w:val="24"/>
                <w:sz w:val="16"/>
                <w:szCs w:val="16"/>
              </w:rPr>
              <w:t>No change</w:t>
            </w:r>
          </w:p>
        </w:tc>
      </w:tr>
    </w:tbl>
    <w:p w:rsidR="006B6288" w:rsidRDefault="006B6288" w:rsidP="006B6288"/>
    <w:p w:rsidR="00C46987" w:rsidRDefault="00C46987" w:rsidP="00AA0913">
      <w:pPr>
        <w:keepNext/>
        <w:keepLines/>
        <w:suppressAutoHyphens/>
        <w:spacing w:after="120" w:line="240" w:lineRule="auto"/>
        <w:jc w:val="center"/>
        <w:rPr>
          <w:rFonts w:asciiTheme="majorHAnsi" w:hAnsiTheme="majorHAnsi"/>
          <w:b/>
        </w:rPr>
      </w:pPr>
      <w:r w:rsidRPr="001830DC">
        <w:rPr>
          <w:rFonts w:asciiTheme="majorHAnsi" w:hAnsiTheme="majorHAnsi"/>
          <w:b/>
        </w:rPr>
        <w:t>Table 3-2</w:t>
      </w:r>
      <w:r w:rsidR="00BC0509" w:rsidRPr="001830DC">
        <w:rPr>
          <w:rFonts w:asciiTheme="majorHAnsi" w:hAnsiTheme="majorHAnsi"/>
          <w:b/>
        </w:rPr>
        <w:br/>
      </w:r>
      <w:r w:rsidRPr="001830DC">
        <w:rPr>
          <w:rFonts w:asciiTheme="majorHAnsi" w:hAnsiTheme="majorHAnsi"/>
          <w:b/>
        </w:rPr>
        <w:t xml:space="preserve">Net </w:t>
      </w:r>
      <w:r w:rsidR="00BC0509" w:rsidRPr="001830DC">
        <w:rPr>
          <w:rFonts w:asciiTheme="majorHAnsi" w:hAnsiTheme="majorHAnsi"/>
          <w:b/>
        </w:rPr>
        <w:t>D</w:t>
      </w:r>
      <w:r w:rsidRPr="001830DC">
        <w:rPr>
          <w:rFonts w:asciiTheme="majorHAnsi" w:hAnsiTheme="majorHAnsi"/>
          <w:b/>
        </w:rPr>
        <w:t xml:space="preserve">emand and </w:t>
      </w:r>
      <w:r w:rsidR="00BC0509" w:rsidRPr="001830DC">
        <w:rPr>
          <w:rFonts w:asciiTheme="majorHAnsi" w:hAnsiTheme="majorHAnsi"/>
          <w:b/>
        </w:rPr>
        <w:t>R</w:t>
      </w:r>
      <w:r w:rsidRPr="001830DC">
        <w:rPr>
          <w:rFonts w:asciiTheme="majorHAnsi" w:hAnsiTheme="majorHAnsi"/>
          <w:b/>
        </w:rPr>
        <w:t xml:space="preserve">esource </w:t>
      </w:r>
      <w:r w:rsidR="00BC0509" w:rsidRPr="001830DC">
        <w:rPr>
          <w:rFonts w:asciiTheme="majorHAnsi" w:hAnsiTheme="majorHAnsi"/>
          <w:b/>
        </w:rPr>
        <w:t>A</w:t>
      </w:r>
      <w:r w:rsidRPr="001830DC">
        <w:rPr>
          <w:rFonts w:asciiTheme="majorHAnsi" w:hAnsiTheme="majorHAnsi"/>
          <w:b/>
        </w:rPr>
        <w:t>ssumptions used  in the Renew Plus , EE + Offshore,</w:t>
      </w:r>
      <w:r w:rsidR="00BC0509" w:rsidRPr="001830DC">
        <w:rPr>
          <w:rFonts w:asciiTheme="majorHAnsi" w:hAnsiTheme="majorHAnsi"/>
          <w:b/>
        </w:rPr>
        <w:br/>
      </w:r>
      <w:r w:rsidRPr="001830DC">
        <w:rPr>
          <w:rFonts w:asciiTheme="majorHAnsi" w:hAnsiTheme="majorHAnsi"/>
          <w:b/>
        </w:rPr>
        <w:t xml:space="preserve">Onshore Less EE/PV, and </w:t>
      </w:r>
      <w:r w:rsidR="00AF6389">
        <w:rPr>
          <w:rFonts w:asciiTheme="majorHAnsi" w:hAnsiTheme="majorHAnsi"/>
          <w:b/>
        </w:rPr>
        <w:t>Wind Less Nuclear</w:t>
      </w:r>
      <w:r w:rsidRPr="001830DC">
        <w:rPr>
          <w:rFonts w:asciiTheme="majorHAnsi" w:hAnsiTheme="majorHAnsi"/>
          <w:b/>
        </w:rPr>
        <w:t xml:space="preserve"> </w:t>
      </w:r>
      <w:r w:rsidRPr="00966DFD">
        <w:rPr>
          <w:rFonts w:asciiTheme="majorHAnsi" w:hAnsiTheme="majorHAnsi"/>
          <w:b/>
        </w:rPr>
        <w:t>Scenarios (MW</w:t>
      </w:r>
      <w:r w:rsidR="008E5936" w:rsidRPr="00966DFD">
        <w:rPr>
          <w:rFonts w:asciiTheme="majorHAnsi" w:hAnsiTheme="majorHAnsi"/>
          <w:b/>
        </w:rPr>
        <w:t xml:space="preserve">, </w:t>
      </w:r>
      <w:r w:rsidR="00BF1651" w:rsidRPr="00966DFD">
        <w:rPr>
          <w:rFonts w:asciiTheme="majorHAnsi" w:hAnsiTheme="majorHAnsi"/>
          <w:b/>
        </w:rPr>
        <w:t>Millions</w:t>
      </w:r>
      <w:r w:rsidRPr="00966DFD">
        <w:rPr>
          <w:rFonts w:asciiTheme="majorHAnsi" w:hAnsiTheme="majorHAnsi"/>
          <w:b/>
        </w:rPr>
        <w:t>)</w:t>
      </w:r>
    </w:p>
    <w:tbl>
      <w:tblPr>
        <w:tblW w:w="13850" w:type="dxa"/>
        <w:jc w:val="center"/>
        <w:tblBorders>
          <w:top w:val="single" w:sz="2" w:space="0" w:color="62777F"/>
          <w:left w:val="single" w:sz="2" w:space="0" w:color="62777F"/>
          <w:bottom w:val="single" w:sz="2" w:space="0" w:color="62777F"/>
          <w:right w:val="single" w:sz="2" w:space="0" w:color="62777F"/>
          <w:insideH w:val="single" w:sz="2" w:space="0" w:color="62777F"/>
          <w:insideV w:val="single" w:sz="2" w:space="0" w:color="62777F"/>
        </w:tblBorders>
        <w:tblCellMar>
          <w:left w:w="0" w:type="dxa"/>
          <w:right w:w="0" w:type="dxa"/>
        </w:tblCellMar>
        <w:tblLook w:val="0600" w:firstRow="0" w:lastRow="0" w:firstColumn="0" w:lastColumn="0" w:noHBand="1" w:noVBand="1"/>
      </w:tblPr>
      <w:tblGrid>
        <w:gridCol w:w="1560"/>
        <w:gridCol w:w="1320"/>
        <w:gridCol w:w="1200"/>
        <w:gridCol w:w="1340"/>
        <w:gridCol w:w="1240"/>
        <w:gridCol w:w="1200"/>
        <w:gridCol w:w="1080"/>
        <w:gridCol w:w="1220"/>
        <w:gridCol w:w="1180"/>
        <w:gridCol w:w="840"/>
        <w:gridCol w:w="760"/>
        <w:gridCol w:w="910"/>
      </w:tblGrid>
      <w:tr w:rsidR="000C69F3" w:rsidRPr="003C5515" w:rsidTr="0012342C">
        <w:trPr>
          <w:trHeight w:val="1152"/>
          <w:jc w:val="center"/>
        </w:trPr>
        <w:tc>
          <w:tcPr>
            <w:tcW w:w="156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hAnsiTheme="majorHAnsi" w:cs="Arial"/>
                <w:b/>
                <w:bCs/>
                <w:color w:val="FFFFFF" w:themeColor="background1"/>
                <w:kern w:val="24"/>
                <w:sz w:val="18"/>
                <w:szCs w:val="18"/>
              </w:rPr>
              <w:t>Year 2030</w:t>
            </w:r>
          </w:p>
        </w:tc>
        <w:tc>
          <w:tcPr>
            <w:tcW w:w="132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Gross Demand</w:t>
            </w:r>
          </w:p>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 xml:space="preserve">50/50 </w:t>
            </w:r>
          </w:p>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Summer Peak based on</w:t>
            </w:r>
            <w:r w:rsidRPr="00327F16">
              <w:rPr>
                <w:rFonts w:asciiTheme="majorHAnsi" w:eastAsiaTheme="minorEastAsia" w:hAnsiTheme="majorHAnsi" w:cstheme="minorBidi"/>
                <w:b/>
                <w:bCs/>
                <w:color w:val="FFFFFF" w:themeColor="background1"/>
                <w:kern w:val="24"/>
                <w:sz w:val="18"/>
                <w:szCs w:val="18"/>
              </w:rPr>
              <w:br/>
              <w:t xml:space="preserve">2016 CELT </w:t>
            </w:r>
          </w:p>
        </w:tc>
        <w:tc>
          <w:tcPr>
            <w:tcW w:w="120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Energy Efficiency</w:t>
            </w:r>
          </w:p>
        </w:tc>
        <w:tc>
          <w:tcPr>
            <w:tcW w:w="134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Behind-the- Meter PV (Nameplate)</w:t>
            </w:r>
          </w:p>
        </w:tc>
        <w:tc>
          <w:tcPr>
            <w:tcW w:w="124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Utility PV (Nameplate)</w:t>
            </w:r>
          </w:p>
        </w:tc>
        <w:tc>
          <w:tcPr>
            <w:tcW w:w="120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Demand Resources</w:t>
            </w:r>
          </w:p>
        </w:tc>
        <w:tc>
          <w:tcPr>
            <w:tcW w:w="108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Retirements</w:t>
            </w:r>
          </w:p>
        </w:tc>
        <w:tc>
          <w:tcPr>
            <w:tcW w:w="122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 xml:space="preserve">Onshore </w:t>
            </w:r>
          </w:p>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Wind</w:t>
            </w:r>
          </w:p>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(Nameplate)</w:t>
            </w:r>
          </w:p>
        </w:tc>
        <w:tc>
          <w:tcPr>
            <w:tcW w:w="118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Offshore Wind (Nameplate)</w:t>
            </w:r>
          </w:p>
        </w:tc>
        <w:tc>
          <w:tcPr>
            <w:tcW w:w="84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Battery Storage</w:t>
            </w:r>
          </w:p>
        </w:tc>
        <w:tc>
          <w:tcPr>
            <w:tcW w:w="76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PHEV</w:t>
            </w:r>
            <w:r w:rsidRPr="00327F16">
              <w:rPr>
                <w:rFonts w:asciiTheme="majorHAnsi" w:eastAsiaTheme="minorEastAsia" w:hAnsiTheme="majorHAnsi" w:cstheme="minorBidi"/>
                <w:b/>
                <w:bCs/>
                <w:color w:val="FFFFFF" w:themeColor="background1"/>
                <w:kern w:val="24"/>
                <w:sz w:val="18"/>
                <w:szCs w:val="18"/>
              </w:rPr>
              <w:br/>
              <w:t>(# of vehicles)</w:t>
            </w:r>
          </w:p>
        </w:tc>
        <w:tc>
          <w:tcPr>
            <w:tcW w:w="910" w:type="dxa"/>
            <w:shd w:val="clear" w:color="auto" w:fill="1795D2" w:themeFill="accent1"/>
            <w:tcMar>
              <w:top w:w="7" w:type="dxa"/>
              <w:left w:w="7" w:type="dxa"/>
              <w:bottom w:w="0" w:type="dxa"/>
              <w:right w:w="7" w:type="dxa"/>
            </w:tcMar>
            <w:vAlign w:val="center"/>
            <w:hideMark/>
          </w:tcPr>
          <w:p w:rsidR="000C69F3" w:rsidRPr="00327F16" w:rsidRDefault="000C69F3" w:rsidP="00AA0913">
            <w:pPr>
              <w:keepNext/>
              <w:keepLines/>
              <w:suppressAutoHyphens/>
              <w:adjustRightInd/>
              <w:spacing w:after="0" w:line="240" w:lineRule="auto"/>
              <w:jc w:val="center"/>
              <w:textAlignment w:val="center"/>
              <w:rPr>
                <w:rFonts w:asciiTheme="majorHAnsi" w:hAnsiTheme="majorHAnsi" w:cs="Arial"/>
                <w:color w:val="FFFFFF" w:themeColor="background1"/>
                <w:sz w:val="18"/>
                <w:szCs w:val="18"/>
              </w:rPr>
            </w:pPr>
            <w:r w:rsidRPr="00327F16">
              <w:rPr>
                <w:rFonts w:asciiTheme="majorHAnsi" w:eastAsiaTheme="minorEastAsia" w:hAnsiTheme="majorHAnsi" w:cstheme="minorBidi"/>
                <w:b/>
                <w:bCs/>
                <w:color w:val="FFFFFF" w:themeColor="background1"/>
                <w:kern w:val="24"/>
                <w:sz w:val="18"/>
                <w:szCs w:val="18"/>
              </w:rPr>
              <w:t>Add. Imports from HQ and NB</w:t>
            </w:r>
          </w:p>
        </w:tc>
      </w:tr>
      <w:tr w:rsidR="000C69F3" w:rsidRPr="00703ACF" w:rsidTr="00AA0913">
        <w:trPr>
          <w:trHeight w:val="1428"/>
          <w:jc w:val="center"/>
        </w:trPr>
        <w:tc>
          <w:tcPr>
            <w:tcW w:w="156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2016 Scenario 3</w:t>
            </w:r>
            <w:r w:rsidRPr="00703ACF">
              <w:rPr>
                <w:rFonts w:asciiTheme="majorHAnsi" w:hAnsiTheme="majorHAnsi" w:cs="Arial"/>
                <w:b/>
                <w:bCs/>
                <w:color w:val="000000"/>
                <w:kern w:val="24"/>
                <w:sz w:val="18"/>
                <w:szCs w:val="18"/>
              </w:rPr>
              <w:br/>
              <w:t>Renew Plus</w:t>
            </w:r>
            <w:r w:rsidRPr="00703ACF">
              <w:rPr>
                <w:rFonts w:asciiTheme="majorHAnsi" w:hAnsiTheme="majorHAnsi" w:cs="Arial"/>
                <w:b/>
                <w:bCs/>
                <w:color w:val="000000"/>
                <w:kern w:val="24"/>
                <w:sz w:val="18"/>
                <w:szCs w:val="18"/>
              </w:rPr>
              <w:br/>
            </w:r>
            <w:r w:rsidRPr="00847291">
              <w:rPr>
                <w:rFonts w:asciiTheme="majorHAnsi" w:hAnsiTheme="majorHAnsi" w:cs="Arial"/>
                <w:b/>
                <w:bCs/>
                <w:kern w:val="24"/>
                <w:sz w:val="18"/>
                <w:szCs w:val="18"/>
              </w:rPr>
              <w:t>(Reference)</w:t>
            </w:r>
          </w:p>
        </w:tc>
        <w:tc>
          <w:tcPr>
            <w:tcW w:w="132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33,343 MW</w:t>
            </w:r>
          </w:p>
        </w:tc>
        <w:tc>
          <w:tcPr>
            <w:tcW w:w="120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7,009 MW</w:t>
            </w:r>
          </w:p>
        </w:tc>
        <w:tc>
          <w:tcPr>
            <w:tcW w:w="13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w:t>
            </w:r>
          </w:p>
        </w:tc>
        <w:tc>
          <w:tcPr>
            <w:tcW w:w="12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w:t>
            </w:r>
          </w:p>
        </w:tc>
        <w:tc>
          <w:tcPr>
            <w:tcW w:w="120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1,319 MW, incl. 319 MW from FCA #10 and</w:t>
            </w:r>
            <w:r w:rsidRPr="00703ACF">
              <w:rPr>
                <w:rFonts w:asciiTheme="majorHAnsi" w:hAnsiTheme="majorHAnsi" w:cs="Arial"/>
                <w:kern w:val="24"/>
                <w:sz w:val="18"/>
                <w:szCs w:val="18"/>
              </w:rPr>
              <w:br/>
              <w:t>1,000 MW of price-responsive  active demand resources</w:t>
            </w:r>
          </w:p>
        </w:tc>
        <w:tc>
          <w:tcPr>
            <w:tcW w:w="108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All oldest oil/coal</w:t>
            </w:r>
            <w:r w:rsidRPr="00703ACF">
              <w:rPr>
                <w:rFonts w:asciiTheme="majorHAnsi" w:hAnsiTheme="majorHAnsi" w:cs="Arial"/>
                <w:kern w:val="24"/>
                <w:sz w:val="18"/>
                <w:szCs w:val="18"/>
              </w:rPr>
              <w:br/>
              <w:t>5,577 MW</w:t>
            </w:r>
          </w:p>
        </w:tc>
        <w:tc>
          <w:tcPr>
            <w:tcW w:w="122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4,800 MW</w:t>
            </w:r>
          </w:p>
        </w:tc>
        <w:tc>
          <w:tcPr>
            <w:tcW w:w="118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2,483 MW</w:t>
            </w:r>
          </w:p>
        </w:tc>
        <w:tc>
          <w:tcPr>
            <w:tcW w:w="8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w:t>
            </w:r>
          </w:p>
        </w:tc>
        <w:tc>
          <w:tcPr>
            <w:tcW w:w="76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4.2 million</w:t>
            </w:r>
          </w:p>
        </w:tc>
        <w:tc>
          <w:tcPr>
            <w:tcW w:w="91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2,000 MW</w:t>
            </w:r>
          </w:p>
        </w:tc>
      </w:tr>
      <w:tr w:rsidR="000C69F3" w:rsidRPr="003C5515" w:rsidTr="0012342C">
        <w:trPr>
          <w:trHeight w:val="720"/>
          <w:jc w:val="center"/>
        </w:trPr>
        <w:tc>
          <w:tcPr>
            <w:tcW w:w="156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A</w:t>
            </w:r>
            <w:r w:rsidRPr="00703ACF">
              <w:rPr>
                <w:rFonts w:asciiTheme="majorHAnsi" w:hAnsiTheme="majorHAnsi" w:cs="Arial"/>
                <w:b/>
                <w:bCs/>
                <w:color w:val="000000"/>
                <w:kern w:val="24"/>
                <w:sz w:val="18"/>
                <w:szCs w:val="18"/>
              </w:rPr>
              <w:br/>
              <w:t>EE + Offshore</w:t>
            </w:r>
          </w:p>
        </w:tc>
        <w:tc>
          <w:tcPr>
            <w:tcW w:w="132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33,343 MW</w:t>
            </w:r>
          </w:p>
        </w:tc>
        <w:tc>
          <w:tcPr>
            <w:tcW w:w="120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9,009 MW</w:t>
            </w:r>
          </w:p>
        </w:tc>
        <w:tc>
          <w:tcPr>
            <w:tcW w:w="13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8,000 MW</w:t>
            </w:r>
          </w:p>
        </w:tc>
        <w:tc>
          <w:tcPr>
            <w:tcW w:w="12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4,000 MW</w:t>
            </w:r>
          </w:p>
        </w:tc>
        <w:tc>
          <w:tcPr>
            <w:tcW w:w="120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1,319 MW </w:t>
            </w:r>
          </w:p>
        </w:tc>
        <w:tc>
          <w:tcPr>
            <w:tcW w:w="108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5,577 MW </w:t>
            </w:r>
          </w:p>
        </w:tc>
        <w:tc>
          <w:tcPr>
            <w:tcW w:w="122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2,000 MW</w:t>
            </w:r>
          </w:p>
        </w:tc>
        <w:tc>
          <w:tcPr>
            <w:tcW w:w="118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3,483 MW</w:t>
            </w:r>
          </w:p>
        </w:tc>
        <w:tc>
          <w:tcPr>
            <w:tcW w:w="8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 </w:t>
            </w:r>
          </w:p>
        </w:tc>
        <w:tc>
          <w:tcPr>
            <w:tcW w:w="76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4.2</w:t>
            </w:r>
            <w:r w:rsidRPr="00703ACF">
              <w:rPr>
                <w:rFonts w:asciiTheme="majorHAnsi" w:hAnsiTheme="majorHAnsi" w:cs="Arial"/>
                <w:kern w:val="24"/>
                <w:sz w:val="18"/>
                <w:szCs w:val="18"/>
              </w:rPr>
              <w:br/>
              <w:t>million</w:t>
            </w:r>
          </w:p>
        </w:tc>
        <w:tc>
          <w:tcPr>
            <w:tcW w:w="91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1,000 MW</w:t>
            </w:r>
          </w:p>
        </w:tc>
      </w:tr>
      <w:tr w:rsidR="000C69F3" w:rsidRPr="003C5515" w:rsidTr="0012342C">
        <w:trPr>
          <w:trHeight w:val="864"/>
          <w:jc w:val="center"/>
        </w:trPr>
        <w:tc>
          <w:tcPr>
            <w:tcW w:w="156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B</w:t>
            </w:r>
            <w:r w:rsidRPr="00703ACF">
              <w:rPr>
                <w:rFonts w:asciiTheme="majorHAnsi" w:hAnsiTheme="majorHAnsi" w:cs="Arial"/>
                <w:b/>
                <w:bCs/>
                <w:color w:val="000000"/>
                <w:kern w:val="24"/>
                <w:sz w:val="18"/>
                <w:szCs w:val="18"/>
              </w:rPr>
              <w:br/>
              <w:t>Onshore Less EE/PV</w:t>
            </w:r>
          </w:p>
        </w:tc>
        <w:tc>
          <w:tcPr>
            <w:tcW w:w="132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33,343 MW</w:t>
            </w:r>
          </w:p>
        </w:tc>
        <w:tc>
          <w:tcPr>
            <w:tcW w:w="120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4,739 MW</w:t>
            </w:r>
          </w:p>
        </w:tc>
        <w:tc>
          <w:tcPr>
            <w:tcW w:w="13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4,000 MW</w:t>
            </w:r>
          </w:p>
        </w:tc>
        <w:tc>
          <w:tcPr>
            <w:tcW w:w="12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154 MW</w:t>
            </w:r>
          </w:p>
        </w:tc>
        <w:tc>
          <w:tcPr>
            <w:tcW w:w="120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319 MW of active demand resources</w:t>
            </w:r>
          </w:p>
        </w:tc>
        <w:tc>
          <w:tcPr>
            <w:tcW w:w="108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5,577 MW </w:t>
            </w:r>
          </w:p>
        </w:tc>
        <w:tc>
          <w:tcPr>
            <w:tcW w:w="122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7,000 MW</w:t>
            </w:r>
          </w:p>
        </w:tc>
        <w:tc>
          <w:tcPr>
            <w:tcW w:w="118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2,483 MW </w:t>
            </w:r>
          </w:p>
        </w:tc>
        <w:tc>
          <w:tcPr>
            <w:tcW w:w="84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0 MW</w:t>
            </w:r>
          </w:p>
        </w:tc>
        <w:tc>
          <w:tcPr>
            <w:tcW w:w="76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None</w:t>
            </w:r>
          </w:p>
        </w:tc>
        <w:tc>
          <w:tcPr>
            <w:tcW w:w="910" w:type="dxa"/>
            <w:shd w:val="clear" w:color="auto" w:fill="auto"/>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1,000 MW</w:t>
            </w:r>
          </w:p>
        </w:tc>
      </w:tr>
      <w:tr w:rsidR="000C69F3" w:rsidRPr="003C5515" w:rsidTr="0012342C">
        <w:trPr>
          <w:trHeight w:val="1500"/>
          <w:jc w:val="center"/>
        </w:trPr>
        <w:tc>
          <w:tcPr>
            <w:tcW w:w="156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b/>
                <w:bCs/>
                <w:color w:val="000000"/>
                <w:kern w:val="24"/>
                <w:sz w:val="18"/>
                <w:szCs w:val="18"/>
              </w:rPr>
              <w:t>2017 Scenario C</w:t>
            </w:r>
            <w:r w:rsidRPr="00703ACF">
              <w:rPr>
                <w:rFonts w:asciiTheme="majorHAnsi" w:hAnsiTheme="majorHAnsi" w:cs="Arial"/>
                <w:b/>
                <w:bCs/>
                <w:color w:val="000000"/>
                <w:kern w:val="24"/>
                <w:sz w:val="18"/>
                <w:szCs w:val="18"/>
              </w:rPr>
              <w:br/>
            </w:r>
            <w:r w:rsidR="00AF6389">
              <w:rPr>
                <w:rFonts w:asciiTheme="majorHAnsi" w:hAnsiTheme="majorHAnsi" w:cs="Arial"/>
                <w:b/>
                <w:bCs/>
                <w:color w:val="000000"/>
                <w:kern w:val="24"/>
                <w:sz w:val="18"/>
                <w:szCs w:val="18"/>
              </w:rPr>
              <w:t>Wind Less Nuclear</w:t>
            </w:r>
          </w:p>
        </w:tc>
        <w:tc>
          <w:tcPr>
            <w:tcW w:w="132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eastAsiaTheme="minorEastAsia" w:hAnsiTheme="majorHAnsi" w:cstheme="minorBidi"/>
                <w:kern w:val="24"/>
                <w:sz w:val="18"/>
                <w:szCs w:val="18"/>
              </w:rPr>
              <w:t>33,343 MW</w:t>
            </w:r>
          </w:p>
        </w:tc>
        <w:tc>
          <w:tcPr>
            <w:tcW w:w="120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7,009 MW</w:t>
            </w:r>
          </w:p>
        </w:tc>
        <w:tc>
          <w:tcPr>
            <w:tcW w:w="13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6,000 MW </w:t>
            </w:r>
          </w:p>
        </w:tc>
        <w:tc>
          <w:tcPr>
            <w:tcW w:w="12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6,000 MW</w:t>
            </w:r>
          </w:p>
        </w:tc>
        <w:tc>
          <w:tcPr>
            <w:tcW w:w="120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1,319 MW</w:t>
            </w:r>
          </w:p>
        </w:tc>
        <w:tc>
          <w:tcPr>
            <w:tcW w:w="108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7,699 MW (</w:t>
            </w:r>
            <w:r>
              <w:rPr>
                <w:rFonts w:asciiTheme="majorHAnsi" w:hAnsiTheme="majorHAnsi" w:cs="Arial"/>
                <w:kern w:val="24"/>
                <w:sz w:val="18"/>
                <w:szCs w:val="18"/>
              </w:rPr>
              <w:t>incl.</w:t>
            </w:r>
            <w:r w:rsidRPr="00703ACF">
              <w:rPr>
                <w:rFonts w:asciiTheme="majorHAnsi" w:hAnsiTheme="majorHAnsi" w:cs="Arial"/>
                <w:kern w:val="24"/>
                <w:sz w:val="18"/>
                <w:szCs w:val="18"/>
              </w:rPr>
              <w:t xml:space="preserve"> </w:t>
            </w:r>
            <w:r>
              <w:rPr>
                <w:rFonts w:asciiTheme="majorHAnsi" w:hAnsiTheme="majorHAnsi" w:cs="Arial"/>
                <w:kern w:val="24"/>
                <w:sz w:val="18"/>
                <w:szCs w:val="18"/>
              </w:rPr>
              <w:t xml:space="preserve">the removal of </w:t>
            </w:r>
            <w:r w:rsidRPr="00703ACF">
              <w:rPr>
                <w:rFonts w:asciiTheme="majorHAnsi" w:hAnsiTheme="majorHAnsi" w:cs="Arial"/>
                <w:kern w:val="24"/>
                <w:sz w:val="18"/>
                <w:szCs w:val="18"/>
              </w:rPr>
              <w:t>2,122 MW</w:t>
            </w:r>
            <w:r w:rsidRPr="00703ACF">
              <w:rPr>
                <w:rFonts w:asciiTheme="majorHAnsi" w:hAnsiTheme="majorHAnsi" w:cs="Arial"/>
                <w:kern w:val="24"/>
                <w:sz w:val="18"/>
                <w:szCs w:val="18"/>
              </w:rPr>
              <w:br/>
              <w:t>of nuclear generation)</w:t>
            </w:r>
          </w:p>
        </w:tc>
        <w:tc>
          <w:tcPr>
            <w:tcW w:w="122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8,906 MW</w:t>
            </w:r>
          </w:p>
        </w:tc>
        <w:tc>
          <w:tcPr>
            <w:tcW w:w="118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4,085 MW</w:t>
            </w:r>
          </w:p>
        </w:tc>
        <w:tc>
          <w:tcPr>
            <w:tcW w:w="84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2,500 MW</w:t>
            </w:r>
          </w:p>
        </w:tc>
        <w:tc>
          <w:tcPr>
            <w:tcW w:w="76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4.2</w:t>
            </w:r>
            <w:r w:rsidRPr="00703ACF">
              <w:rPr>
                <w:rFonts w:asciiTheme="majorHAnsi" w:hAnsiTheme="majorHAnsi" w:cs="Arial"/>
                <w:kern w:val="24"/>
                <w:sz w:val="18"/>
                <w:szCs w:val="18"/>
              </w:rPr>
              <w:br/>
              <w:t>million</w:t>
            </w:r>
          </w:p>
        </w:tc>
        <w:tc>
          <w:tcPr>
            <w:tcW w:w="910" w:type="dxa"/>
            <w:shd w:val="clear" w:color="auto" w:fill="CCEAF9" w:themeFill="accent1" w:themeFillTint="33"/>
            <w:tcMar>
              <w:top w:w="7" w:type="dxa"/>
              <w:left w:w="7" w:type="dxa"/>
              <w:bottom w:w="0" w:type="dxa"/>
              <w:right w:w="7" w:type="dxa"/>
            </w:tcMar>
            <w:vAlign w:val="center"/>
            <w:hideMark/>
          </w:tcPr>
          <w:p w:rsidR="000C69F3" w:rsidRPr="00703ACF" w:rsidRDefault="000C69F3" w:rsidP="00AA0913">
            <w:pPr>
              <w:keepNext/>
              <w:keepLines/>
              <w:suppressAutoHyphens/>
              <w:adjustRightInd/>
              <w:spacing w:after="0" w:line="240" w:lineRule="auto"/>
              <w:jc w:val="center"/>
              <w:textAlignment w:val="center"/>
              <w:rPr>
                <w:rFonts w:asciiTheme="majorHAnsi" w:hAnsiTheme="majorHAnsi" w:cs="Arial"/>
                <w:sz w:val="18"/>
                <w:szCs w:val="18"/>
              </w:rPr>
            </w:pPr>
            <w:r w:rsidRPr="00703ACF">
              <w:rPr>
                <w:rFonts w:asciiTheme="majorHAnsi" w:hAnsiTheme="majorHAnsi" w:cs="Arial"/>
                <w:kern w:val="24"/>
                <w:sz w:val="18"/>
                <w:szCs w:val="18"/>
              </w:rPr>
              <w:t> 2,000 MW</w:t>
            </w:r>
          </w:p>
        </w:tc>
      </w:tr>
    </w:tbl>
    <w:p w:rsidR="00BC0509" w:rsidRDefault="00BC0509" w:rsidP="006253E7"/>
    <w:p w:rsidR="00BC0509" w:rsidRDefault="00BC0509" w:rsidP="006253E7">
      <w:pPr>
        <w:sectPr w:rsidR="00BC0509" w:rsidSect="00BF1651">
          <w:footerReference w:type="default" r:id="rId24"/>
          <w:pgSz w:w="15840" w:h="12240" w:orient="landscape" w:code="1"/>
          <w:pgMar w:top="810" w:right="1440" w:bottom="1440" w:left="1440" w:header="720" w:footer="720" w:gutter="0"/>
          <w:cols w:space="720"/>
          <w:docGrid w:linePitch="360"/>
        </w:sectPr>
      </w:pPr>
    </w:p>
    <w:p w:rsidR="00F565D2" w:rsidRPr="00EA53ED" w:rsidRDefault="00381209" w:rsidP="00466FBF">
      <w:pPr>
        <w:pStyle w:val="Heading1"/>
      </w:pPr>
      <w:bookmarkStart w:id="90" w:name="_Toc477794617"/>
      <w:bookmarkStart w:id="91" w:name="_Toc477794618"/>
      <w:bookmarkEnd w:id="87"/>
      <w:bookmarkEnd w:id="88"/>
      <w:bookmarkEnd w:id="90"/>
      <w:bookmarkEnd w:id="91"/>
      <w:r>
        <w:br/>
      </w:r>
      <w:bookmarkStart w:id="92" w:name="_Ref162681656"/>
      <w:bookmarkStart w:id="93" w:name="_Toc165018188"/>
      <w:bookmarkStart w:id="94" w:name="_Ref166132635"/>
      <w:bookmarkStart w:id="95" w:name="_Ref166224497"/>
      <w:bookmarkStart w:id="96" w:name="_Toc173682265"/>
      <w:bookmarkStart w:id="97" w:name="_Ref476319012"/>
      <w:bookmarkStart w:id="98" w:name="_Toc528571195"/>
      <w:r w:rsidR="00A60F9F">
        <w:t>Methodology</w:t>
      </w:r>
      <w:r w:rsidR="000760E1">
        <w:t xml:space="preserve"> and</w:t>
      </w:r>
      <w:r w:rsidR="00A60F9F">
        <w:t xml:space="preserve"> Metrics</w:t>
      </w:r>
      <w:bookmarkEnd w:id="92"/>
      <w:bookmarkEnd w:id="93"/>
      <w:bookmarkEnd w:id="94"/>
      <w:bookmarkEnd w:id="95"/>
      <w:bookmarkEnd w:id="96"/>
      <w:bookmarkEnd w:id="97"/>
      <w:bookmarkEnd w:id="98"/>
    </w:p>
    <w:p w:rsidR="00C723E7" w:rsidRDefault="00BD7441" w:rsidP="00C723E7">
      <w:r w:rsidRPr="003A0CF2">
        <w:t>Th</w:t>
      </w:r>
      <w:r w:rsidR="00893A27">
        <w:t xml:space="preserve">is section </w:t>
      </w:r>
      <w:r w:rsidR="00D13B5B">
        <w:t xml:space="preserve">discusses the </w:t>
      </w:r>
      <w:r w:rsidR="00A60F9F">
        <w:t xml:space="preserve">methodology </w:t>
      </w:r>
      <w:r w:rsidR="00D13B5B">
        <w:t>used</w:t>
      </w:r>
      <w:r w:rsidR="00D13B5B" w:rsidRPr="003A0CF2">
        <w:t xml:space="preserve"> </w:t>
      </w:r>
      <w:r w:rsidR="005F3C4F">
        <w:t>in the 201</w:t>
      </w:r>
      <w:r w:rsidR="00A734BA">
        <w:t>7</w:t>
      </w:r>
      <w:r w:rsidR="005F3C4F">
        <w:t xml:space="preserve"> </w:t>
      </w:r>
      <w:r w:rsidR="00125DA8">
        <w:t>Economic Study</w:t>
      </w:r>
      <w:r w:rsidR="00A60F9F">
        <w:t xml:space="preserve"> </w:t>
      </w:r>
      <w:r w:rsidR="00A60F9F" w:rsidRPr="001A11D5">
        <w:t>to simulate</w:t>
      </w:r>
      <w:r w:rsidR="0097243A">
        <w:t xml:space="preserve"> the various futures</w:t>
      </w:r>
      <w:r w:rsidR="00A60F9F" w:rsidRPr="001A11D5">
        <w:t xml:space="preserve"> and </w:t>
      </w:r>
      <w:r w:rsidR="0097243A">
        <w:t xml:space="preserve">the metrics used to </w:t>
      </w:r>
      <w:r w:rsidR="00A60F9F" w:rsidRPr="001A11D5">
        <w:t>study the different scenarios</w:t>
      </w:r>
      <w:r w:rsidR="000357EE">
        <w:t>.</w:t>
      </w:r>
      <w:r w:rsidR="00A60F9F" w:rsidRPr="001A11D5">
        <w:t xml:space="preserve"> </w:t>
      </w:r>
    </w:p>
    <w:p w:rsidR="003E0BC0" w:rsidRPr="001A11D5" w:rsidRDefault="00C52E23" w:rsidP="00B8270A">
      <w:pPr>
        <w:pStyle w:val="Heading2"/>
      </w:pPr>
      <w:bookmarkStart w:id="99" w:name="_Toc528571196"/>
      <w:r w:rsidRPr="001A11D5">
        <w:t>Meth</w:t>
      </w:r>
      <w:r w:rsidR="00567108">
        <w:t>o</w:t>
      </w:r>
      <w:r w:rsidRPr="001A11D5">
        <w:t>dology</w:t>
      </w:r>
      <w:bookmarkEnd w:id="99"/>
    </w:p>
    <w:p w:rsidR="00E5063C" w:rsidRDefault="00A60F9F" w:rsidP="003E0BC0">
      <w:r w:rsidRPr="00A60F9F">
        <w:t xml:space="preserve">ABB’s GridView </w:t>
      </w:r>
      <w:r w:rsidR="003433E5">
        <w:t>program</w:t>
      </w:r>
      <w:r w:rsidR="009C437E">
        <w:t xml:space="preserve">, </w:t>
      </w:r>
      <w:r w:rsidR="009C437E" w:rsidRPr="001A11D5">
        <w:t xml:space="preserve">a </w:t>
      </w:r>
      <w:r w:rsidR="009C437E" w:rsidRPr="00E5063C">
        <w:t xml:space="preserve">common </w:t>
      </w:r>
      <w:r w:rsidR="003433E5" w:rsidRPr="00E5063C">
        <w:t>simulation</w:t>
      </w:r>
      <w:r w:rsidR="009C437E" w:rsidRPr="00E5063C">
        <w:t xml:space="preserve"> tool vetted before stakeholders</w:t>
      </w:r>
      <w:r w:rsidR="009C437E" w:rsidRPr="001A11D5">
        <w:t>,</w:t>
      </w:r>
      <w:r w:rsidR="009C437E" w:rsidRPr="00A60F9F">
        <w:t xml:space="preserve"> </w:t>
      </w:r>
      <w:r w:rsidR="003433E5">
        <w:t>calculate</w:t>
      </w:r>
      <w:r w:rsidR="009922B5">
        <w:t xml:space="preserve">s least-cost </w:t>
      </w:r>
      <w:r w:rsidR="009922B5" w:rsidRPr="00F43291">
        <w:t>transmission</w:t>
      </w:r>
      <w:r w:rsidR="009922B5" w:rsidRPr="00241D31">
        <w:t>-</w:t>
      </w:r>
      <w:r w:rsidR="009922B5" w:rsidRPr="00F43291">
        <w:t>security</w:t>
      </w:r>
      <w:r w:rsidR="009922B5">
        <w:t>-</w:t>
      </w:r>
      <w:r w:rsidR="009922B5" w:rsidRPr="00241D31">
        <w:t>c</w:t>
      </w:r>
      <w:r w:rsidR="009922B5" w:rsidRPr="00F43291">
        <w:t>onstrain</w:t>
      </w:r>
      <w:r w:rsidR="009922B5" w:rsidRPr="00241D31">
        <w:t xml:space="preserve">ed </w:t>
      </w:r>
      <w:r w:rsidR="009922B5" w:rsidRPr="00F43291">
        <w:t>unit</w:t>
      </w:r>
      <w:r w:rsidR="009922B5">
        <w:t xml:space="preserve"> commitment and economic dispatch under differing sets of assumptions and </w:t>
      </w:r>
      <w:r w:rsidR="009922B5" w:rsidRPr="00147DA2">
        <w:t>minimize</w:t>
      </w:r>
      <w:r w:rsidR="009922B5">
        <w:t>s</w:t>
      </w:r>
      <w:r w:rsidR="009922B5" w:rsidRPr="00147DA2">
        <w:t xml:space="preserve"> production costs </w:t>
      </w:r>
      <w:r w:rsidR="009922B5">
        <w:t xml:space="preserve">for a </w:t>
      </w:r>
      <w:r w:rsidR="009922B5" w:rsidRPr="00147DA2">
        <w:t>given set of unit characteristics</w:t>
      </w:r>
      <w:r w:rsidR="009922B5">
        <w:t xml:space="preserve">. The </w:t>
      </w:r>
      <w:r w:rsidR="00EF6097">
        <w:t xml:space="preserve">program can explicitly model a full network, but the New England </w:t>
      </w:r>
      <w:r w:rsidR="00056618">
        <w:t xml:space="preserve">study </w:t>
      </w:r>
      <w:r w:rsidR="009922B5">
        <w:t>model use</w:t>
      </w:r>
      <w:r w:rsidR="00EF6097">
        <w:t>d</w:t>
      </w:r>
      <w:r w:rsidR="009922B5">
        <w:t xml:space="preserve"> </w:t>
      </w:r>
      <w:r w:rsidR="00EF6097" w:rsidRPr="00E5063C">
        <w:t>a</w:t>
      </w:r>
      <w:r w:rsidR="009922B5" w:rsidRPr="00E5063C">
        <w:t xml:space="preserve"> “pipe and bubble” format, with “pipes” </w:t>
      </w:r>
      <w:r w:rsidR="009922B5" w:rsidRPr="00431087">
        <w:t xml:space="preserve">representing transmission </w:t>
      </w:r>
      <w:r w:rsidR="003433E5" w:rsidRPr="00431087">
        <w:t xml:space="preserve">interfaces connecting the </w:t>
      </w:r>
      <w:r w:rsidR="009922B5" w:rsidRPr="00431087">
        <w:t>“bubbles” representing the various planning areas</w:t>
      </w:r>
      <w:r w:rsidR="00860D3B">
        <w:t xml:space="preserve">. </w:t>
      </w:r>
    </w:p>
    <w:p w:rsidR="009922B5" w:rsidRDefault="00EF6097" w:rsidP="003E0BC0">
      <w:r>
        <w:t xml:space="preserve">The ISO system </w:t>
      </w:r>
      <w:r w:rsidR="009922B5" w:rsidRPr="00241D31">
        <w:t xml:space="preserve">was modeled as a constrained single area for unit commitment, and regional resources were </w:t>
      </w:r>
      <w:r w:rsidR="009922B5" w:rsidRPr="00327F16">
        <w:t>economically dispatched in the simulations to respect the assumed transmission system security constraints under normal and contingency conditions</w:t>
      </w:r>
      <w:r w:rsidR="009922B5" w:rsidRPr="00447FC5">
        <w:t>.</w:t>
      </w:r>
      <w:r w:rsidR="009922B5">
        <w:t xml:space="preserve"> Depending on the case, the model dispatched </w:t>
      </w:r>
      <w:r w:rsidR="009922B5" w:rsidRPr="00147DA2">
        <w:t xml:space="preserve">up to </w:t>
      </w:r>
      <w:r w:rsidR="00CE4BC3">
        <w:t xml:space="preserve">approximately </w:t>
      </w:r>
      <w:r w:rsidR="009922B5" w:rsidRPr="00147DA2">
        <w:t>900 units (new</w:t>
      </w:r>
      <w:r w:rsidR="009922B5" w:rsidRPr="00447FC5">
        <w:t xml:space="preserve"> and existing) in New England</w:t>
      </w:r>
      <w:r w:rsidR="009922B5">
        <w:t xml:space="preserve">. </w:t>
      </w:r>
      <w:r w:rsidR="009922B5" w:rsidRPr="00241D31">
        <w:t xml:space="preserve">For each scenario’s set of </w:t>
      </w:r>
      <w:r w:rsidR="009922B5" w:rsidRPr="004F586B">
        <w:t xml:space="preserve">resources </w:t>
      </w:r>
      <w:r w:rsidR="009922B5" w:rsidRPr="00241D31">
        <w:t xml:space="preserve">(with their various operating characteristics), the simulation “dispatched” power plants to meet different levels of customer demand in every hour of the year being analyzed. These simulations established </w:t>
      </w:r>
      <w:r>
        <w:t xml:space="preserve">a </w:t>
      </w:r>
      <w:r w:rsidR="009922B5" w:rsidRPr="00241D31">
        <w:t xml:space="preserve">wide array of </w:t>
      </w:r>
      <w:r w:rsidR="009922B5" w:rsidRPr="004F586B">
        <w:t xml:space="preserve">hypothetical data </w:t>
      </w:r>
      <w:r w:rsidR="009922B5" w:rsidRPr="00241D31">
        <w:t>about how the electric power system “performed” in terms of reliability, economics, and environmental indicators and the effects of transmission system constraints.</w:t>
      </w:r>
      <w:r w:rsidR="009922B5">
        <w:t xml:space="preserve"> </w:t>
      </w:r>
    </w:p>
    <w:p w:rsidR="003E0BC0" w:rsidRDefault="009355EB" w:rsidP="003E0BC0">
      <w:r>
        <w:t xml:space="preserve">In this analysis, all data sets were created for the </w:t>
      </w:r>
      <w:r w:rsidR="003E0BC0" w:rsidRPr="00A60F9F">
        <w:t xml:space="preserve">year 2030. </w:t>
      </w:r>
      <w:r w:rsidR="003E182F">
        <w:t>The choice of 2030 as a single study year was driven by the observation made in the 2016 NEPOOL Scenario Analysis that disparities of results among the cases appeared more evident in 2030 than for an ea</w:t>
      </w:r>
      <w:r w:rsidR="00BC0509">
        <w:t>r</w:t>
      </w:r>
      <w:r w:rsidR="003E182F">
        <w:t>lier year (2025)</w:t>
      </w:r>
      <w:r w:rsidR="00ED50DD">
        <w:t>.</w:t>
      </w:r>
      <w:r w:rsidR="003E182F">
        <w:t xml:space="preserve"> </w:t>
      </w:r>
      <w:r w:rsidR="00ED50DD">
        <w:t xml:space="preserve">In addition, </w:t>
      </w:r>
      <w:r w:rsidR="002439B2">
        <w:t>a later</w:t>
      </w:r>
      <w:r w:rsidR="003E0BC0" w:rsidRPr="00A60F9F">
        <w:t xml:space="preserve"> year</w:t>
      </w:r>
      <w:r w:rsidR="002439B2">
        <w:t xml:space="preserve"> such as</w:t>
      </w:r>
      <w:r w:rsidR="003E0BC0" w:rsidRPr="00A60F9F">
        <w:t xml:space="preserve"> 2030 </w:t>
      </w:r>
      <w:r w:rsidR="00ED50DD">
        <w:t xml:space="preserve">better </w:t>
      </w:r>
      <w:r w:rsidR="002439B2">
        <w:t>captures</w:t>
      </w:r>
      <w:r w:rsidR="003E182F">
        <w:t xml:space="preserve"> </w:t>
      </w:r>
      <w:r w:rsidR="003E0BC0" w:rsidRPr="00A60F9F">
        <w:t>longer-term strategic results.</w:t>
      </w:r>
      <w:r w:rsidR="003E0BC0" w:rsidRPr="003E0BC0">
        <w:t xml:space="preserve"> </w:t>
      </w:r>
    </w:p>
    <w:p w:rsidR="000760E1" w:rsidRPr="00386A98" w:rsidRDefault="000760E1" w:rsidP="00B8270A">
      <w:pPr>
        <w:pStyle w:val="Heading2"/>
      </w:pPr>
      <w:bookmarkStart w:id="100" w:name="_Toc528571197"/>
      <w:r w:rsidRPr="00386A98">
        <w:t>Metrics Analyzed</w:t>
      </w:r>
      <w:bookmarkEnd w:id="100"/>
    </w:p>
    <w:p w:rsidR="000760E1" w:rsidRDefault="006E23F2" w:rsidP="000760E1">
      <w:r w:rsidRPr="00386A98">
        <w:t>Grid</w:t>
      </w:r>
      <w:r w:rsidR="002C0C8F">
        <w:t>V</w:t>
      </w:r>
      <w:r w:rsidRPr="00386A98">
        <w:t>iew simulated regional electricity production, the costs to produce and purchase it, energy interchange profiles with neighboring systems, and some of the potential environmental impacts</w:t>
      </w:r>
      <w:r w:rsidR="00386A98" w:rsidRPr="00386A98">
        <w:t xml:space="preserve">, </w:t>
      </w:r>
      <w:r w:rsidRPr="00386A98">
        <w:t xml:space="preserve">taking into account the set of assumptions applied for each scenario (as described in </w:t>
      </w:r>
      <w:r w:rsidRPr="00386A98">
        <w:fldChar w:fldCharType="begin"/>
      </w:r>
      <w:r w:rsidRPr="00386A98">
        <w:instrText xml:space="preserve"> REF _Ref477520325 \r \h </w:instrText>
      </w:r>
      <w:r w:rsidR="00386A98">
        <w:instrText xml:space="preserve"> \* MERGEFORMAT </w:instrText>
      </w:r>
      <w:r w:rsidRPr="00386A98">
        <w:fldChar w:fldCharType="separate"/>
      </w:r>
      <w:r w:rsidR="00872A95">
        <w:t>Section 5</w:t>
      </w:r>
      <w:r w:rsidRPr="00386A98">
        <w:fldChar w:fldCharType="end"/>
      </w:r>
      <w:r w:rsidRPr="00386A98">
        <w:t>).</w:t>
      </w:r>
      <w:r w:rsidR="00F61B07">
        <w:t xml:space="preserve"> </w:t>
      </w:r>
      <w:r w:rsidR="00505693">
        <w:t>Several metrics</w:t>
      </w:r>
      <w:r w:rsidR="006A00F7">
        <w:t>, such as production cost</w:t>
      </w:r>
      <w:r w:rsidR="00047546">
        <w:t>s</w:t>
      </w:r>
      <w:r w:rsidR="006A00F7">
        <w:t>,</w:t>
      </w:r>
      <w:r w:rsidR="00505693">
        <w:t xml:space="preserve"> are the direct result of the GridView simulation</w:t>
      </w:r>
      <w:r w:rsidR="00066296">
        <w:t xml:space="preserve"> output</w:t>
      </w:r>
      <w:r w:rsidR="00505693">
        <w:t>s</w:t>
      </w:r>
      <w:r w:rsidR="006A00F7">
        <w:t xml:space="preserve">, while </w:t>
      </w:r>
      <w:r w:rsidR="006A00F7" w:rsidRPr="00731662">
        <w:t>others</w:t>
      </w:r>
      <w:r w:rsidR="00115140" w:rsidRPr="00731662">
        <w:t>, including relative annual resource costs (RARCs) (see Section 6.3),</w:t>
      </w:r>
      <w:r w:rsidR="006A00F7" w:rsidRPr="00731662">
        <w:t xml:space="preserve"> combin</w:t>
      </w:r>
      <w:r w:rsidR="006A00F7" w:rsidRPr="00BD2B3A">
        <w:t xml:space="preserve">ed GridView metrics with </w:t>
      </w:r>
      <w:r w:rsidR="00BB089D" w:rsidRPr="005D493A">
        <w:t>esti</w:t>
      </w:r>
      <w:r w:rsidR="00047546" w:rsidRPr="005D493A">
        <w:t>m</w:t>
      </w:r>
      <w:r w:rsidR="00BF28E2" w:rsidRPr="005D493A">
        <w:t>a</w:t>
      </w:r>
      <w:r w:rsidR="00047546" w:rsidRPr="005D493A">
        <w:t>tes</w:t>
      </w:r>
      <w:r w:rsidR="00BB089D" w:rsidRPr="005D493A">
        <w:t xml:space="preserve"> </w:t>
      </w:r>
      <w:r w:rsidR="006A00F7" w:rsidRPr="00731662">
        <w:t>that were not direct outputs of the program</w:t>
      </w:r>
      <w:r w:rsidR="00115140" w:rsidRPr="00731662">
        <w:t xml:space="preserve"> (e.g., annual carrying charges)</w:t>
      </w:r>
      <w:r w:rsidR="006A00F7" w:rsidRPr="00731662">
        <w:t xml:space="preserve">. </w:t>
      </w:r>
      <w:r w:rsidR="00C2306E" w:rsidRPr="00731662">
        <w:t>The ISO developed</w:t>
      </w:r>
      <w:r w:rsidR="006A00F7" w:rsidRPr="00731662">
        <w:t xml:space="preserve"> additional </w:t>
      </w:r>
      <w:r w:rsidR="00092637" w:rsidRPr="00BD2B3A">
        <w:t>metrics</w:t>
      </w:r>
      <w:r w:rsidR="00B077CB">
        <w:t>,</w:t>
      </w:r>
      <w:r w:rsidR="006A00F7">
        <w:t xml:space="preserve"> including </w:t>
      </w:r>
      <w:r w:rsidR="0088077F">
        <w:t>high</w:t>
      </w:r>
      <w:r w:rsidR="00797EDE">
        <w:t>-</w:t>
      </w:r>
      <w:r w:rsidR="0088077F">
        <w:t>order</w:t>
      </w:r>
      <w:r w:rsidR="00535A3A">
        <w:t>-</w:t>
      </w:r>
      <w:r w:rsidR="0088077F">
        <w:t>of</w:t>
      </w:r>
      <w:r w:rsidR="00535A3A">
        <w:t>-</w:t>
      </w:r>
      <w:r w:rsidR="0088077F">
        <w:t xml:space="preserve">magnitude estimates of </w:t>
      </w:r>
      <w:r w:rsidR="00195218">
        <w:t>transmission-development costs</w:t>
      </w:r>
      <w:r w:rsidR="00F61B07">
        <w:t xml:space="preserve"> (see Section </w:t>
      </w:r>
      <w:r w:rsidR="00797EDE">
        <w:fldChar w:fldCharType="begin"/>
      </w:r>
      <w:r w:rsidR="00797EDE">
        <w:instrText xml:space="preserve"> REF _Ref516498228 \r \h </w:instrText>
      </w:r>
      <w:r w:rsidR="00797EDE">
        <w:fldChar w:fldCharType="separate"/>
      </w:r>
      <w:r w:rsidR="00872A95">
        <w:t>6.1.6</w:t>
      </w:r>
      <w:r w:rsidR="00797EDE">
        <w:fldChar w:fldCharType="end"/>
      </w:r>
      <w:r w:rsidR="00F61B07">
        <w:t>)</w:t>
      </w:r>
      <w:r w:rsidR="006A00F7">
        <w:t xml:space="preserve">. </w:t>
      </w:r>
      <w:r w:rsidR="00797EDE">
        <w:fldChar w:fldCharType="begin"/>
      </w:r>
      <w:r w:rsidR="00797EDE">
        <w:instrText xml:space="preserve"> REF _Ref516498300 \h </w:instrText>
      </w:r>
      <w:r w:rsidR="00797EDE">
        <w:fldChar w:fldCharType="separate"/>
      </w:r>
      <w:r w:rsidR="00872A95">
        <w:t xml:space="preserve">Table </w:t>
      </w:r>
      <w:r w:rsidR="00872A95">
        <w:rPr>
          <w:noProof/>
        </w:rPr>
        <w:t>4</w:t>
      </w:r>
      <w:r w:rsidR="00872A95">
        <w:noBreakHyphen/>
      </w:r>
      <w:r w:rsidR="00872A95">
        <w:rPr>
          <w:noProof/>
        </w:rPr>
        <w:t>1</w:t>
      </w:r>
      <w:r w:rsidR="00797EDE">
        <w:fldChar w:fldCharType="end"/>
      </w:r>
      <w:r w:rsidR="00EF6097" w:rsidRPr="00E5063C">
        <w:t xml:space="preserve"> </w:t>
      </w:r>
      <w:r w:rsidR="000760E1" w:rsidRPr="00E5063C">
        <w:t>summarizes the metrics generated for analyzing the scenarios</w:t>
      </w:r>
      <w:r w:rsidR="000760E1">
        <w:t>.</w:t>
      </w:r>
    </w:p>
    <w:p w:rsidR="000760E1" w:rsidRPr="00010076" w:rsidRDefault="000760E1" w:rsidP="000760E1">
      <w:pPr>
        <w:pStyle w:val="Caption"/>
        <w:jc w:val="center"/>
      </w:pPr>
      <w:bookmarkStart w:id="101" w:name="_Ref516498300"/>
      <w:bookmarkStart w:id="102" w:name="_Toc520721015"/>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4</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w:t>
      </w:r>
      <w:r w:rsidR="00EA3757">
        <w:rPr>
          <w:noProof/>
        </w:rPr>
        <w:fldChar w:fldCharType="end"/>
      </w:r>
      <w:bookmarkEnd w:id="101"/>
      <w:r>
        <w:br/>
        <w:t>Metrics Analyzed in the 201</w:t>
      </w:r>
      <w:r w:rsidR="00A4465A">
        <w:t>7</w:t>
      </w:r>
      <w:r>
        <w:t xml:space="preserve"> </w:t>
      </w:r>
      <w:r w:rsidR="00125DA8">
        <w:t>Economic Study</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28"/>
        <w:gridCol w:w="2342"/>
        <w:gridCol w:w="2341"/>
      </w:tblGrid>
      <w:tr w:rsidR="000760E1" w:rsidRPr="00431CC2" w:rsidTr="001830DC">
        <w:trPr>
          <w:cantSplit/>
          <w:jc w:val="center"/>
        </w:trPr>
        <w:tc>
          <w:tcPr>
            <w:tcW w:w="2339" w:type="dxa"/>
            <w:shd w:val="clear" w:color="auto" w:fill="1795D2"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Economic</w:t>
            </w:r>
            <w:r w:rsidR="00C54DD6">
              <w:rPr>
                <w:rFonts w:asciiTheme="minorHAnsi" w:hAnsiTheme="minorHAnsi"/>
                <w:b/>
                <w:color w:val="FFFFFF" w:themeColor="background1"/>
                <w:sz w:val="18"/>
                <w:szCs w:val="18"/>
              </w:rPr>
              <w:t xml:space="preserve"> </w:t>
            </w:r>
          </w:p>
        </w:tc>
        <w:tc>
          <w:tcPr>
            <w:tcW w:w="2328" w:type="dxa"/>
            <w:shd w:val="clear" w:color="auto" w:fill="1795D2"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Resource</w:t>
            </w:r>
          </w:p>
        </w:tc>
        <w:tc>
          <w:tcPr>
            <w:tcW w:w="2342" w:type="dxa"/>
            <w:shd w:val="clear" w:color="auto" w:fill="1795D2"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Transmission</w:t>
            </w:r>
            <w:r w:rsidRPr="009069E8">
              <w:rPr>
                <w:rFonts w:asciiTheme="minorHAnsi" w:hAnsiTheme="minorHAnsi"/>
                <w:b/>
                <w:color w:val="FFFFFF" w:themeColor="background1"/>
                <w:sz w:val="18"/>
                <w:szCs w:val="18"/>
                <w:vertAlign w:val="superscript"/>
              </w:rPr>
              <w:t>(</w:t>
            </w:r>
            <w:r>
              <w:rPr>
                <w:rFonts w:asciiTheme="minorHAnsi" w:hAnsiTheme="minorHAnsi"/>
                <w:b/>
                <w:color w:val="FFFFFF" w:themeColor="background1"/>
                <w:sz w:val="18"/>
                <w:szCs w:val="18"/>
                <w:vertAlign w:val="superscript"/>
              </w:rPr>
              <w:t>a</w:t>
            </w:r>
            <w:r w:rsidRPr="009069E8">
              <w:rPr>
                <w:rFonts w:asciiTheme="minorHAnsi" w:hAnsiTheme="minorHAnsi"/>
                <w:b/>
                <w:color w:val="FFFFFF" w:themeColor="background1"/>
                <w:sz w:val="18"/>
                <w:szCs w:val="18"/>
                <w:vertAlign w:val="superscript"/>
              </w:rPr>
              <w:t>)</w:t>
            </w:r>
          </w:p>
        </w:tc>
        <w:tc>
          <w:tcPr>
            <w:tcW w:w="2341" w:type="dxa"/>
            <w:shd w:val="clear" w:color="auto" w:fill="1795D2"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Environmental</w:t>
            </w:r>
          </w:p>
        </w:tc>
      </w:tr>
      <w:tr w:rsidR="00F3107C" w:rsidRPr="008A5837" w:rsidTr="001830DC">
        <w:trPr>
          <w:cantSplit/>
          <w:jc w:val="center"/>
        </w:trPr>
        <w:tc>
          <w:tcPr>
            <w:tcW w:w="2339" w:type="dxa"/>
            <w:shd w:val="clear" w:color="auto" w:fill="auto"/>
            <w:vAlign w:val="center"/>
          </w:tcPr>
          <w:p w:rsidR="00F3107C" w:rsidRPr="009069E8" w:rsidRDefault="00F3107C" w:rsidP="003369B6">
            <w:pPr>
              <w:keepNext/>
              <w:keepLines/>
              <w:widowControl w:val="0"/>
              <w:spacing w:before="40" w:after="40" w:line="240" w:lineRule="auto"/>
              <w:rPr>
                <w:rFonts w:asciiTheme="minorHAnsi" w:hAnsiTheme="minorHAnsi"/>
                <w:sz w:val="18"/>
                <w:szCs w:val="18"/>
              </w:rPr>
            </w:pPr>
            <w:r w:rsidRPr="001408BC">
              <w:rPr>
                <w:rFonts w:asciiTheme="minorHAnsi" w:hAnsiTheme="minorHAnsi"/>
                <w:sz w:val="18"/>
                <w:szCs w:val="18"/>
              </w:rPr>
              <w:t xml:space="preserve">Systemwide production costs, including energy production costs </w:t>
            </w:r>
            <w:r w:rsidR="003C0B4E" w:rsidRPr="001408BC">
              <w:rPr>
                <w:rFonts w:asciiTheme="minorHAnsi" w:hAnsiTheme="minorHAnsi"/>
                <w:sz w:val="18"/>
                <w:szCs w:val="18"/>
              </w:rPr>
              <w:t>due to fuel,</w:t>
            </w:r>
            <w:r w:rsidRPr="001408BC">
              <w:rPr>
                <w:rFonts w:asciiTheme="minorHAnsi" w:hAnsiTheme="minorHAnsi"/>
                <w:sz w:val="18"/>
                <w:szCs w:val="18"/>
              </w:rPr>
              <w:t xml:space="preserve"> unit-commitment costs</w:t>
            </w:r>
            <w:r w:rsidR="003C0B4E" w:rsidRPr="001408BC">
              <w:rPr>
                <w:rFonts w:asciiTheme="minorHAnsi" w:hAnsiTheme="minorHAnsi"/>
                <w:sz w:val="18"/>
                <w:szCs w:val="18"/>
              </w:rPr>
              <w:t>, and environmental emissions costs</w:t>
            </w:r>
            <w:r w:rsidRPr="003533CD">
              <w:rPr>
                <w:rFonts w:asciiTheme="minorHAnsi" w:hAnsiTheme="minorHAnsi"/>
                <w:sz w:val="18"/>
                <w:szCs w:val="18"/>
              </w:rPr>
              <w:t xml:space="preserve"> (</w:t>
            </w:r>
            <w:r w:rsidR="003369B6">
              <w:rPr>
                <w:rFonts w:asciiTheme="minorHAnsi" w:hAnsiTheme="minorHAnsi"/>
                <w:sz w:val="18"/>
                <w:szCs w:val="18"/>
              </w:rPr>
              <w:t xml:space="preserve">million dollars/year; </w:t>
            </w:r>
            <w:r w:rsidRPr="003533CD">
              <w:rPr>
                <w:rFonts w:asciiTheme="minorHAnsi" w:hAnsiTheme="minorHAnsi"/>
                <w:sz w:val="18"/>
                <w:szCs w:val="18"/>
              </w:rPr>
              <w:t>$M/year</w:t>
            </w:r>
            <w:r w:rsidRPr="009069E8">
              <w:rPr>
                <w:rFonts w:asciiTheme="minorHAnsi" w:hAnsiTheme="minorHAnsi"/>
                <w:sz w:val="18"/>
                <w:szCs w:val="18"/>
              </w:rPr>
              <w:t>)</w:t>
            </w:r>
          </w:p>
        </w:tc>
        <w:tc>
          <w:tcPr>
            <w:tcW w:w="2328" w:type="dxa"/>
            <w:shd w:val="clear" w:color="auto" w:fill="CCEAF9" w:themeFill="accent1" w:themeFillTint="33"/>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production </w:t>
            </w:r>
            <w:r w:rsidRPr="00A36927">
              <w:rPr>
                <w:rFonts w:asciiTheme="minorHAnsi" w:hAnsiTheme="minorHAnsi"/>
                <w:sz w:val="18"/>
                <w:szCs w:val="18"/>
              </w:rPr>
              <w:t>in gigawatt-hours (GWh) and p</w:t>
            </w:r>
            <w:r w:rsidRPr="009069E8">
              <w:rPr>
                <w:rFonts w:asciiTheme="minorHAnsi" w:hAnsiTheme="minorHAnsi"/>
                <w:sz w:val="18"/>
                <w:szCs w:val="18"/>
              </w:rPr>
              <w:t>ercent</w:t>
            </w:r>
            <w:r>
              <w:rPr>
                <w:rFonts w:asciiTheme="minorHAnsi" w:hAnsiTheme="minorHAnsi"/>
                <w:sz w:val="18"/>
                <w:szCs w:val="18"/>
              </w:rPr>
              <w:t>age</w:t>
            </w:r>
            <w:r w:rsidRPr="009069E8">
              <w:rPr>
                <w:rFonts w:asciiTheme="minorHAnsi" w:hAnsiTheme="minorHAnsi"/>
                <w:sz w:val="18"/>
                <w:szCs w:val="18"/>
              </w:rPr>
              <w:t xml:space="preserve"> for each resource type, including imports</w:t>
            </w:r>
          </w:p>
        </w:tc>
        <w:tc>
          <w:tcPr>
            <w:tcW w:w="2342" w:type="dxa"/>
            <w:shd w:val="clear" w:color="auto" w:fill="auto"/>
            <w:vAlign w:val="center"/>
          </w:tcPr>
          <w:p w:rsidR="00F3107C" w:rsidRPr="009D0035" w:rsidRDefault="001830DC" w:rsidP="00D52F93">
            <w:pPr>
              <w:keepNext/>
              <w:keepLines/>
              <w:widowControl w:val="0"/>
              <w:spacing w:before="40" w:after="40" w:line="240" w:lineRule="auto"/>
              <w:rPr>
                <w:rFonts w:asciiTheme="minorHAnsi" w:hAnsiTheme="minorHAnsi"/>
                <w:strike/>
                <w:sz w:val="18"/>
                <w:szCs w:val="18"/>
              </w:rPr>
            </w:pPr>
            <w:r w:rsidRPr="0089002B">
              <w:rPr>
                <w:rFonts w:asciiTheme="minorHAnsi" w:hAnsiTheme="minorHAnsi"/>
                <w:sz w:val="18"/>
                <w:szCs w:val="18"/>
              </w:rPr>
              <w:t>Percentage of time that flows reach or exceed 100% of the interface limit for constrained and unconstrained cases</w:t>
            </w:r>
          </w:p>
        </w:tc>
        <w:tc>
          <w:tcPr>
            <w:tcW w:w="2341" w:type="dxa"/>
            <w:shd w:val="clear" w:color="auto" w:fill="CCEAF9" w:themeFill="accent1" w:themeFillTint="33"/>
            <w:vAlign w:val="center"/>
          </w:tcPr>
          <w:p w:rsidR="00F3107C" w:rsidRPr="00700518" w:rsidRDefault="001830DC" w:rsidP="00617796">
            <w:pPr>
              <w:keepNext/>
              <w:keepLines/>
              <w:widowControl w:val="0"/>
              <w:spacing w:before="40" w:after="40" w:line="240" w:lineRule="auto"/>
              <w:rPr>
                <w:rFonts w:asciiTheme="minorHAnsi" w:hAnsiTheme="minorHAnsi"/>
                <w:strike/>
                <w:sz w:val="18"/>
                <w:szCs w:val="18"/>
              </w:rPr>
            </w:pPr>
            <w:r w:rsidRPr="009069E8">
              <w:rPr>
                <w:rFonts w:asciiTheme="minorHAnsi" w:hAnsiTheme="minorHAnsi"/>
                <w:sz w:val="18"/>
                <w:szCs w:val="18"/>
              </w:rPr>
              <w:t xml:space="preserve">Total air emissions of </w:t>
            </w:r>
            <w:r>
              <w:rPr>
                <w:rFonts w:asciiTheme="minorHAnsi" w:hAnsiTheme="minorHAnsi"/>
                <w:sz w:val="18"/>
                <w:szCs w:val="18"/>
              </w:rPr>
              <w:t>carbon dioxide (</w:t>
            </w:r>
            <w:r w:rsidRPr="009069E8">
              <w:rPr>
                <w:rFonts w:asciiTheme="minorHAnsi" w:hAnsiTheme="minorHAnsi"/>
                <w:sz w:val="18"/>
                <w:szCs w:val="18"/>
              </w:rPr>
              <w:t>CO</w:t>
            </w:r>
            <w:r w:rsidRPr="009069E8">
              <w:rPr>
                <w:rFonts w:asciiTheme="minorHAnsi" w:hAnsiTheme="minorHAnsi"/>
                <w:sz w:val="18"/>
                <w:szCs w:val="18"/>
                <w:vertAlign w:val="subscript"/>
              </w:rPr>
              <w:t>2</w:t>
            </w:r>
            <w:r>
              <w:rPr>
                <w:rFonts w:asciiTheme="minorHAnsi" w:hAnsiTheme="minorHAnsi"/>
                <w:sz w:val="18"/>
                <w:szCs w:val="18"/>
              </w:rPr>
              <w:t>)</w:t>
            </w:r>
            <w:r w:rsidRPr="009069E8">
              <w:rPr>
                <w:rFonts w:asciiTheme="minorHAnsi" w:hAnsiTheme="minorHAnsi"/>
                <w:sz w:val="18"/>
                <w:szCs w:val="18"/>
              </w:rPr>
              <w:t xml:space="preserve"> compared with </w:t>
            </w:r>
            <w:r>
              <w:rPr>
                <w:rFonts w:asciiTheme="minorHAnsi" w:hAnsiTheme="minorHAnsi"/>
                <w:sz w:val="18"/>
                <w:szCs w:val="18"/>
              </w:rPr>
              <w:t xml:space="preserve">Regional Greenhouse Gas </w:t>
            </w:r>
            <w:r w:rsidRPr="00BB089D">
              <w:rPr>
                <w:rFonts w:asciiTheme="minorHAnsi" w:hAnsiTheme="minorHAnsi"/>
                <w:sz w:val="18"/>
                <w:szCs w:val="18"/>
              </w:rPr>
              <w:t>Initiative (</w:t>
            </w:r>
            <w:r w:rsidRPr="00174950">
              <w:rPr>
                <w:rFonts w:asciiTheme="minorHAnsi" w:hAnsiTheme="minorHAnsi"/>
                <w:sz w:val="18"/>
                <w:szCs w:val="18"/>
              </w:rPr>
              <w:t>RGGI) regional</w:t>
            </w:r>
            <w:r w:rsidRPr="009069E8">
              <w:rPr>
                <w:rFonts w:asciiTheme="minorHAnsi" w:hAnsiTheme="minorHAnsi"/>
                <w:sz w:val="18"/>
                <w:szCs w:val="18"/>
              </w:rPr>
              <w:t xml:space="preserve"> goal (</w:t>
            </w:r>
            <w:r>
              <w:rPr>
                <w:rFonts w:asciiTheme="minorHAnsi" w:hAnsiTheme="minorHAnsi"/>
                <w:sz w:val="18"/>
                <w:szCs w:val="18"/>
              </w:rPr>
              <w:t>kilotons; k</w:t>
            </w:r>
            <w:r w:rsidRPr="009069E8">
              <w:rPr>
                <w:rFonts w:asciiTheme="minorHAnsi" w:hAnsiTheme="minorHAnsi"/>
                <w:sz w:val="18"/>
                <w:szCs w:val="18"/>
              </w:rPr>
              <w:t>tons)</w:t>
            </w:r>
            <w:r w:rsidRPr="00EC096F">
              <w:rPr>
                <w:rFonts w:asciiTheme="minorHAnsi" w:hAnsiTheme="minorHAnsi"/>
                <w:sz w:val="18"/>
                <w:szCs w:val="18"/>
                <w:vertAlign w:val="superscript"/>
              </w:rPr>
              <w:t>(b)</w:t>
            </w:r>
          </w:p>
        </w:tc>
      </w:tr>
      <w:tr w:rsidR="005D4BEF" w:rsidRPr="008A5837" w:rsidTr="001830DC">
        <w:trPr>
          <w:cantSplit/>
          <w:jc w:val="center"/>
        </w:trPr>
        <w:tc>
          <w:tcPr>
            <w:tcW w:w="2339" w:type="dxa"/>
            <w:shd w:val="clear" w:color="auto" w:fill="auto"/>
            <w:vAlign w:val="center"/>
          </w:tcPr>
          <w:p w:rsidR="005D4BEF" w:rsidRPr="009069E8" w:rsidRDefault="005D4BEF" w:rsidP="001830DC">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Average locational marginal </w:t>
            </w:r>
            <w:r w:rsidRPr="0089510E">
              <w:rPr>
                <w:rFonts w:asciiTheme="minorHAnsi" w:hAnsiTheme="minorHAnsi"/>
                <w:sz w:val="18"/>
                <w:szCs w:val="18"/>
              </w:rPr>
              <w:t>prices ($/megawatt-hour; MWh)</w:t>
            </w:r>
          </w:p>
        </w:tc>
        <w:tc>
          <w:tcPr>
            <w:tcW w:w="2328" w:type="dxa"/>
            <w:vMerge w:val="restart"/>
            <w:shd w:val="clear" w:color="auto" w:fill="CCEAF9" w:themeFill="accent1" w:themeFillTint="33"/>
            <w:vAlign w:val="center"/>
          </w:tcPr>
          <w:p w:rsidR="005D4BEF" w:rsidRPr="00A4465A" w:rsidRDefault="005D4BEF" w:rsidP="001830DC">
            <w:pPr>
              <w:keepNext/>
              <w:keepLines/>
              <w:widowControl w:val="0"/>
              <w:spacing w:before="40" w:after="40" w:line="240" w:lineRule="auto"/>
              <w:rPr>
                <w:rFonts w:asciiTheme="minorHAnsi" w:hAnsiTheme="minorHAnsi"/>
                <w:strike/>
                <w:sz w:val="18"/>
                <w:szCs w:val="18"/>
              </w:rPr>
            </w:pPr>
          </w:p>
        </w:tc>
        <w:tc>
          <w:tcPr>
            <w:tcW w:w="2342" w:type="dxa"/>
            <w:shd w:val="clear" w:color="auto" w:fill="auto"/>
            <w:vAlign w:val="center"/>
          </w:tcPr>
          <w:p w:rsidR="005D4BEF" w:rsidRPr="00A4465A" w:rsidRDefault="005D4BEF" w:rsidP="001830DC">
            <w:pPr>
              <w:keepNext/>
              <w:keepLines/>
              <w:widowControl w:val="0"/>
              <w:spacing w:before="40" w:after="40" w:line="240" w:lineRule="auto"/>
              <w:rPr>
                <w:rFonts w:asciiTheme="minorHAnsi" w:hAnsiTheme="minorHAnsi"/>
                <w:sz w:val="18"/>
                <w:szCs w:val="18"/>
                <w:highlight w:val="yellow"/>
              </w:rPr>
            </w:pPr>
            <w:r w:rsidRPr="0089002B">
              <w:rPr>
                <w:rFonts w:asciiTheme="minorHAnsi" w:hAnsiTheme="minorHAnsi"/>
                <w:sz w:val="18"/>
                <w:szCs w:val="18"/>
              </w:rPr>
              <w:t xml:space="preserve">Seasonal flow-duration curves for </w:t>
            </w:r>
            <w:r>
              <w:rPr>
                <w:rFonts w:asciiTheme="minorHAnsi" w:hAnsiTheme="minorHAnsi"/>
                <w:sz w:val="18"/>
                <w:szCs w:val="18"/>
              </w:rPr>
              <w:t xml:space="preserve">all monitored </w:t>
            </w:r>
            <w:r w:rsidRPr="0089002B">
              <w:rPr>
                <w:rFonts w:asciiTheme="minorHAnsi" w:hAnsiTheme="minorHAnsi"/>
                <w:sz w:val="18"/>
                <w:szCs w:val="18"/>
              </w:rPr>
              <w:t>interfaces</w:t>
            </w:r>
            <w:r w:rsidR="00A57DCF" w:rsidRPr="006A3300">
              <w:rPr>
                <w:rFonts w:asciiTheme="minorHAnsi" w:hAnsiTheme="minorHAnsi"/>
                <w:sz w:val="18"/>
                <w:szCs w:val="18"/>
                <w:vertAlign w:val="superscript"/>
              </w:rPr>
              <w:t>(c)</w:t>
            </w:r>
          </w:p>
        </w:tc>
        <w:tc>
          <w:tcPr>
            <w:tcW w:w="2341" w:type="dxa"/>
            <w:shd w:val="clear" w:color="auto" w:fill="CCEAF9" w:themeFill="accent1" w:themeFillTint="33"/>
            <w:vAlign w:val="center"/>
          </w:tcPr>
          <w:p w:rsidR="005D4BEF" w:rsidRPr="009069E8" w:rsidRDefault="005D4BEF" w:rsidP="001830DC">
            <w:pPr>
              <w:keepNext/>
              <w:keepLines/>
              <w:widowControl w:val="0"/>
              <w:spacing w:before="40" w:after="40" w:line="240" w:lineRule="auto"/>
              <w:rPr>
                <w:rFonts w:asciiTheme="minorHAnsi" w:hAnsiTheme="minorHAnsi"/>
                <w:sz w:val="18"/>
                <w:szCs w:val="18"/>
              </w:rPr>
            </w:pPr>
            <w:r w:rsidRPr="00B551DE">
              <w:rPr>
                <w:rFonts w:asciiTheme="minorHAnsi" w:hAnsiTheme="minorHAnsi"/>
                <w:sz w:val="18"/>
                <w:szCs w:val="18"/>
              </w:rPr>
              <w:t>Total “bottled,” price-taking</w:t>
            </w:r>
            <w:r w:rsidRPr="00F3107C">
              <w:rPr>
                <w:rFonts w:asciiTheme="minorHAnsi" w:hAnsiTheme="minorHAnsi"/>
                <w:sz w:val="18"/>
                <w:szCs w:val="18"/>
              </w:rPr>
              <w:t xml:space="preserve"> resources (i.e., PV, wind, hydro, and imports) by </w:t>
            </w:r>
            <w:r w:rsidRPr="0089510E">
              <w:rPr>
                <w:rFonts w:asciiTheme="minorHAnsi" w:hAnsiTheme="minorHAnsi"/>
                <w:sz w:val="18"/>
                <w:szCs w:val="18"/>
              </w:rPr>
              <w:t>Regional System Plan (RSP)</w:t>
            </w:r>
            <w:r w:rsidRPr="00F3107C">
              <w:rPr>
                <w:rFonts w:asciiTheme="minorHAnsi" w:hAnsiTheme="minorHAnsi"/>
                <w:sz w:val="18"/>
                <w:szCs w:val="18"/>
              </w:rPr>
              <w:t xml:space="preserve"> subarea </w:t>
            </w:r>
            <w:r>
              <w:rPr>
                <w:rFonts w:asciiTheme="minorHAnsi" w:hAnsiTheme="minorHAnsi"/>
                <w:sz w:val="18"/>
                <w:szCs w:val="18"/>
              </w:rPr>
              <w:t>(</w:t>
            </w:r>
            <w:r w:rsidRPr="00F3107C">
              <w:rPr>
                <w:rFonts w:asciiTheme="minorHAnsi" w:hAnsiTheme="minorHAnsi"/>
                <w:sz w:val="18"/>
                <w:szCs w:val="18"/>
              </w:rPr>
              <w:t xml:space="preserve">expressed </w:t>
            </w:r>
            <w:r w:rsidRPr="004451E8">
              <w:rPr>
                <w:rFonts w:asciiTheme="minorHAnsi" w:hAnsiTheme="minorHAnsi"/>
                <w:sz w:val="18"/>
                <w:szCs w:val="18"/>
              </w:rPr>
              <w:t>in MWh</w:t>
            </w:r>
            <w:r>
              <w:rPr>
                <w:rFonts w:asciiTheme="minorHAnsi" w:hAnsiTheme="minorHAnsi"/>
                <w:sz w:val="18"/>
                <w:szCs w:val="18"/>
              </w:rPr>
              <w:t xml:space="preserve"> </w:t>
            </w:r>
            <w:r w:rsidRPr="00F3107C">
              <w:rPr>
                <w:rFonts w:asciiTheme="minorHAnsi" w:hAnsiTheme="minorHAnsi"/>
                <w:sz w:val="18"/>
                <w:szCs w:val="18"/>
              </w:rPr>
              <w:t>and percentage</w:t>
            </w:r>
            <w:r w:rsidRPr="00B551DE">
              <w:rPr>
                <w:rFonts w:asciiTheme="minorHAnsi" w:hAnsiTheme="minorHAnsi"/>
                <w:sz w:val="18"/>
                <w:szCs w:val="18"/>
              </w:rPr>
              <w:t>)</w:t>
            </w:r>
            <w:r w:rsidRPr="00B551DE">
              <w:rPr>
                <w:rFonts w:asciiTheme="minorHAnsi" w:hAnsiTheme="minorHAnsi"/>
                <w:sz w:val="18"/>
                <w:szCs w:val="18"/>
                <w:vertAlign w:val="superscript"/>
              </w:rPr>
              <w:t>(</w:t>
            </w:r>
            <w:r w:rsidR="00A57DCF">
              <w:rPr>
                <w:rFonts w:asciiTheme="minorHAnsi" w:hAnsiTheme="minorHAnsi"/>
                <w:sz w:val="18"/>
                <w:szCs w:val="18"/>
                <w:vertAlign w:val="superscript"/>
              </w:rPr>
              <w:t>d</w:t>
            </w:r>
            <w:r w:rsidRPr="00B551DE">
              <w:rPr>
                <w:rFonts w:asciiTheme="minorHAnsi" w:hAnsiTheme="minorHAnsi"/>
                <w:sz w:val="18"/>
                <w:szCs w:val="18"/>
                <w:vertAlign w:val="superscript"/>
              </w:rPr>
              <w:t>)</w:t>
            </w:r>
          </w:p>
        </w:tc>
      </w:tr>
      <w:tr w:rsidR="005D4BEF" w:rsidRPr="008A5837" w:rsidTr="001830DC">
        <w:trPr>
          <w:cantSplit/>
          <w:jc w:val="center"/>
        </w:trPr>
        <w:tc>
          <w:tcPr>
            <w:tcW w:w="2339" w:type="dxa"/>
            <w:shd w:val="clear" w:color="auto" w:fill="auto"/>
            <w:vAlign w:val="center"/>
          </w:tcPr>
          <w:p w:rsidR="005D4BEF" w:rsidRPr="00F606BE" w:rsidRDefault="005D4BEF" w:rsidP="00235AB4">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Load-serving entity energy expenses and uplift (i.e., make-whole payments) ($M/year)</w:t>
            </w:r>
          </w:p>
        </w:tc>
        <w:tc>
          <w:tcPr>
            <w:tcW w:w="2328" w:type="dxa"/>
            <w:vMerge/>
            <w:shd w:val="clear" w:color="auto" w:fill="CCEAF9" w:themeFill="accent1" w:themeFillTint="33"/>
            <w:vAlign w:val="center"/>
          </w:tcPr>
          <w:p w:rsidR="005D4BEF" w:rsidRPr="00A4465A" w:rsidRDefault="005D4BEF" w:rsidP="00235AB4">
            <w:pPr>
              <w:keepNext/>
              <w:keepLines/>
              <w:widowControl w:val="0"/>
              <w:spacing w:before="40" w:after="40" w:line="240" w:lineRule="auto"/>
              <w:rPr>
                <w:rFonts w:asciiTheme="minorHAnsi" w:hAnsiTheme="minorHAnsi"/>
                <w:strike/>
                <w:sz w:val="18"/>
                <w:szCs w:val="18"/>
              </w:rPr>
            </w:pPr>
          </w:p>
        </w:tc>
        <w:tc>
          <w:tcPr>
            <w:tcW w:w="2342" w:type="dxa"/>
            <w:shd w:val="clear" w:color="auto" w:fill="auto"/>
            <w:vAlign w:val="center"/>
          </w:tcPr>
          <w:p w:rsidR="005D4BEF" w:rsidRPr="009D0035" w:rsidRDefault="005D4BEF" w:rsidP="00235AB4">
            <w:pPr>
              <w:keepNext/>
              <w:keepLines/>
              <w:widowControl w:val="0"/>
              <w:spacing w:before="40" w:after="40" w:line="240" w:lineRule="auto"/>
              <w:rPr>
                <w:rFonts w:asciiTheme="minorHAnsi" w:hAnsiTheme="minorHAnsi"/>
                <w:strike/>
                <w:sz w:val="18"/>
                <w:szCs w:val="18"/>
              </w:rPr>
            </w:pPr>
            <w:r w:rsidRPr="0089002B">
              <w:rPr>
                <w:rFonts w:asciiTheme="minorHAnsi" w:hAnsiTheme="minorHAnsi"/>
                <w:sz w:val="18"/>
                <w:szCs w:val="18"/>
              </w:rPr>
              <w:t xml:space="preserve">Interface flows </w:t>
            </w:r>
            <w:r>
              <w:rPr>
                <w:rFonts w:asciiTheme="minorHAnsi" w:hAnsiTheme="minorHAnsi"/>
                <w:sz w:val="18"/>
                <w:szCs w:val="18"/>
              </w:rPr>
              <w:t xml:space="preserve">for all monitored interfaces </w:t>
            </w:r>
            <w:r w:rsidRPr="0089002B">
              <w:rPr>
                <w:rFonts w:asciiTheme="minorHAnsi" w:hAnsiTheme="minorHAnsi"/>
                <w:sz w:val="18"/>
                <w:szCs w:val="18"/>
              </w:rPr>
              <w:t>in representative summer and winter peak hour</w:t>
            </w:r>
            <w:r w:rsidR="00BB089D">
              <w:rPr>
                <w:rFonts w:asciiTheme="minorHAnsi" w:hAnsiTheme="minorHAnsi"/>
                <w:sz w:val="18"/>
                <w:szCs w:val="18"/>
              </w:rPr>
              <w:t>s</w:t>
            </w:r>
            <w:r w:rsidR="00A57DCF" w:rsidRPr="006A3300">
              <w:rPr>
                <w:rFonts w:asciiTheme="minorHAnsi" w:hAnsiTheme="minorHAnsi"/>
                <w:sz w:val="18"/>
                <w:szCs w:val="18"/>
                <w:vertAlign w:val="superscript"/>
              </w:rPr>
              <w:t>(e)</w:t>
            </w:r>
          </w:p>
        </w:tc>
        <w:tc>
          <w:tcPr>
            <w:tcW w:w="2341" w:type="dxa"/>
            <w:shd w:val="clear" w:color="auto" w:fill="CCEAF9" w:themeFill="accent1" w:themeFillTint="33"/>
            <w:vAlign w:val="center"/>
          </w:tcPr>
          <w:p w:rsidR="005D4BEF" w:rsidRPr="0089002B" w:rsidRDefault="005D4BEF" w:rsidP="00235AB4">
            <w:pPr>
              <w:keepNext/>
              <w:keepLines/>
              <w:widowControl w:val="0"/>
              <w:spacing w:before="40" w:after="40" w:line="240" w:lineRule="auto"/>
              <w:rPr>
                <w:rFonts w:asciiTheme="minorHAnsi" w:hAnsiTheme="minorHAnsi"/>
                <w:strike/>
                <w:sz w:val="18"/>
                <w:szCs w:val="18"/>
              </w:rPr>
            </w:pPr>
            <w:r>
              <w:rPr>
                <w:rFonts w:asciiTheme="minorHAnsi" w:hAnsiTheme="minorHAnsi"/>
                <w:sz w:val="18"/>
                <w:szCs w:val="18"/>
              </w:rPr>
              <w:t xml:space="preserve">Ability of renewable resource mix to physically meet regional Renewable Portfolio Standards. </w:t>
            </w:r>
          </w:p>
        </w:tc>
      </w:tr>
      <w:tr w:rsidR="005D4BEF" w:rsidRPr="008A5837" w:rsidTr="001830DC">
        <w:trPr>
          <w:cantSplit/>
          <w:jc w:val="center"/>
        </w:trPr>
        <w:tc>
          <w:tcPr>
            <w:tcW w:w="2339" w:type="dxa"/>
            <w:shd w:val="clear" w:color="auto" w:fill="auto"/>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Congestion ($M/year)</w:t>
            </w:r>
          </w:p>
        </w:tc>
        <w:tc>
          <w:tcPr>
            <w:tcW w:w="2328" w:type="dxa"/>
            <w:vMerge/>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tc>
        <w:tc>
          <w:tcPr>
            <w:tcW w:w="2342" w:type="dxa"/>
            <w:shd w:val="clear" w:color="auto" w:fill="auto"/>
            <w:vAlign w:val="center"/>
          </w:tcPr>
          <w:p w:rsidR="005D4BEF" w:rsidRPr="009D0035" w:rsidRDefault="005D4BEF" w:rsidP="00235AB4">
            <w:pPr>
              <w:keepNext/>
              <w:keepLines/>
              <w:widowControl w:val="0"/>
              <w:spacing w:before="40" w:after="40" w:line="240" w:lineRule="auto"/>
              <w:rPr>
                <w:rFonts w:asciiTheme="minorHAnsi" w:hAnsiTheme="minorHAnsi"/>
                <w:strike/>
                <w:sz w:val="18"/>
                <w:szCs w:val="18"/>
              </w:rPr>
            </w:pPr>
            <w:r w:rsidRPr="0089002B">
              <w:rPr>
                <w:rFonts w:asciiTheme="minorHAnsi" w:hAnsiTheme="minorHAnsi"/>
                <w:sz w:val="18"/>
                <w:szCs w:val="18"/>
              </w:rPr>
              <w:t>Preliminary high-order-of-magnitude transmission-development costs (billion dollars [$B] and $B/year)</w:t>
            </w:r>
          </w:p>
        </w:tc>
        <w:tc>
          <w:tcPr>
            <w:tcW w:w="2341" w:type="dxa"/>
            <w:vMerge w:val="restart"/>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p w:rsidR="005D4BEF" w:rsidRPr="0089002B" w:rsidRDefault="005D4BEF" w:rsidP="00235AB4">
            <w:pPr>
              <w:keepNext/>
              <w:keepLines/>
              <w:widowControl w:val="0"/>
              <w:spacing w:before="40" w:after="40" w:line="240" w:lineRule="auto"/>
              <w:rPr>
                <w:rFonts w:asciiTheme="minorHAnsi" w:hAnsiTheme="minorHAnsi"/>
                <w:strike/>
                <w:sz w:val="18"/>
                <w:szCs w:val="18"/>
              </w:rPr>
            </w:pPr>
          </w:p>
        </w:tc>
      </w:tr>
      <w:tr w:rsidR="005D4BEF" w:rsidRPr="008A5837" w:rsidTr="005D4BEF">
        <w:trPr>
          <w:cantSplit/>
          <w:trHeight w:val="880"/>
          <w:jc w:val="center"/>
        </w:trPr>
        <w:tc>
          <w:tcPr>
            <w:tcW w:w="2339" w:type="dxa"/>
            <w:vMerge w:val="restart"/>
            <w:shd w:val="clear" w:color="auto" w:fill="auto"/>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r w:rsidRPr="005C7DD1">
              <w:rPr>
                <w:rFonts w:asciiTheme="minorHAnsi" w:hAnsiTheme="minorHAnsi"/>
                <w:sz w:val="18"/>
                <w:szCs w:val="18"/>
              </w:rPr>
              <w:t>Relative annual resource cost</w:t>
            </w:r>
            <w:r>
              <w:rPr>
                <w:rFonts w:asciiTheme="minorHAnsi" w:hAnsiTheme="minorHAnsi"/>
                <w:sz w:val="18"/>
                <w:szCs w:val="18"/>
              </w:rPr>
              <w:t>s</w:t>
            </w:r>
            <w:r w:rsidRPr="005C7DD1">
              <w:rPr>
                <w:rFonts w:asciiTheme="minorHAnsi" w:hAnsiTheme="minorHAnsi"/>
                <w:sz w:val="18"/>
                <w:szCs w:val="18"/>
              </w:rPr>
              <w:t xml:space="preserve"> encompassing all</w:t>
            </w:r>
            <w:r>
              <w:rPr>
                <w:rFonts w:asciiTheme="minorHAnsi" w:hAnsiTheme="minorHAnsi"/>
                <w:sz w:val="18"/>
                <w:szCs w:val="18"/>
              </w:rPr>
              <w:t xml:space="preserve"> annual operating costs and annual carrying charges for new resources and high-order-of-magnitude transmission-development costs</w:t>
            </w:r>
            <w:r w:rsidRPr="005C7DD1">
              <w:rPr>
                <w:rFonts w:asciiTheme="minorHAnsi" w:hAnsiTheme="minorHAnsi"/>
                <w:sz w:val="18"/>
                <w:szCs w:val="18"/>
              </w:rPr>
              <w:t xml:space="preserve"> ($M/year</w:t>
            </w:r>
            <w:r>
              <w:rPr>
                <w:rFonts w:asciiTheme="minorHAnsi" w:hAnsiTheme="minorHAnsi"/>
                <w:sz w:val="18"/>
                <w:szCs w:val="18"/>
              </w:rPr>
              <w:t xml:space="preserve"> and $/kilowatt-hour; kWh</w:t>
            </w:r>
            <w:r w:rsidRPr="005C7DD1">
              <w:rPr>
                <w:rFonts w:asciiTheme="minorHAnsi" w:hAnsiTheme="minorHAnsi"/>
                <w:sz w:val="18"/>
                <w:szCs w:val="18"/>
              </w:rPr>
              <w:t>)</w:t>
            </w:r>
          </w:p>
        </w:tc>
        <w:tc>
          <w:tcPr>
            <w:tcW w:w="2328" w:type="dxa"/>
            <w:vMerge/>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tc>
        <w:tc>
          <w:tcPr>
            <w:tcW w:w="2342" w:type="dxa"/>
            <w:shd w:val="clear" w:color="auto" w:fill="auto"/>
            <w:vAlign w:val="center"/>
          </w:tcPr>
          <w:p w:rsidR="005D4BEF" w:rsidRPr="0089002B" w:rsidRDefault="005D4BEF" w:rsidP="00235AB4">
            <w:pPr>
              <w:keepNext/>
              <w:keepLines/>
              <w:widowControl w:val="0"/>
              <w:spacing w:before="40" w:after="40" w:line="240" w:lineRule="auto"/>
              <w:rPr>
                <w:rFonts w:asciiTheme="minorHAnsi" w:hAnsiTheme="minorHAnsi"/>
                <w:sz w:val="18"/>
                <w:szCs w:val="18"/>
              </w:rPr>
            </w:pPr>
            <w:r>
              <w:rPr>
                <w:rFonts w:asciiTheme="minorHAnsi" w:hAnsiTheme="minorHAnsi"/>
                <w:sz w:val="18"/>
                <w:szCs w:val="18"/>
              </w:rPr>
              <w:t>Maine interface flow statistics compared with interface limit</w:t>
            </w:r>
            <w:r w:rsidR="006A3300" w:rsidRPr="006A3300">
              <w:rPr>
                <w:rFonts w:asciiTheme="minorHAnsi" w:hAnsiTheme="minorHAnsi"/>
                <w:sz w:val="18"/>
                <w:szCs w:val="18"/>
              </w:rPr>
              <w:t>s</w:t>
            </w:r>
          </w:p>
        </w:tc>
        <w:tc>
          <w:tcPr>
            <w:tcW w:w="2341" w:type="dxa"/>
            <w:vMerge/>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tc>
      </w:tr>
      <w:tr w:rsidR="005D4BEF" w:rsidRPr="008A5837" w:rsidTr="001408BC">
        <w:trPr>
          <w:cantSplit/>
          <w:trHeight w:val="880"/>
          <w:jc w:val="center"/>
        </w:trPr>
        <w:tc>
          <w:tcPr>
            <w:tcW w:w="2339" w:type="dxa"/>
            <w:vMerge/>
            <w:shd w:val="clear" w:color="auto" w:fill="auto"/>
            <w:vAlign w:val="center"/>
          </w:tcPr>
          <w:p w:rsidR="005D4BEF" w:rsidRPr="005C7DD1" w:rsidRDefault="005D4BEF" w:rsidP="00235AB4">
            <w:pPr>
              <w:keepNext/>
              <w:keepLines/>
              <w:widowControl w:val="0"/>
              <w:spacing w:before="40" w:after="40" w:line="240" w:lineRule="auto"/>
              <w:rPr>
                <w:rFonts w:asciiTheme="minorHAnsi" w:hAnsiTheme="minorHAnsi"/>
                <w:sz w:val="18"/>
                <w:szCs w:val="18"/>
              </w:rPr>
            </w:pPr>
          </w:p>
        </w:tc>
        <w:tc>
          <w:tcPr>
            <w:tcW w:w="2328" w:type="dxa"/>
            <w:vMerge/>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tc>
        <w:tc>
          <w:tcPr>
            <w:tcW w:w="2342" w:type="dxa"/>
            <w:shd w:val="clear" w:color="auto" w:fill="auto"/>
            <w:vAlign w:val="center"/>
          </w:tcPr>
          <w:p w:rsidR="005D4BEF" w:rsidRPr="0089002B" w:rsidRDefault="005D4BEF" w:rsidP="00235AB4">
            <w:pPr>
              <w:keepNext/>
              <w:keepLines/>
              <w:widowControl w:val="0"/>
              <w:spacing w:before="40" w:after="40" w:line="240" w:lineRule="auto"/>
              <w:rPr>
                <w:rFonts w:asciiTheme="minorHAnsi" w:hAnsiTheme="minorHAnsi"/>
                <w:sz w:val="18"/>
                <w:szCs w:val="18"/>
              </w:rPr>
            </w:pPr>
          </w:p>
        </w:tc>
        <w:tc>
          <w:tcPr>
            <w:tcW w:w="2341" w:type="dxa"/>
            <w:vMerge/>
            <w:shd w:val="clear" w:color="auto" w:fill="CCEAF9" w:themeFill="accent1" w:themeFillTint="33"/>
            <w:vAlign w:val="center"/>
          </w:tcPr>
          <w:p w:rsidR="005D4BEF" w:rsidRPr="009069E8" w:rsidRDefault="005D4BEF" w:rsidP="00235AB4">
            <w:pPr>
              <w:keepNext/>
              <w:keepLines/>
              <w:widowControl w:val="0"/>
              <w:spacing w:before="40" w:after="40" w:line="240" w:lineRule="auto"/>
              <w:rPr>
                <w:rFonts w:asciiTheme="minorHAnsi" w:hAnsiTheme="minorHAnsi"/>
                <w:sz w:val="18"/>
                <w:szCs w:val="18"/>
              </w:rPr>
            </w:pPr>
          </w:p>
        </w:tc>
      </w:tr>
    </w:tbl>
    <w:p w:rsidR="000760E1" w:rsidRPr="003A2CA8" w:rsidRDefault="000760E1" w:rsidP="001408BC">
      <w:pPr>
        <w:keepNext/>
        <w:keepLines/>
        <w:spacing w:before="120" w:after="80" w:line="240" w:lineRule="auto"/>
        <w:ind w:left="360" w:right="-90" w:hanging="270"/>
        <w:rPr>
          <w:rFonts w:ascii="Calibri" w:hAnsi="Calibri"/>
          <w:sz w:val="16"/>
          <w:szCs w:val="16"/>
        </w:rPr>
      </w:pPr>
      <w:r w:rsidRPr="003A2CA8">
        <w:rPr>
          <w:rFonts w:ascii="Calibri" w:hAnsi="Calibri"/>
          <w:sz w:val="16"/>
          <w:szCs w:val="16"/>
        </w:rPr>
        <w:t xml:space="preserve">(a) </w:t>
      </w:r>
      <w:r w:rsidR="003A2CA8">
        <w:rPr>
          <w:rFonts w:ascii="Calibri" w:hAnsi="Calibri"/>
          <w:sz w:val="16"/>
          <w:szCs w:val="16"/>
        </w:rPr>
        <w:tab/>
      </w:r>
      <w:r w:rsidRPr="003A2CA8">
        <w:rPr>
          <w:rFonts w:ascii="Calibri" w:hAnsi="Calibri"/>
          <w:sz w:val="16"/>
          <w:szCs w:val="16"/>
        </w:rPr>
        <w:t xml:space="preserve">The study does not </w:t>
      </w:r>
      <w:r w:rsidR="005E24C2" w:rsidRPr="003A2CA8">
        <w:rPr>
          <w:rFonts w:ascii="Calibri" w:hAnsi="Calibri"/>
          <w:sz w:val="16"/>
          <w:szCs w:val="16"/>
        </w:rPr>
        <w:t>include</w:t>
      </w:r>
      <w:r w:rsidRPr="003A2CA8">
        <w:rPr>
          <w:rFonts w:ascii="Calibri" w:hAnsi="Calibri"/>
          <w:sz w:val="16"/>
          <w:szCs w:val="16"/>
        </w:rPr>
        <w:t xml:space="preserve"> specific transmission planning studies but identifies </w:t>
      </w:r>
      <w:r w:rsidR="005E24C2" w:rsidRPr="003A2CA8">
        <w:rPr>
          <w:rFonts w:ascii="Calibri" w:hAnsi="Calibri"/>
          <w:sz w:val="16"/>
          <w:szCs w:val="16"/>
        </w:rPr>
        <w:t xml:space="preserve">approximate costs for </w:t>
      </w:r>
      <w:r w:rsidRPr="003A2CA8">
        <w:rPr>
          <w:rFonts w:ascii="Calibri" w:hAnsi="Calibri"/>
          <w:sz w:val="16"/>
          <w:szCs w:val="16"/>
        </w:rPr>
        <w:t xml:space="preserve">transmission </w:t>
      </w:r>
      <w:r w:rsidR="005E24C2" w:rsidRPr="003A2CA8">
        <w:rPr>
          <w:rFonts w:ascii="Calibri" w:hAnsi="Calibri"/>
          <w:sz w:val="16"/>
          <w:szCs w:val="16"/>
        </w:rPr>
        <w:t xml:space="preserve">development </w:t>
      </w:r>
      <w:r w:rsidR="004451E8" w:rsidRPr="003A2CA8">
        <w:rPr>
          <w:rFonts w:ascii="Calibri" w:hAnsi="Calibri"/>
          <w:sz w:val="16"/>
          <w:szCs w:val="16"/>
        </w:rPr>
        <w:t xml:space="preserve">on the </w:t>
      </w:r>
      <w:r w:rsidR="005E24C2" w:rsidRPr="003A2CA8">
        <w:rPr>
          <w:rFonts w:ascii="Calibri" w:hAnsi="Calibri"/>
          <w:sz w:val="16"/>
          <w:szCs w:val="16"/>
        </w:rPr>
        <w:t>bas</w:t>
      </w:r>
      <w:r w:rsidR="004451E8" w:rsidRPr="003A2CA8">
        <w:rPr>
          <w:rFonts w:ascii="Calibri" w:hAnsi="Calibri"/>
          <w:sz w:val="16"/>
          <w:szCs w:val="16"/>
        </w:rPr>
        <w:t xml:space="preserve">is </w:t>
      </w:r>
      <w:r w:rsidR="005E24C2" w:rsidRPr="003A2CA8">
        <w:rPr>
          <w:rFonts w:ascii="Calibri" w:hAnsi="Calibri"/>
          <w:sz w:val="16"/>
          <w:szCs w:val="16"/>
        </w:rPr>
        <w:t>o</w:t>
      </w:r>
      <w:r w:rsidR="004451E8" w:rsidRPr="003A2CA8">
        <w:rPr>
          <w:rFonts w:ascii="Calibri" w:hAnsi="Calibri"/>
          <w:sz w:val="16"/>
          <w:szCs w:val="16"/>
        </w:rPr>
        <w:t>f</w:t>
      </w:r>
      <w:r w:rsidR="005E24C2" w:rsidRPr="003A2CA8">
        <w:rPr>
          <w:rFonts w:ascii="Calibri" w:hAnsi="Calibri"/>
          <w:sz w:val="16"/>
          <w:szCs w:val="16"/>
        </w:rPr>
        <w:t xml:space="preserve"> the interface flows and the extent of their congestion</w:t>
      </w:r>
      <w:r w:rsidRPr="003A2CA8">
        <w:rPr>
          <w:rFonts w:ascii="Calibri" w:hAnsi="Calibri"/>
          <w:sz w:val="16"/>
          <w:szCs w:val="16"/>
        </w:rPr>
        <w:t>.</w:t>
      </w:r>
    </w:p>
    <w:p w:rsidR="00D94D58" w:rsidRDefault="00D94D58" w:rsidP="001408BC">
      <w:pPr>
        <w:keepNext/>
        <w:keepLines/>
        <w:spacing w:after="80" w:line="240" w:lineRule="auto"/>
        <w:ind w:left="360" w:right="-90" w:hanging="270"/>
        <w:rPr>
          <w:rFonts w:ascii="Calibri" w:hAnsi="Calibri"/>
          <w:sz w:val="16"/>
          <w:szCs w:val="16"/>
        </w:rPr>
      </w:pPr>
      <w:r w:rsidRPr="00C74E4E">
        <w:rPr>
          <w:rFonts w:ascii="Calibri" w:hAnsi="Calibri"/>
          <w:sz w:val="16"/>
          <w:szCs w:val="16"/>
        </w:rPr>
        <w:t>(b)</w:t>
      </w:r>
      <w:r w:rsidRPr="00C74E4E">
        <w:rPr>
          <w:sz w:val="16"/>
          <w:szCs w:val="16"/>
        </w:rPr>
        <w:t xml:space="preserve"> </w:t>
      </w:r>
      <w:r w:rsidR="003A2CA8" w:rsidRPr="00107F6B">
        <w:rPr>
          <w:sz w:val="16"/>
          <w:szCs w:val="16"/>
        </w:rPr>
        <w:tab/>
      </w:r>
      <w:r w:rsidRPr="00107F6B">
        <w:rPr>
          <w:rFonts w:ascii="Calibri" w:hAnsi="Calibri"/>
          <w:sz w:val="16"/>
          <w:szCs w:val="16"/>
        </w:rPr>
        <w:t xml:space="preserve">The </w:t>
      </w:r>
      <w:r w:rsidRPr="00107F6B">
        <w:rPr>
          <w:rFonts w:ascii="Calibri" w:hAnsi="Calibri"/>
          <w:i/>
          <w:sz w:val="16"/>
          <w:szCs w:val="16"/>
        </w:rPr>
        <w:t>Regional Greenhouse Gas Initiative</w:t>
      </w:r>
      <w:r w:rsidRPr="00107F6B">
        <w:rPr>
          <w:rFonts w:ascii="Calibri" w:hAnsi="Calibri"/>
          <w:sz w:val="16"/>
          <w:szCs w:val="16"/>
        </w:rPr>
        <w:t xml:space="preserve"> is a nine-state program in the Northeast to reduce the CO</w:t>
      </w:r>
      <w:r w:rsidRPr="00107F6B">
        <w:rPr>
          <w:rFonts w:ascii="Calibri" w:hAnsi="Calibri"/>
          <w:sz w:val="16"/>
          <w:szCs w:val="16"/>
          <w:vertAlign w:val="subscript"/>
        </w:rPr>
        <w:t>2</w:t>
      </w:r>
      <w:r w:rsidRPr="00107F6B">
        <w:rPr>
          <w:rFonts w:ascii="Calibri" w:hAnsi="Calibri"/>
          <w:sz w:val="16"/>
          <w:szCs w:val="16"/>
        </w:rPr>
        <w:t xml:space="preserve"> emissions from fossil power plants </w:t>
      </w:r>
      <w:r w:rsidR="00174950" w:rsidRPr="00107F6B">
        <w:rPr>
          <w:rFonts w:ascii="Calibri" w:hAnsi="Calibri"/>
          <w:sz w:val="16"/>
          <w:szCs w:val="16"/>
        </w:rPr>
        <w:t>25</w:t>
      </w:r>
      <w:r w:rsidR="00174950" w:rsidRPr="00107F6B">
        <w:t> </w:t>
      </w:r>
      <w:r w:rsidRPr="00107F6B">
        <w:rPr>
          <w:rFonts w:ascii="Calibri" w:hAnsi="Calibri"/>
          <w:sz w:val="16"/>
          <w:szCs w:val="16"/>
        </w:rPr>
        <w:t xml:space="preserve">MW and larger in these states. Each state is allocated a share (allowance) of an annual emissions cap on the basis of historical emissions and negotiations; one allowance equals the limited right to emit one </w:t>
      </w:r>
      <w:r w:rsidR="00024D4A" w:rsidRPr="00107F6B">
        <w:rPr>
          <w:rFonts w:ascii="Calibri" w:hAnsi="Calibri"/>
          <w:sz w:val="16"/>
          <w:szCs w:val="16"/>
        </w:rPr>
        <w:t xml:space="preserve">short </w:t>
      </w:r>
      <w:r w:rsidRPr="00107F6B">
        <w:rPr>
          <w:rFonts w:ascii="Calibri" w:hAnsi="Calibri"/>
          <w:sz w:val="16"/>
          <w:szCs w:val="16"/>
        </w:rPr>
        <w:t>ton of CO</w:t>
      </w:r>
      <w:r w:rsidRPr="00107F6B">
        <w:rPr>
          <w:rFonts w:ascii="Calibri" w:hAnsi="Calibri"/>
          <w:sz w:val="16"/>
          <w:szCs w:val="16"/>
          <w:vertAlign w:val="subscript"/>
        </w:rPr>
        <w:t>2</w:t>
      </w:r>
      <w:r w:rsidRPr="00107F6B">
        <w:rPr>
          <w:rFonts w:ascii="Calibri" w:hAnsi="Calibri"/>
          <w:sz w:val="16"/>
          <w:szCs w:val="16"/>
        </w:rPr>
        <w:t>.</w:t>
      </w:r>
      <w:r w:rsidR="00C74E4E" w:rsidRPr="00C74E4E">
        <w:rPr>
          <w:rFonts w:ascii="Calibri" w:hAnsi="Calibri"/>
          <w:sz w:val="16"/>
          <w:szCs w:val="16"/>
        </w:rPr>
        <w:t xml:space="preserve"> The RGGI states </w:t>
      </w:r>
      <w:r w:rsidR="005D493A">
        <w:rPr>
          <w:rFonts w:ascii="Calibri" w:hAnsi="Calibri"/>
          <w:sz w:val="16"/>
          <w:szCs w:val="16"/>
        </w:rPr>
        <w:t xml:space="preserve">are </w:t>
      </w:r>
      <w:r w:rsidR="00C74E4E" w:rsidRPr="00C74E4E">
        <w:rPr>
          <w:rFonts w:ascii="Calibri" w:hAnsi="Calibri"/>
          <w:sz w:val="16"/>
          <w:szCs w:val="16"/>
        </w:rPr>
        <w:t xml:space="preserve">Connecticut, Delaware, Maine, Maryland, Massachusetts, New Hampshire, </w:t>
      </w:r>
      <w:r w:rsidR="005D493A">
        <w:rPr>
          <w:rFonts w:ascii="Calibri" w:hAnsi="Calibri"/>
          <w:sz w:val="16"/>
          <w:szCs w:val="16"/>
        </w:rPr>
        <w:t xml:space="preserve">New York, </w:t>
      </w:r>
      <w:r w:rsidR="00C74E4E" w:rsidRPr="00C74E4E">
        <w:rPr>
          <w:rFonts w:ascii="Calibri" w:hAnsi="Calibri"/>
          <w:sz w:val="16"/>
          <w:szCs w:val="16"/>
        </w:rPr>
        <w:t xml:space="preserve">Rhode Island, and Vermont. Additional information about RGGI is available at </w:t>
      </w:r>
      <w:hyperlink r:id="rId25" w:history="1">
        <w:r w:rsidR="00C74E4E" w:rsidRPr="00505EAE">
          <w:rPr>
            <w:rStyle w:val="Hyperlink"/>
            <w:rFonts w:ascii="Calibri" w:hAnsi="Calibri"/>
            <w:sz w:val="16"/>
            <w:szCs w:val="16"/>
          </w:rPr>
          <w:t>https://www.rggi.org/</w:t>
        </w:r>
      </w:hyperlink>
      <w:r w:rsidR="00C74E4E" w:rsidRPr="00C74E4E">
        <w:rPr>
          <w:rFonts w:ascii="Calibri" w:hAnsi="Calibri"/>
          <w:sz w:val="16"/>
          <w:szCs w:val="16"/>
        </w:rPr>
        <w:t>.</w:t>
      </w:r>
      <w:r w:rsidR="006E01B6">
        <w:rPr>
          <w:rFonts w:ascii="Calibri" w:hAnsi="Calibri"/>
          <w:sz w:val="16"/>
          <w:szCs w:val="16"/>
        </w:rPr>
        <w:t xml:space="preserve"> </w:t>
      </w:r>
    </w:p>
    <w:p w:rsidR="00A57DCF" w:rsidRPr="00984B00" w:rsidRDefault="00A57DCF" w:rsidP="00984B00">
      <w:pPr>
        <w:keepNext/>
        <w:keepLines/>
        <w:spacing w:after="80" w:line="240" w:lineRule="auto"/>
        <w:ind w:left="360" w:right="-86" w:hanging="274"/>
        <w:rPr>
          <w:rFonts w:asciiTheme="majorHAnsi" w:hAnsiTheme="majorHAnsi"/>
          <w:sz w:val="16"/>
          <w:szCs w:val="16"/>
        </w:rPr>
      </w:pPr>
      <w:r w:rsidRPr="00984B00">
        <w:rPr>
          <w:rFonts w:asciiTheme="majorHAnsi" w:hAnsiTheme="majorHAnsi"/>
          <w:sz w:val="16"/>
          <w:szCs w:val="16"/>
        </w:rPr>
        <w:t>(c)</w:t>
      </w:r>
      <w:r w:rsidRPr="00984B00">
        <w:rPr>
          <w:rFonts w:asciiTheme="majorHAnsi" w:hAnsiTheme="majorHAnsi"/>
          <w:sz w:val="16"/>
          <w:szCs w:val="16"/>
        </w:rPr>
        <w:tab/>
      </w:r>
      <w:r w:rsidR="006A3300">
        <w:rPr>
          <w:rFonts w:asciiTheme="majorHAnsi" w:hAnsiTheme="majorHAnsi"/>
          <w:sz w:val="16"/>
          <w:szCs w:val="16"/>
        </w:rPr>
        <w:t>The study created s</w:t>
      </w:r>
      <w:r w:rsidRPr="00984B00">
        <w:rPr>
          <w:rFonts w:asciiTheme="majorHAnsi" w:hAnsiTheme="majorHAnsi"/>
          <w:sz w:val="16"/>
          <w:szCs w:val="16"/>
        </w:rPr>
        <w:t>easonal flow duration curves</w:t>
      </w:r>
      <w:r w:rsidR="006A3300">
        <w:rPr>
          <w:rFonts w:asciiTheme="majorHAnsi" w:hAnsiTheme="majorHAnsi"/>
          <w:sz w:val="16"/>
          <w:szCs w:val="16"/>
        </w:rPr>
        <w:t xml:space="preserve"> for all monitored interfaces, which are not presented in th</w:t>
      </w:r>
      <w:r w:rsidR="00984B00">
        <w:rPr>
          <w:rFonts w:asciiTheme="majorHAnsi" w:hAnsiTheme="majorHAnsi"/>
          <w:sz w:val="16"/>
          <w:szCs w:val="16"/>
        </w:rPr>
        <w:t xml:space="preserve">is </w:t>
      </w:r>
      <w:r w:rsidR="006A3300">
        <w:rPr>
          <w:rFonts w:asciiTheme="majorHAnsi" w:hAnsiTheme="majorHAnsi"/>
          <w:sz w:val="16"/>
          <w:szCs w:val="16"/>
        </w:rPr>
        <w:t>report</w:t>
      </w:r>
      <w:r w:rsidR="00984B00">
        <w:rPr>
          <w:rFonts w:asciiTheme="majorHAnsi" w:hAnsiTheme="majorHAnsi"/>
          <w:sz w:val="16"/>
          <w:szCs w:val="16"/>
        </w:rPr>
        <w:t xml:space="preserve"> but are available in the </w:t>
      </w:r>
      <w:r w:rsidRPr="00984B00">
        <w:rPr>
          <w:rFonts w:asciiTheme="majorHAnsi" w:hAnsiTheme="majorHAnsi"/>
          <w:sz w:val="16"/>
          <w:szCs w:val="16"/>
        </w:rPr>
        <w:t xml:space="preserve">ISO’s PAC presentation, </w:t>
      </w:r>
      <w:r w:rsidRPr="00984B00">
        <w:rPr>
          <w:rFonts w:asciiTheme="majorHAnsi" w:hAnsiTheme="majorHAnsi"/>
          <w:i/>
          <w:sz w:val="16"/>
          <w:szCs w:val="16"/>
        </w:rPr>
        <w:t>2017 Economic Study</w:t>
      </w:r>
      <w:r w:rsidRPr="00984B00">
        <w:rPr>
          <w:rFonts w:asciiTheme="majorHAnsi" w:hAnsiTheme="majorHAnsi"/>
          <w:sz w:val="16"/>
          <w:szCs w:val="16"/>
        </w:rPr>
        <w:t xml:space="preserve"> (February 14, 2018), slides 66–7), </w:t>
      </w:r>
      <w:hyperlink r:id="rId26" w:history="1">
        <w:r w:rsidRPr="00984B00">
          <w:rPr>
            <w:rStyle w:val="Hyperlink"/>
            <w:rFonts w:asciiTheme="majorHAnsi" w:hAnsiTheme="majorHAnsi"/>
            <w:sz w:val="16"/>
            <w:szCs w:val="16"/>
          </w:rPr>
          <w:t>https://www.iso-ne.com/static-assets/documents/2018/02/a3_2017_economic_study.pdf</w:t>
        </w:r>
      </w:hyperlink>
      <w:r w:rsidRPr="00984B00">
        <w:rPr>
          <w:rFonts w:asciiTheme="majorHAnsi" w:hAnsiTheme="majorHAnsi"/>
          <w:color w:val="1F497D"/>
          <w:sz w:val="16"/>
          <w:szCs w:val="16"/>
        </w:rPr>
        <w:t>.</w:t>
      </w:r>
    </w:p>
    <w:p w:rsidR="000760E1" w:rsidRDefault="000760E1" w:rsidP="00984B00">
      <w:pPr>
        <w:spacing w:after="80" w:line="240" w:lineRule="auto"/>
        <w:ind w:left="360" w:right="-86" w:hanging="274"/>
        <w:rPr>
          <w:rFonts w:ascii="Calibri" w:hAnsi="Calibri"/>
          <w:sz w:val="16"/>
          <w:szCs w:val="16"/>
        </w:rPr>
      </w:pPr>
      <w:r w:rsidRPr="003A2CA8">
        <w:rPr>
          <w:rFonts w:ascii="Calibri" w:hAnsi="Calibri"/>
          <w:sz w:val="16"/>
          <w:szCs w:val="16"/>
        </w:rPr>
        <w:t>(</w:t>
      </w:r>
      <w:r w:rsidR="00A57DCF">
        <w:rPr>
          <w:rFonts w:ascii="Calibri" w:hAnsi="Calibri"/>
          <w:sz w:val="16"/>
          <w:szCs w:val="16"/>
        </w:rPr>
        <w:t>d</w:t>
      </w:r>
      <w:r w:rsidRPr="003A2CA8">
        <w:rPr>
          <w:rFonts w:ascii="Calibri" w:hAnsi="Calibri"/>
          <w:sz w:val="16"/>
          <w:szCs w:val="16"/>
        </w:rPr>
        <w:t>) “</w:t>
      </w:r>
      <w:r w:rsidR="008C3A4D" w:rsidRPr="003A2CA8">
        <w:rPr>
          <w:rFonts w:ascii="Calibri" w:hAnsi="Calibri"/>
          <w:sz w:val="16"/>
          <w:szCs w:val="16"/>
        </w:rPr>
        <w:t>B</w:t>
      </w:r>
      <w:r w:rsidR="005E24C2" w:rsidRPr="003A2CA8">
        <w:rPr>
          <w:rFonts w:ascii="Calibri" w:hAnsi="Calibri"/>
          <w:sz w:val="16"/>
          <w:szCs w:val="16"/>
        </w:rPr>
        <w:t>ottl</w:t>
      </w:r>
      <w:r w:rsidRPr="003A2CA8">
        <w:rPr>
          <w:rFonts w:ascii="Calibri" w:hAnsi="Calibri"/>
          <w:sz w:val="16"/>
          <w:szCs w:val="16"/>
        </w:rPr>
        <w:t>ed</w:t>
      </w:r>
      <w:r w:rsidR="008C3A4D" w:rsidRPr="003A2CA8">
        <w:rPr>
          <w:rFonts w:ascii="Calibri" w:hAnsi="Calibri"/>
          <w:sz w:val="16"/>
          <w:szCs w:val="16"/>
        </w:rPr>
        <w:t>”</w:t>
      </w:r>
      <w:r w:rsidRPr="003A2CA8">
        <w:rPr>
          <w:rFonts w:ascii="Calibri" w:hAnsi="Calibri"/>
          <w:sz w:val="16"/>
          <w:szCs w:val="16"/>
        </w:rPr>
        <w:t xml:space="preserve"> refers to </w:t>
      </w:r>
      <w:r w:rsidR="008C3A4D" w:rsidRPr="003A2CA8">
        <w:rPr>
          <w:rFonts w:ascii="Calibri" w:hAnsi="Calibri"/>
          <w:sz w:val="16"/>
          <w:szCs w:val="16"/>
        </w:rPr>
        <w:t>price</w:t>
      </w:r>
      <w:r w:rsidR="004451E8" w:rsidRPr="003A2CA8">
        <w:rPr>
          <w:rFonts w:ascii="Calibri" w:hAnsi="Calibri"/>
          <w:sz w:val="16"/>
          <w:szCs w:val="16"/>
        </w:rPr>
        <w:t>-</w:t>
      </w:r>
      <w:r w:rsidR="008C3A4D" w:rsidRPr="003A2CA8">
        <w:rPr>
          <w:rFonts w:ascii="Calibri" w:hAnsi="Calibri"/>
          <w:sz w:val="16"/>
          <w:szCs w:val="16"/>
        </w:rPr>
        <w:t xml:space="preserve">taking resources that cannot produce energy </w:t>
      </w:r>
      <w:r w:rsidR="004451E8" w:rsidRPr="003A2CA8">
        <w:rPr>
          <w:rFonts w:ascii="Calibri" w:hAnsi="Calibri"/>
          <w:sz w:val="16"/>
          <w:szCs w:val="16"/>
        </w:rPr>
        <w:t xml:space="preserve">because </w:t>
      </w:r>
      <w:r w:rsidR="008C3A4D" w:rsidRPr="003A2CA8">
        <w:rPr>
          <w:rFonts w:ascii="Calibri" w:hAnsi="Calibri"/>
          <w:sz w:val="16"/>
          <w:szCs w:val="16"/>
        </w:rPr>
        <w:t xml:space="preserve">of transmission system limitations that constrain production or hours </w:t>
      </w:r>
      <w:r w:rsidR="00A55D8E" w:rsidRPr="003A2CA8">
        <w:rPr>
          <w:rFonts w:ascii="Calibri" w:hAnsi="Calibri"/>
          <w:sz w:val="16"/>
          <w:szCs w:val="16"/>
        </w:rPr>
        <w:t xml:space="preserve">when </w:t>
      </w:r>
      <w:r w:rsidR="008C3A4D" w:rsidRPr="003A2CA8">
        <w:rPr>
          <w:rFonts w:ascii="Calibri" w:hAnsi="Calibri"/>
          <w:sz w:val="16"/>
          <w:szCs w:val="16"/>
        </w:rPr>
        <w:t xml:space="preserve">demand </w:t>
      </w:r>
      <w:r w:rsidR="004451E8" w:rsidRPr="003A2CA8">
        <w:rPr>
          <w:rFonts w:ascii="Calibri" w:hAnsi="Calibri"/>
          <w:sz w:val="16"/>
          <w:szCs w:val="16"/>
        </w:rPr>
        <w:t xml:space="preserve">is insufficient </w:t>
      </w:r>
      <w:r w:rsidR="008C3A4D" w:rsidRPr="003A2CA8">
        <w:rPr>
          <w:rFonts w:ascii="Calibri" w:hAnsi="Calibri"/>
          <w:sz w:val="16"/>
          <w:szCs w:val="16"/>
        </w:rPr>
        <w:t>to consume the full amount of potentially available production.</w:t>
      </w:r>
    </w:p>
    <w:p w:rsidR="006A3300" w:rsidRPr="00984B00" w:rsidRDefault="00A57DCF" w:rsidP="00984B00">
      <w:pPr>
        <w:spacing w:line="240" w:lineRule="auto"/>
        <w:ind w:left="360" w:right="-86" w:hanging="274"/>
        <w:rPr>
          <w:rFonts w:asciiTheme="majorHAnsi" w:hAnsiTheme="majorHAnsi"/>
          <w:sz w:val="16"/>
          <w:szCs w:val="16"/>
        </w:rPr>
      </w:pPr>
      <w:r w:rsidRPr="00984B00">
        <w:rPr>
          <w:rFonts w:asciiTheme="majorHAnsi" w:hAnsiTheme="majorHAnsi"/>
          <w:sz w:val="16"/>
          <w:szCs w:val="16"/>
        </w:rPr>
        <w:t xml:space="preserve">(e) </w:t>
      </w:r>
      <w:r w:rsidR="006A3300" w:rsidRPr="00984B00">
        <w:rPr>
          <w:rFonts w:asciiTheme="majorHAnsi" w:hAnsiTheme="majorHAnsi"/>
          <w:sz w:val="16"/>
          <w:szCs w:val="16"/>
        </w:rPr>
        <w:t xml:space="preserve"> Interface flows for summer and winter peak hours are </w:t>
      </w:r>
      <w:r w:rsidR="00984B00" w:rsidRPr="00984B00">
        <w:rPr>
          <w:rFonts w:asciiTheme="majorHAnsi" w:hAnsiTheme="majorHAnsi"/>
          <w:sz w:val="16"/>
          <w:szCs w:val="16"/>
        </w:rPr>
        <w:t xml:space="preserve">not presented in this report but are </w:t>
      </w:r>
      <w:r w:rsidR="006A3300" w:rsidRPr="00984B00">
        <w:rPr>
          <w:rFonts w:asciiTheme="majorHAnsi" w:hAnsiTheme="majorHAnsi"/>
          <w:sz w:val="16"/>
          <w:szCs w:val="16"/>
        </w:rPr>
        <w:t xml:space="preserve">available at the link indicated in table note c, </w:t>
      </w:r>
      <w:r w:rsidR="00984B00" w:rsidRPr="00984B00">
        <w:rPr>
          <w:rFonts w:asciiTheme="majorHAnsi" w:hAnsiTheme="majorHAnsi"/>
          <w:sz w:val="16"/>
          <w:szCs w:val="16"/>
        </w:rPr>
        <w:t xml:space="preserve">above, </w:t>
      </w:r>
      <w:r w:rsidR="006A3300" w:rsidRPr="00984B00">
        <w:rPr>
          <w:rFonts w:asciiTheme="majorHAnsi" w:hAnsiTheme="majorHAnsi"/>
          <w:sz w:val="16"/>
          <w:szCs w:val="16"/>
        </w:rPr>
        <w:t>slides 61</w:t>
      </w:r>
      <w:r w:rsidR="00984B00" w:rsidRPr="00984B00">
        <w:rPr>
          <w:rFonts w:asciiTheme="majorHAnsi" w:hAnsiTheme="majorHAnsi"/>
          <w:sz w:val="16"/>
          <w:szCs w:val="16"/>
        </w:rPr>
        <w:t>–</w:t>
      </w:r>
      <w:r w:rsidR="006A3300" w:rsidRPr="00984B00">
        <w:rPr>
          <w:rFonts w:asciiTheme="majorHAnsi" w:hAnsiTheme="majorHAnsi"/>
          <w:sz w:val="16"/>
          <w:szCs w:val="16"/>
        </w:rPr>
        <w:t>2.</w:t>
      </w:r>
    </w:p>
    <w:p w:rsidR="000760E1" w:rsidRDefault="000760E1" w:rsidP="000760E1">
      <w:r w:rsidRPr="00C17246">
        <w:t xml:space="preserve">The study does not include detailed transmission analysis that would be required to fully develop </w:t>
      </w:r>
      <w:r w:rsidR="008C3A4D">
        <w:t xml:space="preserve">plans </w:t>
      </w:r>
      <w:r w:rsidR="00A55D8E">
        <w:t>that</w:t>
      </w:r>
      <w:r w:rsidR="008C3A4D">
        <w:t xml:space="preserve"> identify and price </w:t>
      </w:r>
      <w:r>
        <w:t>transmission upgrades. The results, however,</w:t>
      </w:r>
      <w:r w:rsidR="008C3A4D">
        <w:t xml:space="preserve"> provide transmission development costs that are suitable for comparing high</w:t>
      </w:r>
      <w:r w:rsidR="00BC4C0D">
        <w:t>-</w:t>
      </w:r>
      <w:r w:rsidR="008C3A4D">
        <w:t>order</w:t>
      </w:r>
      <w:r w:rsidR="00A55D8E">
        <w:t>-</w:t>
      </w:r>
      <w:r w:rsidR="008C3A4D">
        <w:t>of</w:t>
      </w:r>
      <w:r w:rsidR="00A55D8E">
        <w:t>-</w:t>
      </w:r>
      <w:r w:rsidR="008C3A4D">
        <w:t xml:space="preserve">magnitude </w:t>
      </w:r>
      <w:r w:rsidR="00EA3B42">
        <w:t xml:space="preserve">dollars </w:t>
      </w:r>
      <w:r w:rsidR="008C3A4D">
        <w:t>across the scenarios</w:t>
      </w:r>
      <w:r>
        <w:t>.</w:t>
      </w:r>
    </w:p>
    <w:p w:rsidR="000760E1" w:rsidRDefault="000760E1" w:rsidP="00466FBF">
      <w:pPr>
        <w:pStyle w:val="Heading1"/>
      </w:pPr>
      <w:r>
        <w:br/>
      </w:r>
      <w:bookmarkStart w:id="103" w:name="_Ref477520325"/>
      <w:bookmarkStart w:id="104" w:name="_Toc528571198"/>
      <w:r>
        <w:t>Assumptions</w:t>
      </w:r>
      <w:bookmarkEnd w:id="103"/>
      <w:bookmarkEnd w:id="104"/>
    </w:p>
    <w:p w:rsidR="000760E1" w:rsidRPr="0080348E" w:rsidRDefault="00842F28" w:rsidP="000760E1">
      <w:r>
        <w:t xml:space="preserve">This section </w:t>
      </w:r>
      <w:r w:rsidRPr="003A0CF2">
        <w:t>summarize</w:t>
      </w:r>
      <w:r>
        <w:t xml:space="preserve">s </w:t>
      </w:r>
      <w:r w:rsidRPr="003A0CF2">
        <w:t>the major assumptions</w:t>
      </w:r>
      <w:r>
        <w:t xml:space="preserve"> applied in the study</w:t>
      </w:r>
      <w:r w:rsidR="00330100">
        <w:t>, all of which were</w:t>
      </w:r>
      <w:r w:rsidR="002C3A34">
        <w:t xml:space="preserve"> </w:t>
      </w:r>
      <w:r>
        <w:t xml:space="preserve">discussed with the </w:t>
      </w:r>
      <w:r w:rsidRPr="00BD577F">
        <w:rPr>
          <w:szCs w:val="20"/>
        </w:rPr>
        <w:t>PAC</w:t>
      </w:r>
      <w:r w:rsidRPr="001C0093">
        <w:rPr>
          <w:szCs w:val="20"/>
        </w:rPr>
        <w:t>.</w:t>
      </w:r>
      <w:r w:rsidR="00BD577F" w:rsidRPr="004879FC">
        <w:rPr>
          <w:rStyle w:val="FootnoteReference"/>
          <w:sz w:val="20"/>
          <w:szCs w:val="20"/>
        </w:rPr>
        <w:footnoteReference w:id="26"/>
      </w:r>
      <w:r w:rsidRPr="001C0093">
        <w:rPr>
          <w:szCs w:val="20"/>
        </w:rPr>
        <w:t xml:space="preserve"> </w:t>
      </w:r>
      <w:r w:rsidR="000760E1" w:rsidRPr="001C0093">
        <w:rPr>
          <w:szCs w:val="20"/>
        </w:rPr>
        <w:t>The study made a set of</w:t>
      </w:r>
      <w:r w:rsidR="000760E1">
        <w:t xml:space="preserve"> common assumptions of the electric power system and markets </w:t>
      </w:r>
      <w:r w:rsidR="00330100">
        <w:t xml:space="preserve">and several scenario-specific assumptions. Common assumptions </w:t>
      </w:r>
      <w:r w:rsidR="009A2B87">
        <w:t>were made for the following parameters for the constrained and unconstrained cases</w:t>
      </w:r>
      <w:r w:rsidR="00BD577F">
        <w:t xml:space="preserve">, which are </w:t>
      </w:r>
      <w:r w:rsidR="00691EA1">
        <w:t xml:space="preserve">identical to those used in the 2016 </w:t>
      </w:r>
      <w:r w:rsidR="00CC1257">
        <w:t>NEPOOL Scenario Analysis</w:t>
      </w:r>
      <w:r w:rsidR="009A2B87">
        <w:t xml:space="preserve"> for the 2030 study year</w:t>
      </w:r>
      <w:r w:rsidR="000760E1" w:rsidRPr="00B603F9">
        <w:t>:</w:t>
      </w:r>
    </w:p>
    <w:p w:rsidR="000760E1" w:rsidRPr="00355F94" w:rsidRDefault="000760E1" w:rsidP="000760E1">
      <w:pPr>
        <w:pStyle w:val="ListParagraph"/>
        <w:numPr>
          <w:ilvl w:val="0"/>
          <w:numId w:val="47"/>
        </w:numPr>
      </w:pPr>
      <w:r w:rsidRPr="00355F94">
        <w:t xml:space="preserve">Annual and peak energy use, </w:t>
      </w:r>
      <w:r w:rsidR="00C22EEB" w:rsidRPr="00355F94">
        <w:t xml:space="preserve">active demand </w:t>
      </w:r>
      <w:r w:rsidR="00195B55" w:rsidRPr="00355F94">
        <w:t>resource (ADR</w:t>
      </w:r>
      <w:r w:rsidR="00AA06D8" w:rsidRPr="00355F94">
        <w:t>)</w:t>
      </w:r>
      <w:r w:rsidR="00195B55" w:rsidRPr="00355F94">
        <w:t xml:space="preserve"> </w:t>
      </w:r>
      <w:r w:rsidR="00C22EEB" w:rsidRPr="00355F94">
        <w:t xml:space="preserve">profiles, </w:t>
      </w:r>
      <w:r w:rsidRPr="00355F94">
        <w:t xml:space="preserve">and capacity needs </w:t>
      </w:r>
    </w:p>
    <w:p w:rsidR="000760E1" w:rsidRPr="00E55A77" w:rsidRDefault="000760E1" w:rsidP="000760E1">
      <w:pPr>
        <w:pStyle w:val="ListParagraph"/>
        <w:numPr>
          <w:ilvl w:val="0"/>
          <w:numId w:val="47"/>
        </w:numPr>
      </w:pPr>
      <w:r w:rsidRPr="00E55A77">
        <w:t>Fuel prices</w:t>
      </w:r>
      <w:r w:rsidR="00145071" w:rsidRPr="00E55A77">
        <w:t xml:space="preserve"> </w:t>
      </w:r>
    </w:p>
    <w:p w:rsidR="000760E1" w:rsidRPr="00BD2B3A" w:rsidRDefault="000760E1" w:rsidP="000760E1">
      <w:pPr>
        <w:pStyle w:val="ListParagraph"/>
        <w:numPr>
          <w:ilvl w:val="0"/>
          <w:numId w:val="47"/>
        </w:numPr>
      </w:pPr>
      <w:r w:rsidRPr="00E55A77">
        <w:t xml:space="preserve">Generating resource capital costs and </w:t>
      </w:r>
      <w:r w:rsidRPr="00731662">
        <w:t xml:space="preserve">resource production </w:t>
      </w:r>
      <w:r w:rsidR="00EA3B42" w:rsidRPr="00731662">
        <w:t>characteristics (</w:t>
      </w:r>
      <w:r w:rsidR="00E55A77" w:rsidRPr="00731662">
        <w:t>e.g.,</w:t>
      </w:r>
      <w:r w:rsidR="00386A98" w:rsidRPr="00731662">
        <w:t xml:space="preserve"> </w:t>
      </w:r>
      <w:r w:rsidR="00EA3B42" w:rsidRPr="00731662">
        <w:t xml:space="preserve">heat rates, outage rates, maintenance schedules, </w:t>
      </w:r>
      <w:r w:rsidR="00BF64F4" w:rsidRPr="00731662">
        <w:t>wind</w:t>
      </w:r>
      <w:r w:rsidR="000B3B05" w:rsidRPr="005D493A">
        <w:t>, PV,</w:t>
      </w:r>
      <w:r w:rsidR="00BF64F4" w:rsidRPr="00731662">
        <w:t xml:space="preserve"> and hydro profiles,</w:t>
      </w:r>
      <w:r w:rsidR="00E55A77" w:rsidRPr="00731662">
        <w:t xml:space="preserve"> and others</w:t>
      </w:r>
      <w:r w:rsidR="00EA3B42" w:rsidRPr="00731662">
        <w:t>)</w:t>
      </w:r>
    </w:p>
    <w:p w:rsidR="000760E1" w:rsidRPr="005D493A" w:rsidRDefault="000760E1" w:rsidP="000760E1">
      <w:pPr>
        <w:pStyle w:val="ListParagraph"/>
        <w:numPr>
          <w:ilvl w:val="0"/>
          <w:numId w:val="47"/>
        </w:numPr>
      </w:pPr>
      <w:r w:rsidRPr="00C74E4E">
        <w:t xml:space="preserve">Internal and external </w:t>
      </w:r>
      <w:r w:rsidR="00842F28" w:rsidRPr="005D493A">
        <w:t>t</w:t>
      </w:r>
      <w:r w:rsidRPr="005D493A">
        <w:t>ransmission interface transfer limits and interchanges with neighboring systems</w:t>
      </w:r>
    </w:p>
    <w:p w:rsidR="000760E1" w:rsidRPr="00B564E4" w:rsidRDefault="000760E1" w:rsidP="000760E1">
      <w:pPr>
        <w:pStyle w:val="ListParagraph"/>
        <w:numPr>
          <w:ilvl w:val="0"/>
          <w:numId w:val="47"/>
        </w:numPr>
      </w:pPr>
      <w:r w:rsidRPr="001829AE">
        <w:t xml:space="preserve">Transmission </w:t>
      </w:r>
      <w:r w:rsidR="00145071" w:rsidRPr="002917A0">
        <w:t xml:space="preserve">development </w:t>
      </w:r>
      <w:r w:rsidRPr="002917A0">
        <w:t>capital cost</w:t>
      </w:r>
      <w:r w:rsidR="00145071" w:rsidRPr="002917A0">
        <w:t xml:space="preserve"> methodology and dollar amounts</w:t>
      </w:r>
      <w:r w:rsidR="003511C9" w:rsidRPr="002917A0">
        <w:t xml:space="preserve"> </w:t>
      </w:r>
    </w:p>
    <w:p w:rsidR="000760E1" w:rsidRPr="00107F6B" w:rsidRDefault="000760E1" w:rsidP="000760E1">
      <w:pPr>
        <w:pStyle w:val="ListParagraph"/>
        <w:numPr>
          <w:ilvl w:val="0"/>
          <w:numId w:val="47"/>
        </w:numPr>
        <w:spacing w:after="240"/>
      </w:pPr>
      <w:r w:rsidRPr="00107F6B">
        <w:t>Air emission regulatory targets for CO</w:t>
      </w:r>
      <w:r w:rsidRPr="00107F6B">
        <w:rPr>
          <w:vertAlign w:val="subscript"/>
        </w:rPr>
        <w:t>2</w:t>
      </w:r>
      <w:r w:rsidRPr="00107F6B">
        <w:t xml:space="preserve"> and emission allowance costs </w:t>
      </w:r>
    </w:p>
    <w:p w:rsidR="00842F28" w:rsidRPr="00E55A77" w:rsidRDefault="000760E1" w:rsidP="00E55A77">
      <w:r w:rsidRPr="00107F6B">
        <w:t xml:space="preserve">The study </w:t>
      </w:r>
      <w:r w:rsidR="000B3B05" w:rsidRPr="00107F6B">
        <w:t xml:space="preserve">also </w:t>
      </w:r>
      <w:r w:rsidRPr="00107F6B">
        <w:t xml:space="preserve">reflected assumptions for </w:t>
      </w:r>
      <w:r w:rsidRPr="00E55A77">
        <w:t>pumped-storage generating units, electric batteries, and plug-in hybrid electric vehicles</w:t>
      </w:r>
      <w:r w:rsidR="00E55A77" w:rsidRPr="00E55A77">
        <w:t xml:space="preserve"> and the energy</w:t>
      </w:r>
      <w:r w:rsidR="00E55A77" w:rsidRPr="00910F73">
        <w:t xml:space="preserve"> profiles </w:t>
      </w:r>
      <w:r w:rsidR="00E55A77" w:rsidRPr="00FD4691">
        <w:t>for</w:t>
      </w:r>
      <w:r w:rsidR="00E55A77" w:rsidRPr="00CF28AD">
        <w:t xml:space="preserve"> </w:t>
      </w:r>
      <w:r w:rsidR="00E55A77" w:rsidRPr="00B856A2">
        <w:t xml:space="preserve">imports from neighboring systems. </w:t>
      </w:r>
      <w:r w:rsidRPr="00B856A2">
        <w:t>The assumptions for the overall resource mix</w:t>
      </w:r>
      <w:r w:rsidR="00166054" w:rsidRPr="00B856A2">
        <w:t xml:space="preserve"> based on resource expansions and retirements</w:t>
      </w:r>
      <w:r w:rsidR="00E55A77" w:rsidRPr="00B856A2">
        <w:t xml:space="preserve">, </w:t>
      </w:r>
      <w:r w:rsidRPr="00B856A2">
        <w:t>resource capacity values</w:t>
      </w:r>
      <w:r w:rsidR="00166054" w:rsidRPr="00B856A2">
        <w:t xml:space="preserve"> and locations</w:t>
      </w:r>
      <w:r w:rsidR="00E55A77" w:rsidRPr="00B856A2">
        <w:t xml:space="preserve">, </w:t>
      </w:r>
      <w:r w:rsidRPr="00B856A2">
        <w:t>and external ties varied among the scenarios</w:t>
      </w:r>
      <w:r w:rsidR="00860D3B">
        <w:t xml:space="preserve">. </w:t>
      </w:r>
      <w:r w:rsidR="001C0093">
        <w:t xml:space="preserve">The </w:t>
      </w:r>
      <w:r w:rsidR="006F52FF">
        <w:t xml:space="preserve">assumptions </w:t>
      </w:r>
      <w:r w:rsidR="001C0093">
        <w:t>about</w:t>
      </w:r>
      <w:r w:rsidR="002C2534" w:rsidRPr="006F52FF">
        <w:t xml:space="preserve"> the </w:t>
      </w:r>
      <w:r w:rsidR="006F52FF" w:rsidRPr="006F52FF">
        <w:t xml:space="preserve">"base" </w:t>
      </w:r>
      <w:r w:rsidR="002C2534" w:rsidRPr="006F52FF">
        <w:t>amounts of PV and EE development</w:t>
      </w:r>
      <w:r w:rsidR="001C0093">
        <w:t xml:space="preserve"> also varied,</w:t>
      </w:r>
      <w:r w:rsidR="002C2534" w:rsidRPr="006F52FF">
        <w:t xml:space="preserve"> </w:t>
      </w:r>
      <w:r w:rsidR="000B3B05">
        <w:t>al</w:t>
      </w:r>
      <w:r w:rsidR="006F52FF">
        <w:t>though</w:t>
      </w:r>
      <w:r w:rsidR="002C2534" w:rsidRPr="006F52FF">
        <w:t xml:space="preserve"> </w:t>
      </w:r>
      <w:r w:rsidR="000B3B05">
        <w:t xml:space="preserve">the </w:t>
      </w:r>
      <w:r w:rsidR="002C2534" w:rsidRPr="006F52FF">
        <w:t xml:space="preserve">hourly profiles </w:t>
      </w:r>
      <w:r w:rsidR="000B3B05">
        <w:t xml:space="preserve">for each resource type </w:t>
      </w:r>
      <w:r w:rsidR="002C2534" w:rsidRPr="006F52FF">
        <w:t>were the same.</w:t>
      </w:r>
    </w:p>
    <w:p w:rsidR="0049252C" w:rsidRPr="00E660C2" w:rsidRDefault="0049252C" w:rsidP="00B8270A">
      <w:pPr>
        <w:pStyle w:val="Heading2"/>
      </w:pPr>
      <w:bookmarkStart w:id="105" w:name="_Toc528571199"/>
      <w:r w:rsidRPr="00E660C2">
        <w:t>Public Policies Assumed</w:t>
      </w:r>
      <w:bookmarkEnd w:id="105"/>
    </w:p>
    <w:p w:rsidR="00B25E9A" w:rsidRPr="00745105" w:rsidRDefault="00B25E9A" w:rsidP="00B25E9A">
      <w:r w:rsidRPr="00745105">
        <w:t xml:space="preserve">The following public policies were assumed to be in effect in various ways in the six New England states </w:t>
      </w:r>
      <w:r w:rsidR="005C17A4">
        <w:t>in</w:t>
      </w:r>
      <w:r w:rsidRPr="00745105">
        <w:t xml:space="preserve"> the timeframe of the study</w:t>
      </w:r>
      <w:r w:rsidR="00C723E7" w:rsidRPr="00745105">
        <w:t xml:space="preserve"> and could affect the growth of renewable resources and their locations, reductions in net demand, and energy production costs</w:t>
      </w:r>
      <w:r w:rsidR="006C6C0A">
        <w:t xml:space="preserve"> used in the scenarios</w:t>
      </w:r>
      <w:r w:rsidR="00C723E7" w:rsidRPr="00745105">
        <w:t>:</w:t>
      </w:r>
    </w:p>
    <w:p w:rsidR="00B25E9A" w:rsidRPr="00080C32" w:rsidRDefault="0045159A" w:rsidP="00FD6C6A">
      <w:pPr>
        <w:numPr>
          <w:ilvl w:val="0"/>
          <w:numId w:val="14"/>
        </w:numPr>
        <w:spacing w:after="120"/>
      </w:pPr>
      <w:r w:rsidRPr="00080C32">
        <w:t>The states’ Renewable Portfolio Standards</w:t>
      </w:r>
      <w:r w:rsidR="002E302C" w:rsidRPr="00080C32">
        <w:t>’</w:t>
      </w:r>
      <w:r w:rsidRPr="00080C32">
        <w:t xml:space="preserve"> </w:t>
      </w:r>
      <w:r w:rsidR="002E302C" w:rsidRPr="00080C32">
        <w:t xml:space="preserve">(RPSs) </w:t>
      </w:r>
      <w:r w:rsidR="00A21E96" w:rsidRPr="00080C32">
        <w:t xml:space="preserve">and other renewable resource goals </w:t>
      </w:r>
      <w:r w:rsidR="002E302C" w:rsidRPr="00080C32">
        <w:t>a</w:t>
      </w:r>
      <w:r w:rsidRPr="00080C32">
        <w:t xml:space="preserve">s of </w:t>
      </w:r>
      <w:r w:rsidR="00E344ED">
        <w:t>April 1, 2016</w:t>
      </w:r>
      <w:r w:rsidR="003129D6" w:rsidRPr="00080C32">
        <w:t xml:space="preserve">, which set increasing targets </w:t>
      </w:r>
      <w:r w:rsidR="00FD6C6A" w:rsidRPr="00080C32">
        <w:t xml:space="preserve">in the six New England states </w:t>
      </w:r>
      <w:r w:rsidR="00A21E96" w:rsidRPr="00080C32">
        <w:t xml:space="preserve">for </w:t>
      </w:r>
      <w:r w:rsidR="003129D6" w:rsidRPr="00080C32">
        <w:t xml:space="preserve">the </w:t>
      </w:r>
      <w:r w:rsidR="00A21E96" w:rsidRPr="00080C32">
        <w:t xml:space="preserve">procurement of </w:t>
      </w:r>
      <w:r w:rsidR="008E1784" w:rsidRPr="00080C32">
        <w:t>R</w:t>
      </w:r>
      <w:r w:rsidR="00A21E96" w:rsidRPr="00080C32">
        <w:t xml:space="preserve">enewable </w:t>
      </w:r>
      <w:r w:rsidR="008E1784" w:rsidRPr="00080C32">
        <w:t>E</w:t>
      </w:r>
      <w:r w:rsidR="00C22EEB" w:rsidRPr="00080C32">
        <w:t>nergy</w:t>
      </w:r>
      <w:r w:rsidR="003129D6" w:rsidRPr="00080C32">
        <w:t xml:space="preserve"> </w:t>
      </w:r>
      <w:r w:rsidR="008E1784" w:rsidRPr="00080C32">
        <w:t>C</w:t>
      </w:r>
      <w:r w:rsidR="00805C87" w:rsidRPr="00080C32">
        <w:t>redit</w:t>
      </w:r>
      <w:r w:rsidR="0012102A" w:rsidRPr="00080C32">
        <w:t xml:space="preserve">s </w:t>
      </w:r>
      <w:r w:rsidR="008E1784" w:rsidRPr="00080C32">
        <w:t xml:space="preserve">(RECs) </w:t>
      </w:r>
      <w:r w:rsidR="00A21E96" w:rsidRPr="00080C32">
        <w:t xml:space="preserve">by </w:t>
      </w:r>
      <w:r w:rsidR="003129D6" w:rsidRPr="00080C32">
        <w:t>load-serving entities</w:t>
      </w:r>
    </w:p>
    <w:p w:rsidR="00B25E9A" w:rsidRPr="00080C32" w:rsidRDefault="00B25E9A" w:rsidP="002E302C">
      <w:pPr>
        <w:numPr>
          <w:ilvl w:val="0"/>
          <w:numId w:val="12"/>
        </w:numPr>
        <w:spacing w:after="120"/>
      </w:pPr>
      <w:r w:rsidRPr="00080C32">
        <w:t>Energy-efficiency programs</w:t>
      </w:r>
      <w:r w:rsidR="003129D6" w:rsidRPr="00080C32">
        <w:t xml:space="preserve">, which </w:t>
      </w:r>
      <w:r w:rsidR="00C711FF" w:rsidRPr="00080C32">
        <w:t xml:space="preserve">lower </w:t>
      </w:r>
      <w:r w:rsidR="003129D6" w:rsidRPr="00080C32">
        <w:t xml:space="preserve">the </w:t>
      </w:r>
      <w:r w:rsidR="005C0ECA" w:rsidRPr="00080C32">
        <w:t xml:space="preserve">amount of physical energy that </w:t>
      </w:r>
      <w:r w:rsidR="00F82AED">
        <w:t>must</w:t>
      </w:r>
      <w:r w:rsidR="005C0ECA" w:rsidRPr="00080C32">
        <w:t xml:space="preserve"> be produced and distributed</w:t>
      </w:r>
      <w:r w:rsidR="00E21687" w:rsidRPr="00080C32">
        <w:t>.</w:t>
      </w:r>
      <w:r w:rsidR="00C711FF" w:rsidRPr="00080C32">
        <w:rPr>
          <w:rStyle w:val="FootnoteReference"/>
        </w:rPr>
        <w:footnoteReference w:id="27"/>
      </w:r>
      <w:r w:rsidR="00C711FF" w:rsidRPr="00080C32">
        <w:t xml:space="preserve"> </w:t>
      </w:r>
      <w:r w:rsidR="00E21687" w:rsidRPr="00080C32">
        <w:t xml:space="preserve">The study assumed that EE resources help meet the NICR. </w:t>
      </w:r>
    </w:p>
    <w:p w:rsidR="00B25E9A" w:rsidRPr="0054279D" w:rsidRDefault="00C711FF" w:rsidP="002E302C">
      <w:pPr>
        <w:numPr>
          <w:ilvl w:val="0"/>
          <w:numId w:val="12"/>
        </w:numPr>
        <w:spacing w:after="120"/>
      </w:pPr>
      <w:r w:rsidRPr="0054279D">
        <w:t>Behind-the-meter s</w:t>
      </w:r>
      <w:r w:rsidR="00B25E9A" w:rsidRPr="0054279D">
        <w:t xml:space="preserve">olar </w:t>
      </w:r>
      <w:r w:rsidR="00BD7441" w:rsidRPr="0054279D">
        <w:t xml:space="preserve">and net-metering </w:t>
      </w:r>
      <w:r w:rsidR="00B25E9A" w:rsidRPr="0054279D">
        <w:t>programs</w:t>
      </w:r>
      <w:r w:rsidRPr="0054279D">
        <w:t>, which serve to decrease net load</w:t>
      </w:r>
      <w:r w:rsidR="005C0ECA" w:rsidRPr="0054279D">
        <w:t xml:space="preserve"> as seen by ISO New England</w:t>
      </w:r>
      <w:r w:rsidRPr="0054279D">
        <w:t xml:space="preserve"> and </w:t>
      </w:r>
      <w:r w:rsidR="005C0ECA" w:rsidRPr="0054279D">
        <w:t xml:space="preserve">consequently reduce </w:t>
      </w:r>
      <w:r w:rsidRPr="0054279D">
        <w:t xml:space="preserve">the </w:t>
      </w:r>
      <w:r w:rsidR="005C0ECA" w:rsidRPr="0054279D">
        <w:t>amount of</w:t>
      </w:r>
      <w:r w:rsidRPr="0054279D">
        <w:t xml:space="preserve"> </w:t>
      </w:r>
      <w:r w:rsidR="005C0ECA" w:rsidRPr="0054279D">
        <w:t>N</w:t>
      </w:r>
      <w:r w:rsidRPr="0054279D">
        <w:t>ICR</w:t>
      </w:r>
      <w:r w:rsidR="005C0ECA" w:rsidRPr="0054279D">
        <w:t xml:space="preserve"> needed to reliably serve loads</w:t>
      </w:r>
    </w:p>
    <w:p w:rsidR="00B25E9A" w:rsidRDefault="00B25E9A" w:rsidP="002E302C">
      <w:pPr>
        <w:numPr>
          <w:ilvl w:val="0"/>
          <w:numId w:val="12"/>
        </w:numPr>
      </w:pPr>
      <w:r w:rsidRPr="00E5063C">
        <w:t xml:space="preserve">Regional Greenhous Gas Initiative </w:t>
      </w:r>
      <w:r w:rsidR="00C20561" w:rsidRPr="00E5063C">
        <w:t>CO</w:t>
      </w:r>
      <w:r w:rsidR="00C20561" w:rsidRPr="00E5063C">
        <w:rPr>
          <w:vertAlign w:val="subscript"/>
        </w:rPr>
        <w:t>2</w:t>
      </w:r>
      <w:r w:rsidR="00C20561" w:rsidRPr="00E5063C">
        <w:t xml:space="preserve"> emissions allowance </w:t>
      </w:r>
      <w:r w:rsidRPr="00E5063C">
        <w:t>pricing</w:t>
      </w:r>
      <w:r w:rsidR="00C711FF" w:rsidRPr="00E5063C">
        <w:t xml:space="preserve">, which </w:t>
      </w:r>
      <w:r w:rsidR="00862354" w:rsidRPr="00E5063C">
        <w:t>affects production costs</w:t>
      </w:r>
      <w:r w:rsidR="00A06D46" w:rsidRPr="00E5063C">
        <w:t xml:space="preserve"> </w:t>
      </w:r>
      <w:r w:rsidR="00C711FF" w:rsidRPr="00E5063C">
        <w:t>and regional emission levels</w:t>
      </w:r>
    </w:p>
    <w:p w:rsidR="0012102A" w:rsidRPr="00E5063C" w:rsidRDefault="0012102A" w:rsidP="008E1784">
      <w:r>
        <w:t xml:space="preserve">The study is not designed to </w:t>
      </w:r>
      <w:r w:rsidR="0065166A">
        <w:t xml:space="preserve">evaluate </w:t>
      </w:r>
      <w:r>
        <w:t>specific public polic</w:t>
      </w:r>
      <w:r w:rsidR="0065166A">
        <w:t>ies</w:t>
      </w:r>
      <w:r>
        <w:t xml:space="preserve"> or advocate for any particular outcome</w:t>
      </w:r>
      <w:r w:rsidR="000E338B">
        <w:t>.</w:t>
      </w:r>
      <w:r>
        <w:t xml:space="preserve"> </w:t>
      </w:r>
    </w:p>
    <w:p w:rsidR="00BD7441" w:rsidRPr="00E660C2" w:rsidRDefault="00CD11A8" w:rsidP="00B8270A">
      <w:pPr>
        <w:pStyle w:val="Heading2"/>
      </w:pPr>
      <w:bookmarkStart w:id="106" w:name="_Toc477794725"/>
      <w:bookmarkStart w:id="107" w:name="_Toc477794729"/>
      <w:bookmarkStart w:id="108" w:name="_Ref477778497"/>
      <w:bookmarkStart w:id="109" w:name="_Ref480556421"/>
      <w:bookmarkStart w:id="110" w:name="_Toc528571200"/>
      <w:bookmarkEnd w:id="106"/>
      <w:bookmarkEnd w:id="107"/>
      <w:r w:rsidRPr="00E660C2">
        <w:t xml:space="preserve">Peak </w:t>
      </w:r>
      <w:r w:rsidRPr="00E660C2">
        <w:rPr>
          <w:iCs/>
        </w:rPr>
        <w:t>Demand</w:t>
      </w:r>
      <w:r w:rsidR="00FC34C5" w:rsidRPr="00E660C2">
        <w:rPr>
          <w:iCs/>
        </w:rPr>
        <w:t>,</w:t>
      </w:r>
      <w:r w:rsidR="00BD7441" w:rsidRPr="00E660C2">
        <w:t xml:space="preserve"> Annual Energy</w:t>
      </w:r>
      <w:r w:rsidR="00894A0B" w:rsidRPr="00E660C2">
        <w:t xml:space="preserve"> Use</w:t>
      </w:r>
      <w:r w:rsidR="00FC34C5" w:rsidRPr="00E660C2">
        <w:t xml:space="preserve">, and </w:t>
      </w:r>
      <w:r w:rsidR="00033404" w:rsidRPr="00E660C2">
        <w:t>Demand</w:t>
      </w:r>
      <w:r w:rsidR="00FC34C5" w:rsidRPr="00E660C2">
        <w:t xml:space="preserve"> Modifiers</w:t>
      </w:r>
      <w:bookmarkEnd w:id="108"/>
      <w:bookmarkEnd w:id="109"/>
      <w:bookmarkEnd w:id="110"/>
    </w:p>
    <w:p w:rsidR="005B612C" w:rsidRDefault="0060641C" w:rsidP="000F038C">
      <w:r w:rsidRPr="00E5063C">
        <w:t xml:space="preserve">The </w:t>
      </w:r>
      <w:r w:rsidR="0074147F" w:rsidRPr="00E5063C">
        <w:t xml:space="preserve">study used </w:t>
      </w:r>
      <w:r w:rsidR="00F64FED" w:rsidRPr="00E5063C">
        <w:t xml:space="preserve">a 2006 load shape and </w:t>
      </w:r>
      <w:r w:rsidR="0074147F" w:rsidRPr="00E5063C">
        <w:t xml:space="preserve">readily available </w:t>
      </w:r>
      <w:r w:rsidRPr="00E5063C">
        <w:t xml:space="preserve">standard </w:t>
      </w:r>
      <w:r w:rsidR="00F25578" w:rsidRPr="00E5063C">
        <w:t xml:space="preserve">models for </w:t>
      </w:r>
      <w:r w:rsidR="00826BB7" w:rsidRPr="00E5063C">
        <w:t xml:space="preserve">creating </w:t>
      </w:r>
      <w:r w:rsidR="006D0D61">
        <w:t xml:space="preserve">a </w:t>
      </w:r>
      <w:r w:rsidR="00F64FED" w:rsidRPr="00E5063C">
        <w:t xml:space="preserve">time-synchronized </w:t>
      </w:r>
      <w:r w:rsidR="00F25578" w:rsidRPr="005A6DEA">
        <w:t xml:space="preserve">gross </w:t>
      </w:r>
      <w:r w:rsidR="00F41C4D" w:rsidRPr="005A6DEA">
        <w:t>demand</w:t>
      </w:r>
      <w:r w:rsidR="00F25578" w:rsidRPr="005A6DEA">
        <w:t xml:space="preserve"> </w:t>
      </w:r>
      <w:r w:rsidR="006D0D61">
        <w:t xml:space="preserve">load profile </w:t>
      </w:r>
      <w:r w:rsidR="00C61C02" w:rsidRPr="005A6DEA">
        <w:t xml:space="preserve">and </w:t>
      </w:r>
      <w:r w:rsidR="006D0D61">
        <w:t xml:space="preserve">2006 solar insolation patterns to represent </w:t>
      </w:r>
      <w:r w:rsidR="003A70E5" w:rsidRPr="005A6DEA">
        <w:t xml:space="preserve">BTM </w:t>
      </w:r>
      <w:r w:rsidR="00F25578" w:rsidRPr="0020432B">
        <w:t>PV</w:t>
      </w:r>
      <w:r w:rsidR="004D3C82" w:rsidRPr="0020432B">
        <w:t>.</w:t>
      </w:r>
      <w:r w:rsidR="00331422" w:rsidRPr="0020432B">
        <w:rPr>
          <w:rStyle w:val="FootnoteReference"/>
        </w:rPr>
        <w:footnoteReference w:id="28"/>
      </w:r>
      <w:r w:rsidR="004D3C82" w:rsidRPr="000D242F">
        <w:t xml:space="preserve"> </w:t>
      </w:r>
      <w:r w:rsidR="00C61C02" w:rsidRPr="00331422">
        <w:t xml:space="preserve">The model for demand </w:t>
      </w:r>
      <w:r w:rsidR="003E5152">
        <w:t xml:space="preserve">that </w:t>
      </w:r>
      <w:r w:rsidR="009C51EF">
        <w:t>account</w:t>
      </w:r>
      <w:r w:rsidR="003E5152">
        <w:t>ed</w:t>
      </w:r>
      <w:r w:rsidR="009C51EF">
        <w:t xml:space="preserve"> for </w:t>
      </w:r>
      <w:r w:rsidR="006D0D61" w:rsidRPr="00402DA8">
        <w:t xml:space="preserve">BTM PV </w:t>
      </w:r>
      <w:r w:rsidR="00C61C02" w:rsidRPr="00402DA8">
        <w:t xml:space="preserve">was determined by reducing the gross system demand </w:t>
      </w:r>
      <w:r w:rsidR="003A70E5" w:rsidRPr="00402DA8">
        <w:t>by the assumptions</w:t>
      </w:r>
      <w:r w:rsidR="003A70E5" w:rsidRPr="0020432B">
        <w:t xml:space="preserve"> </w:t>
      </w:r>
      <w:r w:rsidR="005A6DEA" w:rsidRPr="0020432B">
        <w:t>for</w:t>
      </w:r>
      <w:r w:rsidR="003A70E5" w:rsidRPr="0020432B">
        <w:t xml:space="preserve"> </w:t>
      </w:r>
      <w:r w:rsidR="00C61C02" w:rsidRPr="0020432B">
        <w:t>BTM PV</w:t>
      </w:r>
      <w:r w:rsidR="00844977" w:rsidRPr="0020432B">
        <w:t xml:space="preserve"> production for every hour of the year</w:t>
      </w:r>
      <w:r w:rsidR="00844977" w:rsidRPr="009C7834">
        <w:t xml:space="preserve">. </w:t>
      </w:r>
      <w:r w:rsidR="00526637">
        <w:t xml:space="preserve">Across all scenarios, </w:t>
      </w:r>
      <w:r w:rsidR="00526637" w:rsidRPr="00526637">
        <w:t>t</w:t>
      </w:r>
      <w:r w:rsidR="00C61C02" w:rsidRPr="00E660C2">
        <w:t xml:space="preserve">he </w:t>
      </w:r>
      <w:r w:rsidR="00004025" w:rsidRPr="00E660C2">
        <w:t>gross peak demand</w:t>
      </w:r>
      <w:r w:rsidR="00402DA8">
        <w:t xml:space="preserve"> </w:t>
      </w:r>
      <w:r w:rsidR="00A53AB6" w:rsidRPr="00E660C2">
        <w:t xml:space="preserve">for 2030 was </w:t>
      </w:r>
      <w:r w:rsidR="00BB5545">
        <w:t xml:space="preserve">the </w:t>
      </w:r>
      <w:r w:rsidR="00A53AB6" w:rsidRPr="00E660C2">
        <w:t xml:space="preserve">same as </w:t>
      </w:r>
      <w:r w:rsidR="00A53AB6" w:rsidRPr="00526637">
        <w:t xml:space="preserve">the value used for </w:t>
      </w:r>
      <w:r w:rsidR="00436599">
        <w:t>the Renew Plus s</w:t>
      </w:r>
      <w:r w:rsidR="00A53AB6" w:rsidRPr="00526637">
        <w:t xml:space="preserve">cenario of the 2016 </w:t>
      </w:r>
      <w:r w:rsidR="00402DA8">
        <w:t>N</w:t>
      </w:r>
      <w:r w:rsidR="003E5152">
        <w:t>EPOOL</w:t>
      </w:r>
      <w:r w:rsidR="00402DA8">
        <w:t xml:space="preserve"> Scenario Analysis</w:t>
      </w:r>
      <w:r w:rsidR="00860D3B">
        <w:t xml:space="preserve">. </w:t>
      </w:r>
      <w:r w:rsidR="00436599">
        <w:t xml:space="preserve">The EE + Offshore, Onshore Less EE/PV, and </w:t>
      </w:r>
      <w:r w:rsidR="00AF6389">
        <w:t>Wind Less Nuclear</w:t>
      </w:r>
      <w:r w:rsidR="00436599">
        <w:t xml:space="preserve"> </w:t>
      </w:r>
      <w:r w:rsidR="00436599" w:rsidRPr="00B050E7">
        <w:t>s</w:t>
      </w:r>
      <w:r w:rsidR="00526637" w:rsidRPr="00B050E7">
        <w:t xml:space="preserve">cenarios </w:t>
      </w:r>
      <w:r w:rsidR="00A53AB6" w:rsidRPr="00B050E7">
        <w:t xml:space="preserve">reflect </w:t>
      </w:r>
      <w:r w:rsidR="00004025" w:rsidRPr="00B050E7">
        <w:t xml:space="preserve">the </w:t>
      </w:r>
      <w:r w:rsidR="009C7834" w:rsidRPr="00B050E7">
        <w:t xml:space="preserve">megawatt </w:t>
      </w:r>
      <w:r w:rsidR="00004025" w:rsidRPr="00B050E7">
        <w:t xml:space="preserve">amounts of </w:t>
      </w:r>
      <w:r w:rsidR="00FB0A1C" w:rsidRPr="00B050E7">
        <w:t>BTM PV</w:t>
      </w:r>
      <w:r w:rsidR="000C69F3">
        <w:t xml:space="preserve">, </w:t>
      </w:r>
      <w:r w:rsidR="0099587F">
        <w:t>battery storage</w:t>
      </w:r>
      <w:r w:rsidR="00526637" w:rsidRPr="00B050E7">
        <w:t>,</w:t>
      </w:r>
      <w:r w:rsidR="00A53AB6" w:rsidRPr="00B050E7">
        <w:t xml:space="preserve"> and PHEVs </w:t>
      </w:r>
      <w:r w:rsidR="00526637" w:rsidRPr="00B050E7">
        <w:t>specified in the economic study</w:t>
      </w:r>
      <w:r w:rsidR="00526637">
        <w:t xml:space="preserve"> request</w:t>
      </w:r>
      <w:r w:rsidR="00860D3B">
        <w:t xml:space="preserve">. </w:t>
      </w:r>
    </w:p>
    <w:p w:rsidR="006F31DE" w:rsidRPr="00323C02" w:rsidRDefault="005B612C" w:rsidP="005B612C">
      <w:r>
        <w:t xml:space="preserve">The scenarios also modeled several resources </w:t>
      </w:r>
      <w:r w:rsidR="00526637">
        <w:t xml:space="preserve">and behind-the-meter load modifiers </w:t>
      </w:r>
      <w:r>
        <w:t xml:space="preserve">as negative loads to simulate an overall reduced hourly demand that served as an input to the dispatch of generating resources. Individual technology profiles were used for energy efficiency, </w:t>
      </w:r>
      <w:r w:rsidR="00041793">
        <w:t>BTM</w:t>
      </w:r>
      <w:r w:rsidR="00BB5545">
        <w:t xml:space="preserve"> and non-BTM </w:t>
      </w:r>
      <w:r w:rsidR="00041793">
        <w:t>PV</w:t>
      </w:r>
      <w:r>
        <w:t xml:space="preserve">, </w:t>
      </w:r>
      <w:r w:rsidR="00BB5545">
        <w:t xml:space="preserve">and </w:t>
      </w:r>
      <w:r>
        <w:t xml:space="preserve">wind and hydro generation. </w:t>
      </w:r>
      <w:r w:rsidR="00323C02" w:rsidRPr="00E660C2">
        <w:t>The PHEVs</w:t>
      </w:r>
      <w:r w:rsidR="001F2115" w:rsidRPr="00E660C2">
        <w:t>’</w:t>
      </w:r>
      <w:r w:rsidR="00323C02" w:rsidRPr="00E660C2">
        <w:t xml:space="preserve"> model used a profile to increase demand during off-peak hours</w:t>
      </w:r>
      <w:r w:rsidR="0099587F">
        <w:t xml:space="preserve"> that assumed battery use only for transportation and not discharged in support of the power system</w:t>
      </w:r>
      <w:r w:rsidR="00323C02" w:rsidRPr="00E660C2">
        <w:t>.</w:t>
      </w:r>
      <w:r w:rsidR="003E5152">
        <w:t xml:space="preserve"> </w:t>
      </w:r>
      <w:r w:rsidR="0099587F">
        <w:t xml:space="preserve">Other battery </w:t>
      </w:r>
      <w:r w:rsidR="0099587F" w:rsidRPr="003845CF">
        <w:t>storage systems</w:t>
      </w:r>
      <w:r w:rsidRPr="003845CF">
        <w:t xml:space="preserve"> and pumped-storage hydro </w:t>
      </w:r>
      <w:r w:rsidR="009C259C" w:rsidRPr="003845CF">
        <w:t xml:space="preserve">charging profiles </w:t>
      </w:r>
      <w:r w:rsidRPr="003845CF">
        <w:t xml:space="preserve">were modeled as </w:t>
      </w:r>
      <w:r w:rsidR="009C259C" w:rsidRPr="003845CF">
        <w:t xml:space="preserve">added </w:t>
      </w:r>
      <w:r w:rsidRPr="003845CF">
        <w:t>load</w:t>
      </w:r>
      <w:r w:rsidR="00CF5301" w:rsidRPr="003845CF">
        <w:t>,</w:t>
      </w:r>
      <w:r w:rsidRPr="003845CF">
        <w:t xml:space="preserve"> </w:t>
      </w:r>
      <w:r w:rsidR="009C259C" w:rsidRPr="003845CF">
        <w:t xml:space="preserve">while their generation profile was modeled </w:t>
      </w:r>
      <w:r w:rsidRPr="003845CF">
        <w:t>a</w:t>
      </w:r>
      <w:r w:rsidR="00041793" w:rsidRPr="003845CF">
        <w:t>s negative load</w:t>
      </w:r>
      <w:r w:rsidR="00CF5301" w:rsidRPr="003845CF">
        <w:t>,</w:t>
      </w:r>
      <w:r w:rsidR="00041793" w:rsidRPr="003845CF">
        <w:t xml:space="preserve"> </w:t>
      </w:r>
      <w:r w:rsidR="009C259C" w:rsidRPr="003845CF">
        <w:t xml:space="preserve">which </w:t>
      </w:r>
      <w:r w:rsidR="00041793" w:rsidRPr="003845CF">
        <w:t xml:space="preserve">together </w:t>
      </w:r>
      <w:r w:rsidRPr="003845CF">
        <w:t>equalize</w:t>
      </w:r>
      <w:r w:rsidR="00041793" w:rsidRPr="003845CF">
        <w:t>d</w:t>
      </w:r>
      <w:r w:rsidRPr="003845CF">
        <w:t xml:space="preserve"> the </w:t>
      </w:r>
      <w:r w:rsidR="00323C02" w:rsidRPr="003845CF">
        <w:t xml:space="preserve">gross </w:t>
      </w:r>
      <w:r w:rsidRPr="003845CF">
        <w:t xml:space="preserve">load </w:t>
      </w:r>
      <w:r w:rsidR="00323C02" w:rsidRPr="003845CF">
        <w:t xml:space="preserve">net of all </w:t>
      </w:r>
      <w:r w:rsidR="0099587F" w:rsidRPr="003845CF">
        <w:t xml:space="preserve">other </w:t>
      </w:r>
      <w:r w:rsidR="00323C02" w:rsidRPr="003845CF">
        <w:t>modifiers and imports.</w:t>
      </w:r>
      <w:r>
        <w:t xml:space="preserve"> </w:t>
      </w:r>
    </w:p>
    <w:p w:rsidR="00827DB9" w:rsidRPr="00E660C2" w:rsidRDefault="00827DB9" w:rsidP="00D27B9E">
      <w:pPr>
        <w:pStyle w:val="Heading3"/>
      </w:pPr>
      <w:bookmarkStart w:id="111" w:name="_Toc528571201"/>
      <w:r w:rsidRPr="00E660C2">
        <w:rPr>
          <w:bCs/>
        </w:rPr>
        <w:t>Peak Demand</w:t>
      </w:r>
      <w:r w:rsidRPr="00E660C2">
        <w:t xml:space="preserve"> and Annual Energy Use</w:t>
      </w:r>
      <w:bookmarkEnd w:id="111"/>
    </w:p>
    <w:p w:rsidR="0060641C" w:rsidRDefault="009B7D4F" w:rsidP="00254C80">
      <w:r>
        <w:t>Table 5-1</w:t>
      </w:r>
      <w:r w:rsidR="003533CD">
        <w:t xml:space="preserve"> </w:t>
      </w:r>
      <w:r w:rsidR="00455BD1">
        <w:t xml:space="preserve">shows the assumptions </w:t>
      </w:r>
      <w:r w:rsidR="00196BE6">
        <w:t xml:space="preserve">used </w:t>
      </w:r>
      <w:r w:rsidR="00455BD1">
        <w:t xml:space="preserve">for </w:t>
      </w:r>
      <w:r w:rsidR="00455BD1" w:rsidRPr="005A6DEA">
        <w:t xml:space="preserve">gross </w:t>
      </w:r>
      <w:r w:rsidR="006B6330">
        <w:t xml:space="preserve">50/50 peak </w:t>
      </w:r>
      <w:r w:rsidR="007A1838" w:rsidRPr="00F64FED">
        <w:t xml:space="preserve">demand </w:t>
      </w:r>
      <w:r w:rsidR="00455BD1" w:rsidRPr="00F64FED">
        <w:t>and</w:t>
      </w:r>
      <w:r w:rsidR="00455BD1">
        <w:t xml:space="preserve"> annual energy use for all scenarios for</w:t>
      </w:r>
      <w:r w:rsidR="0057536C">
        <w:t xml:space="preserve"> </w:t>
      </w:r>
      <w:r w:rsidR="00455BD1">
        <w:t>2030.</w:t>
      </w:r>
      <w:r w:rsidR="006B6330">
        <w:rPr>
          <w:rStyle w:val="FootnoteReference"/>
        </w:rPr>
        <w:footnoteReference w:id="29"/>
      </w:r>
      <w:r w:rsidR="00386A98">
        <w:t xml:space="preserve"> </w:t>
      </w:r>
      <w:r>
        <w:t xml:space="preserve">The values for 2030 were extrapolated from </w:t>
      </w:r>
      <w:r w:rsidR="00C81813">
        <w:t xml:space="preserve">the </w:t>
      </w:r>
      <w:r w:rsidR="00250CD7">
        <w:t xml:space="preserve">values for </w:t>
      </w:r>
      <w:r>
        <w:t xml:space="preserve">2025 </w:t>
      </w:r>
      <w:r w:rsidR="00C81813">
        <w:t xml:space="preserve">contained </w:t>
      </w:r>
      <w:r w:rsidR="00250CD7">
        <w:t xml:space="preserve">in the 2016 CELT </w:t>
      </w:r>
      <w:r w:rsidR="00C81813">
        <w:t>R</w:t>
      </w:r>
      <w:r w:rsidR="00250CD7">
        <w:t xml:space="preserve">eport </w:t>
      </w:r>
      <w:r>
        <w:t xml:space="preserve">using the rate of growth </w:t>
      </w:r>
      <w:r w:rsidR="00C81813">
        <w:t>for</w:t>
      </w:r>
      <w:r>
        <w:t xml:space="preserve"> </w:t>
      </w:r>
      <w:r w:rsidR="00C81813">
        <w:t xml:space="preserve">the </w:t>
      </w:r>
      <w:r>
        <w:t>2025</w:t>
      </w:r>
      <w:r w:rsidR="005A6DEA">
        <w:t xml:space="preserve"> </w:t>
      </w:r>
      <w:r>
        <w:t xml:space="preserve">values compared with </w:t>
      </w:r>
      <w:r w:rsidR="00C81813">
        <w:t xml:space="preserve">the </w:t>
      </w:r>
      <w:r>
        <w:t xml:space="preserve">values for 2024, which </w:t>
      </w:r>
      <w:r w:rsidR="00250CD7">
        <w:t>were</w:t>
      </w:r>
      <w:r>
        <w:t xml:space="preserve"> the</w:t>
      </w:r>
      <w:r w:rsidR="00C61C02">
        <w:t xml:space="preserve"> </w:t>
      </w:r>
      <w:r>
        <w:t xml:space="preserve">last two years of the ISO’s forecast. </w:t>
      </w:r>
    </w:p>
    <w:p w:rsidR="005F3C4F" w:rsidRPr="005F3C4F" w:rsidRDefault="005F3C4F" w:rsidP="00EF45CF">
      <w:pPr>
        <w:pStyle w:val="Caption"/>
        <w:jc w:val="center"/>
      </w:pPr>
      <w:bookmarkStart w:id="112" w:name="_Toc520721016"/>
      <w:r w:rsidRPr="005F3C4F">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w:t>
      </w:r>
      <w:r w:rsidR="00EA3757">
        <w:rPr>
          <w:noProof/>
        </w:rPr>
        <w:fldChar w:fldCharType="end"/>
      </w:r>
      <w:r w:rsidRPr="005F3C4F">
        <w:br/>
      </w:r>
      <w:r w:rsidRPr="005F3C4F">
        <w:rPr>
          <w:bCs w:val="0"/>
        </w:rPr>
        <w:t xml:space="preserve">Gross New </w:t>
      </w:r>
      <w:r w:rsidRPr="00F64FED">
        <w:rPr>
          <w:bCs w:val="0"/>
        </w:rPr>
        <w:t>England 50/50 Peak</w:t>
      </w:r>
      <w:r w:rsidRPr="005F3C4F">
        <w:rPr>
          <w:bCs w:val="0"/>
        </w:rPr>
        <w:t xml:space="preserve"> Demand and </w:t>
      </w:r>
      <w:r w:rsidRPr="00E36597">
        <w:rPr>
          <w:bCs w:val="0"/>
        </w:rPr>
        <w:t>Annual Energy</w:t>
      </w:r>
      <w:r w:rsidRPr="005F3C4F">
        <w:rPr>
          <w:bCs w:val="0"/>
        </w:rPr>
        <w:t xml:space="preserve"> </w:t>
      </w:r>
      <w:r w:rsidRPr="00904C1D">
        <w:rPr>
          <w:bCs w:val="0"/>
        </w:rPr>
        <w:t>Use for All Scenarios</w:t>
      </w:r>
      <w:bookmarkEnd w:id="112"/>
    </w:p>
    <w:tbl>
      <w:tblPr>
        <w:tblW w:w="6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063"/>
        <w:gridCol w:w="17"/>
        <w:gridCol w:w="1549"/>
      </w:tblGrid>
      <w:tr w:rsidR="000014F1" w:rsidRPr="000014F1" w:rsidTr="00904C1D">
        <w:trPr>
          <w:trHeight w:val="288"/>
          <w:jc w:val="center"/>
        </w:trPr>
        <w:tc>
          <w:tcPr>
            <w:tcW w:w="4157" w:type="dxa"/>
            <w:shd w:val="clear" w:color="auto" w:fill="1795D2"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Parameter</w:t>
            </w:r>
          </w:p>
        </w:tc>
        <w:tc>
          <w:tcPr>
            <w:tcW w:w="1063" w:type="dxa"/>
            <w:shd w:val="clear" w:color="auto" w:fill="1795D2" w:themeFill="accent1"/>
            <w:vAlign w:val="center"/>
          </w:tcPr>
          <w:p w:rsidR="000014F1" w:rsidRPr="00904C1D" w:rsidRDefault="000014F1" w:rsidP="000014F1">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2025</w:t>
            </w:r>
          </w:p>
        </w:tc>
        <w:tc>
          <w:tcPr>
            <w:tcW w:w="1566" w:type="dxa"/>
            <w:gridSpan w:val="2"/>
            <w:shd w:val="clear" w:color="auto" w:fill="1795D2"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2030</w:t>
            </w:r>
          </w:p>
        </w:tc>
      </w:tr>
      <w:tr w:rsidR="000F14B9" w:rsidRPr="00C40A1D" w:rsidTr="00904C1D">
        <w:trPr>
          <w:jc w:val="center"/>
        </w:trPr>
        <w:tc>
          <w:tcPr>
            <w:tcW w:w="4157" w:type="dxa"/>
            <w:shd w:val="clear" w:color="auto" w:fill="auto"/>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peak demand (MW)</w:t>
            </w:r>
          </w:p>
        </w:tc>
        <w:tc>
          <w:tcPr>
            <w:tcW w:w="1080" w:type="dxa"/>
            <w:gridSpan w:val="2"/>
          </w:tcPr>
          <w:p w:rsidR="000F14B9" w:rsidRPr="00C40A1D" w:rsidRDefault="000F14B9" w:rsidP="00EC6739">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31,7</w:t>
            </w:r>
            <w:r w:rsidR="00EC6739" w:rsidRPr="00C40A1D">
              <w:rPr>
                <w:rFonts w:ascii="Calibri" w:hAnsi="Calibri"/>
                <w:sz w:val="18"/>
                <w:szCs w:val="18"/>
              </w:rPr>
              <w:t>94</w:t>
            </w:r>
          </w:p>
        </w:tc>
        <w:tc>
          <w:tcPr>
            <w:tcW w:w="1549" w:type="dxa"/>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33,34</w:t>
            </w:r>
            <w:r w:rsidR="000F14B9" w:rsidRPr="00C40A1D">
              <w:rPr>
                <w:rFonts w:ascii="Calibri" w:hAnsi="Calibri"/>
                <w:sz w:val="18"/>
                <w:szCs w:val="18"/>
              </w:rPr>
              <w:t>3</w:t>
            </w:r>
            <w:r w:rsidR="000F14B9" w:rsidRPr="00C40A1D">
              <w:rPr>
                <w:rFonts w:ascii="Calibri" w:hAnsi="Calibri"/>
                <w:sz w:val="18"/>
                <w:szCs w:val="18"/>
                <w:vertAlign w:val="superscript"/>
              </w:rPr>
              <w:t>(a)</w:t>
            </w:r>
          </w:p>
        </w:tc>
      </w:tr>
      <w:tr w:rsidR="000F14B9" w:rsidRPr="00C40A1D" w:rsidTr="00737F69">
        <w:trPr>
          <w:jc w:val="center"/>
        </w:trPr>
        <w:tc>
          <w:tcPr>
            <w:tcW w:w="4157" w:type="dxa"/>
            <w:shd w:val="clear" w:color="auto" w:fill="CCEAF9" w:themeFill="accent1" w:themeFillTint="33"/>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annual energy use (GWh)</w:t>
            </w:r>
          </w:p>
        </w:tc>
        <w:tc>
          <w:tcPr>
            <w:tcW w:w="1080" w:type="dxa"/>
            <w:gridSpan w:val="2"/>
            <w:shd w:val="clear" w:color="auto" w:fill="CCEAF9"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152</w:t>
            </w:r>
            <w:r w:rsidR="000F14B9" w:rsidRPr="00C40A1D">
              <w:rPr>
                <w:rFonts w:ascii="Calibri" w:hAnsi="Calibri"/>
                <w:sz w:val="18"/>
                <w:szCs w:val="18"/>
              </w:rPr>
              <w:t>,</w:t>
            </w:r>
            <w:r w:rsidRPr="00C40A1D">
              <w:rPr>
                <w:rFonts w:ascii="Calibri" w:hAnsi="Calibri"/>
                <w:sz w:val="18"/>
                <w:szCs w:val="18"/>
              </w:rPr>
              <w:t>731</w:t>
            </w:r>
          </w:p>
        </w:tc>
        <w:tc>
          <w:tcPr>
            <w:tcW w:w="1549" w:type="dxa"/>
            <w:shd w:val="clear" w:color="auto" w:fill="CCEAF9"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158</w:t>
            </w:r>
            <w:r w:rsidR="000F14B9" w:rsidRPr="00C40A1D">
              <w:rPr>
                <w:rFonts w:ascii="Calibri" w:hAnsi="Calibri"/>
                <w:sz w:val="18"/>
                <w:szCs w:val="18"/>
              </w:rPr>
              <w:t>,</w:t>
            </w:r>
            <w:r w:rsidRPr="00C40A1D">
              <w:rPr>
                <w:rFonts w:ascii="Calibri" w:hAnsi="Calibri"/>
                <w:sz w:val="18"/>
                <w:szCs w:val="18"/>
              </w:rPr>
              <w:t>969</w:t>
            </w:r>
            <w:r w:rsidR="000F14B9" w:rsidRPr="00C40A1D">
              <w:rPr>
                <w:rFonts w:ascii="Calibri" w:hAnsi="Calibri"/>
                <w:sz w:val="18"/>
                <w:szCs w:val="18"/>
                <w:vertAlign w:val="superscript"/>
              </w:rPr>
              <w:t>(b)</w:t>
            </w:r>
          </w:p>
        </w:tc>
      </w:tr>
    </w:tbl>
    <w:p w:rsidR="00BE079A" w:rsidRPr="00CF0963" w:rsidRDefault="00BE079A" w:rsidP="00904C1D">
      <w:pPr>
        <w:keepNext/>
        <w:keepLines/>
        <w:tabs>
          <w:tab w:val="left" w:pos="-180"/>
        </w:tabs>
        <w:spacing w:before="120" w:after="80" w:line="240" w:lineRule="auto"/>
        <w:ind w:left="1620" w:right="1080" w:hanging="360"/>
        <w:rPr>
          <w:rFonts w:ascii="Calibri" w:hAnsi="Calibri"/>
          <w:sz w:val="16"/>
          <w:szCs w:val="16"/>
        </w:rPr>
      </w:pPr>
      <w:r w:rsidRPr="003A2CA8">
        <w:rPr>
          <w:rFonts w:ascii="Calibri" w:hAnsi="Calibri"/>
          <w:sz w:val="16"/>
          <w:szCs w:val="16"/>
        </w:rPr>
        <w:t xml:space="preserve">(a) Gross 50/50 </w:t>
      </w:r>
      <w:r w:rsidR="00E36597" w:rsidRPr="003A2CA8">
        <w:rPr>
          <w:rFonts w:ascii="Calibri" w:hAnsi="Calibri"/>
          <w:sz w:val="16"/>
          <w:szCs w:val="16"/>
        </w:rPr>
        <w:t>p</w:t>
      </w:r>
      <w:r w:rsidRPr="003A2CA8">
        <w:rPr>
          <w:rFonts w:ascii="Calibri" w:hAnsi="Calibri"/>
          <w:sz w:val="16"/>
          <w:szCs w:val="16"/>
        </w:rPr>
        <w:t xml:space="preserve">eak </w:t>
      </w:r>
      <w:r w:rsidR="007A1838" w:rsidRPr="003A2CA8">
        <w:rPr>
          <w:rFonts w:ascii="Calibri" w:hAnsi="Calibri"/>
          <w:sz w:val="16"/>
          <w:szCs w:val="16"/>
        </w:rPr>
        <w:t xml:space="preserve">demand </w:t>
      </w:r>
      <w:r w:rsidRPr="003A2CA8">
        <w:rPr>
          <w:rFonts w:ascii="Calibri" w:hAnsi="Calibri"/>
          <w:sz w:val="16"/>
          <w:szCs w:val="16"/>
        </w:rPr>
        <w:t xml:space="preserve">for 2030 = </w:t>
      </w:r>
      <w:r w:rsidR="009A5E9F" w:rsidRPr="003A2CA8">
        <w:rPr>
          <w:rFonts w:ascii="Calibri" w:hAnsi="Calibri"/>
          <w:sz w:val="16"/>
          <w:szCs w:val="16"/>
        </w:rPr>
        <w:t>(</w:t>
      </w:r>
      <w:r w:rsidRPr="003A2CA8">
        <w:rPr>
          <w:rFonts w:ascii="Calibri" w:hAnsi="Calibri"/>
          <w:sz w:val="16"/>
          <w:szCs w:val="16"/>
        </w:rPr>
        <w:t>31,794 MW</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(31,794</w:t>
      </w:r>
      <w:r w:rsidR="009A5E9F" w:rsidRPr="003A2CA8">
        <w:rPr>
          <w:rFonts w:ascii="Calibri" w:hAnsi="Calibri"/>
          <w:sz w:val="16"/>
          <w:szCs w:val="16"/>
        </w:rPr>
        <w:t xml:space="preserve"> ÷ </w:t>
      </w:r>
      <w:r w:rsidRPr="003A2CA8">
        <w:rPr>
          <w:rFonts w:ascii="Calibri" w:hAnsi="Calibri"/>
          <w:sz w:val="16"/>
          <w:szCs w:val="16"/>
        </w:rPr>
        <w:t>31,493)</w:t>
      </w:r>
      <w:r w:rsidR="00CF0963" w:rsidRPr="0021050A">
        <w:rPr>
          <w:rFonts w:ascii="Calibri" w:hAnsi="Calibri"/>
          <w:sz w:val="16"/>
          <w:szCs w:val="16"/>
          <w:vertAlign w:val="superscript"/>
        </w:rPr>
        <w:t>5</w:t>
      </w:r>
      <w:r w:rsidR="009A5E9F" w:rsidRPr="00CF0963">
        <w:rPr>
          <w:rFonts w:ascii="Calibri" w:hAnsi="Calibri"/>
          <w:sz w:val="16"/>
          <w:szCs w:val="16"/>
        </w:rPr>
        <w:t>}</w:t>
      </w:r>
      <w:r w:rsidRPr="00CF0963">
        <w:rPr>
          <w:rFonts w:ascii="Calibri" w:hAnsi="Calibri"/>
          <w:sz w:val="16"/>
          <w:szCs w:val="16"/>
        </w:rPr>
        <w:t xml:space="preserve"> = 33,343 MW</w:t>
      </w:r>
      <w:r w:rsidR="005F3C4F" w:rsidRPr="00CF0963">
        <w:rPr>
          <w:rFonts w:ascii="Calibri" w:hAnsi="Calibri"/>
          <w:sz w:val="16"/>
          <w:szCs w:val="16"/>
        </w:rPr>
        <w:t>.</w:t>
      </w:r>
    </w:p>
    <w:p w:rsidR="00BE079A" w:rsidRPr="0020432B" w:rsidRDefault="00BE079A" w:rsidP="00904C1D">
      <w:pPr>
        <w:keepNext/>
        <w:keepLines/>
        <w:tabs>
          <w:tab w:val="left" w:pos="-180"/>
        </w:tabs>
        <w:spacing w:line="240" w:lineRule="auto"/>
        <w:ind w:left="1620" w:right="1080" w:hanging="360"/>
        <w:rPr>
          <w:rFonts w:ascii="Calibri" w:hAnsi="Calibri"/>
          <w:sz w:val="16"/>
          <w:szCs w:val="16"/>
        </w:rPr>
      </w:pPr>
      <w:r w:rsidRPr="00CF0963">
        <w:rPr>
          <w:rFonts w:ascii="Calibri" w:hAnsi="Calibri"/>
          <w:sz w:val="16"/>
          <w:szCs w:val="16"/>
        </w:rPr>
        <w:t xml:space="preserve">(b) Gross </w:t>
      </w:r>
      <w:r w:rsidR="00E36597" w:rsidRPr="00CF0963">
        <w:rPr>
          <w:rFonts w:ascii="Calibri" w:hAnsi="Calibri"/>
          <w:sz w:val="16"/>
          <w:szCs w:val="16"/>
        </w:rPr>
        <w:t>a</w:t>
      </w:r>
      <w:r w:rsidRPr="00CF0963">
        <w:rPr>
          <w:rFonts w:ascii="Calibri" w:hAnsi="Calibri"/>
          <w:sz w:val="16"/>
          <w:szCs w:val="16"/>
        </w:rPr>
        <w:t xml:space="preserve">nnual </w:t>
      </w:r>
      <w:r w:rsidR="00E36597" w:rsidRPr="00CF0963">
        <w:rPr>
          <w:rFonts w:ascii="Calibri" w:hAnsi="Calibri"/>
          <w:sz w:val="16"/>
          <w:szCs w:val="16"/>
        </w:rPr>
        <w:t>e</w:t>
      </w:r>
      <w:r w:rsidRPr="00CF0963">
        <w:rPr>
          <w:rFonts w:ascii="Calibri" w:hAnsi="Calibri"/>
          <w:sz w:val="16"/>
          <w:szCs w:val="16"/>
        </w:rPr>
        <w:t xml:space="preserve">nergy </w:t>
      </w:r>
      <w:r w:rsidR="00E36597" w:rsidRPr="00CF0963">
        <w:rPr>
          <w:rFonts w:ascii="Calibri" w:hAnsi="Calibri"/>
          <w:sz w:val="16"/>
          <w:szCs w:val="16"/>
        </w:rPr>
        <w:t xml:space="preserve">use </w:t>
      </w:r>
      <w:r w:rsidRPr="00CF0963">
        <w:rPr>
          <w:rFonts w:ascii="Calibri" w:hAnsi="Calibri"/>
          <w:sz w:val="16"/>
          <w:szCs w:val="16"/>
        </w:rPr>
        <w:t xml:space="preserve">for 2030 = </w:t>
      </w:r>
      <w:r w:rsidR="00470B7C" w:rsidRPr="00CF0963">
        <w:rPr>
          <w:rFonts w:ascii="Calibri" w:hAnsi="Calibri"/>
          <w:sz w:val="16"/>
          <w:szCs w:val="16"/>
        </w:rPr>
        <w:t>{</w:t>
      </w:r>
      <w:r w:rsidRPr="00CF0963">
        <w:rPr>
          <w:rFonts w:ascii="Calibri" w:hAnsi="Calibri"/>
          <w:sz w:val="16"/>
          <w:szCs w:val="16"/>
        </w:rPr>
        <w:t xml:space="preserve">(152,731 GWh </w:t>
      </w:r>
      <w:r w:rsidR="009A5E9F" w:rsidRPr="00CF0963">
        <w:rPr>
          <w:rFonts w:ascii="Calibri" w:hAnsi="Calibri"/>
          <w:sz w:val="16"/>
          <w:szCs w:val="16"/>
        </w:rPr>
        <w:t xml:space="preserve">÷ </w:t>
      </w:r>
      <w:r w:rsidRPr="00CF0963">
        <w:rPr>
          <w:rFonts w:ascii="Calibri" w:hAnsi="Calibri"/>
          <w:sz w:val="16"/>
          <w:szCs w:val="16"/>
        </w:rPr>
        <w:t>151,513 GWh)</w:t>
      </w:r>
      <w:r w:rsidRPr="00CF0963">
        <w:rPr>
          <w:rFonts w:ascii="Calibri" w:hAnsi="Calibri"/>
          <w:sz w:val="16"/>
          <w:szCs w:val="16"/>
          <w:vertAlign w:val="superscript"/>
        </w:rPr>
        <w:t>5</w:t>
      </w:r>
      <w:r w:rsidR="00D44F20" w:rsidRPr="00CF0963">
        <w:rPr>
          <w:rFonts w:ascii="Calibri" w:hAnsi="Calibri"/>
          <w:sz w:val="16"/>
          <w:szCs w:val="16"/>
        </w:rPr>
        <w:t>}</w:t>
      </w:r>
      <w:r w:rsidRPr="00CF0963">
        <w:rPr>
          <w:rFonts w:ascii="Calibri" w:hAnsi="Calibri"/>
          <w:sz w:val="16"/>
          <w:szCs w:val="16"/>
        </w:rPr>
        <w:t xml:space="preserve"> </w:t>
      </w:r>
      <w:r w:rsidR="009A5E9F" w:rsidRPr="00BE5DAE">
        <w:rPr>
          <w:rFonts w:ascii="Calibri" w:hAnsi="Calibri"/>
          <w:sz w:val="16"/>
          <w:szCs w:val="16"/>
        </w:rPr>
        <w:t>×</w:t>
      </w:r>
      <w:r w:rsidRPr="00BE5DAE">
        <w:rPr>
          <w:rFonts w:ascii="Calibri" w:hAnsi="Calibri"/>
          <w:sz w:val="16"/>
          <w:szCs w:val="16"/>
        </w:rPr>
        <w:t xml:space="preserve"> 152,731 GWh = 158,969 GWh</w:t>
      </w:r>
      <w:r w:rsidR="0020432B" w:rsidRPr="00BE5DAE">
        <w:rPr>
          <w:rFonts w:ascii="Calibri" w:hAnsi="Calibri"/>
          <w:sz w:val="16"/>
          <w:szCs w:val="16"/>
        </w:rPr>
        <w:t>.</w:t>
      </w:r>
    </w:p>
    <w:p w:rsidR="00827DB9" w:rsidRPr="00E660C2" w:rsidRDefault="00827DB9" w:rsidP="00D27B9E">
      <w:pPr>
        <w:pStyle w:val="Heading3"/>
      </w:pPr>
      <w:bookmarkStart w:id="113" w:name="_Toc528571202"/>
      <w:r w:rsidRPr="00E660C2">
        <w:t xml:space="preserve">Passive Demand </w:t>
      </w:r>
      <w:r w:rsidR="00E251CB" w:rsidRPr="00E660C2">
        <w:t xml:space="preserve">and Behind-the Meter PV </w:t>
      </w:r>
      <w:r w:rsidRPr="00E660C2">
        <w:t>Resources</w:t>
      </w:r>
      <w:bookmarkEnd w:id="113"/>
      <w:r w:rsidR="00E251CB" w:rsidRPr="00E660C2">
        <w:t xml:space="preserve"> </w:t>
      </w:r>
    </w:p>
    <w:p w:rsidR="00466F9E" w:rsidRPr="00B92F24" w:rsidRDefault="00020E91" w:rsidP="00E660C2">
      <w:r w:rsidRPr="0020432B">
        <w:t>T</w:t>
      </w:r>
      <w:r w:rsidR="009B7D4F" w:rsidRPr="0020432B">
        <w:t>he</w:t>
      </w:r>
      <w:r w:rsidR="00904C1D" w:rsidRPr="0020432B">
        <w:t xml:space="preserve"> US Department of Energy (DOE</w:t>
      </w:r>
      <w:r w:rsidR="00872B0E" w:rsidRPr="0020432B">
        <w:t>)</w:t>
      </w:r>
      <w:r w:rsidR="00904C1D" w:rsidRPr="0020432B">
        <w:t xml:space="preserve"> National Renewable</w:t>
      </w:r>
      <w:r w:rsidR="009B7D4F" w:rsidRPr="0020432B">
        <w:t xml:space="preserve"> </w:t>
      </w:r>
      <w:r w:rsidR="00904C1D" w:rsidRPr="0020432B">
        <w:t>Energy Laboratory (</w:t>
      </w:r>
      <w:r w:rsidRPr="0020432B">
        <w:t>NREL</w:t>
      </w:r>
      <w:r w:rsidR="00904C1D" w:rsidRPr="0020432B">
        <w:t>)</w:t>
      </w:r>
      <w:r w:rsidRPr="0020432B">
        <w:t xml:space="preserve"> profiles for 2006 were used to synchronize PV production with the gross load profile.</w:t>
      </w:r>
      <w:r w:rsidR="00904C1D" w:rsidRPr="0020432B">
        <w:rPr>
          <w:rStyle w:val="FootnoteReference"/>
        </w:rPr>
        <w:footnoteReference w:id="30"/>
      </w:r>
      <w:r w:rsidR="00E36286">
        <w:t xml:space="preserve"> </w:t>
      </w:r>
      <w:r w:rsidR="00466F9E" w:rsidRPr="00A47845">
        <w:t xml:space="preserve">For </w:t>
      </w:r>
      <w:r w:rsidR="00A47845" w:rsidRPr="00A47845">
        <w:t xml:space="preserve">Scenario </w:t>
      </w:r>
      <w:r w:rsidR="00466F9E" w:rsidRPr="00A47845">
        <w:t>3</w:t>
      </w:r>
      <w:r w:rsidR="00A47845" w:rsidRPr="00A47845">
        <w:t>, t</w:t>
      </w:r>
      <w:r w:rsidR="00466F9E" w:rsidRPr="00A47845">
        <w:t>he capacity and energy assumptions for passive</w:t>
      </w:r>
      <w:r w:rsidR="00904C1D">
        <w:t xml:space="preserve"> </w:t>
      </w:r>
      <w:r w:rsidR="00466F9E" w:rsidRPr="00A47845">
        <w:t>demand resources</w:t>
      </w:r>
      <w:r w:rsidR="00E36286">
        <w:t xml:space="preserve"> and BTM PV</w:t>
      </w:r>
      <w:r w:rsidR="00466F9E" w:rsidRPr="00A47845">
        <w:t xml:space="preserve"> are </w:t>
      </w:r>
      <w:r w:rsidR="00E36286">
        <w:t xml:space="preserve">consistent with the 2016 </w:t>
      </w:r>
      <w:r w:rsidR="00C81813">
        <w:t>NEPOOL Scenario Analysis</w:t>
      </w:r>
      <w:r w:rsidR="00E36286">
        <w:t>.</w:t>
      </w:r>
      <w:r w:rsidR="00A47845" w:rsidRPr="00924838">
        <w:t xml:space="preserve"> For 2030, </w:t>
      </w:r>
      <w:r w:rsidR="00466F9E" w:rsidRPr="00924838">
        <w:t xml:space="preserve">BTM </w:t>
      </w:r>
      <w:r w:rsidR="00A47845" w:rsidRPr="00924838">
        <w:t xml:space="preserve">PV </w:t>
      </w:r>
      <w:r w:rsidR="00466F9E" w:rsidRPr="00924838">
        <w:t xml:space="preserve">nameplate installations totaling </w:t>
      </w:r>
      <w:r w:rsidR="00A47845" w:rsidRPr="00924838">
        <w:t>6</w:t>
      </w:r>
      <w:r w:rsidR="00466F9E" w:rsidRPr="00924838">
        <w:t>,</w:t>
      </w:r>
      <w:r w:rsidR="008F1026" w:rsidRPr="00924838">
        <w:t>000</w:t>
      </w:r>
      <w:r w:rsidR="008F1026">
        <w:t> </w:t>
      </w:r>
      <w:r w:rsidR="00466F9E" w:rsidRPr="00924838">
        <w:t xml:space="preserve">MW </w:t>
      </w:r>
      <w:r w:rsidR="00C759F6" w:rsidRPr="00924838">
        <w:t>were</w:t>
      </w:r>
      <w:r w:rsidR="00872B0E" w:rsidRPr="00924838">
        <w:t xml:space="preserve"> estimated to </w:t>
      </w:r>
      <w:r w:rsidR="00466F9E" w:rsidRPr="00924838">
        <w:t>reduce gross peak loads by 25.4%.</w:t>
      </w:r>
      <w:r w:rsidR="002650FD" w:rsidRPr="00924838">
        <w:rPr>
          <w:rStyle w:val="FootnoteReference"/>
        </w:rPr>
        <w:footnoteReference w:id="31"/>
      </w:r>
      <w:r w:rsidR="002C10A8">
        <w:t xml:space="preserve"> </w:t>
      </w:r>
      <w:r w:rsidR="00DB6A12">
        <w:t xml:space="preserve">The </w:t>
      </w:r>
      <w:r w:rsidR="00466F9E" w:rsidRPr="00B92F24">
        <w:t xml:space="preserve">6,000 MW of </w:t>
      </w:r>
      <w:r w:rsidR="00DB6A12">
        <w:t xml:space="preserve">BTM PV </w:t>
      </w:r>
      <w:r w:rsidR="00466F9E" w:rsidRPr="00B92F24">
        <w:t>nameplate rating in 2030</w:t>
      </w:r>
      <w:r w:rsidR="008D7650">
        <w:t xml:space="preserve"> </w:t>
      </w:r>
      <w:r w:rsidR="00DB6A12">
        <w:t xml:space="preserve">results in </w:t>
      </w:r>
      <w:r w:rsidR="00DB6A12" w:rsidRPr="00DB6A12">
        <w:t>7,</w:t>
      </w:r>
      <w:r w:rsidR="00C81813" w:rsidRPr="00DB6A12">
        <w:t>695</w:t>
      </w:r>
      <w:r w:rsidR="00C81813">
        <w:t> </w:t>
      </w:r>
      <w:r w:rsidR="00DB6A12" w:rsidRPr="00DB6A12">
        <w:t xml:space="preserve">GWh </w:t>
      </w:r>
      <w:r w:rsidR="00DB6A12">
        <w:t xml:space="preserve">of </w:t>
      </w:r>
      <w:r w:rsidR="00DB6A12" w:rsidRPr="00DB6A12">
        <w:t>energy production</w:t>
      </w:r>
      <w:r w:rsidR="00DB6A12" w:rsidRPr="00C81813">
        <w:t>.</w:t>
      </w:r>
      <w:r w:rsidR="00C81813" w:rsidRPr="00C81813">
        <w:rPr>
          <w:rStyle w:val="FootnoteReference"/>
        </w:rPr>
        <w:footnoteReference w:id="32"/>
      </w:r>
      <w:r w:rsidR="00DB6A12" w:rsidRPr="00C81813">
        <w:t xml:space="preserve"> </w:t>
      </w:r>
    </w:p>
    <w:p w:rsidR="00827DB9" w:rsidRDefault="00B92F24" w:rsidP="00827DB9">
      <w:r w:rsidRPr="00B92F24">
        <w:fldChar w:fldCharType="begin"/>
      </w:r>
      <w:r w:rsidRPr="00B92F24">
        <w:instrText xml:space="preserve"> REF _Ref462231949 \h </w:instrText>
      </w:r>
      <w:r>
        <w:instrText xml:space="preserve"> \* MERGEFORMAT </w:instrText>
      </w:r>
      <w:r w:rsidRPr="00B92F24">
        <w:fldChar w:fldCharType="separate"/>
      </w:r>
      <w:r w:rsidR="00872A95" w:rsidRPr="00FC2FC2">
        <w:t xml:space="preserve">Table </w:t>
      </w:r>
      <w:r w:rsidR="00872A95">
        <w:rPr>
          <w:noProof/>
        </w:rPr>
        <w:t>5</w:t>
      </w:r>
      <w:r w:rsidR="00872A95">
        <w:rPr>
          <w:noProof/>
        </w:rPr>
        <w:noBreakHyphen/>
        <w:t>2</w:t>
      </w:r>
      <w:r w:rsidRPr="00B92F24">
        <w:fldChar w:fldCharType="end"/>
      </w:r>
      <w:r w:rsidRPr="00B92F24">
        <w:t xml:space="preserve"> </w:t>
      </w:r>
      <w:r w:rsidR="00466F9E" w:rsidRPr="00B92F24">
        <w:t>summarizes</w:t>
      </w:r>
      <w:r w:rsidRPr="00B92F24">
        <w:t xml:space="preserve"> the assumptions for passive demand and BTM PV resources for all the scenarios for </w:t>
      </w:r>
      <w:r w:rsidR="00DB7659">
        <w:t>2030</w:t>
      </w:r>
      <w:r w:rsidRPr="00B92F24">
        <w:t>.</w:t>
      </w:r>
    </w:p>
    <w:p w:rsidR="00827DB9" w:rsidRDefault="00827DB9" w:rsidP="005A6DEA">
      <w:pPr>
        <w:pStyle w:val="Caption"/>
        <w:jc w:val="center"/>
      </w:pPr>
      <w:bookmarkStart w:id="114" w:name="_Ref462231949"/>
      <w:bookmarkStart w:id="115" w:name="_Toc520721017"/>
      <w:r w:rsidRPr="00FC2FC2">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2</w:t>
      </w:r>
      <w:r w:rsidR="00EA3757">
        <w:rPr>
          <w:noProof/>
        </w:rPr>
        <w:fldChar w:fldCharType="end"/>
      </w:r>
      <w:bookmarkEnd w:id="114"/>
      <w:r w:rsidRPr="00FC2FC2">
        <w:br/>
      </w:r>
      <w:r w:rsidR="003F5CB9" w:rsidRPr="00FC2FC2">
        <w:t xml:space="preserve">Capacity and Energy Assumptions for </w:t>
      </w:r>
      <w:r w:rsidRPr="00FC2FC2">
        <w:t xml:space="preserve">Passive Demand </w:t>
      </w:r>
      <w:r w:rsidR="00B92F24" w:rsidRPr="00FC2FC2">
        <w:t xml:space="preserve">and BTM PV </w:t>
      </w:r>
      <w:r w:rsidRPr="00FC2FC2">
        <w:t>Resource</w:t>
      </w:r>
      <w:r w:rsidR="003F5CB9" w:rsidRPr="00FC2FC2">
        <w:t>s 2030</w:t>
      </w:r>
      <w:bookmarkEnd w:id="115"/>
    </w:p>
    <w:tbl>
      <w:tblPr>
        <w:tblW w:w="9533" w:type="dxa"/>
        <w:jc w:val="center"/>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Look w:val="04A0" w:firstRow="1" w:lastRow="0" w:firstColumn="1" w:lastColumn="0" w:noHBand="0" w:noVBand="1"/>
      </w:tblPr>
      <w:tblGrid>
        <w:gridCol w:w="3783"/>
        <w:gridCol w:w="1413"/>
        <w:gridCol w:w="1510"/>
        <w:gridCol w:w="1413"/>
        <w:gridCol w:w="1414"/>
      </w:tblGrid>
      <w:tr w:rsidR="00DF560F" w:rsidRPr="004A6EFB" w:rsidTr="005D493A">
        <w:trPr>
          <w:trHeight w:val="604"/>
          <w:jc w:val="center"/>
        </w:trPr>
        <w:tc>
          <w:tcPr>
            <w:tcW w:w="3783" w:type="dxa"/>
            <w:shd w:val="clear" w:color="auto" w:fill="1795D2" w:themeFill="accent1"/>
            <w:vAlign w:val="center"/>
          </w:tcPr>
          <w:p w:rsidR="00DF560F" w:rsidRPr="005A6DEA" w:rsidRDefault="00DF560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Parameter</w:t>
            </w:r>
          </w:p>
        </w:tc>
        <w:tc>
          <w:tcPr>
            <w:tcW w:w="1413" w:type="dxa"/>
            <w:shd w:val="clear" w:color="auto" w:fill="1795D2" w:themeFill="accent1"/>
            <w:vAlign w:val="center"/>
          </w:tcPr>
          <w:p w:rsidR="00DF560F" w:rsidRPr="005A6DEA" w:rsidRDefault="00DF560F" w:rsidP="00DF560F">
            <w:pPr>
              <w:keepNext/>
              <w:keepLines/>
              <w:widowControl w:val="0"/>
              <w:spacing w:before="40" w:after="40" w:line="240" w:lineRule="auto"/>
              <w:jc w:val="center"/>
              <w:rPr>
                <w:rFonts w:ascii="Calibri" w:hAnsi="Calibri"/>
                <w:b/>
                <w:color w:val="FFFFFF" w:themeColor="background1"/>
                <w:sz w:val="18"/>
                <w:szCs w:val="18"/>
              </w:rPr>
            </w:pPr>
            <w:r>
              <w:rPr>
                <w:rFonts w:ascii="Calibri" w:hAnsi="Calibri"/>
                <w:b/>
                <w:color w:val="FFFFFF" w:themeColor="background1"/>
                <w:sz w:val="18"/>
                <w:szCs w:val="18"/>
              </w:rPr>
              <w:t>Refere</w:t>
            </w:r>
            <w:r w:rsidR="0090587C">
              <w:rPr>
                <w:rFonts w:ascii="Calibri" w:hAnsi="Calibri"/>
                <w:b/>
                <w:color w:val="FFFFFF" w:themeColor="background1"/>
                <w:sz w:val="18"/>
                <w:szCs w:val="18"/>
              </w:rPr>
              <w:t>n</w:t>
            </w:r>
            <w:r w:rsidR="00176CFE">
              <w:rPr>
                <w:rFonts w:ascii="Calibri" w:hAnsi="Calibri"/>
                <w:b/>
                <w:color w:val="FFFFFF" w:themeColor="background1"/>
                <w:sz w:val="18"/>
                <w:szCs w:val="18"/>
              </w:rPr>
              <w:t>ce</w:t>
            </w:r>
            <w:r>
              <w:rPr>
                <w:rFonts w:ascii="Calibri" w:hAnsi="Calibri"/>
                <w:b/>
                <w:color w:val="FFFFFF" w:themeColor="background1"/>
                <w:sz w:val="18"/>
                <w:szCs w:val="18"/>
              </w:rPr>
              <w:br/>
              <w:t>Renew Plus</w:t>
            </w:r>
          </w:p>
        </w:tc>
        <w:tc>
          <w:tcPr>
            <w:tcW w:w="1510" w:type="dxa"/>
            <w:shd w:val="clear" w:color="auto" w:fill="1795D2" w:themeFill="accent1"/>
            <w:vAlign w:val="center"/>
          </w:tcPr>
          <w:p w:rsidR="00DF560F" w:rsidRPr="005A6DEA" w:rsidRDefault="00DF560F" w:rsidP="005C4945">
            <w:pPr>
              <w:keepNext/>
              <w:keepLines/>
              <w:widowControl w:val="0"/>
              <w:spacing w:before="40" w:after="40" w:line="240" w:lineRule="auto"/>
              <w:jc w:val="center"/>
              <w:rPr>
                <w:rFonts w:ascii="Calibri" w:hAnsi="Calibri"/>
                <w:b/>
                <w:color w:val="FFFFFF" w:themeColor="background1"/>
                <w:sz w:val="18"/>
                <w:szCs w:val="18"/>
              </w:rPr>
            </w:pPr>
            <w:r>
              <w:rPr>
                <w:rFonts w:ascii="Calibri" w:hAnsi="Calibri"/>
                <w:b/>
                <w:color w:val="FFFFFF" w:themeColor="background1"/>
                <w:sz w:val="18"/>
                <w:szCs w:val="18"/>
              </w:rPr>
              <w:t>Scenario A</w:t>
            </w:r>
            <w:r>
              <w:rPr>
                <w:rFonts w:ascii="Calibri" w:hAnsi="Calibri"/>
                <w:b/>
                <w:color w:val="FFFFFF" w:themeColor="background1"/>
                <w:sz w:val="18"/>
                <w:szCs w:val="18"/>
              </w:rPr>
              <w:br/>
              <w:t xml:space="preserve">EE + </w:t>
            </w:r>
            <w:r w:rsidR="005C4945">
              <w:rPr>
                <w:rFonts w:ascii="Calibri" w:hAnsi="Calibri"/>
                <w:b/>
                <w:color w:val="FFFFFF" w:themeColor="background1"/>
                <w:sz w:val="18"/>
                <w:szCs w:val="18"/>
              </w:rPr>
              <w:t>Offshore</w:t>
            </w:r>
          </w:p>
        </w:tc>
        <w:tc>
          <w:tcPr>
            <w:tcW w:w="1413" w:type="dxa"/>
            <w:shd w:val="clear" w:color="auto" w:fill="1795D2" w:themeFill="accent1"/>
            <w:vAlign w:val="center"/>
          </w:tcPr>
          <w:p w:rsidR="00DF560F" w:rsidRPr="005A6DEA" w:rsidRDefault="00DF560F" w:rsidP="009A39EE">
            <w:pPr>
              <w:keepNext/>
              <w:keepLines/>
              <w:widowControl w:val="0"/>
              <w:spacing w:before="40" w:after="40" w:line="240" w:lineRule="auto"/>
              <w:jc w:val="center"/>
              <w:rPr>
                <w:rFonts w:ascii="Calibri" w:hAnsi="Calibri"/>
                <w:b/>
                <w:color w:val="FFFFFF" w:themeColor="background1"/>
                <w:sz w:val="18"/>
                <w:szCs w:val="18"/>
              </w:rPr>
            </w:pPr>
            <w:r>
              <w:rPr>
                <w:rFonts w:ascii="Calibri" w:hAnsi="Calibri"/>
                <w:b/>
                <w:color w:val="FFFFFF" w:themeColor="background1"/>
                <w:sz w:val="18"/>
                <w:szCs w:val="18"/>
              </w:rPr>
              <w:t>Scenario B</w:t>
            </w:r>
            <w:r>
              <w:rPr>
                <w:rFonts w:ascii="Calibri" w:hAnsi="Calibri"/>
                <w:b/>
                <w:color w:val="FFFFFF" w:themeColor="background1"/>
                <w:sz w:val="18"/>
                <w:szCs w:val="18"/>
              </w:rPr>
              <w:br/>
              <w:t>Onshore Less EE/PV</w:t>
            </w:r>
          </w:p>
        </w:tc>
        <w:tc>
          <w:tcPr>
            <w:tcW w:w="1414" w:type="dxa"/>
            <w:shd w:val="clear" w:color="auto" w:fill="1795D2" w:themeFill="accent1"/>
            <w:vAlign w:val="center"/>
          </w:tcPr>
          <w:p w:rsidR="00DF560F" w:rsidRPr="005A6DEA" w:rsidRDefault="00DF560F" w:rsidP="009A39EE">
            <w:pPr>
              <w:keepNext/>
              <w:keepLines/>
              <w:widowControl w:val="0"/>
              <w:spacing w:before="40" w:after="40" w:line="240" w:lineRule="auto"/>
              <w:jc w:val="center"/>
              <w:rPr>
                <w:rFonts w:ascii="Calibri" w:hAnsi="Calibri"/>
                <w:b/>
                <w:color w:val="FFFFFF" w:themeColor="background1"/>
                <w:sz w:val="18"/>
                <w:szCs w:val="18"/>
              </w:rPr>
            </w:pPr>
            <w:r>
              <w:rPr>
                <w:rFonts w:ascii="Calibri" w:hAnsi="Calibri"/>
                <w:b/>
                <w:color w:val="FFFFFF" w:themeColor="background1"/>
                <w:sz w:val="18"/>
                <w:szCs w:val="18"/>
              </w:rPr>
              <w:t>Scenario C</w:t>
            </w:r>
            <w:r>
              <w:rPr>
                <w:rFonts w:ascii="Calibri" w:hAnsi="Calibri"/>
                <w:b/>
                <w:color w:val="FFFFFF" w:themeColor="background1"/>
                <w:sz w:val="18"/>
                <w:szCs w:val="18"/>
              </w:rPr>
              <w:br/>
            </w:r>
            <w:r w:rsidR="00AF6389">
              <w:rPr>
                <w:rFonts w:ascii="Calibri" w:hAnsi="Calibri"/>
                <w:b/>
                <w:color w:val="FFFFFF" w:themeColor="background1"/>
                <w:sz w:val="18"/>
                <w:szCs w:val="18"/>
              </w:rPr>
              <w:t>Wind Less Nuclear</w:t>
            </w:r>
          </w:p>
        </w:tc>
      </w:tr>
      <w:tr w:rsidR="0090587C" w:rsidRPr="004A6EFB" w:rsidTr="005D493A">
        <w:trPr>
          <w:trHeight w:val="355"/>
          <w:jc w:val="center"/>
        </w:trPr>
        <w:tc>
          <w:tcPr>
            <w:tcW w:w="3783" w:type="dxa"/>
            <w:shd w:val="clear" w:color="auto" w:fill="auto"/>
            <w:vAlign w:val="center"/>
          </w:tcPr>
          <w:p w:rsidR="0090587C" w:rsidRPr="004A6EFB" w:rsidRDefault="0090587C" w:rsidP="0090587C">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Pr>
                <w:rFonts w:ascii="Calibri" w:hAnsi="Calibri"/>
                <w:b/>
                <w:sz w:val="18"/>
                <w:szCs w:val="18"/>
              </w:rPr>
              <w:t xml:space="preserve"> </w:t>
            </w:r>
            <w:r w:rsidRPr="004A6EFB">
              <w:rPr>
                <w:rFonts w:ascii="Calibri" w:hAnsi="Calibri"/>
                <w:b/>
                <w:sz w:val="18"/>
                <w:szCs w:val="18"/>
              </w:rPr>
              <w:t>demand</w:t>
            </w:r>
            <w:r>
              <w:rPr>
                <w:rFonts w:ascii="Calibri" w:hAnsi="Calibri"/>
                <w:b/>
                <w:sz w:val="18"/>
                <w:szCs w:val="18"/>
              </w:rPr>
              <w:t>-</w:t>
            </w:r>
            <w:r w:rsidRPr="004A6EFB">
              <w:rPr>
                <w:rFonts w:ascii="Calibri" w:hAnsi="Calibri"/>
                <w:b/>
                <w:sz w:val="18"/>
                <w:szCs w:val="18"/>
              </w:rPr>
              <w:t>resource capacity (MW)</w:t>
            </w:r>
          </w:p>
        </w:tc>
        <w:tc>
          <w:tcPr>
            <w:tcW w:w="1413" w:type="dxa"/>
            <w:shd w:val="clear" w:color="auto" w:fill="auto"/>
            <w:vAlign w:val="center"/>
          </w:tcPr>
          <w:p w:rsidR="0090587C" w:rsidRPr="004A6EFB" w:rsidRDefault="0090587C" w:rsidP="0090587C">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7,009</w:t>
            </w:r>
          </w:p>
        </w:tc>
        <w:tc>
          <w:tcPr>
            <w:tcW w:w="1510" w:type="dxa"/>
            <w:shd w:val="clear" w:color="auto" w:fill="auto"/>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140324">
              <w:rPr>
                <w:rFonts w:ascii="Calibri" w:hAnsi="Calibri"/>
                <w:sz w:val="18"/>
                <w:szCs w:val="18"/>
              </w:rPr>
              <w:t>9,009</w:t>
            </w:r>
          </w:p>
        </w:tc>
        <w:tc>
          <w:tcPr>
            <w:tcW w:w="1413" w:type="dxa"/>
            <w:shd w:val="clear" w:color="auto" w:fill="auto"/>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4,739</w:t>
            </w:r>
          </w:p>
        </w:tc>
        <w:tc>
          <w:tcPr>
            <w:tcW w:w="1414" w:type="dxa"/>
            <w:shd w:val="clear" w:color="auto" w:fill="auto"/>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7,009</w:t>
            </w:r>
          </w:p>
        </w:tc>
      </w:tr>
      <w:tr w:rsidR="0090587C" w:rsidRPr="004A6EFB" w:rsidTr="005D493A">
        <w:trPr>
          <w:jc w:val="center"/>
        </w:trPr>
        <w:tc>
          <w:tcPr>
            <w:tcW w:w="3783" w:type="dxa"/>
            <w:shd w:val="clear" w:color="auto" w:fill="CCEAF9" w:themeFill="accent1" w:themeFillTint="33"/>
            <w:vAlign w:val="center"/>
          </w:tcPr>
          <w:p w:rsidR="0090587C" w:rsidRPr="004A6EFB" w:rsidRDefault="0090587C" w:rsidP="0090587C">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Pr>
                <w:rFonts w:ascii="Calibri" w:hAnsi="Calibri"/>
                <w:b/>
                <w:sz w:val="18"/>
                <w:szCs w:val="18"/>
              </w:rPr>
              <w:t xml:space="preserve"> d</w:t>
            </w:r>
            <w:r w:rsidRPr="004A6EFB">
              <w:rPr>
                <w:rFonts w:ascii="Calibri" w:hAnsi="Calibri"/>
                <w:b/>
                <w:sz w:val="18"/>
                <w:szCs w:val="18"/>
              </w:rPr>
              <w:t>emand</w:t>
            </w:r>
            <w:r>
              <w:rPr>
                <w:rFonts w:ascii="Calibri" w:hAnsi="Calibri"/>
                <w:b/>
                <w:sz w:val="18"/>
                <w:szCs w:val="18"/>
              </w:rPr>
              <w:t>-r</w:t>
            </w:r>
            <w:r w:rsidRPr="004A6EFB">
              <w:rPr>
                <w:rFonts w:ascii="Calibri" w:hAnsi="Calibri"/>
                <w:b/>
                <w:sz w:val="18"/>
                <w:szCs w:val="18"/>
              </w:rPr>
              <w:t xml:space="preserve">esource </w:t>
            </w:r>
            <w:r>
              <w:rPr>
                <w:rFonts w:ascii="Calibri" w:hAnsi="Calibri"/>
                <w:b/>
                <w:sz w:val="18"/>
                <w:szCs w:val="18"/>
              </w:rPr>
              <w:t>e</w:t>
            </w:r>
            <w:r w:rsidRPr="004A6EFB">
              <w:rPr>
                <w:rFonts w:ascii="Calibri" w:hAnsi="Calibri"/>
                <w:b/>
                <w:sz w:val="18"/>
                <w:szCs w:val="18"/>
              </w:rPr>
              <w:t>nergy (GWh)</w:t>
            </w:r>
          </w:p>
        </w:tc>
        <w:tc>
          <w:tcPr>
            <w:tcW w:w="1413" w:type="dxa"/>
            <w:shd w:val="clear" w:color="auto" w:fill="CCEAF9" w:themeFill="accent1" w:themeFillTint="33"/>
            <w:vAlign w:val="center"/>
          </w:tcPr>
          <w:p w:rsidR="0090587C" w:rsidRPr="004A6EFB" w:rsidRDefault="0090587C" w:rsidP="0090587C">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53,360</w:t>
            </w:r>
          </w:p>
        </w:tc>
        <w:tc>
          <w:tcPr>
            <w:tcW w:w="1510"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1E7D93">
              <w:rPr>
                <w:rFonts w:ascii="Calibri" w:hAnsi="Calibri"/>
                <w:sz w:val="18"/>
                <w:szCs w:val="18"/>
              </w:rPr>
              <w:t>68,590</w:t>
            </w:r>
          </w:p>
        </w:tc>
        <w:tc>
          <w:tcPr>
            <w:tcW w:w="1413"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25,834</w:t>
            </w:r>
          </w:p>
        </w:tc>
        <w:tc>
          <w:tcPr>
            <w:tcW w:w="1414"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53,360</w:t>
            </w:r>
          </w:p>
        </w:tc>
      </w:tr>
      <w:tr w:rsidR="0090587C" w:rsidRPr="004A6EFB" w:rsidTr="005D493A">
        <w:trPr>
          <w:jc w:val="center"/>
        </w:trPr>
        <w:tc>
          <w:tcPr>
            <w:tcW w:w="3783" w:type="dxa"/>
            <w:shd w:val="clear" w:color="auto" w:fill="auto"/>
            <w:vAlign w:val="center"/>
          </w:tcPr>
          <w:p w:rsidR="0090587C" w:rsidRPr="004A6EFB" w:rsidRDefault="0090587C" w:rsidP="0090587C">
            <w:pPr>
              <w:keepNext/>
              <w:keepLines/>
              <w:widowControl w:val="0"/>
              <w:spacing w:before="40" w:after="40" w:line="240" w:lineRule="auto"/>
              <w:rPr>
                <w:rFonts w:ascii="Calibri" w:hAnsi="Calibri"/>
                <w:b/>
                <w:sz w:val="18"/>
                <w:szCs w:val="18"/>
              </w:rPr>
            </w:pPr>
            <w:r w:rsidRPr="004A6EFB">
              <w:rPr>
                <w:rFonts w:ascii="Calibri" w:hAnsi="Calibri"/>
                <w:b/>
                <w:sz w:val="18"/>
                <w:szCs w:val="18"/>
              </w:rPr>
              <w:t>Behind-the-meter PV reductions in peak load</w:t>
            </w:r>
            <w:r>
              <w:rPr>
                <w:rFonts w:ascii="Calibri" w:hAnsi="Calibri"/>
                <w:b/>
                <w:sz w:val="18"/>
                <w:szCs w:val="18"/>
              </w:rPr>
              <w:t>/</w:t>
            </w:r>
            <w:r w:rsidRPr="005A6DEA">
              <w:rPr>
                <w:rFonts w:ascii="Calibri" w:hAnsi="Calibri"/>
                <w:b/>
                <w:sz w:val="18"/>
                <w:szCs w:val="18"/>
              </w:rPr>
              <w:t>nameplate</w:t>
            </w:r>
            <w:r w:rsidRPr="005C4006">
              <w:rPr>
                <w:rFonts w:ascii="Calibri" w:hAnsi="Calibri"/>
                <w:b/>
                <w:sz w:val="18"/>
                <w:szCs w:val="18"/>
              </w:rPr>
              <w:t xml:space="preserve"> MW</w:t>
            </w:r>
          </w:p>
        </w:tc>
        <w:tc>
          <w:tcPr>
            <w:tcW w:w="1413" w:type="dxa"/>
            <w:shd w:val="clear" w:color="auto" w:fill="auto"/>
            <w:vAlign w:val="center"/>
          </w:tcPr>
          <w:p w:rsidR="0090587C" w:rsidRPr="004A6EFB" w:rsidRDefault="0090587C" w:rsidP="0090587C">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1,524/6,000</w:t>
            </w:r>
            <w:r w:rsidRPr="004A6EFB">
              <w:rPr>
                <w:rFonts w:ascii="Calibri" w:hAnsi="Calibri"/>
                <w:sz w:val="18"/>
                <w:szCs w:val="18"/>
              </w:rPr>
              <w:br/>
              <w:t>25.4% of nameplate</w:t>
            </w:r>
          </w:p>
        </w:tc>
        <w:tc>
          <w:tcPr>
            <w:tcW w:w="1510" w:type="dxa"/>
            <w:shd w:val="clear" w:color="auto" w:fill="auto"/>
            <w:vAlign w:val="center"/>
          </w:tcPr>
          <w:p w:rsidR="0090587C" w:rsidRPr="00140324" w:rsidRDefault="0090587C" w:rsidP="0090587C">
            <w:pPr>
              <w:keepNext/>
              <w:keepLines/>
              <w:widowControl w:val="0"/>
              <w:spacing w:before="40" w:after="40" w:line="240" w:lineRule="auto"/>
              <w:jc w:val="center"/>
              <w:rPr>
                <w:rFonts w:ascii="Calibri" w:hAnsi="Calibri"/>
                <w:sz w:val="18"/>
                <w:szCs w:val="18"/>
              </w:rPr>
            </w:pPr>
            <w:r w:rsidRPr="00140324">
              <w:rPr>
                <w:rFonts w:ascii="Calibri" w:hAnsi="Calibri"/>
                <w:sz w:val="18"/>
                <w:szCs w:val="18"/>
              </w:rPr>
              <w:t>1,536/8,000</w:t>
            </w:r>
          </w:p>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140324">
              <w:rPr>
                <w:rFonts w:ascii="Calibri" w:hAnsi="Calibri"/>
                <w:sz w:val="18"/>
                <w:szCs w:val="18"/>
              </w:rPr>
              <w:t>19.2% of nameplate</w:t>
            </w:r>
          </w:p>
        </w:tc>
        <w:tc>
          <w:tcPr>
            <w:tcW w:w="1413" w:type="dxa"/>
            <w:shd w:val="clear" w:color="auto" w:fill="auto"/>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1,264/4,000</w:t>
            </w:r>
            <w:r w:rsidRPr="004A6EFB">
              <w:rPr>
                <w:rFonts w:ascii="Calibri" w:hAnsi="Calibri"/>
                <w:sz w:val="18"/>
                <w:szCs w:val="18"/>
              </w:rPr>
              <w:br/>
              <w:t>31.6% of nameplate</w:t>
            </w:r>
          </w:p>
        </w:tc>
        <w:tc>
          <w:tcPr>
            <w:tcW w:w="1414" w:type="dxa"/>
            <w:shd w:val="clear" w:color="auto" w:fill="auto"/>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1,524/6,000</w:t>
            </w:r>
            <w:r w:rsidRPr="004A6EFB">
              <w:rPr>
                <w:rFonts w:ascii="Calibri" w:hAnsi="Calibri"/>
                <w:sz w:val="18"/>
                <w:szCs w:val="18"/>
              </w:rPr>
              <w:br/>
              <w:t>25.4% of nameplate</w:t>
            </w:r>
          </w:p>
        </w:tc>
      </w:tr>
      <w:tr w:rsidR="0090587C" w:rsidRPr="004A6EFB" w:rsidTr="005D493A">
        <w:trPr>
          <w:jc w:val="center"/>
        </w:trPr>
        <w:tc>
          <w:tcPr>
            <w:tcW w:w="3783" w:type="dxa"/>
            <w:shd w:val="clear" w:color="auto" w:fill="CCEAF9" w:themeFill="accent1" w:themeFillTint="33"/>
            <w:vAlign w:val="center"/>
          </w:tcPr>
          <w:p w:rsidR="0090587C" w:rsidRPr="004A6EFB" w:rsidRDefault="0090587C" w:rsidP="0090587C">
            <w:pPr>
              <w:keepNext/>
              <w:keepLines/>
              <w:widowControl w:val="0"/>
              <w:spacing w:before="40" w:after="40" w:line="240" w:lineRule="auto"/>
              <w:rPr>
                <w:rFonts w:ascii="Calibri" w:hAnsi="Calibri"/>
                <w:b/>
                <w:sz w:val="18"/>
                <w:szCs w:val="18"/>
              </w:rPr>
            </w:pPr>
            <w:r w:rsidRPr="004A6EFB">
              <w:rPr>
                <w:rFonts w:ascii="Calibri" w:hAnsi="Calibri"/>
                <w:b/>
                <w:sz w:val="18"/>
                <w:szCs w:val="18"/>
              </w:rPr>
              <w:t xml:space="preserve">Behind-the-meter </w:t>
            </w:r>
            <w:r>
              <w:rPr>
                <w:rFonts w:ascii="Calibri" w:hAnsi="Calibri"/>
                <w:b/>
                <w:sz w:val="18"/>
                <w:szCs w:val="18"/>
              </w:rPr>
              <w:t xml:space="preserve">PV </w:t>
            </w:r>
            <w:r w:rsidRPr="004A6EFB">
              <w:rPr>
                <w:rFonts w:ascii="Calibri" w:hAnsi="Calibri"/>
                <w:b/>
                <w:sz w:val="18"/>
                <w:szCs w:val="18"/>
              </w:rPr>
              <w:t>energy</w:t>
            </w:r>
            <w:r>
              <w:rPr>
                <w:rFonts w:ascii="Calibri" w:hAnsi="Calibri"/>
                <w:b/>
                <w:sz w:val="18"/>
                <w:szCs w:val="18"/>
              </w:rPr>
              <w:t xml:space="preserve"> production</w:t>
            </w:r>
            <w:r w:rsidRPr="004A6EFB">
              <w:rPr>
                <w:rFonts w:ascii="Calibri" w:hAnsi="Calibri"/>
                <w:b/>
                <w:sz w:val="18"/>
                <w:szCs w:val="18"/>
              </w:rPr>
              <w:t xml:space="preserve"> (GWh)</w:t>
            </w:r>
          </w:p>
        </w:tc>
        <w:tc>
          <w:tcPr>
            <w:tcW w:w="1413" w:type="dxa"/>
            <w:shd w:val="clear" w:color="auto" w:fill="CCEAF9" w:themeFill="accent1" w:themeFillTint="33"/>
            <w:vAlign w:val="center"/>
          </w:tcPr>
          <w:p w:rsidR="0090587C" w:rsidRPr="004A6EFB" w:rsidRDefault="0090587C" w:rsidP="0090587C">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7,695</w:t>
            </w:r>
          </w:p>
        </w:tc>
        <w:tc>
          <w:tcPr>
            <w:tcW w:w="1510"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1E7D93">
              <w:rPr>
                <w:rFonts w:ascii="Calibri" w:hAnsi="Calibri"/>
                <w:sz w:val="18"/>
                <w:szCs w:val="18"/>
              </w:rPr>
              <w:t>10,260</w:t>
            </w:r>
          </w:p>
        </w:tc>
        <w:tc>
          <w:tcPr>
            <w:tcW w:w="1413"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5,130</w:t>
            </w:r>
          </w:p>
        </w:tc>
        <w:tc>
          <w:tcPr>
            <w:tcW w:w="1414" w:type="dxa"/>
            <w:shd w:val="clear" w:color="auto" w:fill="CCEAF9" w:themeFill="accent1" w:themeFillTint="33"/>
            <w:vAlign w:val="center"/>
          </w:tcPr>
          <w:p w:rsidR="0090587C" w:rsidRPr="00E660C2" w:rsidRDefault="0090587C" w:rsidP="0090587C">
            <w:pPr>
              <w:keepNext/>
              <w:keepLines/>
              <w:widowControl w:val="0"/>
              <w:spacing w:before="40" w:after="40" w:line="240" w:lineRule="auto"/>
              <w:jc w:val="center"/>
              <w:rPr>
                <w:rFonts w:ascii="Calibri" w:hAnsi="Calibri"/>
                <w:sz w:val="18"/>
                <w:szCs w:val="18"/>
                <w:highlight w:val="yellow"/>
              </w:rPr>
            </w:pPr>
            <w:r w:rsidRPr="004A6EFB">
              <w:rPr>
                <w:rFonts w:ascii="Calibri" w:hAnsi="Calibri"/>
                <w:sz w:val="18"/>
                <w:szCs w:val="18"/>
              </w:rPr>
              <w:t>7,695</w:t>
            </w:r>
          </w:p>
        </w:tc>
      </w:tr>
    </w:tbl>
    <w:p w:rsidR="00827DB9" w:rsidRDefault="00827DB9" w:rsidP="007D25B1">
      <w:pPr>
        <w:spacing w:after="0" w:line="240" w:lineRule="auto"/>
        <w:ind w:right="-86"/>
        <w:rPr>
          <w:rFonts w:ascii="Calibri" w:hAnsi="Calibri"/>
          <w:bCs/>
          <w:sz w:val="18"/>
          <w:szCs w:val="18"/>
        </w:rPr>
      </w:pPr>
    </w:p>
    <w:p w:rsidR="00D85509" w:rsidRPr="009A39EE" w:rsidRDefault="00D85509" w:rsidP="00D27B9E">
      <w:pPr>
        <w:pStyle w:val="Heading3"/>
      </w:pPr>
      <w:bookmarkStart w:id="116" w:name="_Ref476903290"/>
      <w:bookmarkStart w:id="117" w:name="_Toc528571203"/>
      <w:r w:rsidRPr="00E660C2">
        <w:rPr>
          <w:bCs/>
        </w:rPr>
        <w:t>Plug-In Hybrid</w:t>
      </w:r>
      <w:r w:rsidRPr="00E660C2">
        <w:t xml:space="preserve"> Electric Vehicles</w:t>
      </w:r>
      <w:bookmarkEnd w:id="116"/>
      <w:bookmarkEnd w:id="117"/>
    </w:p>
    <w:p w:rsidR="00D85509" w:rsidRDefault="00967F3C" w:rsidP="00D85509">
      <w:r w:rsidRPr="00B050E7">
        <w:t xml:space="preserve">Except for </w:t>
      </w:r>
      <w:r w:rsidR="00B050E7" w:rsidRPr="00B050E7">
        <w:t xml:space="preserve">the </w:t>
      </w:r>
      <w:r w:rsidR="00033075" w:rsidRPr="003845CF">
        <w:t>EE + Offshore</w:t>
      </w:r>
      <w:r w:rsidR="00B050E7" w:rsidRPr="003845CF">
        <w:t xml:space="preserve"> scenario (Scenario B</w:t>
      </w:r>
      <w:r w:rsidR="00C405EF" w:rsidRPr="003845CF">
        <w:t>)</w:t>
      </w:r>
      <w:r w:rsidR="00434E8D" w:rsidRPr="003845CF">
        <w:t>,</w:t>
      </w:r>
      <w:r w:rsidR="00434E8D" w:rsidRPr="00B050E7">
        <w:t xml:space="preserve"> a</w:t>
      </w:r>
      <w:r w:rsidR="00D85509" w:rsidRPr="00B050E7">
        <w:t xml:space="preserve"> total of 4.2 million </w:t>
      </w:r>
      <w:r w:rsidRPr="00B050E7">
        <w:t>plug-in hybrid electric</w:t>
      </w:r>
      <w:r w:rsidRPr="00EC719E">
        <w:t xml:space="preserve"> vehicles </w:t>
      </w:r>
      <w:r w:rsidR="00434E8D">
        <w:t>were added to all scenarios</w:t>
      </w:r>
      <w:r w:rsidR="00D85509" w:rsidRPr="00EC719E">
        <w:t>.</w:t>
      </w:r>
      <w:r w:rsidR="00D85509">
        <w:t xml:space="preserve"> Locations were distributed by state, in accordance with the </w:t>
      </w:r>
      <w:r w:rsidR="00D85509" w:rsidRPr="00EC719E">
        <w:t>NEPOOL request</w:t>
      </w:r>
      <w:r w:rsidR="00D85509">
        <w:t xml:space="preserve">, and further distributed </w:t>
      </w:r>
      <w:r w:rsidR="00D85509" w:rsidRPr="000A2842">
        <w:t xml:space="preserve">by Regional System </w:t>
      </w:r>
      <w:r w:rsidR="00D85509" w:rsidRPr="00FC2FC2">
        <w:t xml:space="preserve">Plan </w:t>
      </w:r>
      <w:r w:rsidR="000A2842" w:rsidRPr="00FC2FC2">
        <w:t xml:space="preserve">“bubbles” </w:t>
      </w:r>
      <w:r w:rsidR="00D85509" w:rsidRPr="00FC2FC2">
        <w:t>(</w:t>
      </w:r>
      <w:r w:rsidR="00776514" w:rsidRPr="00FC2FC2">
        <w:t xml:space="preserve">refer to </w:t>
      </w:r>
      <w:r w:rsidR="00776514" w:rsidRPr="00FC2FC2">
        <w:fldChar w:fldCharType="begin"/>
      </w:r>
      <w:r w:rsidR="00776514" w:rsidRPr="00FC2FC2">
        <w:instrText xml:space="preserve"> REF _Ref461610691 \h  \* MERGEFORMAT </w:instrText>
      </w:r>
      <w:r w:rsidR="00776514" w:rsidRPr="00FC2FC2">
        <w:fldChar w:fldCharType="separate"/>
      </w:r>
      <w:r w:rsidR="00872A95" w:rsidRPr="00BD250C">
        <w:t xml:space="preserve">Figure </w:t>
      </w:r>
      <w:r w:rsidR="00872A95">
        <w:rPr>
          <w:noProof/>
        </w:rPr>
        <w:t>5</w:t>
      </w:r>
      <w:r w:rsidR="00872A95">
        <w:rPr>
          <w:noProof/>
        </w:rPr>
        <w:noBreakHyphen/>
        <w:t>4</w:t>
      </w:r>
      <w:r w:rsidR="00776514" w:rsidRPr="00FC2FC2">
        <w:fldChar w:fldCharType="end"/>
      </w:r>
      <w:r w:rsidR="00776514" w:rsidRPr="00FC2FC2">
        <w:t xml:space="preserve"> below</w:t>
      </w:r>
      <w:r w:rsidR="00D85509" w:rsidRPr="00FC2FC2">
        <w:t>) in proportion to load.</w:t>
      </w:r>
      <w:r w:rsidR="003262F1" w:rsidRPr="00FC2FC2">
        <w:t xml:space="preserve"> </w:t>
      </w:r>
      <w:r w:rsidR="001D0AA5" w:rsidRPr="00FC2FC2">
        <w:fldChar w:fldCharType="begin"/>
      </w:r>
      <w:r w:rsidR="001D0AA5" w:rsidRPr="00FC2FC2">
        <w:instrText xml:space="preserve"> REF _Ref462315012 \h </w:instrText>
      </w:r>
      <w:r w:rsidR="001D0AA5">
        <w:instrText xml:space="preserve"> \* MERGEFORMAT </w:instrText>
      </w:r>
      <w:r w:rsidR="001D0AA5" w:rsidRPr="00FC2FC2">
        <w:fldChar w:fldCharType="separate"/>
      </w:r>
      <w:r w:rsidR="00872A95">
        <w:t xml:space="preserve">Table </w:t>
      </w:r>
      <w:r w:rsidR="00872A95">
        <w:rPr>
          <w:noProof/>
        </w:rPr>
        <w:t>5</w:t>
      </w:r>
      <w:r w:rsidR="00872A95">
        <w:rPr>
          <w:noProof/>
        </w:rPr>
        <w:noBreakHyphen/>
        <w:t>3</w:t>
      </w:r>
      <w:r w:rsidR="001D0AA5" w:rsidRPr="00FC2FC2">
        <w:fldChar w:fldCharType="end"/>
      </w:r>
      <w:r w:rsidR="00D85509" w:rsidRPr="00FC2FC2">
        <w:t xml:space="preserve"> shows the assumed distribution of PHEVs by state for </w:t>
      </w:r>
      <w:r w:rsidR="00434E8D">
        <w:t>2030</w:t>
      </w:r>
      <w:r w:rsidR="00D85509" w:rsidRPr="00FC2FC2">
        <w:t xml:space="preserve">. </w:t>
      </w:r>
      <w:r w:rsidR="003262F1" w:rsidRPr="00FC2FC2">
        <w:t>The study assumed that the PHEVs distribute charging over the night hours and do not discharge back into the grid</w:t>
      </w:r>
      <w:r w:rsidR="00860D3B">
        <w:t xml:space="preserve">. </w:t>
      </w:r>
    </w:p>
    <w:p w:rsidR="00D85509" w:rsidRDefault="00D85509" w:rsidP="00D85509">
      <w:pPr>
        <w:pStyle w:val="Caption"/>
        <w:jc w:val="center"/>
      </w:pPr>
      <w:bookmarkStart w:id="118" w:name="_Ref462315012"/>
      <w:bookmarkStart w:id="119" w:name="_Toc520721018"/>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3</w:t>
      </w:r>
      <w:r w:rsidR="00EA3757">
        <w:rPr>
          <w:noProof/>
        </w:rPr>
        <w:fldChar w:fldCharType="end"/>
      </w:r>
      <w:bookmarkEnd w:id="118"/>
      <w:r>
        <w:br/>
        <w:t xml:space="preserve">Assumed Distribution of PHEVs by State for 2030 </w:t>
      </w:r>
      <w:r w:rsidRPr="00EC719E">
        <w:t xml:space="preserve">for </w:t>
      </w:r>
      <w:r w:rsidR="00B050E7">
        <w:t>the Renew Plus,</w:t>
      </w:r>
      <w:r w:rsidR="001D0AA5">
        <w:br/>
      </w:r>
      <w:r w:rsidR="00B050E7">
        <w:t>EE + Offshore,</w:t>
      </w:r>
      <w:r w:rsidR="001D0AA5">
        <w:t xml:space="preserve"> </w:t>
      </w:r>
      <w:r w:rsidR="00C405EF">
        <w:t xml:space="preserve">and </w:t>
      </w:r>
      <w:r w:rsidR="00AF6389">
        <w:t>Wind Less Nuclear</w:t>
      </w:r>
      <w:r w:rsidR="00B050E7">
        <w:t xml:space="preserve"> Scenarios</w:t>
      </w:r>
      <w:bookmarkEnd w:id="119"/>
    </w:p>
    <w:tbl>
      <w:tblPr>
        <w:tblW w:w="62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72"/>
        <w:gridCol w:w="2072"/>
        <w:gridCol w:w="2073"/>
      </w:tblGrid>
      <w:tr w:rsidR="00C405EF" w:rsidRPr="005C4006" w:rsidTr="00C405EF">
        <w:trPr>
          <w:jc w:val="center"/>
        </w:trPr>
        <w:tc>
          <w:tcPr>
            <w:tcW w:w="2072" w:type="dxa"/>
            <w:shd w:val="clear" w:color="auto" w:fill="1795D2" w:themeFill="accent1"/>
            <w:vAlign w:val="center"/>
          </w:tcPr>
          <w:p w:rsidR="00C405EF" w:rsidRPr="003262F1" w:rsidRDefault="00C405EF" w:rsidP="00D85509">
            <w:pPr>
              <w:pStyle w:val="TableParagraph"/>
              <w:keepNext/>
              <w:keepLines/>
              <w:spacing w:before="40" w:after="40"/>
              <w:ind w:left="98"/>
              <w:jc w:val="center"/>
              <w:rPr>
                <w:rFonts w:cs="Calibri"/>
                <w:color w:val="FFFFFF" w:themeColor="background1"/>
                <w:sz w:val="18"/>
                <w:szCs w:val="18"/>
              </w:rPr>
            </w:pPr>
            <w:r w:rsidRPr="003262F1">
              <w:rPr>
                <w:b/>
                <w:color w:val="FFFFFF" w:themeColor="background1"/>
                <w:spacing w:val="-2"/>
                <w:sz w:val="18"/>
                <w:szCs w:val="18"/>
              </w:rPr>
              <w:t>State</w:t>
            </w:r>
          </w:p>
        </w:tc>
        <w:tc>
          <w:tcPr>
            <w:tcW w:w="2072" w:type="dxa"/>
            <w:shd w:val="clear" w:color="auto" w:fill="1795D2" w:themeFill="accent1"/>
            <w:vAlign w:val="center"/>
          </w:tcPr>
          <w:p w:rsidR="00C405EF" w:rsidRPr="003262F1" w:rsidRDefault="00C405EF" w:rsidP="00D85509">
            <w:pPr>
              <w:pStyle w:val="TableParagraph"/>
              <w:keepNext/>
              <w:keepLines/>
              <w:spacing w:before="40" w:after="40"/>
              <w:jc w:val="center"/>
              <w:rPr>
                <w:rFonts w:cs="Calibri"/>
                <w:color w:val="FFFFFF" w:themeColor="background1"/>
                <w:sz w:val="18"/>
                <w:szCs w:val="18"/>
              </w:rPr>
            </w:pPr>
            <w:r w:rsidRPr="003262F1">
              <w:rPr>
                <w:b/>
                <w:color w:val="FFFFFF" w:themeColor="background1"/>
                <w:spacing w:val="-3"/>
                <w:sz w:val="18"/>
                <w:szCs w:val="18"/>
              </w:rPr>
              <w:t>Percentage</w:t>
            </w:r>
          </w:p>
        </w:tc>
        <w:tc>
          <w:tcPr>
            <w:tcW w:w="2073" w:type="dxa"/>
            <w:shd w:val="clear" w:color="auto" w:fill="1795D2" w:themeFill="accent1"/>
            <w:vAlign w:val="center"/>
          </w:tcPr>
          <w:p w:rsidR="00C405EF" w:rsidRPr="003262F1" w:rsidRDefault="00C405EF" w:rsidP="00D85509">
            <w:pPr>
              <w:pStyle w:val="TableParagraph"/>
              <w:keepNext/>
              <w:keepLines/>
              <w:spacing w:before="40" w:after="40"/>
              <w:ind w:left="2"/>
              <w:jc w:val="center"/>
              <w:rPr>
                <w:rFonts w:cs="Calibri"/>
                <w:color w:val="FFFFFF" w:themeColor="background1"/>
                <w:sz w:val="18"/>
                <w:szCs w:val="18"/>
              </w:rPr>
            </w:pPr>
            <w:r w:rsidRPr="003262F1">
              <w:rPr>
                <w:b/>
                <w:color w:val="FFFFFF" w:themeColor="background1"/>
                <w:spacing w:val="-1"/>
                <w:sz w:val="18"/>
                <w:szCs w:val="18"/>
              </w:rPr>
              <w:t>2030</w:t>
            </w:r>
            <w:r w:rsidRPr="003262F1">
              <w:rPr>
                <w:b/>
                <w:color w:val="FFFFFF" w:themeColor="background1"/>
                <w:spacing w:val="-1"/>
                <w:sz w:val="18"/>
                <w:szCs w:val="18"/>
              </w:rPr>
              <w:br/>
            </w:r>
            <w:r w:rsidRPr="003262F1">
              <w:rPr>
                <w:b/>
                <w:color w:val="FFFFFF" w:themeColor="background1"/>
                <w:sz w:val="18"/>
                <w:szCs w:val="18"/>
              </w:rPr>
              <w:t>No.</w:t>
            </w:r>
            <w:r w:rsidRPr="003262F1">
              <w:rPr>
                <w:b/>
                <w:color w:val="FFFFFF" w:themeColor="background1"/>
                <w:spacing w:val="-10"/>
                <w:sz w:val="18"/>
                <w:szCs w:val="18"/>
              </w:rPr>
              <w:t xml:space="preserve"> </w:t>
            </w:r>
            <w:r w:rsidRPr="003262F1">
              <w:rPr>
                <w:b/>
                <w:color w:val="FFFFFF" w:themeColor="background1"/>
                <w:sz w:val="18"/>
                <w:szCs w:val="18"/>
              </w:rPr>
              <w:t>of</w:t>
            </w:r>
            <w:r w:rsidRPr="003262F1">
              <w:rPr>
                <w:b/>
                <w:color w:val="FFFFFF" w:themeColor="background1"/>
                <w:spacing w:val="21"/>
                <w:w w:val="99"/>
                <w:sz w:val="18"/>
                <w:szCs w:val="18"/>
              </w:rPr>
              <w:t xml:space="preserve"> </w:t>
            </w:r>
            <w:r w:rsidRPr="003262F1">
              <w:rPr>
                <w:b/>
                <w:color w:val="FFFFFF" w:themeColor="background1"/>
                <w:spacing w:val="-3"/>
                <w:w w:val="95"/>
                <w:sz w:val="18"/>
                <w:szCs w:val="18"/>
              </w:rPr>
              <w:t>Vehicles</w:t>
            </w:r>
          </w:p>
        </w:tc>
      </w:tr>
      <w:tr w:rsidR="00C405EF" w:rsidRPr="00BC66E3" w:rsidTr="00C405EF">
        <w:trPr>
          <w:jc w:val="center"/>
        </w:trPr>
        <w:tc>
          <w:tcPr>
            <w:tcW w:w="2072" w:type="dxa"/>
            <w:shd w:val="clear" w:color="auto" w:fill="auto"/>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pacing w:val="-1"/>
                <w:sz w:val="18"/>
                <w:szCs w:val="18"/>
              </w:rPr>
              <w:t>Connecticut</w:t>
            </w:r>
          </w:p>
        </w:tc>
        <w:tc>
          <w:tcPr>
            <w:tcW w:w="2072"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jc w:val="center"/>
              <w:rPr>
                <w:rFonts w:cs="Calibri"/>
                <w:color w:val="000000"/>
                <w:sz w:val="18"/>
                <w:szCs w:val="18"/>
              </w:rPr>
            </w:pPr>
            <w:r w:rsidRPr="00BC66E3">
              <w:rPr>
                <w:color w:val="000000"/>
                <w:spacing w:val="-1"/>
                <w:sz w:val="18"/>
                <w:szCs w:val="18"/>
              </w:rPr>
              <w:t>23</w:t>
            </w:r>
          </w:p>
        </w:tc>
        <w:tc>
          <w:tcPr>
            <w:tcW w:w="2073"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966,000</w:t>
            </w:r>
          </w:p>
        </w:tc>
      </w:tr>
      <w:tr w:rsidR="00C405EF" w:rsidRPr="00BC66E3" w:rsidTr="00E82C53">
        <w:trPr>
          <w:jc w:val="center"/>
        </w:trPr>
        <w:tc>
          <w:tcPr>
            <w:tcW w:w="2072" w:type="dxa"/>
            <w:shd w:val="clear" w:color="auto" w:fill="CCEAF9" w:themeFill="accent1" w:themeFillTint="33"/>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z w:val="18"/>
                <w:szCs w:val="18"/>
              </w:rPr>
              <w:t>Maine</w:t>
            </w:r>
          </w:p>
        </w:tc>
        <w:tc>
          <w:tcPr>
            <w:tcW w:w="2072"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jc w:val="center"/>
              <w:rPr>
                <w:rFonts w:cs="Calibri"/>
                <w:color w:val="000000"/>
                <w:sz w:val="18"/>
                <w:szCs w:val="18"/>
              </w:rPr>
            </w:pPr>
            <w:r w:rsidRPr="00BC66E3">
              <w:rPr>
                <w:color w:val="000000"/>
                <w:spacing w:val="-1"/>
                <w:sz w:val="18"/>
                <w:szCs w:val="18"/>
              </w:rPr>
              <w:t>12</w:t>
            </w:r>
          </w:p>
        </w:tc>
        <w:tc>
          <w:tcPr>
            <w:tcW w:w="2073"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504,000</w:t>
            </w:r>
          </w:p>
        </w:tc>
      </w:tr>
      <w:tr w:rsidR="00C405EF" w:rsidRPr="00BC66E3" w:rsidTr="00C405EF">
        <w:trPr>
          <w:jc w:val="center"/>
        </w:trPr>
        <w:tc>
          <w:tcPr>
            <w:tcW w:w="2072" w:type="dxa"/>
            <w:shd w:val="clear" w:color="auto" w:fill="auto"/>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pacing w:val="-1"/>
                <w:sz w:val="18"/>
                <w:szCs w:val="18"/>
              </w:rPr>
              <w:t>Massachusetts</w:t>
            </w:r>
            <w:r w:rsidRPr="008F7F3A">
              <w:rPr>
                <w:b/>
                <w:color w:val="000000"/>
                <w:spacing w:val="-1"/>
                <w:sz w:val="18"/>
                <w:szCs w:val="18"/>
                <w:vertAlign w:val="superscript"/>
              </w:rPr>
              <w:t>(a)</w:t>
            </w:r>
          </w:p>
        </w:tc>
        <w:tc>
          <w:tcPr>
            <w:tcW w:w="2072"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jc w:val="center"/>
              <w:rPr>
                <w:rFonts w:cs="Calibri"/>
                <w:color w:val="000000"/>
                <w:sz w:val="18"/>
                <w:szCs w:val="18"/>
              </w:rPr>
            </w:pPr>
            <w:r w:rsidRPr="00BC66E3">
              <w:rPr>
                <w:color w:val="000000"/>
                <w:spacing w:val="-1"/>
                <w:sz w:val="18"/>
                <w:szCs w:val="18"/>
              </w:rPr>
              <w:t>43</w:t>
            </w:r>
          </w:p>
        </w:tc>
        <w:tc>
          <w:tcPr>
            <w:tcW w:w="2073"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373"/>
              <w:jc w:val="center"/>
              <w:rPr>
                <w:rFonts w:cs="Calibri"/>
                <w:color w:val="000000"/>
                <w:sz w:val="18"/>
                <w:szCs w:val="18"/>
              </w:rPr>
            </w:pPr>
            <w:r w:rsidRPr="00BC66E3">
              <w:rPr>
                <w:color w:val="000000"/>
                <w:spacing w:val="-1"/>
                <w:sz w:val="18"/>
                <w:szCs w:val="18"/>
              </w:rPr>
              <w:t>1,806,000</w:t>
            </w:r>
          </w:p>
        </w:tc>
      </w:tr>
      <w:tr w:rsidR="00C405EF" w:rsidRPr="00BC66E3" w:rsidTr="00E82C53">
        <w:trPr>
          <w:jc w:val="center"/>
        </w:trPr>
        <w:tc>
          <w:tcPr>
            <w:tcW w:w="2072" w:type="dxa"/>
            <w:shd w:val="clear" w:color="auto" w:fill="CCEAF9" w:themeFill="accent1" w:themeFillTint="33"/>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pacing w:val="-1"/>
                <w:sz w:val="18"/>
                <w:szCs w:val="18"/>
              </w:rPr>
              <w:t>New</w:t>
            </w:r>
            <w:r w:rsidRPr="00BC66E3">
              <w:rPr>
                <w:b/>
                <w:color w:val="000000"/>
                <w:spacing w:val="-22"/>
                <w:sz w:val="18"/>
                <w:szCs w:val="18"/>
              </w:rPr>
              <w:t xml:space="preserve"> </w:t>
            </w:r>
            <w:r w:rsidRPr="00BC66E3">
              <w:rPr>
                <w:b/>
                <w:color w:val="000000"/>
                <w:spacing w:val="-1"/>
                <w:sz w:val="18"/>
                <w:szCs w:val="18"/>
              </w:rPr>
              <w:t>Hampshire</w:t>
            </w:r>
          </w:p>
        </w:tc>
        <w:tc>
          <w:tcPr>
            <w:tcW w:w="2072"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jc w:val="center"/>
              <w:rPr>
                <w:rFonts w:cs="Calibri"/>
                <w:color w:val="000000"/>
                <w:sz w:val="18"/>
                <w:szCs w:val="18"/>
              </w:rPr>
            </w:pPr>
            <w:r w:rsidRPr="00BC66E3">
              <w:rPr>
                <w:color w:val="000000"/>
                <w:spacing w:val="-1"/>
                <w:sz w:val="18"/>
                <w:szCs w:val="18"/>
              </w:rPr>
              <w:t>11</w:t>
            </w:r>
          </w:p>
        </w:tc>
        <w:tc>
          <w:tcPr>
            <w:tcW w:w="2073"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462,000</w:t>
            </w:r>
          </w:p>
        </w:tc>
      </w:tr>
      <w:tr w:rsidR="00C405EF" w:rsidRPr="00BC66E3" w:rsidTr="00C405EF">
        <w:trPr>
          <w:jc w:val="center"/>
        </w:trPr>
        <w:tc>
          <w:tcPr>
            <w:tcW w:w="2072" w:type="dxa"/>
            <w:shd w:val="clear" w:color="auto" w:fill="auto"/>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pacing w:val="-1"/>
                <w:sz w:val="18"/>
                <w:szCs w:val="18"/>
              </w:rPr>
              <w:t>Rhode</w:t>
            </w:r>
            <w:r w:rsidRPr="00BC66E3">
              <w:rPr>
                <w:b/>
                <w:color w:val="000000"/>
                <w:spacing w:val="-17"/>
                <w:sz w:val="18"/>
                <w:szCs w:val="18"/>
              </w:rPr>
              <w:t xml:space="preserve"> </w:t>
            </w:r>
            <w:r w:rsidRPr="00BC66E3">
              <w:rPr>
                <w:b/>
                <w:color w:val="000000"/>
                <w:spacing w:val="-1"/>
                <w:sz w:val="18"/>
                <w:szCs w:val="18"/>
              </w:rPr>
              <w:t>Island</w:t>
            </w:r>
          </w:p>
        </w:tc>
        <w:tc>
          <w:tcPr>
            <w:tcW w:w="2072"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
              <w:jc w:val="center"/>
              <w:rPr>
                <w:rFonts w:cs="Calibri"/>
                <w:color w:val="000000"/>
                <w:sz w:val="18"/>
                <w:szCs w:val="18"/>
              </w:rPr>
            </w:pPr>
            <w:r w:rsidRPr="00BC66E3">
              <w:rPr>
                <w:color w:val="000000"/>
                <w:sz w:val="18"/>
                <w:szCs w:val="18"/>
              </w:rPr>
              <w:t>6</w:t>
            </w:r>
          </w:p>
        </w:tc>
        <w:tc>
          <w:tcPr>
            <w:tcW w:w="2073" w:type="dxa"/>
            <w:shd w:val="clear" w:color="auto" w:fill="auto"/>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96"/>
              <w:jc w:val="center"/>
              <w:rPr>
                <w:rFonts w:cs="Calibri"/>
                <w:color w:val="000000"/>
                <w:sz w:val="18"/>
                <w:szCs w:val="18"/>
              </w:rPr>
            </w:pPr>
            <w:r w:rsidRPr="00BC66E3">
              <w:rPr>
                <w:color w:val="000000"/>
                <w:spacing w:val="-2"/>
                <w:sz w:val="18"/>
                <w:szCs w:val="18"/>
              </w:rPr>
              <w:t>252,000</w:t>
            </w:r>
          </w:p>
        </w:tc>
      </w:tr>
      <w:tr w:rsidR="00C405EF" w:rsidRPr="00BC66E3" w:rsidTr="00E82C53">
        <w:trPr>
          <w:jc w:val="center"/>
        </w:trPr>
        <w:tc>
          <w:tcPr>
            <w:tcW w:w="2072" w:type="dxa"/>
            <w:shd w:val="clear" w:color="auto" w:fill="CCEAF9" w:themeFill="accent1" w:themeFillTint="33"/>
            <w:vAlign w:val="center"/>
          </w:tcPr>
          <w:p w:rsidR="00C405EF" w:rsidRPr="00BC66E3" w:rsidRDefault="00C405EF" w:rsidP="00D85509">
            <w:pPr>
              <w:pStyle w:val="TableParagraph"/>
              <w:keepNext/>
              <w:keepLines/>
              <w:spacing w:before="40" w:after="40"/>
              <w:ind w:left="98"/>
              <w:rPr>
                <w:rFonts w:cs="Calibri"/>
                <w:color w:val="000000"/>
                <w:sz w:val="18"/>
                <w:szCs w:val="18"/>
              </w:rPr>
            </w:pPr>
            <w:r w:rsidRPr="00BC66E3">
              <w:rPr>
                <w:b/>
                <w:color w:val="000000"/>
                <w:spacing w:val="-5"/>
                <w:sz w:val="18"/>
                <w:szCs w:val="18"/>
              </w:rPr>
              <w:t>Vermont</w:t>
            </w:r>
          </w:p>
        </w:tc>
        <w:tc>
          <w:tcPr>
            <w:tcW w:w="2072"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
              <w:jc w:val="center"/>
              <w:rPr>
                <w:rFonts w:cs="Calibri"/>
                <w:color w:val="000000"/>
                <w:sz w:val="18"/>
                <w:szCs w:val="18"/>
              </w:rPr>
            </w:pPr>
            <w:r w:rsidRPr="00BC66E3">
              <w:rPr>
                <w:color w:val="000000"/>
                <w:sz w:val="18"/>
                <w:szCs w:val="18"/>
              </w:rPr>
              <w:t>5</w:t>
            </w:r>
          </w:p>
        </w:tc>
        <w:tc>
          <w:tcPr>
            <w:tcW w:w="2073" w:type="dxa"/>
            <w:shd w:val="clear" w:color="auto" w:fill="CCEAF9" w:themeFill="accent1" w:themeFillTint="33"/>
            <w:tcMar>
              <w:top w:w="29" w:type="dxa"/>
              <w:left w:w="115" w:type="dxa"/>
              <w:bottom w:w="29" w:type="dxa"/>
              <w:right w:w="115" w:type="dxa"/>
            </w:tcMar>
            <w:vAlign w:val="center"/>
          </w:tcPr>
          <w:p w:rsidR="00C405EF" w:rsidRPr="00BC66E3" w:rsidRDefault="00C405EF"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210,000</w:t>
            </w:r>
          </w:p>
        </w:tc>
      </w:tr>
      <w:tr w:rsidR="00C405EF" w:rsidRPr="005C4006" w:rsidTr="00C405EF">
        <w:trPr>
          <w:jc w:val="center"/>
        </w:trPr>
        <w:tc>
          <w:tcPr>
            <w:tcW w:w="2072" w:type="dxa"/>
            <w:shd w:val="clear" w:color="auto" w:fill="1795D2" w:themeFill="accent1"/>
            <w:vAlign w:val="center"/>
          </w:tcPr>
          <w:p w:rsidR="00C405EF" w:rsidRPr="003262F1" w:rsidRDefault="00C405EF" w:rsidP="00D85509">
            <w:pPr>
              <w:pStyle w:val="TableParagraph"/>
              <w:keepNext/>
              <w:keepLines/>
              <w:spacing w:before="40" w:after="40"/>
              <w:ind w:left="98"/>
              <w:rPr>
                <w:rFonts w:cs="Calibri"/>
                <w:b/>
                <w:color w:val="FFFFFF" w:themeColor="background1"/>
                <w:sz w:val="18"/>
                <w:szCs w:val="18"/>
              </w:rPr>
            </w:pPr>
            <w:r w:rsidRPr="003262F1">
              <w:rPr>
                <w:b/>
                <w:color w:val="FFFFFF" w:themeColor="background1"/>
                <w:spacing w:val="-1"/>
                <w:sz w:val="18"/>
                <w:szCs w:val="18"/>
              </w:rPr>
              <w:t>New</w:t>
            </w:r>
            <w:r w:rsidRPr="003262F1">
              <w:rPr>
                <w:b/>
                <w:color w:val="FFFFFF" w:themeColor="background1"/>
                <w:spacing w:val="-18"/>
                <w:sz w:val="18"/>
                <w:szCs w:val="18"/>
              </w:rPr>
              <w:t xml:space="preserve"> </w:t>
            </w:r>
            <w:r w:rsidRPr="003262F1">
              <w:rPr>
                <w:b/>
                <w:color w:val="FFFFFF" w:themeColor="background1"/>
                <w:spacing w:val="-1"/>
                <w:sz w:val="18"/>
                <w:szCs w:val="18"/>
              </w:rPr>
              <w:t>England</w:t>
            </w:r>
          </w:p>
        </w:tc>
        <w:tc>
          <w:tcPr>
            <w:tcW w:w="2072" w:type="dxa"/>
            <w:shd w:val="clear" w:color="auto" w:fill="1795D2" w:themeFill="accent1"/>
            <w:tcMar>
              <w:top w:w="29" w:type="dxa"/>
              <w:left w:w="115" w:type="dxa"/>
              <w:bottom w:w="29" w:type="dxa"/>
              <w:right w:w="115" w:type="dxa"/>
            </w:tcMar>
            <w:vAlign w:val="center"/>
          </w:tcPr>
          <w:p w:rsidR="00C405EF" w:rsidRPr="003262F1" w:rsidRDefault="00C405EF" w:rsidP="00D85509">
            <w:pPr>
              <w:pStyle w:val="TableParagraph"/>
              <w:keepNext/>
              <w:keepLines/>
              <w:spacing w:before="40" w:after="40"/>
              <w:ind w:left="3"/>
              <w:jc w:val="center"/>
              <w:rPr>
                <w:rFonts w:cs="Calibri"/>
                <w:b/>
                <w:color w:val="FFFFFF" w:themeColor="background1"/>
                <w:sz w:val="18"/>
                <w:szCs w:val="18"/>
              </w:rPr>
            </w:pPr>
            <w:r w:rsidRPr="003262F1">
              <w:rPr>
                <w:b/>
                <w:color w:val="FFFFFF" w:themeColor="background1"/>
                <w:spacing w:val="-1"/>
                <w:sz w:val="18"/>
                <w:szCs w:val="18"/>
              </w:rPr>
              <w:t>100</w:t>
            </w:r>
          </w:p>
        </w:tc>
        <w:tc>
          <w:tcPr>
            <w:tcW w:w="2073" w:type="dxa"/>
            <w:shd w:val="clear" w:color="auto" w:fill="1795D2" w:themeFill="accent1"/>
            <w:tcMar>
              <w:top w:w="29" w:type="dxa"/>
              <w:left w:w="115" w:type="dxa"/>
              <w:bottom w:w="29" w:type="dxa"/>
              <w:right w:w="115" w:type="dxa"/>
            </w:tcMar>
            <w:vAlign w:val="center"/>
          </w:tcPr>
          <w:p w:rsidR="00C405EF" w:rsidRPr="003262F1" w:rsidRDefault="00C405EF" w:rsidP="00D85509">
            <w:pPr>
              <w:pStyle w:val="TableParagraph"/>
              <w:keepNext/>
              <w:keepLines/>
              <w:spacing w:before="40" w:after="40"/>
              <w:ind w:left="373"/>
              <w:jc w:val="center"/>
              <w:rPr>
                <w:rFonts w:cs="Calibri"/>
                <w:b/>
                <w:color w:val="FFFFFF" w:themeColor="background1"/>
                <w:sz w:val="18"/>
                <w:szCs w:val="18"/>
              </w:rPr>
            </w:pPr>
            <w:r w:rsidRPr="003262F1">
              <w:rPr>
                <w:b/>
                <w:color w:val="FFFFFF" w:themeColor="background1"/>
                <w:spacing w:val="-1"/>
                <w:sz w:val="18"/>
                <w:szCs w:val="18"/>
              </w:rPr>
              <w:t>4,200,000</w:t>
            </w:r>
          </w:p>
        </w:tc>
      </w:tr>
    </w:tbl>
    <w:p w:rsidR="00D85509" w:rsidRPr="003A2CA8" w:rsidRDefault="00D85509" w:rsidP="001D0AA5">
      <w:pPr>
        <w:keepNext/>
        <w:keepLines/>
        <w:spacing w:before="120" w:line="240" w:lineRule="auto"/>
        <w:ind w:left="1620"/>
        <w:rPr>
          <w:rFonts w:ascii="Calibri" w:hAnsi="Calibri"/>
          <w:sz w:val="16"/>
          <w:szCs w:val="16"/>
        </w:rPr>
      </w:pPr>
      <w:r w:rsidRPr="003A2CA8">
        <w:rPr>
          <w:rFonts w:ascii="Calibri" w:hAnsi="Calibri"/>
          <w:sz w:val="16"/>
          <w:szCs w:val="16"/>
        </w:rPr>
        <w:t>(a) The total for Massachusetts was reduced by 1% to eliminate a rounding issue.</w:t>
      </w:r>
    </w:p>
    <w:p w:rsidR="00D85509" w:rsidRDefault="00D85509" w:rsidP="00D85509">
      <w:r>
        <w:fldChar w:fldCharType="begin"/>
      </w:r>
      <w:r>
        <w:instrText xml:space="preserve"> REF _Ref462334112 \h </w:instrText>
      </w:r>
      <w:r>
        <w:fldChar w:fldCharType="separate"/>
      </w:r>
      <w:r w:rsidR="00872A95">
        <w:t xml:space="preserve">Table </w:t>
      </w:r>
      <w:r w:rsidR="00872A95">
        <w:rPr>
          <w:noProof/>
        </w:rPr>
        <w:t>5</w:t>
      </w:r>
      <w:r w:rsidR="00872A95">
        <w:noBreakHyphen/>
      </w:r>
      <w:r w:rsidR="00872A95">
        <w:rPr>
          <w:noProof/>
        </w:rPr>
        <w:t>4</w:t>
      </w:r>
      <w:r>
        <w:fldChar w:fldCharType="end"/>
      </w:r>
      <w:r>
        <w:t xml:space="preserve"> shows the PHEV characteristics</w:t>
      </w:r>
      <w:r w:rsidRPr="00EC719E">
        <w:t xml:space="preserve">. </w:t>
      </w:r>
      <w:r w:rsidRPr="00EC719E">
        <w:fldChar w:fldCharType="begin"/>
      </w:r>
      <w:r w:rsidRPr="00EC719E">
        <w:instrText xml:space="preserve"> REF _Ref462334130 \h </w:instrText>
      </w:r>
      <w:r>
        <w:instrText xml:space="preserve"> \* MERGEFORMAT </w:instrText>
      </w:r>
      <w:r w:rsidRPr="00EC719E">
        <w:fldChar w:fldCharType="separate"/>
      </w:r>
      <w:r w:rsidR="00872A95" w:rsidRPr="006F29E1">
        <w:t xml:space="preserve">Figure </w:t>
      </w:r>
      <w:r w:rsidR="00872A95">
        <w:rPr>
          <w:noProof/>
        </w:rPr>
        <w:t>5</w:t>
      </w:r>
      <w:r w:rsidR="00872A95">
        <w:rPr>
          <w:noProof/>
        </w:rPr>
        <w:noBreakHyphen/>
        <w:t>1</w:t>
      </w:r>
      <w:r w:rsidRPr="00EC719E">
        <w:fldChar w:fldCharType="end"/>
      </w:r>
      <w:r>
        <w:t xml:space="preserve"> shows the daily PHEV charging profile.</w:t>
      </w:r>
    </w:p>
    <w:p w:rsidR="00D85509" w:rsidRDefault="00D85509" w:rsidP="003262F1">
      <w:pPr>
        <w:pStyle w:val="Caption"/>
        <w:jc w:val="center"/>
      </w:pPr>
      <w:bookmarkStart w:id="120" w:name="_Ref462334112"/>
      <w:bookmarkStart w:id="121" w:name="_Toc520721019"/>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4</w:t>
      </w:r>
      <w:r w:rsidR="00EA3757">
        <w:rPr>
          <w:noProof/>
        </w:rPr>
        <w:fldChar w:fldCharType="end"/>
      </w:r>
      <w:bookmarkEnd w:id="120"/>
      <w:r>
        <w:br/>
        <w:t>PHEV Characteristics for 2030</w:t>
      </w:r>
      <w:r w:rsidR="00C405EF">
        <w:t xml:space="preserve"> for </w:t>
      </w:r>
      <w:r w:rsidR="00B050E7">
        <w:t>the Renew Plus, EE + Offshore,</w:t>
      </w:r>
      <w:r w:rsidR="00B050E7">
        <w:br/>
        <w:t xml:space="preserve">and </w:t>
      </w:r>
      <w:r w:rsidR="00AF6389">
        <w:t>Wind Less Nuclear</w:t>
      </w:r>
      <w:r w:rsidR="00B050E7">
        <w:t xml:space="preserve"> </w:t>
      </w:r>
      <w:r w:rsidR="00C405EF" w:rsidRPr="00EC719E">
        <w:t>Scenario</w:t>
      </w:r>
      <w:r w:rsidR="00C405EF">
        <w:t>s</w:t>
      </w:r>
      <w:bookmarkEnd w:id="121"/>
    </w:p>
    <w:tbl>
      <w:tblPr>
        <w:tblW w:w="519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1E0" w:firstRow="1" w:lastRow="1" w:firstColumn="1" w:lastColumn="1" w:noHBand="0" w:noVBand="0"/>
      </w:tblPr>
      <w:tblGrid>
        <w:gridCol w:w="3108"/>
        <w:gridCol w:w="2085"/>
      </w:tblGrid>
      <w:tr w:rsidR="00C405EF" w:rsidRPr="005C4006" w:rsidTr="003845CF">
        <w:trPr>
          <w:jc w:val="center"/>
        </w:trPr>
        <w:tc>
          <w:tcPr>
            <w:tcW w:w="3108" w:type="dxa"/>
            <w:shd w:val="clear" w:color="auto" w:fill="1795D2" w:themeFill="accent1"/>
            <w:tcMar>
              <w:top w:w="29" w:type="dxa"/>
              <w:bottom w:w="29" w:type="dxa"/>
            </w:tcMar>
            <w:vAlign w:val="center"/>
          </w:tcPr>
          <w:p w:rsidR="00C405EF" w:rsidRPr="00E5063C" w:rsidRDefault="00C405EF" w:rsidP="003262F1">
            <w:pPr>
              <w:pStyle w:val="TableParagraph"/>
              <w:keepNext/>
              <w:keepLines/>
              <w:spacing w:before="40" w:after="40"/>
              <w:jc w:val="center"/>
              <w:rPr>
                <w:rFonts w:cs="Calibri"/>
                <w:b/>
                <w:color w:val="FFFFFF" w:themeColor="background1"/>
                <w:sz w:val="18"/>
                <w:szCs w:val="18"/>
              </w:rPr>
            </w:pPr>
            <w:r w:rsidRPr="00E5063C">
              <w:rPr>
                <w:rFonts w:cs="Calibri"/>
                <w:b/>
                <w:color w:val="FFFFFF" w:themeColor="background1"/>
                <w:sz w:val="18"/>
                <w:szCs w:val="18"/>
              </w:rPr>
              <w:t>Characteristic</w:t>
            </w:r>
          </w:p>
        </w:tc>
        <w:tc>
          <w:tcPr>
            <w:tcW w:w="2085" w:type="dxa"/>
            <w:shd w:val="clear" w:color="auto" w:fill="1795D2" w:themeFill="accent1"/>
            <w:tcMar>
              <w:top w:w="29" w:type="dxa"/>
              <w:bottom w:w="29" w:type="dxa"/>
            </w:tcMar>
            <w:vAlign w:val="center"/>
          </w:tcPr>
          <w:p w:rsidR="00C405EF" w:rsidRPr="00E5063C" w:rsidRDefault="00C405EF" w:rsidP="003262F1">
            <w:pPr>
              <w:pStyle w:val="TableParagraph"/>
              <w:keepNext/>
              <w:keepLines/>
              <w:spacing w:before="40" w:after="40"/>
              <w:ind w:left="4"/>
              <w:jc w:val="center"/>
              <w:rPr>
                <w:rFonts w:cs="Calibri"/>
                <w:color w:val="FFFFFF" w:themeColor="background1"/>
                <w:sz w:val="18"/>
                <w:szCs w:val="18"/>
              </w:rPr>
            </w:pPr>
            <w:r w:rsidRPr="00E5063C">
              <w:rPr>
                <w:b/>
                <w:color w:val="FFFFFF" w:themeColor="background1"/>
                <w:spacing w:val="-1"/>
                <w:sz w:val="18"/>
                <w:szCs w:val="18"/>
              </w:rPr>
              <w:t>2030</w:t>
            </w:r>
          </w:p>
        </w:tc>
      </w:tr>
      <w:tr w:rsidR="00C405EF" w:rsidRPr="00FD59E0" w:rsidTr="003845CF">
        <w:trPr>
          <w:jc w:val="center"/>
        </w:trPr>
        <w:tc>
          <w:tcPr>
            <w:tcW w:w="3108" w:type="dxa"/>
            <w:shd w:val="clear" w:color="auto" w:fill="auto"/>
            <w:tcMar>
              <w:top w:w="29" w:type="dxa"/>
              <w:bottom w:w="29" w:type="dxa"/>
            </w:tcMar>
            <w:vAlign w:val="center"/>
          </w:tcPr>
          <w:p w:rsidR="00C405EF" w:rsidRPr="00FD59E0" w:rsidRDefault="00C405EF" w:rsidP="003262F1">
            <w:pPr>
              <w:pStyle w:val="TableParagraph"/>
              <w:keepNext/>
              <w:keepLines/>
              <w:spacing w:before="40" w:after="40"/>
              <w:ind w:left="98"/>
              <w:rPr>
                <w:rFonts w:cs="Calibri"/>
                <w:color w:val="000000"/>
                <w:sz w:val="18"/>
                <w:szCs w:val="18"/>
              </w:rPr>
            </w:pPr>
            <w:r w:rsidRPr="00FD59E0">
              <w:rPr>
                <w:b/>
                <w:color w:val="000000"/>
                <w:spacing w:val="-2"/>
                <w:sz w:val="18"/>
                <w:szCs w:val="18"/>
              </w:rPr>
              <w:t>Penetration</w:t>
            </w:r>
            <w:r w:rsidRPr="00FD59E0">
              <w:rPr>
                <w:b/>
                <w:color w:val="000000"/>
                <w:spacing w:val="-19"/>
                <w:sz w:val="18"/>
                <w:szCs w:val="18"/>
              </w:rPr>
              <w:t xml:space="preserve"> </w:t>
            </w:r>
            <w:r w:rsidRPr="00FD59E0">
              <w:rPr>
                <w:b/>
                <w:color w:val="000000"/>
                <w:sz w:val="18"/>
                <w:szCs w:val="18"/>
              </w:rPr>
              <w:t>(million</w:t>
            </w:r>
            <w:r w:rsidRPr="00FD59E0">
              <w:rPr>
                <w:b/>
                <w:color w:val="000000"/>
                <w:spacing w:val="-19"/>
                <w:sz w:val="18"/>
                <w:szCs w:val="18"/>
              </w:rPr>
              <w:t xml:space="preserve"> </w:t>
            </w:r>
            <w:r w:rsidRPr="00FD59E0">
              <w:rPr>
                <w:b/>
                <w:color w:val="000000"/>
                <w:spacing w:val="-3"/>
                <w:sz w:val="18"/>
                <w:szCs w:val="18"/>
              </w:rPr>
              <w:t>PHEVs)</w:t>
            </w:r>
          </w:p>
        </w:tc>
        <w:tc>
          <w:tcPr>
            <w:tcW w:w="2085" w:type="dxa"/>
            <w:shd w:val="clear" w:color="auto" w:fill="auto"/>
            <w:tcMar>
              <w:top w:w="29" w:type="dxa"/>
              <w:bottom w:w="29" w:type="dxa"/>
            </w:tcMar>
            <w:vAlign w:val="center"/>
          </w:tcPr>
          <w:p w:rsidR="00C405EF" w:rsidRPr="00FD59E0" w:rsidRDefault="00C405EF" w:rsidP="003845CF">
            <w:pPr>
              <w:pStyle w:val="TableParagraph"/>
              <w:keepNext/>
              <w:keepLines/>
              <w:spacing w:before="40" w:after="40"/>
              <w:jc w:val="center"/>
              <w:rPr>
                <w:rFonts w:cs="Calibri"/>
                <w:color w:val="000000"/>
                <w:sz w:val="18"/>
                <w:szCs w:val="18"/>
              </w:rPr>
            </w:pPr>
            <w:r w:rsidRPr="00FD59E0">
              <w:rPr>
                <w:color w:val="000000"/>
                <w:spacing w:val="-1"/>
                <w:sz w:val="18"/>
                <w:szCs w:val="18"/>
              </w:rPr>
              <w:t>4.2</w:t>
            </w:r>
          </w:p>
        </w:tc>
      </w:tr>
      <w:tr w:rsidR="00C405EF" w:rsidRPr="00FD59E0" w:rsidTr="00E82C53">
        <w:trPr>
          <w:jc w:val="center"/>
        </w:trPr>
        <w:tc>
          <w:tcPr>
            <w:tcW w:w="3108" w:type="dxa"/>
            <w:shd w:val="clear" w:color="auto" w:fill="CCEAF9" w:themeFill="accent1" w:themeFillTint="33"/>
            <w:tcMar>
              <w:top w:w="29" w:type="dxa"/>
              <w:bottom w:w="29" w:type="dxa"/>
            </w:tcMar>
            <w:vAlign w:val="center"/>
          </w:tcPr>
          <w:p w:rsidR="00C405EF" w:rsidRPr="00FD59E0" w:rsidRDefault="00C405EF" w:rsidP="003262F1">
            <w:pPr>
              <w:pStyle w:val="TableParagraph"/>
              <w:keepNext/>
              <w:keepLines/>
              <w:spacing w:before="40" w:after="40"/>
              <w:ind w:left="98"/>
              <w:rPr>
                <w:rFonts w:cs="Calibri"/>
                <w:color w:val="000000"/>
                <w:sz w:val="18"/>
                <w:szCs w:val="18"/>
              </w:rPr>
            </w:pPr>
            <w:r w:rsidRPr="00FD59E0">
              <w:rPr>
                <w:b/>
                <w:color w:val="000000"/>
                <w:spacing w:val="-1"/>
                <w:sz w:val="18"/>
                <w:szCs w:val="18"/>
              </w:rPr>
              <w:t>Max</w:t>
            </w:r>
            <w:r w:rsidRPr="00FD59E0">
              <w:rPr>
                <w:b/>
                <w:color w:val="000000"/>
                <w:spacing w:val="-11"/>
                <w:sz w:val="18"/>
                <w:szCs w:val="18"/>
              </w:rPr>
              <w:t xml:space="preserve"> </w:t>
            </w:r>
            <w:r>
              <w:rPr>
                <w:b/>
                <w:color w:val="000000"/>
                <w:spacing w:val="-11"/>
                <w:sz w:val="18"/>
                <w:szCs w:val="18"/>
              </w:rPr>
              <w:t xml:space="preserve">hourly </w:t>
            </w:r>
            <w:r w:rsidRPr="00FD59E0">
              <w:rPr>
                <w:b/>
                <w:color w:val="000000"/>
                <w:spacing w:val="-11"/>
                <w:sz w:val="18"/>
                <w:szCs w:val="18"/>
              </w:rPr>
              <w:t>o</w:t>
            </w:r>
            <w:r w:rsidRPr="00FD59E0">
              <w:rPr>
                <w:b/>
                <w:color w:val="000000"/>
                <w:spacing w:val="-1"/>
                <w:sz w:val="18"/>
                <w:szCs w:val="18"/>
              </w:rPr>
              <w:t>ff-peak</w:t>
            </w:r>
            <w:r w:rsidRPr="00FD59E0">
              <w:rPr>
                <w:b/>
                <w:color w:val="000000"/>
                <w:spacing w:val="-13"/>
                <w:sz w:val="18"/>
                <w:szCs w:val="18"/>
              </w:rPr>
              <w:t xml:space="preserve"> </w:t>
            </w:r>
            <w:r w:rsidRPr="00FD59E0">
              <w:rPr>
                <w:b/>
                <w:color w:val="000000"/>
                <w:spacing w:val="-2"/>
                <w:sz w:val="18"/>
                <w:szCs w:val="18"/>
              </w:rPr>
              <w:t>charging</w:t>
            </w:r>
            <w:r w:rsidRPr="00FD59E0">
              <w:rPr>
                <w:b/>
                <w:color w:val="000000"/>
                <w:spacing w:val="-5"/>
                <w:sz w:val="18"/>
                <w:szCs w:val="18"/>
              </w:rPr>
              <w:t xml:space="preserve">  </w:t>
            </w:r>
            <w:r w:rsidRPr="00FD59E0">
              <w:rPr>
                <w:b/>
                <w:color w:val="000000"/>
                <w:spacing w:val="-1"/>
                <w:sz w:val="18"/>
                <w:szCs w:val="18"/>
              </w:rPr>
              <w:t>(MW)</w:t>
            </w:r>
          </w:p>
        </w:tc>
        <w:tc>
          <w:tcPr>
            <w:tcW w:w="2085" w:type="dxa"/>
            <w:shd w:val="clear" w:color="auto" w:fill="CCEAF9" w:themeFill="accent1" w:themeFillTint="33"/>
            <w:tcMar>
              <w:top w:w="29" w:type="dxa"/>
              <w:bottom w:w="29" w:type="dxa"/>
            </w:tcMar>
            <w:vAlign w:val="center"/>
          </w:tcPr>
          <w:p w:rsidR="00C405EF" w:rsidRPr="00FD59E0" w:rsidRDefault="00C405EF" w:rsidP="003845CF">
            <w:pPr>
              <w:pStyle w:val="TableParagraph"/>
              <w:keepNext/>
              <w:keepLines/>
              <w:spacing w:before="40" w:after="40"/>
              <w:jc w:val="center"/>
              <w:rPr>
                <w:rFonts w:cs="Calibri"/>
                <w:color w:val="000000"/>
                <w:sz w:val="18"/>
                <w:szCs w:val="18"/>
              </w:rPr>
            </w:pPr>
            <w:r w:rsidRPr="00FD59E0">
              <w:rPr>
                <w:color w:val="000000"/>
                <w:spacing w:val="-1"/>
                <w:sz w:val="18"/>
                <w:szCs w:val="18"/>
              </w:rPr>
              <w:t>5,825</w:t>
            </w:r>
          </w:p>
        </w:tc>
      </w:tr>
      <w:tr w:rsidR="00C405EF" w:rsidRPr="00FD59E0" w:rsidTr="003845CF">
        <w:trPr>
          <w:jc w:val="center"/>
        </w:trPr>
        <w:tc>
          <w:tcPr>
            <w:tcW w:w="3108" w:type="dxa"/>
            <w:shd w:val="clear" w:color="auto" w:fill="auto"/>
            <w:tcMar>
              <w:top w:w="29" w:type="dxa"/>
              <w:bottom w:w="29" w:type="dxa"/>
            </w:tcMar>
            <w:vAlign w:val="center"/>
          </w:tcPr>
          <w:p w:rsidR="00C405EF" w:rsidRPr="00FD59E0" w:rsidRDefault="00C405EF" w:rsidP="003262F1">
            <w:pPr>
              <w:pStyle w:val="TableParagraph"/>
              <w:keepNext/>
              <w:keepLines/>
              <w:spacing w:before="40" w:after="40"/>
              <w:ind w:left="98"/>
              <w:rPr>
                <w:rFonts w:cs="Calibri"/>
                <w:color w:val="000000"/>
                <w:sz w:val="18"/>
                <w:szCs w:val="18"/>
              </w:rPr>
            </w:pPr>
            <w:r w:rsidRPr="00FD59E0">
              <w:rPr>
                <w:b/>
                <w:color w:val="000000"/>
                <w:spacing w:val="-1"/>
                <w:sz w:val="18"/>
                <w:szCs w:val="18"/>
              </w:rPr>
              <w:t>Annual</w:t>
            </w:r>
            <w:r w:rsidRPr="00FD59E0">
              <w:rPr>
                <w:b/>
                <w:color w:val="000000"/>
                <w:spacing w:val="-8"/>
                <w:sz w:val="18"/>
                <w:szCs w:val="18"/>
              </w:rPr>
              <w:t xml:space="preserve"> c</w:t>
            </w:r>
            <w:r w:rsidRPr="00FD59E0">
              <w:rPr>
                <w:b/>
                <w:color w:val="000000"/>
                <w:spacing w:val="-2"/>
                <w:sz w:val="18"/>
                <w:szCs w:val="18"/>
              </w:rPr>
              <w:t>harging</w:t>
            </w:r>
            <w:r w:rsidRPr="00FD59E0">
              <w:rPr>
                <w:b/>
                <w:color w:val="000000"/>
                <w:spacing w:val="-5"/>
                <w:sz w:val="18"/>
                <w:szCs w:val="18"/>
              </w:rPr>
              <w:t xml:space="preserve"> e</w:t>
            </w:r>
            <w:r w:rsidRPr="00FD59E0">
              <w:rPr>
                <w:b/>
                <w:color w:val="000000"/>
                <w:spacing w:val="-2"/>
                <w:sz w:val="18"/>
                <w:szCs w:val="18"/>
              </w:rPr>
              <w:t>nergy</w:t>
            </w:r>
            <w:r w:rsidRPr="00FD59E0">
              <w:rPr>
                <w:b/>
                <w:color w:val="000000"/>
                <w:spacing w:val="-5"/>
                <w:sz w:val="18"/>
                <w:szCs w:val="18"/>
              </w:rPr>
              <w:t xml:space="preserve"> </w:t>
            </w:r>
            <w:r w:rsidRPr="00FD59E0">
              <w:rPr>
                <w:b/>
                <w:color w:val="000000"/>
                <w:spacing w:val="-1"/>
                <w:sz w:val="18"/>
                <w:szCs w:val="18"/>
              </w:rPr>
              <w:t>(GWh)</w:t>
            </w:r>
          </w:p>
        </w:tc>
        <w:tc>
          <w:tcPr>
            <w:tcW w:w="2085" w:type="dxa"/>
            <w:shd w:val="clear" w:color="auto" w:fill="auto"/>
            <w:tcMar>
              <w:top w:w="29" w:type="dxa"/>
              <w:bottom w:w="29" w:type="dxa"/>
            </w:tcMar>
            <w:vAlign w:val="center"/>
          </w:tcPr>
          <w:p w:rsidR="00C405EF" w:rsidRPr="00FD59E0" w:rsidRDefault="00C405EF" w:rsidP="003845CF">
            <w:pPr>
              <w:pStyle w:val="TableParagraph"/>
              <w:keepNext/>
              <w:keepLines/>
              <w:spacing w:before="40" w:after="40"/>
              <w:jc w:val="center"/>
              <w:rPr>
                <w:rFonts w:cs="Calibri"/>
                <w:color w:val="000000"/>
                <w:sz w:val="18"/>
                <w:szCs w:val="18"/>
              </w:rPr>
            </w:pPr>
            <w:r w:rsidRPr="00FD59E0">
              <w:rPr>
                <w:color w:val="000000"/>
                <w:spacing w:val="-1"/>
                <w:sz w:val="18"/>
                <w:szCs w:val="18"/>
              </w:rPr>
              <w:t>12,507</w:t>
            </w:r>
          </w:p>
        </w:tc>
      </w:tr>
    </w:tbl>
    <w:p w:rsidR="00EA35BD" w:rsidRDefault="00EA35BD" w:rsidP="00CC1F53"/>
    <w:p w:rsidR="00176CFE" w:rsidRDefault="00176CFE" w:rsidP="00176CFE">
      <w:pPr>
        <w:spacing w:after="0" w:line="240" w:lineRule="auto"/>
        <w:jc w:val="center"/>
      </w:pPr>
      <w:r>
        <w:rPr>
          <w:noProof/>
        </w:rPr>
        <w:drawing>
          <wp:inline distT="0" distB="0" distL="0" distR="0" wp14:anchorId="44C3DC51" wp14:editId="28E7E0A6">
            <wp:extent cx="4117340" cy="2658254"/>
            <wp:effectExtent l="19050" t="19050" r="16510" b="279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6919" cy="2664438"/>
                    </a:xfrm>
                    <a:prstGeom prst="rect">
                      <a:avLst/>
                    </a:prstGeom>
                    <a:noFill/>
                    <a:ln w="3175">
                      <a:solidFill>
                        <a:srgbClr val="000000"/>
                      </a:solidFill>
                    </a:ln>
                  </pic:spPr>
                </pic:pic>
              </a:graphicData>
            </a:graphic>
          </wp:inline>
        </w:drawing>
      </w:r>
    </w:p>
    <w:p w:rsidR="00FC2FC2" w:rsidRPr="00FC2FC2" w:rsidRDefault="00D85509" w:rsidP="003845CF">
      <w:pPr>
        <w:pStyle w:val="Caption"/>
        <w:keepNext w:val="0"/>
        <w:keepLines w:val="0"/>
        <w:tabs>
          <w:tab w:val="left" w:pos="7830"/>
        </w:tabs>
        <w:spacing w:before="120" w:after="240"/>
        <w:ind w:left="1440" w:right="1440"/>
      </w:pPr>
      <w:bookmarkStart w:id="122" w:name="_Ref462334130"/>
      <w:bookmarkStart w:id="123" w:name="_Toc519511498"/>
      <w:r w:rsidRPr="006F29E1">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1</w:t>
      </w:r>
      <w:r w:rsidR="00E930AF">
        <w:rPr>
          <w:noProof/>
        </w:rPr>
        <w:fldChar w:fldCharType="end"/>
      </w:r>
      <w:bookmarkEnd w:id="122"/>
      <w:r w:rsidRPr="006F29E1">
        <w:t xml:space="preserve">: Daily PHEV charging profile for </w:t>
      </w:r>
      <w:r w:rsidR="00904B46">
        <w:t xml:space="preserve">the EE + Offshore and </w:t>
      </w:r>
      <w:r w:rsidR="00AF6389">
        <w:t>Wind Less Nuclear</w:t>
      </w:r>
      <w:r w:rsidR="00904B46">
        <w:t xml:space="preserve"> </w:t>
      </w:r>
      <w:r w:rsidRPr="006F29E1">
        <w:t>Scenario</w:t>
      </w:r>
      <w:r w:rsidR="00C405EF">
        <w:t xml:space="preserve">s </w:t>
      </w:r>
      <w:r w:rsidR="001A7B12">
        <w:t>for</w:t>
      </w:r>
      <w:r w:rsidRPr="006F29E1">
        <w:t xml:space="preserve"> 4.</w:t>
      </w:r>
      <w:r w:rsidR="00EA35BD" w:rsidRPr="006F29E1">
        <w:t>2</w:t>
      </w:r>
      <w:r w:rsidR="00EA35BD">
        <w:t> </w:t>
      </w:r>
      <w:r w:rsidRPr="006F29E1">
        <w:t>million vehicles</w:t>
      </w:r>
      <w:r w:rsidR="004A52FA">
        <w:t xml:space="preserve">, </w:t>
      </w:r>
      <w:r w:rsidRPr="006F29E1">
        <w:t>2030</w:t>
      </w:r>
      <w:r w:rsidR="00EB7E31">
        <w:t xml:space="preserve"> (</w:t>
      </w:r>
      <w:r w:rsidR="00785269" w:rsidRPr="006F29E1">
        <w:t>MW</w:t>
      </w:r>
      <w:r w:rsidR="00EB7E31">
        <w:t>)</w:t>
      </w:r>
      <w:r w:rsidR="00785269" w:rsidRPr="006F29E1">
        <w:t>.</w:t>
      </w:r>
      <w:bookmarkEnd w:id="123"/>
      <w:r w:rsidR="0028434A">
        <w:t xml:space="preserve"> </w:t>
      </w:r>
    </w:p>
    <w:p w:rsidR="00902496" w:rsidRPr="00E660C2" w:rsidRDefault="00902496" w:rsidP="00B8270A">
      <w:pPr>
        <w:pStyle w:val="Heading2"/>
      </w:pPr>
      <w:bookmarkStart w:id="124" w:name="_Toc528571204"/>
      <w:r w:rsidRPr="00E660C2">
        <w:t>Capacity Assumptions</w:t>
      </w:r>
      <w:bookmarkEnd w:id="124"/>
    </w:p>
    <w:p w:rsidR="00A36081" w:rsidRPr="00EA1571" w:rsidRDefault="00A935D1" w:rsidP="00431552">
      <w:r w:rsidRPr="003262F1">
        <w:t xml:space="preserve">The study </w:t>
      </w:r>
      <w:r w:rsidR="00EA1571">
        <w:t xml:space="preserve">included </w:t>
      </w:r>
      <w:r w:rsidRPr="003262F1">
        <w:t xml:space="preserve">assumptions regarding the needed amount of resources and </w:t>
      </w:r>
      <w:r w:rsidRPr="00924838">
        <w:t>reserves, resource</w:t>
      </w:r>
      <w:r w:rsidR="003A70E5" w:rsidRPr="00924838">
        <w:t xml:space="preserve"> </w:t>
      </w:r>
      <w:r w:rsidRPr="00924838">
        <w:t>deliverabil</w:t>
      </w:r>
      <w:r w:rsidR="00D151D1">
        <w:t>i</w:t>
      </w:r>
      <w:r w:rsidRPr="00924838">
        <w:t>ty, capacity values</w:t>
      </w:r>
      <w:r w:rsidR="00164928" w:rsidRPr="00924838">
        <w:t xml:space="preserve"> and </w:t>
      </w:r>
      <w:r w:rsidR="00BA3FCF" w:rsidRPr="00924838">
        <w:t xml:space="preserve">summer </w:t>
      </w:r>
      <w:r w:rsidR="00164928" w:rsidRPr="00924838">
        <w:t>seasonal claimed capability</w:t>
      </w:r>
      <w:r w:rsidR="009A1409">
        <w:t xml:space="preserve"> (SCC)</w:t>
      </w:r>
      <w:r w:rsidRPr="00924838">
        <w:t>, nameplate values,</w:t>
      </w:r>
      <w:r w:rsidRPr="003262F1">
        <w:t xml:space="preserve"> retirements and additions, </w:t>
      </w:r>
      <w:r w:rsidR="00991FB9" w:rsidRPr="003262F1">
        <w:t>Renewable Portfolio Standards, storage</w:t>
      </w:r>
      <w:r w:rsidR="00BE0A30">
        <w:t xml:space="preserve"> amounts and operating profiles</w:t>
      </w:r>
      <w:r w:rsidR="00991FB9" w:rsidRPr="003262F1">
        <w:t xml:space="preserve">, and the overall </w:t>
      </w:r>
      <w:r w:rsidRPr="003262F1">
        <w:t>resource mix.</w:t>
      </w:r>
      <w:r w:rsidR="00164928">
        <w:rPr>
          <w:rStyle w:val="FootnoteReference"/>
        </w:rPr>
        <w:footnoteReference w:id="33"/>
      </w:r>
      <w:r w:rsidRPr="003262F1">
        <w:t xml:space="preserve"> </w:t>
      </w:r>
      <w:r w:rsidR="00BE0F18" w:rsidRPr="003262F1">
        <w:t xml:space="preserve">Resources </w:t>
      </w:r>
      <w:r w:rsidR="00C759F6">
        <w:t>were</w:t>
      </w:r>
      <w:r w:rsidR="00BE0F18" w:rsidRPr="003262F1">
        <w:t xml:space="preserve"> divided into capacity resources that meet the net </w:t>
      </w:r>
      <w:r w:rsidR="00785269" w:rsidRPr="003262F1">
        <w:t>I</w:t>
      </w:r>
      <w:r w:rsidR="00BE0F18" w:rsidRPr="003262F1">
        <w:t xml:space="preserve">nstalled </w:t>
      </w:r>
      <w:r w:rsidR="00785269" w:rsidRPr="003262F1">
        <w:t>C</w:t>
      </w:r>
      <w:r w:rsidR="00BE0F18" w:rsidRPr="003262F1">
        <w:t xml:space="preserve">apacity </w:t>
      </w:r>
      <w:r w:rsidR="00785269" w:rsidRPr="003262F1">
        <w:t>R</w:t>
      </w:r>
      <w:r w:rsidR="00BE0F18" w:rsidRPr="003262F1">
        <w:t xml:space="preserve">equirement and </w:t>
      </w:r>
      <w:r w:rsidR="00BE0F18" w:rsidRPr="00EA1571">
        <w:t>energy</w:t>
      </w:r>
      <w:r w:rsidR="00785269" w:rsidRPr="00EA1571">
        <w:t>-</w:t>
      </w:r>
      <w:r w:rsidR="00BE0F18" w:rsidRPr="00EA1571">
        <w:t>only resources</w:t>
      </w:r>
      <w:r w:rsidR="009E7B29" w:rsidRPr="00EA1571">
        <w:t xml:space="preserve">. </w:t>
      </w:r>
    </w:p>
    <w:p w:rsidR="00E4647F" w:rsidRDefault="000B1E5E" w:rsidP="00E4647F">
      <w:r w:rsidRPr="00EA1571">
        <w:t xml:space="preserve">Resources </w:t>
      </w:r>
      <w:r w:rsidR="00584D32" w:rsidRPr="00EA1571">
        <w:t xml:space="preserve">that received </w:t>
      </w:r>
      <w:r w:rsidRPr="00EA1571">
        <w:t xml:space="preserve">capacity supply obligations </w:t>
      </w:r>
      <w:r w:rsidR="00584D32" w:rsidRPr="00EA1571">
        <w:t xml:space="preserve">through </w:t>
      </w:r>
      <w:r w:rsidR="00E762E8">
        <w:t>the tenth Forward Capacity Auction (</w:t>
      </w:r>
      <w:r w:rsidRPr="00EA1571">
        <w:t>FCA</w:t>
      </w:r>
      <w:r w:rsidR="00EA1571" w:rsidRPr="00EA1571">
        <w:t xml:space="preserve"> </w:t>
      </w:r>
      <w:r w:rsidRPr="00EA1571">
        <w:t>#10</w:t>
      </w:r>
      <w:r w:rsidR="00E762E8">
        <w:t>)</w:t>
      </w:r>
      <w:r w:rsidRPr="00EA1571">
        <w:t xml:space="preserve"> were considered part of the resource mix. </w:t>
      </w:r>
      <w:r w:rsidR="00BA3FCF" w:rsidRPr="003845CF">
        <w:t xml:space="preserve">Summer SCC values were assumed for all units having capacity supply obligations in FCA #10, but capacity values were used for wind and PV resources. </w:t>
      </w:r>
      <w:r w:rsidR="009A39EE">
        <w:t>R</w:t>
      </w:r>
      <w:r w:rsidR="00E4647F" w:rsidRPr="00EA1571">
        <w:t xml:space="preserve">esource </w:t>
      </w:r>
      <w:r w:rsidR="00E4647F" w:rsidRPr="00E5063C">
        <w:t>deliverability was assumed</w:t>
      </w:r>
      <w:r w:rsidR="009A39EE">
        <w:t xml:space="preserve"> for all new resources</w:t>
      </w:r>
      <w:r w:rsidR="00C704B2">
        <w:t xml:space="preserve">; </w:t>
      </w:r>
      <w:r w:rsidR="00E4647F" w:rsidRPr="00E5063C">
        <w:t xml:space="preserve">the study </w:t>
      </w:r>
      <w:r w:rsidR="00E4647F" w:rsidRPr="00EA1571">
        <w:t>did not conduct detailed FCA-deliverabil</w:t>
      </w:r>
      <w:r w:rsidR="00FC34C5" w:rsidRPr="00EA1571">
        <w:t>i</w:t>
      </w:r>
      <w:r w:rsidR="00E4647F" w:rsidRPr="00EA1571">
        <w:t>ty tests.</w:t>
      </w:r>
    </w:p>
    <w:p w:rsidR="00581EAF" w:rsidRPr="00BE5DAE" w:rsidRDefault="000B1E5E" w:rsidP="004B2CD3">
      <w:r w:rsidRPr="00924838">
        <w:t xml:space="preserve">Additional </w:t>
      </w:r>
      <w:r w:rsidR="004B2CD3">
        <w:t xml:space="preserve">generation </w:t>
      </w:r>
      <w:r>
        <w:t>without FCA</w:t>
      </w:r>
      <w:r w:rsidR="00584D32">
        <w:t xml:space="preserve"> </w:t>
      </w:r>
      <w:r>
        <w:t xml:space="preserve">#10 obligations </w:t>
      </w:r>
      <w:r w:rsidR="00C15064" w:rsidRPr="00785269">
        <w:t>were</w:t>
      </w:r>
      <w:r w:rsidR="00C15064">
        <w:t xml:space="preserve"> </w:t>
      </w:r>
      <w:r w:rsidR="004B2CD3">
        <w:t xml:space="preserve">assumed to </w:t>
      </w:r>
      <w:r w:rsidR="004B2CD3" w:rsidRPr="00785269">
        <w:t>be</w:t>
      </w:r>
      <w:r w:rsidR="00E2466C" w:rsidRPr="00785269">
        <w:t xml:space="preserve">, </w:t>
      </w:r>
      <w:r w:rsidR="00E2466C" w:rsidRPr="003117CF">
        <w:t xml:space="preserve">as of April </w:t>
      </w:r>
      <w:r w:rsidR="00E2466C" w:rsidRPr="00584D32">
        <w:t>1, 2016</w:t>
      </w:r>
      <w:r w:rsidR="00E2466C" w:rsidRPr="00785269">
        <w:t>,</w:t>
      </w:r>
      <w:r w:rsidR="00E2466C">
        <w:t xml:space="preserve"> </w:t>
      </w:r>
      <w:r w:rsidR="00581EAF" w:rsidRPr="00581EAF">
        <w:t>operating</w:t>
      </w:r>
      <w:r w:rsidR="00A36081">
        <w:t>,</w:t>
      </w:r>
      <w:r w:rsidR="00581EAF" w:rsidRPr="00581EAF">
        <w:t xml:space="preserve"> under construction </w:t>
      </w:r>
      <w:r>
        <w:t>(</w:t>
      </w:r>
      <w:r w:rsidR="00581EAF" w:rsidRPr="00581EAF">
        <w:t>but not cleared in an FCA</w:t>
      </w:r>
      <w:r>
        <w:t>)</w:t>
      </w:r>
      <w:r w:rsidR="00A36081">
        <w:t xml:space="preserve">, </w:t>
      </w:r>
      <w:r w:rsidR="00C15064">
        <w:t>or ha</w:t>
      </w:r>
      <w:r w:rsidR="00E2466C">
        <w:t xml:space="preserve">ving </w:t>
      </w:r>
      <w:r w:rsidR="00581EAF" w:rsidRPr="00581EAF">
        <w:t xml:space="preserve">I.3.9 </w:t>
      </w:r>
      <w:r w:rsidR="00C15064">
        <w:t xml:space="preserve">approval </w:t>
      </w:r>
      <w:r w:rsidR="00581EAF" w:rsidRPr="00581EAF">
        <w:t xml:space="preserve">and still in the </w:t>
      </w:r>
      <w:r w:rsidR="000014F1" w:rsidRPr="00584D32">
        <w:t>ISO</w:t>
      </w:r>
      <w:r w:rsidR="00584D32" w:rsidRPr="00584D32">
        <w:t>’s</w:t>
      </w:r>
      <w:r w:rsidR="00444C3D" w:rsidRPr="00584D32">
        <w:t xml:space="preserve"> </w:t>
      </w:r>
      <w:r w:rsidR="003117CF">
        <w:t>I</w:t>
      </w:r>
      <w:r w:rsidR="000014F1" w:rsidRPr="00584D32">
        <w:t xml:space="preserve">nterconnection </w:t>
      </w:r>
      <w:r w:rsidR="00E762E8">
        <w:t xml:space="preserve">Request </w:t>
      </w:r>
      <w:r w:rsidR="003117CF">
        <w:t>Q</w:t>
      </w:r>
      <w:r w:rsidR="000014F1" w:rsidRPr="00584D32">
        <w:t>ueue</w:t>
      </w:r>
      <w:r w:rsidR="00C15064" w:rsidRPr="00584D32">
        <w:t>.</w:t>
      </w:r>
      <w:r w:rsidR="00E2466C" w:rsidRPr="00584D32">
        <w:t xml:space="preserve"> </w:t>
      </w:r>
      <w:r w:rsidRPr="00584D32">
        <w:t>For all resources</w:t>
      </w:r>
      <w:r w:rsidR="00021E38">
        <w:t>,</w:t>
      </w:r>
      <w:r w:rsidR="00581EAF" w:rsidRPr="00584D32">
        <w:t xml:space="preserve"> </w:t>
      </w:r>
      <w:r w:rsidR="00C15064" w:rsidRPr="00584D32">
        <w:t>o</w:t>
      </w:r>
      <w:r w:rsidR="00581EAF" w:rsidRPr="00584D32">
        <w:t>perating</w:t>
      </w:r>
      <w:r w:rsidR="00581EAF" w:rsidRPr="00444C3D">
        <w:t xml:space="preserve"> </w:t>
      </w:r>
      <w:r w:rsidR="00C15064" w:rsidRPr="00444C3D">
        <w:t>c</w:t>
      </w:r>
      <w:r w:rsidR="00581EAF" w:rsidRPr="00444C3D">
        <w:t>haracteristics</w:t>
      </w:r>
      <w:r w:rsidR="00C15064" w:rsidRPr="00444C3D">
        <w:t xml:space="preserve"> (e.g., </w:t>
      </w:r>
      <w:r w:rsidR="004B2CD3" w:rsidRPr="00444C3D">
        <w:t xml:space="preserve">for </w:t>
      </w:r>
      <w:r w:rsidR="00C15064" w:rsidRPr="00444C3D">
        <w:t>heat rate, ramp rate,</w:t>
      </w:r>
      <w:r w:rsidR="00C15064">
        <w:t xml:space="preserve"> minimum down time, minimum up time) were used</w:t>
      </w:r>
      <w:r w:rsidR="00773EA4">
        <w:t xml:space="preserve"> where data w</w:t>
      </w:r>
      <w:r w:rsidR="00785269">
        <w:t>ere</w:t>
      </w:r>
      <w:r w:rsidR="00773EA4">
        <w:t xml:space="preserve"> available</w:t>
      </w:r>
      <w:r w:rsidR="00785269">
        <w:t>,</w:t>
      </w:r>
      <w:r w:rsidR="00773EA4">
        <w:t xml:space="preserve"> and </w:t>
      </w:r>
      <w:r w:rsidR="00C15064" w:rsidRPr="00E5063C">
        <w:t>generic information</w:t>
      </w:r>
      <w:r w:rsidR="00C15064">
        <w:t xml:space="preserve"> </w:t>
      </w:r>
      <w:r w:rsidR="00773EA4">
        <w:t xml:space="preserve">was modeled </w:t>
      </w:r>
      <w:r w:rsidR="00C15064">
        <w:t xml:space="preserve">for </w:t>
      </w:r>
      <w:r w:rsidR="00773EA4">
        <w:t xml:space="preserve">other generators, </w:t>
      </w:r>
      <w:r w:rsidR="00773EA4" w:rsidRPr="00BE5DAE">
        <w:t>which wa</w:t>
      </w:r>
      <w:r w:rsidR="009D61F2" w:rsidRPr="00BE5DAE">
        <w:t xml:space="preserve">s suitable for </w:t>
      </w:r>
      <w:r w:rsidR="00773EA4" w:rsidRPr="00BE5DAE">
        <w:t>this study</w:t>
      </w:r>
      <w:r w:rsidR="004B2CD3" w:rsidRPr="00BE5DAE">
        <w:t xml:space="preserve">. </w:t>
      </w:r>
      <w:r w:rsidR="00581EAF" w:rsidRPr="00BE5DAE">
        <w:t xml:space="preserve">Additions of </w:t>
      </w:r>
      <w:r w:rsidR="00E762E8">
        <w:t>natural gas combined-cycle (</w:t>
      </w:r>
      <w:r w:rsidR="00581EAF" w:rsidRPr="00BE5DAE">
        <w:t>NGCC</w:t>
      </w:r>
      <w:r w:rsidR="00E762E8">
        <w:t>)</w:t>
      </w:r>
      <w:r w:rsidR="00581EAF" w:rsidRPr="00BE5DAE">
        <w:t xml:space="preserve"> </w:t>
      </w:r>
      <w:r w:rsidR="00E762E8">
        <w:t xml:space="preserve">units </w:t>
      </w:r>
      <w:r w:rsidR="00581EAF" w:rsidRPr="00BE5DAE">
        <w:t xml:space="preserve">not in the queue </w:t>
      </w:r>
      <w:r w:rsidR="00E2466C" w:rsidRPr="00BE5DAE">
        <w:t>as of April 1, 2016</w:t>
      </w:r>
      <w:r w:rsidR="00785269" w:rsidRPr="00BE5DAE">
        <w:t>,</w:t>
      </w:r>
      <w:r w:rsidR="00E2466C" w:rsidRPr="00BE5DAE">
        <w:t xml:space="preserve"> </w:t>
      </w:r>
      <w:r w:rsidR="00473D3B" w:rsidRPr="00BE5DAE">
        <w:t xml:space="preserve">but needed to meet the NICR </w:t>
      </w:r>
      <w:r w:rsidR="00581EAF" w:rsidRPr="00BE5DAE">
        <w:t>w</w:t>
      </w:r>
      <w:r w:rsidR="004B2CD3" w:rsidRPr="00BE5DAE">
        <w:t xml:space="preserve">ere </w:t>
      </w:r>
      <w:r w:rsidR="00581EAF" w:rsidRPr="00BE5DAE">
        <w:t xml:space="preserve">first added at sites </w:t>
      </w:r>
      <w:r w:rsidR="00021E38" w:rsidRPr="00BE5DAE">
        <w:t>of retired resources up to the size of the</w:t>
      </w:r>
      <w:r w:rsidR="00021E38">
        <w:t xml:space="preserve"> retired </w:t>
      </w:r>
      <w:r w:rsidR="00021E38" w:rsidRPr="00BB0DC7">
        <w:t xml:space="preserve">resources </w:t>
      </w:r>
      <w:r w:rsidR="00021E38" w:rsidRPr="003845CF">
        <w:t>and, if necessary,</w:t>
      </w:r>
      <w:r w:rsidR="00581EAF" w:rsidRPr="003845CF">
        <w:t xml:space="preserve"> added </w:t>
      </w:r>
      <w:r w:rsidR="00C07769" w:rsidRPr="003845CF">
        <w:t>at</w:t>
      </w:r>
      <w:r w:rsidR="00581EAF" w:rsidRPr="003845CF">
        <w:t xml:space="preserve"> the </w:t>
      </w:r>
      <w:r w:rsidR="004B2CD3" w:rsidRPr="003845CF">
        <w:t>H</w:t>
      </w:r>
      <w:r w:rsidR="00581EAF" w:rsidRPr="003845CF">
        <w:t>ub</w:t>
      </w:r>
      <w:r w:rsidR="00DA576B" w:rsidRPr="00BB0DC7">
        <w:t>.</w:t>
      </w:r>
      <w:r w:rsidR="00263EFA" w:rsidRPr="00BE5DAE">
        <w:t xml:space="preserve"> </w:t>
      </w:r>
    </w:p>
    <w:p w:rsidR="00E4647F" w:rsidRDefault="00E4647F" w:rsidP="00DC4C42">
      <w:r w:rsidRPr="00BE5DAE">
        <w:t>The scenarios assume</w:t>
      </w:r>
      <w:r w:rsidR="00C759F6" w:rsidRPr="00BE5DAE">
        <w:t>d</w:t>
      </w:r>
      <w:r w:rsidRPr="00BE5DAE">
        <w:t xml:space="preserve"> that a</w:t>
      </w:r>
      <w:r w:rsidR="005A2F25" w:rsidRPr="00BE5DAE">
        <w:t>n installed</w:t>
      </w:r>
      <w:r w:rsidRPr="00BE5DAE">
        <w:t xml:space="preserve"> reserve margin </w:t>
      </w:r>
      <w:r w:rsidR="005A2F25" w:rsidRPr="00BE5DAE">
        <w:t xml:space="preserve">of </w:t>
      </w:r>
      <w:r w:rsidRPr="00BE5DAE">
        <w:t>14% above the gross 50/50 peak load</w:t>
      </w:r>
      <w:r w:rsidR="00ED4368" w:rsidRPr="00BE5DAE">
        <w:t xml:space="preserve"> </w:t>
      </w:r>
      <w:r w:rsidR="00473D3B" w:rsidRPr="00BE5DAE">
        <w:t>(minus</w:t>
      </w:r>
      <w:r w:rsidR="00ED4368" w:rsidRPr="00BE5DAE">
        <w:t xml:space="preserve"> the peak load reduction due to the</w:t>
      </w:r>
      <w:r w:rsidRPr="00BE5DAE">
        <w:t xml:space="preserve"> BTM PV</w:t>
      </w:r>
      <w:r w:rsidR="00473D3B" w:rsidRPr="00BE5DAE">
        <w:t>)</w:t>
      </w:r>
      <w:r w:rsidR="00773EA4" w:rsidRPr="00BE5DAE">
        <w:t xml:space="preserve"> would meet the systemwide net </w:t>
      </w:r>
      <w:r w:rsidR="00C704B2" w:rsidRPr="00BE5DAE">
        <w:t>ICRs</w:t>
      </w:r>
      <w:r w:rsidRPr="00BE5DAE">
        <w:t>. This base scenario</w:t>
      </w:r>
      <w:r w:rsidRPr="00E4647F">
        <w:t xml:space="preserve"> assumption is reasonable when considering the </w:t>
      </w:r>
      <w:r w:rsidRPr="00924838">
        <w:t>NICR summarized in recent R</w:t>
      </w:r>
      <w:r w:rsidR="00CC086F" w:rsidRPr="00924838">
        <w:t xml:space="preserve">egional </w:t>
      </w:r>
      <w:r w:rsidRPr="00924838">
        <w:t>S</w:t>
      </w:r>
      <w:r w:rsidR="00CC086F" w:rsidRPr="00924838">
        <w:t xml:space="preserve">ystem </w:t>
      </w:r>
      <w:r w:rsidRPr="00924838">
        <w:t>P</w:t>
      </w:r>
      <w:r w:rsidR="00CC086F" w:rsidRPr="00924838">
        <w:t>lan</w:t>
      </w:r>
      <w:r w:rsidRPr="00924838">
        <w:t>s.</w:t>
      </w:r>
      <w:r w:rsidRPr="00924838">
        <w:rPr>
          <w:rStyle w:val="FootnoteReference"/>
        </w:rPr>
        <w:footnoteReference w:id="34"/>
      </w:r>
      <w:r w:rsidRPr="00924838">
        <w:t xml:space="preserve"> </w:t>
      </w:r>
      <w:r w:rsidR="008C0B4C" w:rsidRPr="00924838">
        <w:t>In this calculation, e</w:t>
      </w:r>
      <w:r w:rsidR="006F31DE" w:rsidRPr="00924838">
        <w:t>nergy efficiency was considered a</w:t>
      </w:r>
      <w:r w:rsidR="006F31DE">
        <w:t xml:space="preserve"> resource that contributes toward meeting </w:t>
      </w:r>
      <w:r w:rsidR="00972291">
        <w:t xml:space="preserve">the </w:t>
      </w:r>
      <w:r w:rsidR="006F31DE">
        <w:t>NICR.</w:t>
      </w:r>
    </w:p>
    <w:p w:rsidR="00581EAF" w:rsidRDefault="00581EAF" w:rsidP="00DC4C42">
      <w:r w:rsidRPr="00581EAF">
        <w:t>Operating</w:t>
      </w:r>
      <w:r w:rsidR="00C704B2">
        <w:t>-</w:t>
      </w:r>
      <w:r w:rsidRPr="00581EAF">
        <w:t>reserve requirement</w:t>
      </w:r>
      <w:r w:rsidR="004B2CD3">
        <w:t>s</w:t>
      </w:r>
      <w:r w:rsidRPr="00581EAF">
        <w:t xml:space="preserve"> </w:t>
      </w:r>
      <w:r w:rsidR="004B2CD3">
        <w:t>were</w:t>
      </w:r>
      <w:r w:rsidRPr="00581EAF">
        <w:t xml:space="preserve"> </w:t>
      </w:r>
      <w:r w:rsidR="00E2466C" w:rsidRPr="00F1100A">
        <w:t>modeled</w:t>
      </w:r>
      <w:r w:rsidR="009D61F2" w:rsidRPr="00F1100A">
        <w:t xml:space="preserve"> </w:t>
      </w:r>
      <w:r w:rsidR="001F7D13" w:rsidRPr="000B2865">
        <w:t>based on</w:t>
      </w:r>
      <w:r w:rsidRPr="000B2865">
        <w:t xml:space="preserve"> the first</w:t>
      </w:r>
      <w:r w:rsidR="004B2CD3" w:rsidRPr="000B2865">
        <w:t>-</w:t>
      </w:r>
      <w:r w:rsidRPr="00A93DF7">
        <w:t xml:space="preserve"> and second</w:t>
      </w:r>
      <w:r w:rsidR="004B2CD3" w:rsidRPr="007E190C">
        <w:t>-</w:t>
      </w:r>
      <w:r w:rsidRPr="009D5DFB">
        <w:t xml:space="preserve">largest </w:t>
      </w:r>
      <w:r w:rsidR="001F7D13" w:rsidRPr="00EF75C6">
        <w:t xml:space="preserve">loss-of-source </w:t>
      </w:r>
      <w:r w:rsidRPr="00EF75C6">
        <w:t>system contingencies</w:t>
      </w:r>
      <w:r w:rsidR="001F7D13" w:rsidRPr="00EF75C6">
        <w:t>.</w:t>
      </w:r>
      <w:r w:rsidR="00972291">
        <w:rPr>
          <w:rStyle w:val="FootnoteReference"/>
        </w:rPr>
        <w:footnoteReference w:id="35"/>
      </w:r>
      <w:r w:rsidR="004B2CD3" w:rsidRPr="00EF75C6">
        <w:t xml:space="preserve"> </w:t>
      </w:r>
      <w:r w:rsidR="00DA576B" w:rsidRPr="000B2865">
        <w:t xml:space="preserve">The </w:t>
      </w:r>
      <w:r w:rsidR="00E2466C" w:rsidRPr="000B2865">
        <w:t xml:space="preserve">system’s </w:t>
      </w:r>
      <w:r w:rsidR="00DA576B" w:rsidRPr="000B2865">
        <w:t>current o</w:t>
      </w:r>
      <w:r w:rsidR="00DC4C42" w:rsidRPr="000B2865">
        <w:t>perating</w:t>
      </w:r>
      <w:r w:rsidR="00C704B2">
        <w:t>-</w:t>
      </w:r>
      <w:r w:rsidR="00DC4C42" w:rsidRPr="000B2865">
        <w:t>reserve requirements</w:t>
      </w:r>
      <w:r w:rsidR="00DA576B" w:rsidRPr="00A93DF7">
        <w:t xml:space="preserve"> </w:t>
      </w:r>
      <w:r w:rsidR="004B2CD3" w:rsidRPr="00BA36BC">
        <w:t>were</w:t>
      </w:r>
      <w:r w:rsidR="004B2CD3" w:rsidRPr="007E190C">
        <w:t xml:space="preserve"> </w:t>
      </w:r>
      <w:r w:rsidR="00DA576B" w:rsidRPr="009D5DFB">
        <w:t>assumed</w:t>
      </w:r>
      <w:r w:rsidR="00DC4C42" w:rsidRPr="00EF75C6">
        <w:t>.</w:t>
      </w:r>
      <w:r w:rsidR="00DC4C42" w:rsidRPr="000B2865">
        <w:rPr>
          <w:rStyle w:val="FootnoteReference"/>
        </w:rPr>
        <w:footnoteReference w:id="36"/>
      </w:r>
      <w:r w:rsidR="00DC4C42" w:rsidRPr="000B2865">
        <w:t xml:space="preserve"> </w:t>
      </w:r>
      <w:r w:rsidR="00D5427D" w:rsidRPr="000B2865">
        <w:t xml:space="preserve">For 10-minute reserves, the study assumed that the system needed </w:t>
      </w:r>
      <w:r w:rsidRPr="000B2865">
        <w:t>125% of the first</w:t>
      </w:r>
      <w:r w:rsidR="00DA576B" w:rsidRPr="000B2865">
        <w:t>-</w:t>
      </w:r>
      <w:r w:rsidRPr="00A93DF7">
        <w:t xml:space="preserve">contingency </w:t>
      </w:r>
      <w:r w:rsidR="00163ABC">
        <w:t>(N-1)</w:t>
      </w:r>
      <w:r w:rsidR="007B1A78">
        <w:t xml:space="preserve"> </w:t>
      </w:r>
      <w:r w:rsidR="00DA576B" w:rsidRPr="00AD1752">
        <w:t>amount</w:t>
      </w:r>
      <w:r w:rsidR="00DC4C42" w:rsidRPr="00AD1752">
        <w:t>,</w:t>
      </w:r>
      <w:r w:rsidRPr="000B2865">
        <w:t xml:space="preserve"> </w:t>
      </w:r>
      <w:r w:rsidR="00DA576B" w:rsidRPr="000B2865">
        <w:t xml:space="preserve">divided </w:t>
      </w:r>
      <w:r w:rsidR="00DC4C42" w:rsidRPr="000B2865">
        <w:t xml:space="preserve">evenly </w:t>
      </w:r>
      <w:r w:rsidRPr="00A93DF7">
        <w:t>between</w:t>
      </w:r>
      <w:r w:rsidR="00DC4C42" w:rsidRPr="007E190C">
        <w:t xml:space="preserve"> </w:t>
      </w:r>
      <w:r w:rsidR="00DC4C42" w:rsidRPr="009D5DFB">
        <w:t>10</w:t>
      </w:r>
      <w:r w:rsidRPr="00EF75C6">
        <w:t>-</w:t>
      </w:r>
      <w:r w:rsidR="00DC4C42" w:rsidRPr="00EF75C6">
        <w:t>m</w:t>
      </w:r>
      <w:r w:rsidRPr="00EF75C6">
        <w:t xml:space="preserve">inute </w:t>
      </w:r>
      <w:r w:rsidR="00DC4C42" w:rsidRPr="00EF75C6">
        <w:t>s</w:t>
      </w:r>
      <w:r w:rsidRPr="00EF75C6">
        <w:t xml:space="preserve">pinning </w:t>
      </w:r>
      <w:r w:rsidR="00DC4C42" w:rsidRPr="00EF75C6">
        <w:t>r</w:t>
      </w:r>
      <w:r w:rsidRPr="00EF75C6">
        <w:t xml:space="preserve">eserve (TMSR) </w:t>
      </w:r>
      <w:r w:rsidR="00DC4C42" w:rsidRPr="00E0005F">
        <w:t>(</w:t>
      </w:r>
      <w:r w:rsidRPr="00E0005F">
        <w:t>50%</w:t>
      </w:r>
      <w:r w:rsidR="00DC4C42" w:rsidRPr="00E0005F">
        <w:t>) and 10</w:t>
      </w:r>
      <w:r w:rsidRPr="00E0005F">
        <w:t>-</w:t>
      </w:r>
      <w:r w:rsidR="00DC4C42" w:rsidRPr="00D221E9">
        <w:t>m</w:t>
      </w:r>
      <w:r w:rsidRPr="0028767E">
        <w:t xml:space="preserve">inute </w:t>
      </w:r>
      <w:r w:rsidR="00DC4C42" w:rsidRPr="0028767E">
        <w:t>n</w:t>
      </w:r>
      <w:r w:rsidRPr="0028767E">
        <w:t>on</w:t>
      </w:r>
      <w:r w:rsidR="00DC4C42" w:rsidRPr="0028767E">
        <w:t>s</w:t>
      </w:r>
      <w:r w:rsidRPr="0028767E">
        <w:t xml:space="preserve">pinning </w:t>
      </w:r>
      <w:r w:rsidR="00DC4C42" w:rsidRPr="0028767E">
        <w:t>r</w:t>
      </w:r>
      <w:r w:rsidRPr="005C2C9F">
        <w:t>eserve (TMNSR)</w:t>
      </w:r>
      <w:r w:rsidR="00DC4C42" w:rsidRPr="00DA0A3D">
        <w:t xml:space="preserve"> (</w:t>
      </w:r>
      <w:r w:rsidRPr="00D833E5">
        <w:t>50%</w:t>
      </w:r>
      <w:r w:rsidR="00DC4C42" w:rsidRPr="00D833E5">
        <w:t>).</w:t>
      </w:r>
      <w:r w:rsidR="00E4647F" w:rsidRPr="000B2865">
        <w:rPr>
          <w:rStyle w:val="FootnoteReference"/>
        </w:rPr>
        <w:footnoteReference w:id="37"/>
      </w:r>
      <w:r w:rsidR="00DC4C42" w:rsidRPr="000B2865">
        <w:t xml:space="preserve"> </w:t>
      </w:r>
      <w:r w:rsidRPr="009D5DFB">
        <w:t>Thirty-</w:t>
      </w:r>
      <w:r w:rsidR="00DC4C42" w:rsidRPr="00EF75C6">
        <w:t>m</w:t>
      </w:r>
      <w:r w:rsidRPr="00EF75C6">
        <w:t xml:space="preserve">inute </w:t>
      </w:r>
      <w:r w:rsidR="00DC4C42" w:rsidRPr="00EF75C6">
        <w:t>o</w:t>
      </w:r>
      <w:r w:rsidRPr="00EF75C6">
        <w:t>peratin</w:t>
      </w:r>
      <w:r w:rsidR="00DC4C42" w:rsidRPr="00EF75C6">
        <w:t>g</w:t>
      </w:r>
      <w:r w:rsidRPr="00EF75C6">
        <w:t xml:space="preserve"> </w:t>
      </w:r>
      <w:r w:rsidR="00DC4C42" w:rsidRPr="00EF75C6">
        <w:t>r</w:t>
      </w:r>
      <w:r w:rsidRPr="00E0005F">
        <w:t xml:space="preserve">eserve (TMOR) </w:t>
      </w:r>
      <w:r w:rsidR="004B2CD3" w:rsidRPr="00E0005F">
        <w:t>was</w:t>
      </w:r>
      <w:r w:rsidR="00DA576B" w:rsidRPr="00E0005F">
        <w:t xml:space="preserve"> </w:t>
      </w:r>
      <w:r w:rsidRPr="00E0005F">
        <w:t>not modeled</w:t>
      </w:r>
      <w:r w:rsidR="004B2CD3" w:rsidRPr="00D221E9">
        <w:t xml:space="preserve"> because it was assumed adequate and p</w:t>
      </w:r>
      <w:r w:rsidRPr="0028767E">
        <w:t>rovided by hydro, pumped storage</w:t>
      </w:r>
      <w:r w:rsidR="004B2CD3" w:rsidRPr="0028767E">
        <w:t>,</w:t>
      </w:r>
      <w:r w:rsidRPr="0028767E">
        <w:t xml:space="preserve"> and </w:t>
      </w:r>
      <w:r w:rsidR="004B2CD3" w:rsidRPr="00AD1752">
        <w:t>fast</w:t>
      </w:r>
      <w:r w:rsidRPr="00AD1752">
        <w:t>-start</w:t>
      </w:r>
      <w:r w:rsidRPr="000B2865">
        <w:t xml:space="preserve"> resources</w:t>
      </w:r>
      <w:r w:rsidR="004B2CD3" w:rsidRPr="000B2865">
        <w:t>.</w:t>
      </w:r>
      <w:r w:rsidR="007A529F" w:rsidRPr="000B2865">
        <w:rPr>
          <w:rStyle w:val="FootnoteReference"/>
        </w:rPr>
        <w:footnoteReference w:id="38"/>
      </w:r>
      <w:r w:rsidR="004B2CD3" w:rsidRPr="000B2865">
        <w:t xml:space="preserve"> </w:t>
      </w:r>
    </w:p>
    <w:p w:rsidR="00AF02FF" w:rsidRDefault="006D0F8D" w:rsidP="006D0F8D">
      <w:r>
        <w:fldChar w:fldCharType="begin"/>
      </w:r>
      <w:r>
        <w:instrText xml:space="preserve"> REF _Ref518390403 \h </w:instrText>
      </w:r>
      <w:r>
        <w:fldChar w:fldCharType="separate"/>
      </w:r>
      <w:r w:rsidR="00872A95">
        <w:t xml:space="preserve">Table </w:t>
      </w:r>
      <w:r w:rsidR="00872A95">
        <w:rPr>
          <w:noProof/>
        </w:rPr>
        <w:t>5</w:t>
      </w:r>
      <w:r w:rsidR="00872A95">
        <w:noBreakHyphen/>
      </w:r>
      <w:r w:rsidR="00872A95">
        <w:rPr>
          <w:noProof/>
        </w:rPr>
        <w:t>5</w:t>
      </w:r>
      <w:r>
        <w:fldChar w:fldCharType="end"/>
      </w:r>
      <w:r w:rsidR="00902496" w:rsidRPr="00E31A9F">
        <w:t xml:space="preserve"> summarizes </w:t>
      </w:r>
      <w:r w:rsidR="007132C3">
        <w:t xml:space="preserve">each scenario’s </w:t>
      </w:r>
      <w:r w:rsidR="00902496" w:rsidRPr="00E31A9F">
        <w:t>capacity assumptions for 2030</w:t>
      </w:r>
      <w:r w:rsidR="00F304EA">
        <w:t xml:space="preserve"> </w:t>
      </w:r>
      <w:r w:rsidR="00F304EA" w:rsidRPr="00AD1752">
        <w:t xml:space="preserve">for meeting or exceeding the net Installed Capacity </w:t>
      </w:r>
      <w:r w:rsidR="00F304EA" w:rsidRPr="00E5063C">
        <w:t>Requirement.</w:t>
      </w:r>
      <w:r w:rsidR="00E125C0" w:rsidRPr="00DE37E6">
        <w:t xml:space="preserve"> </w:t>
      </w:r>
      <w:r w:rsidR="001A216F" w:rsidRPr="00DE37E6">
        <w:t>The sections that follow explain the assumptions in more detail</w:t>
      </w:r>
      <w:r w:rsidR="00A10C4B">
        <w:t>, including the energy-production profiles for each type of resource</w:t>
      </w:r>
      <w:r w:rsidR="001A216F" w:rsidRPr="00DE37E6">
        <w:t>.</w:t>
      </w:r>
      <w:bookmarkStart w:id="125" w:name="_Ref461381035"/>
    </w:p>
    <w:p w:rsidR="00902496" w:rsidRDefault="00AF02FF" w:rsidP="00F81887">
      <w:pPr>
        <w:pStyle w:val="Caption"/>
        <w:jc w:val="center"/>
      </w:pPr>
      <w:bookmarkStart w:id="126" w:name="_Ref518390403"/>
      <w:bookmarkStart w:id="127" w:name="_Toc520721020"/>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5</w:t>
      </w:r>
      <w:r w:rsidR="00EA3757">
        <w:rPr>
          <w:noProof/>
        </w:rPr>
        <w:fldChar w:fldCharType="end"/>
      </w:r>
      <w:bookmarkEnd w:id="126"/>
      <w:r>
        <w:br/>
      </w:r>
      <w:bookmarkEnd w:id="125"/>
      <w:r w:rsidR="00902496">
        <w:t xml:space="preserve">Summary of </w:t>
      </w:r>
      <w:r w:rsidR="00902496" w:rsidRPr="007A1838">
        <w:t>Capacity Assumptions Used</w:t>
      </w:r>
      <w:r w:rsidR="00902496">
        <w:t xml:space="preserve"> in the Scenarios, 2030 (MW)</w:t>
      </w:r>
      <w:bookmarkEnd w:id="127"/>
    </w:p>
    <w:tbl>
      <w:tblPr>
        <w:tblStyle w:val="TableGrid"/>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25"/>
        <w:gridCol w:w="1303"/>
        <w:gridCol w:w="1304"/>
        <w:gridCol w:w="1304"/>
        <w:gridCol w:w="1304"/>
      </w:tblGrid>
      <w:tr w:rsidR="00F77D3A" w:rsidRPr="00D47106" w:rsidTr="00E82C53">
        <w:trPr>
          <w:trHeight w:val="791"/>
          <w:jc w:val="center"/>
        </w:trPr>
        <w:tc>
          <w:tcPr>
            <w:tcW w:w="4325" w:type="dxa"/>
            <w:shd w:val="clear" w:color="auto" w:fill="1795D2" w:themeFill="accent1"/>
            <w:vAlign w:val="center"/>
            <w:hideMark/>
          </w:tcPr>
          <w:p w:rsidR="00F77D3A" w:rsidRPr="00D47106" w:rsidRDefault="00F77D3A" w:rsidP="00E82C53">
            <w:pPr>
              <w:keepNext/>
              <w:keepLines/>
              <w:adjustRightInd/>
              <w:spacing w:before="20" w:after="20" w:line="240" w:lineRule="auto"/>
              <w:jc w:val="center"/>
              <w:textAlignment w:val="auto"/>
              <w:rPr>
                <w:rFonts w:asciiTheme="majorHAnsi" w:hAnsiTheme="majorHAnsi" w:cs="Arial"/>
                <w:b/>
                <w:bCs/>
                <w:color w:val="FFFFFF" w:themeColor="background1"/>
                <w:sz w:val="18"/>
                <w:szCs w:val="18"/>
              </w:rPr>
            </w:pPr>
            <w:r w:rsidRPr="00D47106">
              <w:rPr>
                <w:rFonts w:asciiTheme="majorHAnsi" w:hAnsiTheme="majorHAnsi" w:cs="Arial"/>
                <w:b/>
                <w:bCs/>
                <w:color w:val="FFFFFF" w:themeColor="background1"/>
                <w:sz w:val="18"/>
                <w:szCs w:val="18"/>
              </w:rPr>
              <w:t>Parameter</w:t>
            </w:r>
          </w:p>
        </w:tc>
        <w:tc>
          <w:tcPr>
            <w:tcW w:w="1303" w:type="dxa"/>
            <w:shd w:val="clear" w:color="auto" w:fill="1795D2" w:themeFill="accent1"/>
            <w:vAlign w:val="center"/>
            <w:hideMark/>
          </w:tcPr>
          <w:p w:rsidR="00F77D3A" w:rsidRPr="00D47106" w:rsidRDefault="00F77D3A" w:rsidP="00E82C53">
            <w:pPr>
              <w:keepNext/>
              <w:keepLines/>
              <w:adjustRightInd/>
              <w:spacing w:before="20" w:after="20" w:line="240" w:lineRule="auto"/>
              <w:jc w:val="center"/>
              <w:textAlignment w:val="auto"/>
              <w:rPr>
                <w:rFonts w:asciiTheme="majorHAnsi" w:hAnsiTheme="majorHAnsi" w:cs="Arial"/>
                <w:b/>
                <w:bCs/>
                <w:color w:val="FFFFFF" w:themeColor="background1"/>
                <w:sz w:val="18"/>
                <w:szCs w:val="18"/>
              </w:rPr>
            </w:pPr>
            <w:r w:rsidRPr="00D47106">
              <w:rPr>
                <w:rFonts w:asciiTheme="majorHAnsi" w:hAnsiTheme="majorHAnsi" w:cs="Arial"/>
                <w:b/>
                <w:bCs/>
                <w:color w:val="FFFFFF" w:themeColor="background1"/>
                <w:sz w:val="18"/>
                <w:szCs w:val="18"/>
              </w:rPr>
              <w:t>Reference Renew Plus</w:t>
            </w:r>
          </w:p>
        </w:tc>
        <w:tc>
          <w:tcPr>
            <w:tcW w:w="1304" w:type="dxa"/>
            <w:shd w:val="clear" w:color="auto" w:fill="1795D2" w:themeFill="accent1"/>
            <w:vAlign w:val="center"/>
            <w:hideMark/>
          </w:tcPr>
          <w:p w:rsidR="00F77D3A" w:rsidRPr="00D47106" w:rsidRDefault="00F77D3A" w:rsidP="00E82C53">
            <w:pPr>
              <w:keepNext/>
              <w:keepLines/>
              <w:adjustRightInd/>
              <w:spacing w:before="20" w:after="20" w:line="240" w:lineRule="auto"/>
              <w:jc w:val="center"/>
              <w:textAlignment w:val="auto"/>
              <w:rPr>
                <w:rFonts w:asciiTheme="majorHAnsi" w:hAnsiTheme="majorHAnsi" w:cs="Arial"/>
                <w:b/>
                <w:bCs/>
                <w:color w:val="FFFFFF" w:themeColor="background1"/>
                <w:sz w:val="18"/>
                <w:szCs w:val="18"/>
              </w:rPr>
            </w:pPr>
            <w:r w:rsidRPr="00D47106">
              <w:rPr>
                <w:rFonts w:asciiTheme="majorHAnsi" w:hAnsiTheme="majorHAnsi" w:cs="Arial"/>
                <w:b/>
                <w:bCs/>
                <w:color w:val="FFFFFF" w:themeColor="background1"/>
                <w:sz w:val="18"/>
                <w:szCs w:val="18"/>
              </w:rPr>
              <w:t>Scenario A</w:t>
            </w:r>
            <w:r w:rsidR="00D47106">
              <w:rPr>
                <w:rFonts w:asciiTheme="majorHAnsi" w:hAnsiTheme="majorHAnsi" w:cs="Arial"/>
                <w:b/>
                <w:bCs/>
                <w:color w:val="FFFFFF" w:themeColor="background1"/>
                <w:sz w:val="18"/>
                <w:szCs w:val="18"/>
              </w:rPr>
              <w:br/>
            </w:r>
            <w:r w:rsidRPr="00D47106">
              <w:rPr>
                <w:rFonts w:asciiTheme="majorHAnsi" w:hAnsiTheme="majorHAnsi" w:cs="Arial"/>
                <w:b/>
                <w:bCs/>
                <w:color w:val="FFFFFF" w:themeColor="background1"/>
                <w:sz w:val="18"/>
                <w:szCs w:val="18"/>
              </w:rPr>
              <w:t>EE + Offshore</w:t>
            </w:r>
          </w:p>
        </w:tc>
        <w:tc>
          <w:tcPr>
            <w:tcW w:w="1304" w:type="dxa"/>
            <w:shd w:val="clear" w:color="auto" w:fill="1795D2" w:themeFill="accent1"/>
            <w:vAlign w:val="center"/>
            <w:hideMark/>
          </w:tcPr>
          <w:p w:rsidR="00F77D3A" w:rsidRPr="00D47106" w:rsidRDefault="00F77D3A" w:rsidP="00E82C53">
            <w:pPr>
              <w:keepNext/>
              <w:keepLines/>
              <w:adjustRightInd/>
              <w:spacing w:before="20" w:after="20" w:line="240" w:lineRule="auto"/>
              <w:jc w:val="center"/>
              <w:textAlignment w:val="auto"/>
              <w:rPr>
                <w:rFonts w:asciiTheme="majorHAnsi" w:hAnsiTheme="majorHAnsi" w:cs="Arial"/>
                <w:b/>
                <w:bCs/>
                <w:color w:val="FFFFFF" w:themeColor="background1"/>
                <w:sz w:val="18"/>
                <w:szCs w:val="18"/>
              </w:rPr>
            </w:pPr>
            <w:r w:rsidRPr="00D47106">
              <w:rPr>
                <w:rFonts w:asciiTheme="majorHAnsi" w:hAnsiTheme="majorHAnsi" w:cs="Arial"/>
                <w:b/>
                <w:bCs/>
                <w:color w:val="FFFFFF" w:themeColor="background1"/>
                <w:sz w:val="18"/>
                <w:szCs w:val="18"/>
              </w:rPr>
              <w:t>Scenario B</w:t>
            </w:r>
            <w:r w:rsidR="00D47106">
              <w:rPr>
                <w:rFonts w:asciiTheme="majorHAnsi" w:hAnsiTheme="majorHAnsi" w:cs="Arial"/>
                <w:b/>
                <w:bCs/>
                <w:color w:val="FFFFFF" w:themeColor="background1"/>
                <w:sz w:val="18"/>
                <w:szCs w:val="18"/>
              </w:rPr>
              <w:br/>
            </w:r>
            <w:r w:rsidRPr="00D47106">
              <w:rPr>
                <w:rFonts w:asciiTheme="majorHAnsi" w:hAnsiTheme="majorHAnsi" w:cs="Arial"/>
                <w:b/>
                <w:bCs/>
                <w:color w:val="FFFFFF" w:themeColor="background1"/>
                <w:sz w:val="18"/>
                <w:szCs w:val="18"/>
              </w:rPr>
              <w:t>Offshore Less EE/PV</w:t>
            </w:r>
          </w:p>
        </w:tc>
        <w:tc>
          <w:tcPr>
            <w:tcW w:w="1304" w:type="dxa"/>
            <w:shd w:val="clear" w:color="auto" w:fill="1795D2" w:themeFill="accent1"/>
            <w:vAlign w:val="center"/>
            <w:hideMark/>
          </w:tcPr>
          <w:p w:rsidR="00F77D3A" w:rsidRPr="00D47106" w:rsidRDefault="00F77D3A" w:rsidP="00E82C53">
            <w:pPr>
              <w:keepNext/>
              <w:keepLines/>
              <w:adjustRightInd/>
              <w:spacing w:before="20" w:after="20" w:line="240" w:lineRule="auto"/>
              <w:jc w:val="center"/>
              <w:textAlignment w:val="auto"/>
              <w:rPr>
                <w:rFonts w:asciiTheme="majorHAnsi" w:hAnsiTheme="majorHAnsi" w:cs="Arial"/>
                <w:b/>
                <w:bCs/>
                <w:color w:val="FFFFFF" w:themeColor="background1"/>
                <w:sz w:val="18"/>
                <w:szCs w:val="18"/>
              </w:rPr>
            </w:pPr>
            <w:r w:rsidRPr="00D47106">
              <w:rPr>
                <w:rFonts w:asciiTheme="majorHAnsi" w:hAnsiTheme="majorHAnsi" w:cs="Arial"/>
                <w:b/>
                <w:bCs/>
                <w:color w:val="FFFFFF" w:themeColor="background1"/>
                <w:sz w:val="18"/>
                <w:szCs w:val="18"/>
              </w:rPr>
              <w:t>Scenario C</w:t>
            </w:r>
            <w:r w:rsidR="00D47106">
              <w:rPr>
                <w:rFonts w:asciiTheme="majorHAnsi" w:hAnsiTheme="majorHAnsi" w:cs="Arial"/>
                <w:b/>
                <w:bCs/>
                <w:color w:val="FFFFFF" w:themeColor="background1"/>
                <w:sz w:val="18"/>
                <w:szCs w:val="18"/>
              </w:rPr>
              <w:br/>
            </w:r>
            <w:r w:rsidR="00AF6389">
              <w:rPr>
                <w:rFonts w:asciiTheme="majorHAnsi" w:hAnsiTheme="majorHAnsi" w:cs="Arial"/>
                <w:b/>
                <w:bCs/>
                <w:color w:val="FFFFFF" w:themeColor="background1"/>
                <w:sz w:val="18"/>
                <w:szCs w:val="18"/>
              </w:rPr>
              <w:t>Wind Less Nuclear</w:t>
            </w:r>
          </w:p>
        </w:tc>
      </w:tr>
      <w:tr w:rsidR="00F77D3A" w:rsidRPr="00D81A8E" w:rsidTr="00E82C53">
        <w:trPr>
          <w:trHeight w:val="432"/>
          <w:jc w:val="center"/>
        </w:trPr>
        <w:tc>
          <w:tcPr>
            <w:tcW w:w="4325" w:type="dxa"/>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Renewables (biofuels, landfill gas, etc.)</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976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976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976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976</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5D4BEF"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Solar</w:t>
            </w:r>
            <w:r w:rsidR="0068661F" w:rsidRPr="0011337F">
              <w:rPr>
                <w:rFonts w:asciiTheme="majorHAnsi" w:hAnsiTheme="majorHAnsi" w:cs="Arial"/>
                <w:b/>
                <w:bCs/>
                <w:color w:val="000000"/>
                <w:sz w:val="18"/>
                <w:szCs w:val="18"/>
                <w:vertAlign w:val="superscript"/>
              </w:rPr>
              <w:t>(a)</w:t>
            </w:r>
          </w:p>
        </w:tc>
        <w:tc>
          <w:tcPr>
            <w:tcW w:w="1303" w:type="dxa"/>
            <w:shd w:val="clear" w:color="auto" w:fill="CCEAF9" w:themeFill="accent1" w:themeFillTint="33"/>
            <w:noWrap/>
            <w:tcMar>
              <w:left w:w="58" w:type="dxa"/>
              <w:right w:w="360" w:type="dxa"/>
            </w:tcMar>
            <w:vAlign w:val="center"/>
            <w:hideMark/>
          </w:tcPr>
          <w:p w:rsidR="00F77D3A" w:rsidRPr="005D4BEF" w:rsidRDefault="00F77D3A" w:rsidP="005D4BEF">
            <w:pPr>
              <w:keepNext/>
              <w:keepLines/>
              <w:adjustRightInd/>
              <w:spacing w:before="20" w:after="20" w:line="240" w:lineRule="auto"/>
              <w:jc w:val="right"/>
              <w:textAlignment w:val="auto"/>
              <w:rPr>
                <w:rFonts w:asciiTheme="majorHAnsi" w:hAnsiTheme="majorHAnsi" w:cs="Arial"/>
                <w:color w:val="000000"/>
                <w:sz w:val="18"/>
                <w:szCs w:val="18"/>
              </w:rPr>
            </w:pPr>
            <w:r w:rsidRPr="005D4BEF">
              <w:rPr>
                <w:rFonts w:asciiTheme="majorHAnsi" w:hAnsiTheme="majorHAnsi" w:cs="Arial"/>
                <w:color w:val="000000"/>
                <w:sz w:val="18"/>
                <w:szCs w:val="18"/>
              </w:rPr>
              <w:t>2,462</w:t>
            </w:r>
          </w:p>
        </w:tc>
        <w:tc>
          <w:tcPr>
            <w:tcW w:w="1304" w:type="dxa"/>
            <w:shd w:val="clear" w:color="auto" w:fill="CCEAF9" w:themeFill="accent1" w:themeFillTint="33"/>
            <w:noWrap/>
            <w:tcMar>
              <w:left w:w="58" w:type="dxa"/>
              <w:right w:w="360" w:type="dxa"/>
            </w:tcMar>
            <w:vAlign w:val="center"/>
            <w:hideMark/>
          </w:tcPr>
          <w:p w:rsidR="00F77D3A" w:rsidRPr="005D4BEF" w:rsidRDefault="0090587C" w:rsidP="005D4BEF">
            <w:pPr>
              <w:keepNext/>
              <w:keepLines/>
              <w:adjustRightInd/>
              <w:spacing w:before="20" w:after="20" w:line="240" w:lineRule="auto"/>
              <w:jc w:val="right"/>
              <w:textAlignment w:val="auto"/>
              <w:rPr>
                <w:rFonts w:asciiTheme="majorHAnsi" w:hAnsiTheme="majorHAnsi" w:cs="Arial"/>
                <w:bCs/>
                <w:color w:val="FF0000"/>
                <w:sz w:val="18"/>
                <w:szCs w:val="18"/>
              </w:rPr>
            </w:pPr>
            <w:r>
              <w:rPr>
                <w:rFonts w:asciiTheme="majorHAnsi" w:hAnsiTheme="majorHAnsi" w:cs="Arial"/>
                <w:bCs/>
                <w:sz w:val="18"/>
                <w:szCs w:val="18"/>
              </w:rPr>
              <w:t>1,662</w:t>
            </w:r>
          </w:p>
        </w:tc>
        <w:tc>
          <w:tcPr>
            <w:tcW w:w="1304" w:type="dxa"/>
            <w:shd w:val="clear" w:color="auto" w:fill="CCEAF9" w:themeFill="accent1" w:themeFillTint="33"/>
            <w:noWrap/>
            <w:tcMar>
              <w:left w:w="58" w:type="dxa"/>
              <w:right w:w="360" w:type="dxa"/>
            </w:tcMar>
            <w:vAlign w:val="center"/>
            <w:hideMark/>
          </w:tcPr>
          <w:p w:rsidR="00F77D3A" w:rsidRPr="005D4BEF" w:rsidRDefault="00F77D3A" w:rsidP="005D4BEF">
            <w:pPr>
              <w:keepNext/>
              <w:keepLines/>
              <w:adjustRightInd/>
              <w:spacing w:before="20" w:after="20" w:line="240" w:lineRule="auto"/>
              <w:jc w:val="right"/>
              <w:textAlignment w:val="auto"/>
              <w:rPr>
                <w:rFonts w:asciiTheme="majorHAnsi" w:hAnsiTheme="majorHAnsi" w:cs="Arial"/>
                <w:color w:val="000000"/>
                <w:sz w:val="18"/>
                <w:szCs w:val="18"/>
              </w:rPr>
            </w:pPr>
            <w:r w:rsidRPr="005D4BEF">
              <w:rPr>
                <w:rFonts w:asciiTheme="majorHAnsi" w:hAnsiTheme="majorHAnsi" w:cs="Arial"/>
                <w:color w:val="000000"/>
                <w:sz w:val="18"/>
                <w:szCs w:val="18"/>
              </w:rPr>
              <w:t>62</w:t>
            </w:r>
          </w:p>
        </w:tc>
        <w:tc>
          <w:tcPr>
            <w:tcW w:w="1304" w:type="dxa"/>
            <w:shd w:val="clear" w:color="auto" w:fill="CCEAF9" w:themeFill="accent1" w:themeFillTint="33"/>
            <w:noWrap/>
            <w:tcMar>
              <w:left w:w="58" w:type="dxa"/>
              <w:right w:w="360" w:type="dxa"/>
            </w:tcMar>
            <w:vAlign w:val="center"/>
            <w:hideMark/>
          </w:tcPr>
          <w:p w:rsidR="00F77D3A" w:rsidRPr="005D4BEF" w:rsidRDefault="00F77D3A" w:rsidP="005D4BEF">
            <w:pPr>
              <w:keepNext/>
              <w:keepLines/>
              <w:adjustRightInd/>
              <w:spacing w:before="20" w:after="20" w:line="240" w:lineRule="auto"/>
              <w:jc w:val="right"/>
              <w:textAlignment w:val="auto"/>
              <w:rPr>
                <w:rFonts w:asciiTheme="majorHAnsi" w:hAnsiTheme="majorHAnsi" w:cs="Arial"/>
                <w:color w:val="000000"/>
                <w:sz w:val="18"/>
                <w:szCs w:val="18"/>
              </w:rPr>
            </w:pPr>
            <w:r w:rsidRPr="005D4BEF">
              <w:rPr>
                <w:rFonts w:asciiTheme="majorHAnsi" w:hAnsiTheme="majorHAnsi" w:cs="Arial"/>
                <w:color w:val="000000"/>
                <w:sz w:val="18"/>
                <w:szCs w:val="18"/>
              </w:rPr>
              <w:t>2,462</w:t>
            </w:r>
          </w:p>
        </w:tc>
      </w:tr>
      <w:tr w:rsidR="00F77D3A" w:rsidRPr="00D81A8E" w:rsidTr="00327F16">
        <w:trPr>
          <w:trHeight w:val="432"/>
          <w:jc w:val="center"/>
        </w:trPr>
        <w:tc>
          <w:tcPr>
            <w:tcW w:w="4325" w:type="dxa"/>
            <w:vAlign w:val="center"/>
            <w:hideMark/>
          </w:tcPr>
          <w:p w:rsidR="00F77D3A" w:rsidRPr="00E82C53" w:rsidRDefault="00F77D3A" w:rsidP="00327F16">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 xml:space="preserve">Forecasted EE </w:t>
            </w:r>
            <w:r>
              <w:rPr>
                <w:rFonts w:asciiTheme="majorHAnsi" w:hAnsiTheme="majorHAnsi" w:cs="Arial"/>
                <w:b/>
                <w:bCs/>
                <w:color w:val="000000"/>
                <w:sz w:val="18"/>
                <w:szCs w:val="18"/>
              </w:rPr>
              <w:t>and a</w:t>
            </w:r>
            <w:r w:rsidRPr="00327F16">
              <w:rPr>
                <w:rFonts w:asciiTheme="majorHAnsi" w:hAnsiTheme="majorHAnsi" w:cs="Arial"/>
                <w:b/>
                <w:bCs/>
                <w:color w:val="000000"/>
                <w:sz w:val="18"/>
                <w:szCs w:val="18"/>
              </w:rPr>
              <w:t xml:space="preserve">ctive </w:t>
            </w:r>
            <w:r>
              <w:rPr>
                <w:rFonts w:asciiTheme="majorHAnsi" w:hAnsiTheme="majorHAnsi" w:cs="Arial"/>
                <w:b/>
                <w:bCs/>
                <w:color w:val="000000"/>
                <w:sz w:val="18"/>
                <w:szCs w:val="18"/>
              </w:rPr>
              <w:t>d</w:t>
            </w:r>
            <w:r w:rsidRPr="00327F16">
              <w:rPr>
                <w:rFonts w:asciiTheme="majorHAnsi" w:hAnsiTheme="majorHAnsi" w:cs="Arial"/>
                <w:b/>
                <w:bCs/>
                <w:color w:val="000000"/>
                <w:sz w:val="18"/>
                <w:szCs w:val="18"/>
              </w:rPr>
              <w:t xml:space="preserve">emand </w:t>
            </w:r>
            <w:r>
              <w:rPr>
                <w:rFonts w:asciiTheme="majorHAnsi" w:hAnsiTheme="majorHAnsi" w:cs="Arial"/>
                <w:b/>
                <w:bCs/>
                <w:color w:val="000000"/>
                <w:sz w:val="18"/>
                <w:szCs w:val="18"/>
              </w:rPr>
              <w:t>r</w:t>
            </w:r>
            <w:r w:rsidRPr="00327F16">
              <w:rPr>
                <w:rFonts w:asciiTheme="majorHAnsi" w:hAnsiTheme="majorHAnsi" w:cs="Arial"/>
                <w:b/>
                <w:bCs/>
                <w:color w:val="000000"/>
                <w:sz w:val="18"/>
                <w:szCs w:val="18"/>
              </w:rPr>
              <w:t xml:space="preserve">esources </w:t>
            </w:r>
            <w:r w:rsidRPr="00E82C53">
              <w:rPr>
                <w:rFonts w:asciiTheme="majorHAnsi" w:hAnsiTheme="majorHAnsi" w:cs="Arial"/>
                <w:b/>
                <w:bCs/>
                <w:color w:val="000000"/>
                <w:sz w:val="18"/>
                <w:szCs w:val="18"/>
              </w:rPr>
              <w:t>without real-time emergency generation (RTEG)</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8,328</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10,328</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5,058</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8,328</w:t>
            </w:r>
          </w:p>
        </w:tc>
      </w:tr>
      <w:tr w:rsidR="00F77D3A" w:rsidRPr="00D47106" w:rsidTr="00E82C53">
        <w:trPr>
          <w:trHeight w:val="432"/>
          <w:jc w:val="center"/>
        </w:trPr>
        <w:tc>
          <w:tcPr>
            <w:tcW w:w="4325" w:type="dxa"/>
            <w:shd w:val="clear" w:color="auto" w:fill="CCEAF9" w:themeFill="accent1" w:themeFillTint="33"/>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Nuclear</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3,347</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3,347</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3,347</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1,225</w:t>
            </w:r>
          </w:p>
        </w:tc>
      </w:tr>
      <w:tr w:rsidR="00F77D3A" w:rsidRPr="00D81A8E" w:rsidTr="00327F16">
        <w:trPr>
          <w:trHeight w:val="432"/>
          <w:jc w:val="center"/>
        </w:trPr>
        <w:tc>
          <w:tcPr>
            <w:tcW w:w="4325" w:type="dxa"/>
            <w:vAlign w:val="center"/>
            <w:hideMark/>
          </w:tcPr>
          <w:p w:rsidR="00F77D3A" w:rsidRPr="00E82C53" w:rsidRDefault="00F77D3A" w:rsidP="00327F16">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 xml:space="preserve">Hydro and </w:t>
            </w:r>
            <w:r>
              <w:rPr>
                <w:rFonts w:asciiTheme="majorHAnsi" w:hAnsiTheme="majorHAnsi" w:cs="Arial"/>
                <w:b/>
                <w:bCs/>
                <w:color w:val="000000"/>
                <w:sz w:val="18"/>
                <w:szCs w:val="18"/>
              </w:rPr>
              <w:t>p</w:t>
            </w:r>
            <w:r w:rsidRPr="00327F16">
              <w:rPr>
                <w:rFonts w:asciiTheme="majorHAnsi" w:hAnsiTheme="majorHAnsi" w:cs="Arial"/>
                <w:b/>
                <w:bCs/>
                <w:color w:val="000000"/>
                <w:sz w:val="18"/>
                <w:szCs w:val="18"/>
              </w:rPr>
              <w:t xml:space="preserve">umped </w:t>
            </w:r>
            <w:r>
              <w:rPr>
                <w:rFonts w:asciiTheme="majorHAnsi" w:hAnsiTheme="majorHAnsi" w:cs="Arial"/>
                <w:b/>
                <w:bCs/>
                <w:color w:val="000000"/>
                <w:sz w:val="18"/>
                <w:szCs w:val="18"/>
              </w:rPr>
              <w:t>s</w:t>
            </w:r>
            <w:r w:rsidRPr="00327F16">
              <w:rPr>
                <w:rFonts w:asciiTheme="majorHAnsi" w:hAnsiTheme="majorHAnsi" w:cs="Arial"/>
                <w:b/>
                <w:bCs/>
                <w:color w:val="000000"/>
                <w:sz w:val="18"/>
                <w:szCs w:val="18"/>
              </w:rPr>
              <w:t>torage</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3,116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3,116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3,116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3,116</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 xml:space="preserve">Resource serving Citizen Block load                                               (on the border served from </w:t>
            </w:r>
            <w:r w:rsidRPr="00D81A8E">
              <w:rPr>
                <w:rFonts w:asciiTheme="majorHAnsi" w:hAnsiTheme="majorHAnsi" w:cs="Arial"/>
                <w:b/>
                <w:bCs/>
                <w:color w:val="000000"/>
                <w:sz w:val="18"/>
                <w:szCs w:val="18"/>
              </w:rPr>
              <w:t>Hydro-Qu</w:t>
            </w:r>
            <w:r>
              <w:rPr>
                <w:rFonts w:asciiTheme="majorHAnsi" w:hAnsiTheme="majorHAnsi" w:cs="Arial"/>
                <w:b/>
                <w:bCs/>
                <w:color w:val="000000"/>
                <w:sz w:val="18"/>
                <w:szCs w:val="18"/>
              </w:rPr>
              <w:t>é</w:t>
            </w:r>
            <w:r w:rsidRPr="00D81A8E">
              <w:rPr>
                <w:rFonts w:asciiTheme="majorHAnsi" w:hAnsiTheme="majorHAnsi" w:cs="Arial"/>
                <w:b/>
                <w:bCs/>
                <w:color w:val="000000"/>
                <w:sz w:val="18"/>
                <w:szCs w:val="18"/>
              </w:rPr>
              <w:t>bec)</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w:t>
            </w:r>
          </w:p>
        </w:tc>
      </w:tr>
      <w:tr w:rsidR="00F77D3A" w:rsidRPr="00D81A8E" w:rsidTr="00E82C53">
        <w:trPr>
          <w:trHeight w:val="432"/>
          <w:jc w:val="center"/>
        </w:trPr>
        <w:tc>
          <w:tcPr>
            <w:tcW w:w="4325" w:type="dxa"/>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Imports</w:t>
            </w:r>
            <w:r w:rsidR="0068661F" w:rsidRPr="00327F16">
              <w:rPr>
                <w:rFonts w:asciiTheme="majorHAnsi" w:hAnsiTheme="majorHAnsi" w:cs="Arial"/>
                <w:b/>
                <w:bCs/>
                <w:color w:val="000000"/>
                <w:sz w:val="18"/>
                <w:szCs w:val="18"/>
                <w:vertAlign w:val="superscript"/>
              </w:rPr>
              <w:t>(b)</w:t>
            </w:r>
            <w:r w:rsidR="0068661F" w:rsidRPr="0068661F" w:rsidDel="0068661F">
              <w:rPr>
                <w:rFonts w:asciiTheme="majorHAnsi" w:hAnsiTheme="majorHAnsi" w:cs="Arial"/>
                <w:b/>
                <w:bCs/>
                <w:color w:val="000000"/>
                <w:sz w:val="18"/>
                <w:szCs w:val="18"/>
                <w:vertAlign w:val="superscript"/>
              </w:rPr>
              <w:t xml:space="preserve"> </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3,006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2,006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2,006</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3,006</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Wind capacity value</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1,900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1,472</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2,472</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3,448</w:t>
            </w:r>
          </w:p>
        </w:tc>
      </w:tr>
      <w:tr w:rsidR="00F77D3A" w:rsidRPr="00D81A8E" w:rsidTr="00E82C53">
        <w:trPr>
          <w:trHeight w:val="432"/>
          <w:jc w:val="center"/>
        </w:trPr>
        <w:tc>
          <w:tcPr>
            <w:tcW w:w="4325" w:type="dxa"/>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Gas after retirements (SCC)</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16,011</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16,011</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16,011</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16,011</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Oil after retirements (SCC)</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2,114</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2,114</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2,114</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2,114</w:t>
            </w:r>
          </w:p>
        </w:tc>
      </w:tr>
      <w:tr w:rsidR="00F77D3A" w:rsidRPr="00D81A8E" w:rsidTr="00E82C53">
        <w:trPr>
          <w:trHeight w:val="432"/>
          <w:jc w:val="center"/>
        </w:trPr>
        <w:tc>
          <w:tcPr>
            <w:tcW w:w="4325" w:type="dxa"/>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Coal after retirements (SCC)</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 xml:space="preserve">Total capacity for existing resource after retirements </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41,290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90587C">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w:t>
            </w:r>
            <w:r w:rsidR="0090587C">
              <w:rPr>
                <w:rFonts w:asciiTheme="majorHAnsi" w:hAnsiTheme="majorHAnsi" w:cs="Arial"/>
                <w:color w:val="000000"/>
                <w:sz w:val="18"/>
                <w:szCs w:val="18"/>
              </w:rPr>
              <w:t>1,062</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35,192</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40,716</w:t>
            </w:r>
          </w:p>
        </w:tc>
      </w:tr>
      <w:tr w:rsidR="00F77D3A" w:rsidRPr="00D81A8E" w:rsidTr="00327F16">
        <w:trPr>
          <w:trHeight w:val="432"/>
          <w:jc w:val="center"/>
        </w:trPr>
        <w:tc>
          <w:tcPr>
            <w:tcW w:w="4325" w:type="dxa"/>
            <w:vAlign w:val="center"/>
            <w:hideMark/>
          </w:tcPr>
          <w:p w:rsidR="00F77D3A" w:rsidRPr="00E82C53" w:rsidRDefault="00F77D3A" w:rsidP="00327F16">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Ba</w:t>
            </w:r>
            <w:r w:rsidR="00D47106">
              <w:rPr>
                <w:rFonts w:asciiTheme="majorHAnsi" w:hAnsiTheme="majorHAnsi" w:cs="Arial"/>
                <w:b/>
                <w:bCs/>
                <w:color w:val="000000"/>
                <w:sz w:val="18"/>
                <w:szCs w:val="18"/>
              </w:rPr>
              <w:t>t</w:t>
            </w:r>
            <w:r w:rsidRPr="00327F16">
              <w:rPr>
                <w:rFonts w:asciiTheme="majorHAnsi" w:hAnsiTheme="majorHAnsi" w:cs="Arial"/>
                <w:b/>
                <w:bCs/>
                <w:color w:val="000000"/>
                <w:sz w:val="18"/>
                <w:szCs w:val="18"/>
              </w:rPr>
              <w:t xml:space="preserve">tery </w:t>
            </w:r>
            <w:r w:rsidR="00D81A8E">
              <w:rPr>
                <w:rFonts w:asciiTheme="majorHAnsi" w:hAnsiTheme="majorHAnsi" w:cs="Arial"/>
                <w:b/>
                <w:bCs/>
                <w:color w:val="000000"/>
                <w:sz w:val="18"/>
                <w:szCs w:val="18"/>
              </w:rPr>
              <w:t>s</w:t>
            </w:r>
            <w:r w:rsidRPr="00327F16">
              <w:rPr>
                <w:rFonts w:asciiTheme="majorHAnsi" w:hAnsiTheme="majorHAnsi" w:cs="Arial"/>
                <w:b/>
                <w:bCs/>
                <w:color w:val="000000"/>
                <w:sz w:val="18"/>
                <w:szCs w:val="18"/>
              </w:rPr>
              <w:t>torage (SCC)</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2,500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2,500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2,500</w:t>
            </w:r>
          </w:p>
        </w:tc>
      </w:tr>
      <w:tr w:rsidR="00F77D3A" w:rsidRPr="00D81A8E" w:rsidTr="00327F16">
        <w:trPr>
          <w:trHeight w:val="432"/>
          <w:jc w:val="center"/>
        </w:trPr>
        <w:tc>
          <w:tcPr>
            <w:tcW w:w="4325" w:type="dxa"/>
            <w:shd w:val="clear" w:color="auto" w:fill="CCEAF9" w:themeFill="accent1" w:themeFillTint="33"/>
            <w:vAlign w:val="center"/>
            <w:hideMark/>
          </w:tcPr>
          <w:p w:rsidR="00F77D3A" w:rsidRPr="00E82C53" w:rsidRDefault="00F77D3A" w:rsidP="0068661F">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 xml:space="preserve">Renewables to </w:t>
            </w:r>
            <w:r w:rsidR="00D47106">
              <w:rPr>
                <w:rFonts w:asciiTheme="majorHAnsi" w:hAnsiTheme="majorHAnsi" w:cs="Arial"/>
                <w:b/>
                <w:bCs/>
                <w:color w:val="000000"/>
                <w:sz w:val="18"/>
                <w:szCs w:val="18"/>
              </w:rPr>
              <w:t>m</w:t>
            </w:r>
            <w:r w:rsidRPr="00327F16">
              <w:rPr>
                <w:rFonts w:asciiTheme="majorHAnsi" w:hAnsiTheme="majorHAnsi" w:cs="Arial"/>
                <w:b/>
                <w:bCs/>
                <w:color w:val="000000"/>
                <w:sz w:val="18"/>
                <w:szCs w:val="18"/>
              </w:rPr>
              <w:t>eet RPSs (capacity value)</w:t>
            </w:r>
          </w:p>
        </w:tc>
        <w:tc>
          <w:tcPr>
            <w:tcW w:w="1303"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shd w:val="clear" w:color="auto" w:fill="CCEAF9" w:themeFill="accent1" w:themeFillTint="33"/>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r>
      <w:tr w:rsidR="00F77D3A" w:rsidRPr="00D81A8E" w:rsidTr="00E82C53">
        <w:trPr>
          <w:trHeight w:val="432"/>
          <w:jc w:val="center"/>
        </w:trPr>
        <w:tc>
          <w:tcPr>
            <w:tcW w:w="4325" w:type="dxa"/>
            <w:vAlign w:val="center"/>
            <w:hideMark/>
          </w:tcPr>
          <w:p w:rsidR="00F77D3A" w:rsidRPr="00E82C53"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E82C53">
              <w:rPr>
                <w:rFonts w:asciiTheme="majorHAnsi" w:hAnsiTheme="majorHAnsi" w:cs="Arial"/>
                <w:b/>
                <w:bCs/>
                <w:color w:val="000000"/>
                <w:sz w:val="18"/>
                <w:szCs w:val="18"/>
              </w:rPr>
              <w:t>Total capacity for existing resource plus storage and RPS renewables</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43,790</w:t>
            </w:r>
          </w:p>
        </w:tc>
        <w:tc>
          <w:tcPr>
            <w:tcW w:w="1304" w:type="dxa"/>
            <w:noWrap/>
            <w:tcMar>
              <w:left w:w="58" w:type="dxa"/>
              <w:right w:w="360" w:type="dxa"/>
            </w:tcMar>
            <w:vAlign w:val="center"/>
            <w:hideMark/>
          </w:tcPr>
          <w:p w:rsidR="00F77D3A" w:rsidRPr="00E82C53" w:rsidRDefault="00F77D3A" w:rsidP="0090587C">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w:t>
            </w:r>
            <w:r w:rsidR="0090587C">
              <w:rPr>
                <w:rFonts w:asciiTheme="majorHAnsi" w:hAnsiTheme="majorHAnsi" w:cs="Arial"/>
                <w:color w:val="000000"/>
                <w:sz w:val="18"/>
                <w:szCs w:val="18"/>
              </w:rPr>
              <w:t>3,562</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35,192</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43,216</w:t>
            </w:r>
          </w:p>
        </w:tc>
      </w:tr>
      <w:tr w:rsidR="00F77D3A" w:rsidRPr="00D81A8E" w:rsidTr="00E82C53">
        <w:trPr>
          <w:trHeight w:val="432"/>
          <w:jc w:val="center"/>
        </w:trPr>
        <w:tc>
          <w:tcPr>
            <w:tcW w:w="4325" w:type="dxa"/>
            <w:shd w:val="clear" w:color="auto" w:fill="CCEAF9" w:themeFill="accent1" w:themeFillTint="33"/>
            <w:vAlign w:val="center"/>
            <w:hideMark/>
          </w:tcPr>
          <w:p w:rsidR="00F77D3A" w:rsidRPr="00327F16" w:rsidRDefault="00F77D3A" w:rsidP="00E82C53">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Net Installed Capacity Requirement</w:t>
            </w:r>
            <w:r w:rsidRPr="00327F16">
              <w:rPr>
                <w:rFonts w:asciiTheme="majorHAnsi" w:hAnsiTheme="majorHAnsi" w:cs="Arial"/>
                <w:b/>
                <w:bCs/>
                <w:color w:val="000000"/>
                <w:sz w:val="18"/>
                <w:szCs w:val="18"/>
                <w:vertAlign w:val="superscript"/>
              </w:rPr>
              <w:t>(c)</w:t>
            </w:r>
          </w:p>
        </w:tc>
        <w:tc>
          <w:tcPr>
            <w:tcW w:w="1303" w:type="dxa"/>
            <w:shd w:val="clear" w:color="auto" w:fill="CCEAF9" w:themeFill="accent1" w:themeFillTint="33"/>
            <w:noWrap/>
            <w:tcMar>
              <w:left w:w="58" w:type="dxa"/>
              <w:right w:w="360" w:type="dxa"/>
            </w:tcMar>
            <w:vAlign w:val="center"/>
            <w:hideMark/>
          </w:tcPr>
          <w:p w:rsidR="00F77D3A" w:rsidRPr="00327F16"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327F16">
              <w:rPr>
                <w:rFonts w:asciiTheme="majorHAnsi" w:hAnsiTheme="majorHAnsi" w:cs="Arial"/>
                <w:color w:val="000000"/>
                <w:sz w:val="18"/>
                <w:szCs w:val="18"/>
              </w:rPr>
              <w:t>36,273</w:t>
            </w:r>
          </w:p>
        </w:tc>
        <w:tc>
          <w:tcPr>
            <w:tcW w:w="1304" w:type="dxa"/>
            <w:shd w:val="clear" w:color="auto" w:fill="CCEAF9" w:themeFill="accent1" w:themeFillTint="33"/>
            <w:noWrap/>
            <w:tcMar>
              <w:left w:w="58" w:type="dxa"/>
              <w:right w:w="360" w:type="dxa"/>
            </w:tcMar>
            <w:vAlign w:val="center"/>
            <w:hideMark/>
          </w:tcPr>
          <w:p w:rsidR="00F77D3A" w:rsidRPr="00327F16"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327F16">
              <w:rPr>
                <w:rFonts w:asciiTheme="majorHAnsi" w:hAnsiTheme="majorHAnsi" w:cs="Arial"/>
                <w:color w:val="000000"/>
                <w:sz w:val="18"/>
                <w:szCs w:val="18"/>
              </w:rPr>
              <w:t>36,260</w:t>
            </w:r>
          </w:p>
        </w:tc>
        <w:tc>
          <w:tcPr>
            <w:tcW w:w="1304" w:type="dxa"/>
            <w:shd w:val="clear" w:color="auto" w:fill="CCEAF9" w:themeFill="accent1" w:themeFillTint="33"/>
            <w:noWrap/>
            <w:tcMar>
              <w:left w:w="58" w:type="dxa"/>
              <w:right w:w="360" w:type="dxa"/>
            </w:tcMar>
            <w:vAlign w:val="center"/>
            <w:hideMark/>
          </w:tcPr>
          <w:p w:rsidR="00F77D3A" w:rsidRPr="00327F16"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327F16">
              <w:rPr>
                <w:rFonts w:asciiTheme="majorHAnsi" w:hAnsiTheme="majorHAnsi" w:cs="Arial"/>
                <w:color w:val="000000"/>
                <w:sz w:val="18"/>
                <w:szCs w:val="18"/>
              </w:rPr>
              <w:t>36,570</w:t>
            </w:r>
          </w:p>
        </w:tc>
        <w:tc>
          <w:tcPr>
            <w:tcW w:w="1304" w:type="dxa"/>
            <w:shd w:val="clear" w:color="auto" w:fill="CCEAF9" w:themeFill="accent1" w:themeFillTint="33"/>
            <w:noWrap/>
            <w:tcMar>
              <w:left w:w="58" w:type="dxa"/>
              <w:right w:w="360" w:type="dxa"/>
            </w:tcMar>
            <w:vAlign w:val="center"/>
            <w:hideMark/>
          </w:tcPr>
          <w:p w:rsidR="00F77D3A" w:rsidRPr="00327F16"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327F16">
              <w:rPr>
                <w:rFonts w:asciiTheme="majorHAnsi" w:hAnsiTheme="majorHAnsi" w:cs="Arial"/>
                <w:color w:val="000000"/>
                <w:sz w:val="18"/>
                <w:szCs w:val="18"/>
              </w:rPr>
              <w:t>36,273</w:t>
            </w:r>
          </w:p>
        </w:tc>
      </w:tr>
      <w:tr w:rsidR="00F77D3A" w:rsidRPr="00D81A8E" w:rsidTr="00904178">
        <w:trPr>
          <w:trHeight w:val="432"/>
          <w:jc w:val="center"/>
        </w:trPr>
        <w:tc>
          <w:tcPr>
            <w:tcW w:w="4325" w:type="dxa"/>
            <w:vAlign w:val="center"/>
            <w:hideMark/>
          </w:tcPr>
          <w:p w:rsidR="00F77D3A" w:rsidRPr="00E82C53" w:rsidRDefault="00F77D3A" w:rsidP="00327F16">
            <w:pPr>
              <w:keepNext/>
              <w:keepLines/>
              <w:adjustRightInd/>
              <w:spacing w:before="20" w:after="20" w:line="240" w:lineRule="auto"/>
              <w:textAlignment w:val="auto"/>
              <w:rPr>
                <w:rFonts w:asciiTheme="majorHAnsi" w:hAnsiTheme="majorHAnsi" w:cs="Arial"/>
                <w:b/>
                <w:bCs/>
                <w:color w:val="000000"/>
                <w:sz w:val="18"/>
                <w:szCs w:val="18"/>
              </w:rPr>
            </w:pPr>
            <w:r w:rsidRPr="00327F16">
              <w:rPr>
                <w:rFonts w:asciiTheme="majorHAnsi" w:hAnsiTheme="majorHAnsi" w:cs="Arial"/>
                <w:b/>
                <w:bCs/>
                <w:color w:val="000000"/>
                <w:sz w:val="18"/>
                <w:szCs w:val="18"/>
              </w:rPr>
              <w:t xml:space="preserve">NGCC capacity </w:t>
            </w:r>
            <w:r w:rsidR="00D47106">
              <w:rPr>
                <w:rFonts w:asciiTheme="majorHAnsi" w:hAnsiTheme="majorHAnsi" w:cs="Arial"/>
                <w:b/>
                <w:bCs/>
                <w:color w:val="000000"/>
                <w:sz w:val="18"/>
                <w:szCs w:val="18"/>
              </w:rPr>
              <w:t>a</w:t>
            </w:r>
            <w:r w:rsidRPr="00327F16">
              <w:rPr>
                <w:rFonts w:asciiTheme="majorHAnsi" w:hAnsiTheme="majorHAnsi" w:cs="Arial"/>
                <w:b/>
                <w:bCs/>
                <w:color w:val="000000"/>
                <w:sz w:val="18"/>
                <w:szCs w:val="18"/>
              </w:rPr>
              <w:t>dded to replace retirement and to meet NICR</w:t>
            </w:r>
          </w:p>
        </w:tc>
        <w:tc>
          <w:tcPr>
            <w:tcW w:w="1303"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c>
          <w:tcPr>
            <w:tcW w:w="1304" w:type="dxa"/>
            <w:noWrap/>
            <w:tcMar>
              <w:left w:w="58" w:type="dxa"/>
              <w:right w:w="216"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1,378</w:t>
            </w:r>
            <w:r w:rsidR="00D47106" w:rsidRPr="00E82C53">
              <w:rPr>
                <w:rFonts w:asciiTheme="majorHAnsi" w:hAnsiTheme="majorHAnsi" w:cs="Arial"/>
                <w:color w:val="000000"/>
                <w:sz w:val="18"/>
                <w:szCs w:val="18"/>
                <w:vertAlign w:val="superscript"/>
              </w:rPr>
              <w:t>(d)</w:t>
            </w:r>
          </w:p>
        </w:tc>
        <w:tc>
          <w:tcPr>
            <w:tcW w:w="1304" w:type="dxa"/>
            <w:noWrap/>
            <w:tcMar>
              <w:left w:w="58" w:type="dxa"/>
              <w:right w:w="360" w:type="dxa"/>
            </w:tcMar>
            <w:vAlign w:val="center"/>
            <w:hideMark/>
          </w:tcPr>
          <w:p w:rsidR="00F77D3A" w:rsidRPr="00E82C53" w:rsidRDefault="00F77D3A" w:rsidP="00E82C53">
            <w:pPr>
              <w:keepNext/>
              <w:keepLines/>
              <w:adjustRightInd/>
              <w:spacing w:before="20" w:after="20" w:line="240" w:lineRule="auto"/>
              <w:jc w:val="right"/>
              <w:textAlignment w:val="auto"/>
              <w:rPr>
                <w:rFonts w:asciiTheme="majorHAnsi" w:hAnsiTheme="majorHAnsi" w:cs="Arial"/>
                <w:color w:val="000000"/>
                <w:sz w:val="18"/>
                <w:szCs w:val="18"/>
              </w:rPr>
            </w:pPr>
            <w:r w:rsidRPr="00E82C53">
              <w:rPr>
                <w:rFonts w:asciiTheme="majorHAnsi" w:hAnsiTheme="majorHAnsi" w:cs="Arial"/>
                <w:color w:val="000000"/>
                <w:sz w:val="18"/>
                <w:szCs w:val="18"/>
              </w:rPr>
              <w:t>0</w:t>
            </w:r>
          </w:p>
        </w:tc>
      </w:tr>
    </w:tbl>
    <w:p w:rsidR="00902496" w:rsidRPr="00686755" w:rsidRDefault="009D553E" w:rsidP="00327F16">
      <w:pPr>
        <w:keepNext/>
        <w:keepLines/>
        <w:spacing w:before="120" w:after="80" w:line="240" w:lineRule="auto"/>
        <w:ind w:left="180" w:right="-90" w:hanging="270"/>
        <w:rPr>
          <w:rFonts w:ascii="Calibri" w:hAnsi="Calibri"/>
          <w:sz w:val="16"/>
          <w:szCs w:val="16"/>
        </w:rPr>
      </w:pPr>
      <w:r w:rsidRPr="0036398C">
        <w:rPr>
          <w:rFonts w:ascii="Calibri" w:hAnsi="Calibri"/>
          <w:sz w:val="16"/>
          <w:szCs w:val="16"/>
        </w:rPr>
        <w:t>(</w:t>
      </w:r>
      <w:r w:rsidR="00614842" w:rsidRPr="0036398C">
        <w:rPr>
          <w:rFonts w:ascii="Calibri" w:hAnsi="Calibri"/>
          <w:sz w:val="16"/>
          <w:szCs w:val="16"/>
        </w:rPr>
        <w:t>a</w:t>
      </w:r>
      <w:r w:rsidRPr="00686755">
        <w:rPr>
          <w:rFonts w:ascii="Calibri" w:hAnsi="Calibri"/>
          <w:sz w:val="16"/>
          <w:szCs w:val="16"/>
        </w:rPr>
        <w:t>)</w:t>
      </w:r>
      <w:r w:rsidR="00F1055C" w:rsidRPr="00686755">
        <w:rPr>
          <w:rFonts w:ascii="Calibri" w:hAnsi="Calibri"/>
          <w:sz w:val="16"/>
          <w:szCs w:val="16"/>
        </w:rPr>
        <w:tab/>
      </w:r>
      <w:r w:rsidR="004124ED" w:rsidRPr="00686755">
        <w:rPr>
          <w:rFonts w:ascii="Calibri" w:hAnsi="Calibri"/>
          <w:sz w:val="16"/>
          <w:szCs w:val="16"/>
        </w:rPr>
        <w:t>Solar capacity includes FCA #10 cleared solar capacity (62 MW), plus any additional capacity from non-behind-the-meter (utility) PV resources.</w:t>
      </w:r>
    </w:p>
    <w:p w:rsidR="00902496" w:rsidRPr="00686755" w:rsidRDefault="009D553E" w:rsidP="00327F16">
      <w:pPr>
        <w:keepNext/>
        <w:keepLines/>
        <w:spacing w:after="80" w:line="240" w:lineRule="auto"/>
        <w:ind w:left="180" w:right="-90" w:hanging="270"/>
        <w:rPr>
          <w:rFonts w:ascii="Calibri" w:hAnsi="Calibri"/>
          <w:sz w:val="16"/>
          <w:szCs w:val="16"/>
        </w:rPr>
      </w:pPr>
      <w:r w:rsidRPr="00686755">
        <w:rPr>
          <w:rFonts w:ascii="Calibri" w:hAnsi="Calibri"/>
          <w:sz w:val="16"/>
          <w:szCs w:val="16"/>
        </w:rPr>
        <w:t>(</w:t>
      </w:r>
      <w:r w:rsidR="00614842" w:rsidRPr="00686755">
        <w:rPr>
          <w:rFonts w:ascii="Calibri" w:hAnsi="Calibri"/>
          <w:sz w:val="16"/>
          <w:szCs w:val="16"/>
        </w:rPr>
        <w:t>b</w:t>
      </w:r>
      <w:r w:rsidRPr="00686755">
        <w:rPr>
          <w:rFonts w:ascii="Calibri" w:hAnsi="Calibri"/>
          <w:sz w:val="16"/>
          <w:szCs w:val="16"/>
        </w:rPr>
        <w:t>)</w:t>
      </w:r>
      <w:r w:rsidR="004620D6" w:rsidRPr="00686755">
        <w:rPr>
          <w:rFonts w:ascii="Calibri" w:hAnsi="Calibri"/>
          <w:sz w:val="16"/>
          <w:szCs w:val="16"/>
        </w:rPr>
        <w:tab/>
      </w:r>
      <w:r w:rsidR="004124ED" w:rsidRPr="00686755">
        <w:rPr>
          <w:rFonts w:ascii="Calibri" w:hAnsi="Calibri"/>
          <w:sz w:val="16"/>
          <w:szCs w:val="16"/>
        </w:rPr>
        <w:t xml:space="preserve">Import capacity includes New York Power Authority imports under a long-term contract plus the average capacity supply obligations associated with energy flows from New Brunswick, Highgate, and Phase II occurring during 2013, 2014, and 2015. Scenarios “Renew </w:t>
      </w:r>
      <w:r w:rsidR="00365B44" w:rsidRPr="00686755">
        <w:rPr>
          <w:rFonts w:ascii="Calibri" w:hAnsi="Calibri"/>
          <w:sz w:val="16"/>
          <w:szCs w:val="16"/>
        </w:rPr>
        <w:t>P</w:t>
      </w:r>
      <w:r w:rsidR="004124ED" w:rsidRPr="00686755">
        <w:rPr>
          <w:rFonts w:ascii="Calibri" w:hAnsi="Calibri"/>
          <w:sz w:val="16"/>
          <w:szCs w:val="16"/>
        </w:rPr>
        <w:t>lus” and “</w:t>
      </w:r>
      <w:r w:rsidR="00AF6389" w:rsidRPr="00686755">
        <w:rPr>
          <w:rFonts w:ascii="Calibri" w:hAnsi="Calibri"/>
          <w:sz w:val="16"/>
          <w:szCs w:val="16"/>
        </w:rPr>
        <w:t>Wind Less Nuclear</w:t>
      </w:r>
      <w:r w:rsidR="004124ED" w:rsidRPr="00686755">
        <w:rPr>
          <w:rFonts w:ascii="Calibri" w:hAnsi="Calibri"/>
          <w:sz w:val="16"/>
          <w:szCs w:val="16"/>
        </w:rPr>
        <w:t>” assume additional import capacity of 2,000 MW, Scenarios “EE + Offshore” and “Onshore Less EE/PV” assume additional import capacity of 1,</w:t>
      </w:r>
      <w:r w:rsidR="00365B44" w:rsidRPr="00686755">
        <w:rPr>
          <w:rFonts w:ascii="Calibri" w:hAnsi="Calibri"/>
          <w:sz w:val="16"/>
          <w:szCs w:val="16"/>
        </w:rPr>
        <w:t>000</w:t>
      </w:r>
      <w:r w:rsidR="00365B44" w:rsidRPr="00686755">
        <w:t> </w:t>
      </w:r>
      <w:r w:rsidR="004124ED" w:rsidRPr="00686755">
        <w:rPr>
          <w:rFonts w:ascii="Calibri" w:hAnsi="Calibri"/>
          <w:sz w:val="16"/>
          <w:szCs w:val="16"/>
        </w:rPr>
        <w:t>MW, respectively.</w:t>
      </w:r>
    </w:p>
    <w:p w:rsidR="00723CA2" w:rsidRPr="00686755" w:rsidRDefault="00723CA2" w:rsidP="00327F16">
      <w:pPr>
        <w:keepNext/>
        <w:keepLines/>
        <w:spacing w:after="80" w:line="240" w:lineRule="auto"/>
        <w:ind w:left="180" w:right="-90" w:hanging="270"/>
        <w:rPr>
          <w:rFonts w:ascii="Calibri" w:hAnsi="Calibri"/>
          <w:sz w:val="16"/>
          <w:szCs w:val="16"/>
        </w:rPr>
      </w:pPr>
      <w:r w:rsidRPr="00686755">
        <w:rPr>
          <w:rFonts w:ascii="Calibri" w:hAnsi="Calibri"/>
          <w:sz w:val="16"/>
          <w:szCs w:val="16"/>
        </w:rPr>
        <w:t>(</w:t>
      </w:r>
      <w:r w:rsidR="00614842" w:rsidRPr="00686755">
        <w:rPr>
          <w:rFonts w:ascii="Calibri" w:hAnsi="Calibri"/>
          <w:sz w:val="16"/>
          <w:szCs w:val="16"/>
        </w:rPr>
        <w:t>c</w:t>
      </w:r>
      <w:r w:rsidRPr="00686755">
        <w:rPr>
          <w:rFonts w:ascii="Calibri" w:hAnsi="Calibri"/>
          <w:sz w:val="16"/>
          <w:szCs w:val="16"/>
        </w:rPr>
        <w:t>)</w:t>
      </w:r>
      <w:r w:rsidR="00F1055C" w:rsidRPr="00686755">
        <w:rPr>
          <w:rFonts w:ascii="Calibri" w:hAnsi="Calibri"/>
          <w:sz w:val="16"/>
          <w:szCs w:val="16"/>
        </w:rPr>
        <w:tab/>
      </w:r>
      <w:r w:rsidR="004124ED" w:rsidRPr="00686755">
        <w:rPr>
          <w:rFonts w:asciiTheme="minorHAnsi" w:hAnsiTheme="minorHAnsi"/>
          <w:sz w:val="16"/>
          <w:szCs w:val="16"/>
        </w:rPr>
        <w:t>The NICR calculation was based on assuming 114% of the net 50/50 peak load. Summer SCC values were assumed for all units having capacity supply obligations in FCA #10, but capacity values were used for wind and PV resources.</w:t>
      </w:r>
    </w:p>
    <w:p w:rsidR="00902496" w:rsidRDefault="009D553E" w:rsidP="00904178">
      <w:pPr>
        <w:keepNext/>
        <w:keepLines/>
        <w:spacing w:line="240" w:lineRule="auto"/>
        <w:ind w:left="188" w:right="-86" w:hanging="274"/>
        <w:rPr>
          <w:rFonts w:ascii="Calibri" w:hAnsi="Calibri"/>
          <w:sz w:val="18"/>
          <w:szCs w:val="18"/>
        </w:rPr>
      </w:pPr>
      <w:r w:rsidRPr="00686755">
        <w:rPr>
          <w:rFonts w:ascii="Calibri" w:hAnsi="Calibri"/>
          <w:sz w:val="16"/>
          <w:szCs w:val="16"/>
        </w:rPr>
        <w:t>(</w:t>
      </w:r>
      <w:r w:rsidR="00614842" w:rsidRPr="00686755">
        <w:rPr>
          <w:rFonts w:ascii="Calibri" w:hAnsi="Calibri"/>
          <w:sz w:val="16"/>
          <w:szCs w:val="16"/>
        </w:rPr>
        <w:t>d</w:t>
      </w:r>
      <w:r w:rsidRPr="00686755">
        <w:rPr>
          <w:rFonts w:ascii="Calibri" w:hAnsi="Calibri"/>
          <w:sz w:val="16"/>
          <w:szCs w:val="16"/>
        </w:rPr>
        <w:t>)</w:t>
      </w:r>
      <w:r w:rsidR="004620D6" w:rsidRPr="00686755">
        <w:rPr>
          <w:rFonts w:ascii="Calibri" w:hAnsi="Calibri"/>
          <w:sz w:val="16"/>
          <w:szCs w:val="16"/>
        </w:rPr>
        <w:tab/>
      </w:r>
      <w:r w:rsidR="004124ED" w:rsidRPr="00686755">
        <w:rPr>
          <w:rFonts w:ascii="Calibri" w:hAnsi="Calibri"/>
          <w:sz w:val="16"/>
          <w:szCs w:val="16"/>
        </w:rPr>
        <w:t>Scenario “Onshore Less EE/PV” requires an additional 1,378 MW of capacity from new NGCC units to meet the NICR.</w:t>
      </w:r>
      <w:r w:rsidR="004124ED" w:rsidRPr="006D0AEF">
        <w:rPr>
          <w:rFonts w:ascii="Calibri" w:hAnsi="Calibri"/>
          <w:sz w:val="18"/>
          <w:szCs w:val="18"/>
        </w:rPr>
        <w:t xml:space="preserve"> </w:t>
      </w:r>
    </w:p>
    <w:p w:rsidR="00F90E42" w:rsidRPr="00437E18" w:rsidRDefault="00F90E42" w:rsidP="00D27B9E">
      <w:pPr>
        <w:pStyle w:val="Heading3"/>
      </w:pPr>
      <w:bookmarkStart w:id="128" w:name="_Ref462143175"/>
      <w:bookmarkStart w:id="129" w:name="_Toc528571205"/>
      <w:r w:rsidRPr="00437E18">
        <w:t>Capacity Value Assumptions</w:t>
      </w:r>
      <w:bookmarkEnd w:id="129"/>
    </w:p>
    <w:p w:rsidR="00327F16" w:rsidRDefault="00C43815" w:rsidP="006D0F8D">
      <w:pPr>
        <w:spacing w:after="0" w:line="240" w:lineRule="auto"/>
      </w:pPr>
      <w:r w:rsidRPr="00410161">
        <w:t xml:space="preserve">Consistent with </w:t>
      </w:r>
      <w:r w:rsidR="006D0F8D">
        <w:fldChar w:fldCharType="begin"/>
      </w:r>
      <w:r w:rsidR="006D0F8D">
        <w:instrText xml:space="preserve"> REF _Ref518390403 \h </w:instrText>
      </w:r>
      <w:r w:rsidR="006D0F8D">
        <w:fldChar w:fldCharType="separate"/>
      </w:r>
      <w:r w:rsidR="00872A95">
        <w:t xml:space="preserve">Table </w:t>
      </w:r>
      <w:r w:rsidR="00872A95">
        <w:rPr>
          <w:noProof/>
        </w:rPr>
        <w:t>5</w:t>
      </w:r>
      <w:r w:rsidR="00872A95">
        <w:noBreakHyphen/>
      </w:r>
      <w:r w:rsidR="00872A95">
        <w:rPr>
          <w:noProof/>
        </w:rPr>
        <w:t>5</w:t>
      </w:r>
      <w:r w:rsidR="006D0F8D">
        <w:fldChar w:fldCharType="end"/>
      </w:r>
      <w:r w:rsidRPr="00F57BA8">
        <w:t xml:space="preserve">, </w:t>
      </w:r>
      <w:r w:rsidR="009733F0" w:rsidRPr="00F57BA8">
        <w:fldChar w:fldCharType="begin"/>
      </w:r>
      <w:r w:rsidR="009733F0" w:rsidRPr="00F57BA8">
        <w:instrText xml:space="preserve"> REF _Ref461379461 \h </w:instrText>
      </w:r>
      <w:r w:rsidR="00065D4E" w:rsidRPr="00F57BA8">
        <w:instrText xml:space="preserve"> \* MERGEFORMAT </w:instrText>
      </w:r>
      <w:r w:rsidR="009733F0" w:rsidRPr="00F57BA8">
        <w:fldChar w:fldCharType="separate"/>
      </w:r>
      <w:r w:rsidR="00872A95" w:rsidRPr="008C747A">
        <w:t xml:space="preserve">Figure </w:t>
      </w:r>
      <w:r w:rsidR="00872A95">
        <w:rPr>
          <w:noProof/>
        </w:rPr>
        <w:t>5</w:t>
      </w:r>
      <w:r w:rsidR="00872A95">
        <w:rPr>
          <w:noProof/>
        </w:rPr>
        <w:noBreakHyphen/>
        <w:t>2</w:t>
      </w:r>
      <w:r w:rsidR="009733F0" w:rsidRPr="00F57BA8">
        <w:fldChar w:fldCharType="end"/>
      </w:r>
      <w:r w:rsidR="009733F0" w:rsidRPr="00410161">
        <w:t xml:space="preserve"> </w:t>
      </w:r>
      <w:r w:rsidR="009733F0" w:rsidRPr="00E82164">
        <w:t>and</w:t>
      </w:r>
      <w:r w:rsidR="00065D4E" w:rsidRPr="00410161">
        <w:t xml:space="preserve"> </w:t>
      </w:r>
      <w:r w:rsidR="00BB2DE7" w:rsidRPr="00410161">
        <w:fldChar w:fldCharType="begin"/>
      </w:r>
      <w:r w:rsidR="00BB2DE7" w:rsidRPr="00410161">
        <w:instrText xml:space="preserve"> REF _Ref483407751 \h </w:instrText>
      </w:r>
      <w:r w:rsidR="00065D4E" w:rsidRPr="00410161">
        <w:instrText xml:space="preserve"> \* MERGEFORMAT </w:instrText>
      </w:r>
      <w:r w:rsidR="00BB2DE7" w:rsidRPr="00410161">
        <w:fldChar w:fldCharType="separate"/>
      </w:r>
      <w:r w:rsidR="00872A95">
        <w:t xml:space="preserve">Table </w:t>
      </w:r>
      <w:r w:rsidR="00872A95">
        <w:rPr>
          <w:noProof/>
        </w:rPr>
        <w:t>5</w:t>
      </w:r>
      <w:r w:rsidR="00872A95">
        <w:rPr>
          <w:noProof/>
        </w:rPr>
        <w:noBreakHyphen/>
        <w:t>6</w:t>
      </w:r>
      <w:r w:rsidR="00BB2DE7" w:rsidRPr="00410161">
        <w:fldChar w:fldCharType="end"/>
      </w:r>
      <w:r w:rsidR="00065D4E" w:rsidRPr="00410161">
        <w:t xml:space="preserve"> show the capacity value assumptions used for each resource type in each scenario for </w:t>
      </w:r>
      <w:r w:rsidR="00E82164">
        <w:t>2030</w:t>
      </w:r>
      <w:r w:rsidR="0005513C" w:rsidRPr="00410161">
        <w:t>.</w:t>
      </w:r>
      <w:r w:rsidR="00EB1618" w:rsidRPr="00410161">
        <w:t xml:space="preserve"> </w:t>
      </w:r>
    </w:p>
    <w:p w:rsidR="00327F16" w:rsidRDefault="00327F16" w:rsidP="00327F16">
      <w:pPr>
        <w:spacing w:after="0" w:line="240" w:lineRule="auto"/>
        <w:jc w:val="center"/>
      </w:pPr>
      <w:r w:rsidRPr="00537A29">
        <w:rPr>
          <w:noProof/>
        </w:rPr>
        <w:drawing>
          <wp:inline distT="0" distB="0" distL="0" distR="0" wp14:anchorId="62A2163F" wp14:editId="7F3C55D6">
            <wp:extent cx="5205730" cy="3054644"/>
            <wp:effectExtent l="19050" t="19050" r="1397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6150" cy="3060759"/>
                    </a:xfrm>
                    <a:prstGeom prst="rect">
                      <a:avLst/>
                    </a:prstGeom>
                    <a:noFill/>
                    <a:ln w="3175">
                      <a:solidFill>
                        <a:srgbClr val="030405"/>
                      </a:solidFill>
                    </a:ln>
                  </pic:spPr>
                </pic:pic>
              </a:graphicData>
            </a:graphic>
          </wp:inline>
        </w:drawing>
      </w:r>
    </w:p>
    <w:p w:rsidR="007C2F42" w:rsidRPr="007C2F42" w:rsidRDefault="009733F0" w:rsidP="00327F16">
      <w:pPr>
        <w:pStyle w:val="Caption"/>
        <w:spacing w:before="120" w:after="80"/>
        <w:ind w:left="630" w:right="540"/>
      </w:pPr>
      <w:bookmarkStart w:id="130" w:name="_Ref461379461"/>
      <w:bookmarkStart w:id="131" w:name="_Toc519511499"/>
      <w:r w:rsidRPr="008C747A">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2</w:t>
      </w:r>
      <w:r w:rsidR="00E930AF">
        <w:rPr>
          <w:noProof/>
        </w:rPr>
        <w:fldChar w:fldCharType="end"/>
      </w:r>
      <w:bookmarkEnd w:id="130"/>
      <w:r w:rsidR="00E82164">
        <w:t>: 2030</w:t>
      </w:r>
      <w:r w:rsidRPr="008C747A">
        <w:t xml:space="preserve"> </w:t>
      </w:r>
      <w:r w:rsidR="00E16D5B">
        <w:t>c</w:t>
      </w:r>
      <w:r w:rsidR="000F663A">
        <w:t xml:space="preserve">apacity </w:t>
      </w:r>
      <w:r w:rsidR="00410161">
        <w:t>v</w:t>
      </w:r>
      <w:r w:rsidR="000F663A">
        <w:t xml:space="preserve">alue </w:t>
      </w:r>
      <w:r w:rsidR="00410161">
        <w:t>a</w:t>
      </w:r>
      <w:r w:rsidR="000F663A">
        <w:t xml:space="preserve">ssumptions by </w:t>
      </w:r>
      <w:r w:rsidR="00410161">
        <w:t>r</w:t>
      </w:r>
      <w:r w:rsidR="000F663A">
        <w:t xml:space="preserve">esource </w:t>
      </w:r>
      <w:r w:rsidR="00410161">
        <w:t>t</w:t>
      </w:r>
      <w:r w:rsidR="000F663A">
        <w:t>ype (MW).</w:t>
      </w:r>
      <w:bookmarkEnd w:id="131"/>
    </w:p>
    <w:p w:rsidR="000F663A" w:rsidRPr="00410161" w:rsidRDefault="00431552" w:rsidP="00327F16">
      <w:pPr>
        <w:spacing w:line="240" w:lineRule="auto"/>
        <w:ind w:left="630" w:right="540"/>
        <w:rPr>
          <w:rFonts w:asciiTheme="minorHAnsi" w:hAnsiTheme="minorHAnsi"/>
          <w:sz w:val="16"/>
          <w:szCs w:val="16"/>
        </w:rPr>
      </w:pPr>
      <w:r w:rsidRPr="00410161">
        <w:rPr>
          <w:rFonts w:asciiTheme="minorHAnsi" w:hAnsiTheme="minorHAnsi"/>
          <w:b/>
          <w:sz w:val="16"/>
          <w:szCs w:val="16"/>
        </w:rPr>
        <w:t xml:space="preserve">Note: </w:t>
      </w:r>
      <w:r w:rsidRPr="00410161">
        <w:rPr>
          <w:rFonts w:asciiTheme="minorHAnsi" w:hAnsiTheme="minorHAnsi"/>
          <w:sz w:val="16"/>
          <w:szCs w:val="16"/>
        </w:rPr>
        <w:t xml:space="preserve">“ES” stands for </w:t>
      </w:r>
      <w:r w:rsidRPr="00410161">
        <w:rPr>
          <w:rFonts w:asciiTheme="minorHAnsi" w:hAnsiTheme="minorHAnsi"/>
          <w:i/>
          <w:sz w:val="16"/>
          <w:szCs w:val="16"/>
        </w:rPr>
        <w:t>energy storage</w:t>
      </w:r>
      <w:r w:rsidR="00410161">
        <w:rPr>
          <w:rFonts w:asciiTheme="minorHAnsi" w:hAnsiTheme="minorHAnsi"/>
          <w:sz w:val="16"/>
          <w:szCs w:val="16"/>
        </w:rPr>
        <w:t xml:space="preserve">. </w:t>
      </w:r>
      <w:r w:rsidR="000F663A" w:rsidRPr="00410161">
        <w:rPr>
          <w:rFonts w:asciiTheme="minorHAnsi" w:hAnsiTheme="minorHAnsi"/>
          <w:sz w:val="16"/>
          <w:szCs w:val="16"/>
        </w:rPr>
        <w:t xml:space="preserve">“EE/DR” includes </w:t>
      </w:r>
      <w:r w:rsidR="00410161" w:rsidRPr="00410161">
        <w:rPr>
          <w:rFonts w:asciiTheme="minorHAnsi" w:hAnsiTheme="minorHAnsi"/>
          <w:sz w:val="16"/>
          <w:szCs w:val="16"/>
        </w:rPr>
        <w:t>e</w:t>
      </w:r>
      <w:r w:rsidR="000F663A" w:rsidRPr="00410161">
        <w:rPr>
          <w:rFonts w:asciiTheme="minorHAnsi" w:hAnsiTheme="minorHAnsi"/>
          <w:sz w:val="16"/>
          <w:szCs w:val="16"/>
        </w:rPr>
        <w:t xml:space="preserve">nergy </w:t>
      </w:r>
      <w:r w:rsidR="00410161" w:rsidRPr="00410161">
        <w:rPr>
          <w:rFonts w:asciiTheme="minorHAnsi" w:hAnsiTheme="minorHAnsi"/>
          <w:sz w:val="16"/>
          <w:szCs w:val="16"/>
        </w:rPr>
        <w:t>e</w:t>
      </w:r>
      <w:r w:rsidR="000F663A" w:rsidRPr="00410161">
        <w:rPr>
          <w:rFonts w:asciiTheme="minorHAnsi" w:hAnsiTheme="minorHAnsi"/>
          <w:sz w:val="16"/>
          <w:szCs w:val="16"/>
        </w:rPr>
        <w:t xml:space="preserve">fficiency (i.e. </w:t>
      </w:r>
      <w:r w:rsidR="00410161" w:rsidRPr="00410161">
        <w:rPr>
          <w:rFonts w:asciiTheme="minorHAnsi" w:hAnsiTheme="minorHAnsi"/>
          <w:sz w:val="16"/>
          <w:szCs w:val="16"/>
        </w:rPr>
        <w:t>p</w:t>
      </w:r>
      <w:r w:rsidR="000F663A" w:rsidRPr="00410161">
        <w:rPr>
          <w:rFonts w:asciiTheme="minorHAnsi" w:hAnsiTheme="minorHAnsi"/>
          <w:sz w:val="16"/>
          <w:szCs w:val="16"/>
        </w:rPr>
        <w:t xml:space="preserve">assive </w:t>
      </w:r>
      <w:r w:rsidR="00410161" w:rsidRPr="00410161">
        <w:rPr>
          <w:rFonts w:asciiTheme="minorHAnsi" w:hAnsiTheme="minorHAnsi"/>
          <w:sz w:val="16"/>
          <w:szCs w:val="16"/>
        </w:rPr>
        <w:t>d</w:t>
      </w:r>
      <w:r w:rsidR="000F663A" w:rsidRPr="00410161">
        <w:rPr>
          <w:rFonts w:asciiTheme="minorHAnsi" w:hAnsiTheme="minorHAnsi"/>
          <w:sz w:val="16"/>
          <w:szCs w:val="16"/>
        </w:rPr>
        <w:t xml:space="preserve">emand </w:t>
      </w:r>
      <w:r w:rsidR="00410161" w:rsidRPr="00410161">
        <w:rPr>
          <w:rFonts w:asciiTheme="minorHAnsi" w:hAnsiTheme="minorHAnsi"/>
          <w:sz w:val="16"/>
          <w:szCs w:val="16"/>
        </w:rPr>
        <w:t>r</w:t>
      </w:r>
      <w:r w:rsidR="000F663A" w:rsidRPr="00410161">
        <w:rPr>
          <w:rFonts w:asciiTheme="minorHAnsi" w:hAnsiTheme="minorHAnsi"/>
          <w:sz w:val="16"/>
          <w:szCs w:val="16"/>
        </w:rPr>
        <w:t>esources)</w:t>
      </w:r>
      <w:r w:rsidR="00410161">
        <w:rPr>
          <w:rFonts w:asciiTheme="minorHAnsi" w:hAnsiTheme="minorHAnsi"/>
          <w:sz w:val="16"/>
          <w:szCs w:val="16"/>
        </w:rPr>
        <w:t>,</w:t>
      </w:r>
      <w:r w:rsidR="000F663A" w:rsidRPr="00410161">
        <w:rPr>
          <w:rFonts w:asciiTheme="minorHAnsi" w:hAnsiTheme="minorHAnsi"/>
          <w:sz w:val="16"/>
          <w:szCs w:val="16"/>
        </w:rPr>
        <w:t xml:space="preserve"> plus </w:t>
      </w:r>
      <w:r w:rsidR="002D20DC">
        <w:rPr>
          <w:rFonts w:asciiTheme="minorHAnsi" w:hAnsiTheme="minorHAnsi"/>
          <w:sz w:val="16"/>
          <w:szCs w:val="16"/>
        </w:rPr>
        <w:t xml:space="preserve">active demand </w:t>
      </w:r>
      <w:r w:rsidR="002D20DC" w:rsidRPr="002D20DC">
        <w:rPr>
          <w:rFonts w:asciiTheme="minorHAnsi" w:hAnsiTheme="minorHAnsi"/>
          <w:sz w:val="16"/>
          <w:szCs w:val="16"/>
        </w:rPr>
        <w:t>resources</w:t>
      </w:r>
      <w:r w:rsidR="00410161" w:rsidRPr="002D20DC">
        <w:rPr>
          <w:rFonts w:asciiTheme="minorHAnsi" w:hAnsiTheme="minorHAnsi"/>
          <w:sz w:val="16"/>
          <w:szCs w:val="16"/>
        </w:rPr>
        <w:t>,</w:t>
      </w:r>
      <w:r w:rsidR="000F663A" w:rsidRPr="00410161">
        <w:rPr>
          <w:rFonts w:asciiTheme="minorHAnsi" w:hAnsiTheme="minorHAnsi"/>
          <w:sz w:val="16"/>
          <w:szCs w:val="16"/>
        </w:rPr>
        <w:t xml:space="preserve"> plus </w:t>
      </w:r>
      <w:r w:rsidR="00410161" w:rsidRPr="00C20923">
        <w:rPr>
          <w:rFonts w:asciiTheme="minorHAnsi" w:hAnsiTheme="minorHAnsi"/>
          <w:sz w:val="16"/>
          <w:szCs w:val="16"/>
        </w:rPr>
        <w:t>p</w:t>
      </w:r>
      <w:r w:rsidR="000F663A" w:rsidRPr="00C20923">
        <w:rPr>
          <w:rFonts w:asciiTheme="minorHAnsi" w:hAnsiTheme="minorHAnsi"/>
          <w:sz w:val="16"/>
          <w:szCs w:val="16"/>
        </w:rPr>
        <w:t>rice</w:t>
      </w:r>
      <w:r w:rsidR="00410161" w:rsidRPr="00C20923">
        <w:rPr>
          <w:rFonts w:asciiTheme="minorHAnsi" w:hAnsiTheme="minorHAnsi"/>
          <w:sz w:val="16"/>
          <w:szCs w:val="16"/>
        </w:rPr>
        <w:t>-r</w:t>
      </w:r>
      <w:r w:rsidR="000F663A" w:rsidRPr="00C20923">
        <w:rPr>
          <w:rFonts w:asciiTheme="minorHAnsi" w:hAnsiTheme="minorHAnsi"/>
          <w:sz w:val="16"/>
          <w:szCs w:val="16"/>
        </w:rPr>
        <w:t xml:space="preserve">esponsive </w:t>
      </w:r>
      <w:r w:rsidR="00410161" w:rsidRPr="00C20923">
        <w:rPr>
          <w:rFonts w:asciiTheme="minorHAnsi" w:hAnsiTheme="minorHAnsi"/>
          <w:sz w:val="16"/>
          <w:szCs w:val="16"/>
        </w:rPr>
        <w:t>d</w:t>
      </w:r>
      <w:r w:rsidR="000F663A" w:rsidRPr="00C20923">
        <w:rPr>
          <w:rFonts w:asciiTheme="minorHAnsi" w:hAnsiTheme="minorHAnsi"/>
          <w:sz w:val="16"/>
          <w:szCs w:val="16"/>
        </w:rPr>
        <w:t>emand (PRD)</w:t>
      </w:r>
      <w:r w:rsidR="00860D3B">
        <w:rPr>
          <w:rFonts w:asciiTheme="minorHAnsi" w:hAnsiTheme="minorHAnsi"/>
          <w:sz w:val="16"/>
          <w:szCs w:val="16"/>
        </w:rPr>
        <w:t>.</w:t>
      </w:r>
    </w:p>
    <w:p w:rsidR="006D27D8" w:rsidRDefault="00BB2DE7" w:rsidP="004E1B5E">
      <w:pPr>
        <w:pStyle w:val="Caption"/>
        <w:jc w:val="center"/>
        <w:rPr>
          <w:sz w:val="18"/>
          <w:vertAlign w:val="superscript"/>
        </w:rPr>
      </w:pPr>
      <w:bookmarkStart w:id="132" w:name="_Ref483407751"/>
      <w:bookmarkStart w:id="133" w:name="_Toc520721021"/>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6</w:t>
      </w:r>
      <w:r w:rsidR="00EA3757">
        <w:rPr>
          <w:noProof/>
        </w:rPr>
        <w:fldChar w:fldCharType="end"/>
      </w:r>
      <w:bookmarkEnd w:id="132"/>
      <w:r>
        <w:br/>
      </w:r>
      <w:r w:rsidR="00065D4E" w:rsidRPr="0041087B">
        <w:t>C</w:t>
      </w:r>
      <w:r w:rsidRPr="0041087B">
        <w:t xml:space="preserve">apacity </w:t>
      </w:r>
      <w:r w:rsidR="00065D4E" w:rsidRPr="0041087B">
        <w:t>V</w:t>
      </w:r>
      <w:r w:rsidRPr="0041087B">
        <w:t xml:space="preserve">alue </w:t>
      </w:r>
      <w:r w:rsidR="00065D4E" w:rsidRPr="0041087B">
        <w:t>A</w:t>
      </w:r>
      <w:r w:rsidRPr="0041087B">
        <w:t xml:space="preserve">ssumptions for </w:t>
      </w:r>
      <w:r w:rsidR="00065D4E" w:rsidRPr="0041087B">
        <w:t>V</w:t>
      </w:r>
      <w:r w:rsidRPr="0041087B">
        <w:t xml:space="preserve">arious </w:t>
      </w:r>
      <w:r w:rsidR="00065D4E" w:rsidRPr="0041087B">
        <w:t>R</w:t>
      </w:r>
      <w:r w:rsidRPr="0041087B">
        <w:t>esources</w:t>
      </w:r>
      <w:r w:rsidR="00065D4E" w:rsidRPr="0041087B">
        <w:t xml:space="preserve">, </w:t>
      </w:r>
      <w:r w:rsidR="00396C4E">
        <w:t>2030</w:t>
      </w:r>
      <w:r w:rsidRPr="0041087B">
        <w:t xml:space="preserve"> (MW)</w:t>
      </w:r>
      <w:r w:rsidR="0041087B" w:rsidRPr="00474D29">
        <w:rPr>
          <w:sz w:val="18"/>
          <w:vertAlign w:val="superscript"/>
        </w:rPr>
        <w:t>(a)</w:t>
      </w:r>
      <w:bookmarkEnd w:id="133"/>
    </w:p>
    <w:tbl>
      <w:tblPr>
        <w:tblW w:w="9360" w:type="dxa"/>
        <w:tblInd w:w="-3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115" w:type="dxa"/>
        </w:tblCellMar>
        <w:tblLook w:val="04A0" w:firstRow="1" w:lastRow="0" w:firstColumn="1" w:lastColumn="0" w:noHBand="0" w:noVBand="1"/>
      </w:tblPr>
      <w:tblGrid>
        <w:gridCol w:w="1080"/>
        <w:gridCol w:w="630"/>
        <w:gridCol w:w="825"/>
        <w:gridCol w:w="795"/>
        <w:gridCol w:w="570"/>
        <w:gridCol w:w="682"/>
        <w:gridCol w:w="683"/>
        <w:gridCol w:w="682"/>
        <w:gridCol w:w="683"/>
        <w:gridCol w:w="682"/>
        <w:gridCol w:w="683"/>
        <w:gridCol w:w="682"/>
        <w:gridCol w:w="683"/>
      </w:tblGrid>
      <w:tr w:rsidR="004E1B5E" w:rsidRPr="00F81887" w:rsidTr="005D4BEF">
        <w:trPr>
          <w:trHeight w:val="535"/>
        </w:trPr>
        <w:tc>
          <w:tcPr>
            <w:tcW w:w="1080"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Scenario</w:t>
            </w:r>
          </w:p>
        </w:tc>
        <w:tc>
          <w:tcPr>
            <w:tcW w:w="630"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Wood</w:t>
            </w:r>
          </w:p>
        </w:tc>
        <w:tc>
          <w:tcPr>
            <w:tcW w:w="825" w:type="dxa"/>
            <w:shd w:val="clear" w:color="auto" w:fill="1795D2" w:themeFill="accent1"/>
            <w:tcMar>
              <w:left w:w="58" w:type="dxa"/>
              <w:right w:w="58" w:type="dxa"/>
            </w:tcMar>
            <w:vAlign w:val="center"/>
            <w:hideMark/>
          </w:tcPr>
          <w:p w:rsidR="004E1B5E" w:rsidRPr="004E1B5E" w:rsidRDefault="004E1B5E" w:rsidP="004E1B5E">
            <w:pPr>
              <w:keepNext/>
              <w:keepLines/>
              <w:spacing w:after="0" w:line="240" w:lineRule="auto"/>
              <w:jc w:val="center"/>
              <w:rPr>
                <w:rFonts w:asciiTheme="majorHAnsi" w:hAnsiTheme="majorHAnsi"/>
                <w:b/>
                <w:bCs/>
                <w:color w:val="FFFFFF"/>
                <w:sz w:val="18"/>
                <w:szCs w:val="18"/>
              </w:rPr>
            </w:pPr>
            <w:r w:rsidRPr="004E1B5E">
              <w:rPr>
                <w:rFonts w:asciiTheme="majorHAnsi" w:hAnsiTheme="majorHAnsi"/>
                <w:b/>
                <w:bCs/>
                <w:color w:val="FFFFFF"/>
                <w:sz w:val="18"/>
                <w:szCs w:val="18"/>
              </w:rPr>
              <w:t>Onshore</w:t>
            </w:r>
            <w:r>
              <w:rPr>
                <w:rFonts w:asciiTheme="majorHAnsi" w:hAnsiTheme="majorHAnsi"/>
                <w:b/>
                <w:bCs/>
                <w:color w:val="FFFFFF"/>
                <w:sz w:val="18"/>
                <w:szCs w:val="18"/>
              </w:rPr>
              <w:br/>
            </w:r>
            <w:r w:rsidRPr="004E1B5E">
              <w:rPr>
                <w:rFonts w:asciiTheme="majorHAnsi" w:hAnsiTheme="majorHAnsi"/>
                <w:b/>
                <w:bCs/>
                <w:color w:val="FFFFFF"/>
                <w:sz w:val="18"/>
                <w:szCs w:val="18"/>
              </w:rPr>
              <w:t>Wind</w:t>
            </w:r>
          </w:p>
        </w:tc>
        <w:tc>
          <w:tcPr>
            <w:tcW w:w="795" w:type="dxa"/>
            <w:shd w:val="clear" w:color="auto" w:fill="1795D2" w:themeFill="accent1"/>
            <w:tcMar>
              <w:left w:w="58" w:type="dxa"/>
              <w:right w:w="58" w:type="dxa"/>
            </w:tcMar>
            <w:vAlign w:val="center"/>
            <w:hideMark/>
          </w:tcPr>
          <w:p w:rsidR="004E1B5E" w:rsidRPr="004E1B5E" w:rsidRDefault="004E1B5E" w:rsidP="004E1B5E">
            <w:pPr>
              <w:keepNext/>
              <w:keepLines/>
              <w:spacing w:after="0" w:line="240" w:lineRule="auto"/>
              <w:jc w:val="center"/>
              <w:rPr>
                <w:rFonts w:asciiTheme="majorHAnsi" w:hAnsiTheme="majorHAnsi"/>
                <w:b/>
                <w:bCs/>
                <w:color w:val="FFFFFF"/>
                <w:sz w:val="18"/>
                <w:szCs w:val="18"/>
              </w:rPr>
            </w:pPr>
            <w:r w:rsidRPr="004E1B5E">
              <w:rPr>
                <w:rFonts w:asciiTheme="majorHAnsi" w:hAnsiTheme="majorHAnsi"/>
                <w:b/>
                <w:bCs/>
                <w:color w:val="FFFFFF"/>
                <w:sz w:val="18"/>
                <w:szCs w:val="18"/>
              </w:rPr>
              <w:t>Offshore</w:t>
            </w:r>
            <w:r>
              <w:rPr>
                <w:rFonts w:asciiTheme="majorHAnsi" w:hAnsiTheme="majorHAnsi"/>
                <w:b/>
                <w:bCs/>
                <w:color w:val="FFFFFF"/>
                <w:sz w:val="18"/>
                <w:szCs w:val="18"/>
              </w:rPr>
              <w:br/>
            </w:r>
            <w:r w:rsidRPr="004E1B5E">
              <w:rPr>
                <w:rFonts w:asciiTheme="majorHAnsi" w:hAnsiTheme="majorHAnsi"/>
                <w:b/>
                <w:bCs/>
                <w:color w:val="FFFFFF"/>
                <w:sz w:val="18"/>
                <w:szCs w:val="18"/>
              </w:rPr>
              <w:t>Wind</w:t>
            </w:r>
          </w:p>
        </w:tc>
        <w:tc>
          <w:tcPr>
            <w:tcW w:w="570"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PV</w:t>
            </w:r>
          </w:p>
        </w:tc>
        <w:tc>
          <w:tcPr>
            <w:tcW w:w="682"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Oil</w:t>
            </w:r>
          </w:p>
        </w:tc>
        <w:tc>
          <w:tcPr>
            <w:tcW w:w="683"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NG</w:t>
            </w:r>
          </w:p>
        </w:tc>
        <w:tc>
          <w:tcPr>
            <w:tcW w:w="682"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Import</w:t>
            </w:r>
          </w:p>
        </w:tc>
        <w:tc>
          <w:tcPr>
            <w:tcW w:w="683"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Coal</w:t>
            </w:r>
          </w:p>
        </w:tc>
        <w:tc>
          <w:tcPr>
            <w:tcW w:w="682"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EE/DR</w:t>
            </w:r>
          </w:p>
        </w:tc>
        <w:tc>
          <w:tcPr>
            <w:tcW w:w="683"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Hydro/ES</w:t>
            </w:r>
          </w:p>
        </w:tc>
        <w:tc>
          <w:tcPr>
            <w:tcW w:w="682"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Misc.</w:t>
            </w:r>
          </w:p>
        </w:tc>
        <w:tc>
          <w:tcPr>
            <w:tcW w:w="683" w:type="dxa"/>
            <w:shd w:val="clear" w:color="auto" w:fill="1795D2" w:themeFill="accent1"/>
            <w:tcMar>
              <w:left w:w="58" w:type="dxa"/>
              <w:right w:w="58" w:type="dxa"/>
            </w:tcMar>
            <w:vAlign w:val="center"/>
            <w:hideMark/>
          </w:tcPr>
          <w:p w:rsidR="004E1B5E" w:rsidRPr="004E1B5E" w:rsidRDefault="004E1B5E" w:rsidP="004E1B5E">
            <w:pPr>
              <w:keepNext/>
              <w:keepLines/>
              <w:adjustRightInd/>
              <w:spacing w:after="0" w:line="240" w:lineRule="auto"/>
              <w:jc w:val="center"/>
              <w:textAlignment w:val="auto"/>
              <w:rPr>
                <w:rFonts w:asciiTheme="majorHAnsi" w:hAnsiTheme="majorHAnsi"/>
                <w:b/>
                <w:bCs/>
                <w:color w:val="FFFFFF"/>
                <w:sz w:val="18"/>
                <w:szCs w:val="18"/>
              </w:rPr>
            </w:pPr>
            <w:r w:rsidRPr="004E1B5E">
              <w:rPr>
                <w:rFonts w:asciiTheme="majorHAnsi" w:hAnsiTheme="majorHAnsi"/>
                <w:b/>
                <w:bCs/>
                <w:color w:val="FFFFFF"/>
                <w:sz w:val="18"/>
                <w:szCs w:val="18"/>
              </w:rPr>
              <w:t>Nuc</w:t>
            </w:r>
          </w:p>
        </w:tc>
      </w:tr>
      <w:tr w:rsidR="004E1B5E" w:rsidRPr="00F81887" w:rsidTr="005D4BEF">
        <w:trPr>
          <w:trHeight w:val="540"/>
        </w:trPr>
        <w:tc>
          <w:tcPr>
            <w:tcW w:w="1080" w:type="dxa"/>
            <w:shd w:val="clear" w:color="auto" w:fill="auto"/>
            <w:tcMar>
              <w:left w:w="58" w:type="dxa"/>
              <w:right w:w="58" w:type="dxa"/>
            </w:tcMar>
            <w:vAlign w:val="center"/>
            <w:hideMark/>
          </w:tcPr>
          <w:p w:rsidR="00F81887" w:rsidRPr="004E1B5E" w:rsidRDefault="00F81887" w:rsidP="004E1B5E">
            <w:pPr>
              <w:keepNext/>
              <w:keepLines/>
              <w:adjustRightInd/>
              <w:spacing w:after="0" w:line="240" w:lineRule="auto"/>
              <w:textAlignment w:val="auto"/>
              <w:rPr>
                <w:rFonts w:asciiTheme="majorHAnsi" w:hAnsiTheme="majorHAnsi"/>
                <w:b/>
                <w:bCs/>
                <w:color w:val="000000"/>
                <w:sz w:val="18"/>
                <w:szCs w:val="18"/>
              </w:rPr>
            </w:pPr>
            <w:r w:rsidRPr="004E1B5E">
              <w:rPr>
                <w:rFonts w:asciiTheme="majorHAnsi" w:hAnsiTheme="majorHAnsi"/>
                <w:b/>
                <w:bCs/>
                <w:color w:val="000000"/>
                <w:sz w:val="18"/>
                <w:szCs w:val="18"/>
              </w:rPr>
              <w:t>Renew Plus</w:t>
            </w:r>
          </w:p>
        </w:tc>
        <w:tc>
          <w:tcPr>
            <w:tcW w:w="630"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489</w:t>
            </w:r>
          </w:p>
        </w:tc>
        <w:tc>
          <w:tcPr>
            <w:tcW w:w="825"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1,155</w:t>
            </w:r>
          </w:p>
        </w:tc>
        <w:tc>
          <w:tcPr>
            <w:tcW w:w="795"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745</w:t>
            </w:r>
          </w:p>
        </w:tc>
        <w:tc>
          <w:tcPr>
            <w:tcW w:w="570"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2,462</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2,114</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16,011</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3,006</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0</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8,328</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5,616</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517</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3,347</w:t>
            </w:r>
          </w:p>
        </w:tc>
      </w:tr>
      <w:tr w:rsidR="004E1B5E" w:rsidRPr="00F81887" w:rsidTr="005D4BEF">
        <w:trPr>
          <w:trHeight w:val="540"/>
        </w:trPr>
        <w:tc>
          <w:tcPr>
            <w:tcW w:w="1080" w:type="dxa"/>
            <w:shd w:val="clear" w:color="auto" w:fill="CCEAF9" w:themeFill="accent1" w:themeFillTint="33"/>
            <w:tcMar>
              <w:left w:w="58" w:type="dxa"/>
              <w:right w:w="58" w:type="dxa"/>
            </w:tcMar>
            <w:vAlign w:val="center"/>
            <w:hideMark/>
          </w:tcPr>
          <w:p w:rsidR="00F81887" w:rsidRPr="004E1B5E" w:rsidRDefault="00F81887" w:rsidP="004E1B5E">
            <w:pPr>
              <w:keepNext/>
              <w:keepLines/>
              <w:adjustRightInd/>
              <w:spacing w:after="0" w:line="240" w:lineRule="auto"/>
              <w:textAlignment w:val="auto"/>
              <w:rPr>
                <w:rFonts w:asciiTheme="majorHAnsi" w:hAnsiTheme="majorHAnsi"/>
                <w:b/>
                <w:bCs/>
                <w:color w:val="000000"/>
                <w:sz w:val="18"/>
                <w:szCs w:val="18"/>
              </w:rPr>
            </w:pPr>
            <w:r w:rsidRPr="004E1B5E">
              <w:rPr>
                <w:rFonts w:asciiTheme="majorHAnsi" w:hAnsiTheme="majorHAnsi"/>
                <w:b/>
                <w:bCs/>
                <w:color w:val="000000"/>
                <w:sz w:val="18"/>
                <w:szCs w:val="18"/>
              </w:rPr>
              <w:t>EE + Offshore</w:t>
            </w:r>
          </w:p>
        </w:tc>
        <w:tc>
          <w:tcPr>
            <w:tcW w:w="630"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489</w:t>
            </w:r>
          </w:p>
        </w:tc>
        <w:tc>
          <w:tcPr>
            <w:tcW w:w="825"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427</w:t>
            </w:r>
          </w:p>
        </w:tc>
        <w:tc>
          <w:tcPr>
            <w:tcW w:w="795"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1,045</w:t>
            </w:r>
          </w:p>
        </w:tc>
        <w:tc>
          <w:tcPr>
            <w:tcW w:w="570"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1,662</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2,114</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16,011</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2,006</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0</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10,328</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5,616</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517</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3,347</w:t>
            </w:r>
          </w:p>
        </w:tc>
      </w:tr>
      <w:tr w:rsidR="004E1B5E" w:rsidRPr="00F81887" w:rsidTr="005D4BEF">
        <w:trPr>
          <w:trHeight w:val="540"/>
        </w:trPr>
        <w:tc>
          <w:tcPr>
            <w:tcW w:w="1080" w:type="dxa"/>
            <w:shd w:val="clear" w:color="auto" w:fill="auto"/>
            <w:tcMar>
              <w:left w:w="58" w:type="dxa"/>
              <w:right w:w="58" w:type="dxa"/>
            </w:tcMar>
            <w:vAlign w:val="center"/>
            <w:hideMark/>
          </w:tcPr>
          <w:p w:rsidR="00F81887" w:rsidRPr="004E1B5E" w:rsidRDefault="004E1B5E" w:rsidP="004E1B5E">
            <w:pPr>
              <w:keepNext/>
              <w:keepLines/>
              <w:adjustRightInd/>
              <w:spacing w:after="0" w:line="240" w:lineRule="auto"/>
              <w:textAlignment w:val="auto"/>
              <w:rPr>
                <w:rFonts w:asciiTheme="majorHAnsi" w:hAnsiTheme="majorHAnsi"/>
                <w:b/>
                <w:bCs/>
                <w:color w:val="000000"/>
                <w:sz w:val="18"/>
                <w:szCs w:val="18"/>
              </w:rPr>
            </w:pPr>
            <w:r>
              <w:rPr>
                <w:rFonts w:asciiTheme="majorHAnsi" w:hAnsiTheme="majorHAnsi"/>
                <w:b/>
                <w:bCs/>
                <w:color w:val="000000"/>
                <w:sz w:val="18"/>
                <w:szCs w:val="18"/>
              </w:rPr>
              <w:t>Onshore Less EE</w:t>
            </w:r>
            <w:r w:rsidR="00F81887" w:rsidRPr="00F81887">
              <w:rPr>
                <w:rFonts w:asciiTheme="majorHAnsi" w:hAnsiTheme="majorHAnsi"/>
                <w:b/>
                <w:bCs/>
                <w:color w:val="000000"/>
                <w:sz w:val="18"/>
                <w:szCs w:val="18"/>
              </w:rPr>
              <w:t>/PV</w:t>
            </w:r>
          </w:p>
        </w:tc>
        <w:tc>
          <w:tcPr>
            <w:tcW w:w="630"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489</w:t>
            </w:r>
          </w:p>
        </w:tc>
        <w:tc>
          <w:tcPr>
            <w:tcW w:w="825"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1,727</w:t>
            </w:r>
          </w:p>
        </w:tc>
        <w:tc>
          <w:tcPr>
            <w:tcW w:w="795"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745</w:t>
            </w:r>
          </w:p>
        </w:tc>
        <w:tc>
          <w:tcPr>
            <w:tcW w:w="570"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62</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2,114</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17,389</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2,006</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0</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5,058</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3,116</w:t>
            </w:r>
          </w:p>
        </w:tc>
        <w:tc>
          <w:tcPr>
            <w:tcW w:w="682"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517</w:t>
            </w:r>
          </w:p>
        </w:tc>
        <w:tc>
          <w:tcPr>
            <w:tcW w:w="683" w:type="dxa"/>
            <w:shd w:val="clear" w:color="auto" w:fill="auto"/>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3,347</w:t>
            </w:r>
          </w:p>
        </w:tc>
      </w:tr>
      <w:tr w:rsidR="004E1B5E" w:rsidRPr="00F81887" w:rsidTr="005D4BEF">
        <w:trPr>
          <w:trHeight w:val="540"/>
        </w:trPr>
        <w:tc>
          <w:tcPr>
            <w:tcW w:w="1080" w:type="dxa"/>
            <w:shd w:val="clear" w:color="auto" w:fill="CCEAF9" w:themeFill="accent1" w:themeFillTint="33"/>
            <w:tcMar>
              <w:left w:w="58" w:type="dxa"/>
              <w:right w:w="58" w:type="dxa"/>
            </w:tcMar>
            <w:vAlign w:val="center"/>
            <w:hideMark/>
          </w:tcPr>
          <w:p w:rsidR="00F81887" w:rsidRPr="004E1B5E" w:rsidRDefault="00AF6389" w:rsidP="004E1B5E">
            <w:pPr>
              <w:keepNext/>
              <w:keepLines/>
              <w:adjustRightInd/>
              <w:spacing w:after="0" w:line="240" w:lineRule="auto"/>
              <w:textAlignment w:val="auto"/>
              <w:rPr>
                <w:rFonts w:asciiTheme="majorHAnsi" w:hAnsiTheme="majorHAnsi"/>
                <w:b/>
                <w:bCs/>
                <w:color w:val="000000"/>
                <w:sz w:val="18"/>
                <w:szCs w:val="18"/>
              </w:rPr>
            </w:pPr>
            <w:r>
              <w:rPr>
                <w:rFonts w:asciiTheme="majorHAnsi" w:hAnsiTheme="majorHAnsi"/>
                <w:b/>
                <w:bCs/>
                <w:color w:val="000000"/>
                <w:sz w:val="18"/>
                <w:szCs w:val="18"/>
              </w:rPr>
              <w:t>Wind Less Nuclear</w:t>
            </w:r>
          </w:p>
        </w:tc>
        <w:tc>
          <w:tcPr>
            <w:tcW w:w="630"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489</w:t>
            </w:r>
          </w:p>
        </w:tc>
        <w:tc>
          <w:tcPr>
            <w:tcW w:w="825"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2,222</w:t>
            </w:r>
          </w:p>
        </w:tc>
        <w:tc>
          <w:tcPr>
            <w:tcW w:w="795"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1,226</w:t>
            </w:r>
          </w:p>
        </w:tc>
        <w:tc>
          <w:tcPr>
            <w:tcW w:w="570"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2,462</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2,114</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16,011</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3,006</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0</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8,328</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5,616</w:t>
            </w:r>
          </w:p>
        </w:tc>
        <w:tc>
          <w:tcPr>
            <w:tcW w:w="682"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517</w:t>
            </w:r>
          </w:p>
        </w:tc>
        <w:tc>
          <w:tcPr>
            <w:tcW w:w="683" w:type="dxa"/>
            <w:shd w:val="clear" w:color="auto" w:fill="CCEAF9" w:themeFill="accent1" w:themeFillTint="33"/>
            <w:tcMar>
              <w:left w:w="0" w:type="dxa"/>
              <w:right w:w="115" w:type="dxa"/>
            </w:tcMar>
            <w:vAlign w:val="center"/>
            <w:hideMark/>
          </w:tcPr>
          <w:p w:rsidR="00F81887" w:rsidRPr="004E1B5E" w:rsidRDefault="00F81887" w:rsidP="004E1B5E">
            <w:pPr>
              <w:keepNext/>
              <w:keepLines/>
              <w:adjustRightInd/>
              <w:spacing w:after="0" w:line="240" w:lineRule="auto"/>
              <w:jc w:val="right"/>
              <w:textAlignment w:val="auto"/>
              <w:rPr>
                <w:rFonts w:asciiTheme="majorHAnsi" w:hAnsiTheme="majorHAnsi"/>
                <w:color w:val="000000"/>
                <w:sz w:val="18"/>
                <w:szCs w:val="18"/>
              </w:rPr>
            </w:pPr>
            <w:r w:rsidRPr="004E1B5E">
              <w:rPr>
                <w:rFonts w:asciiTheme="majorHAnsi" w:hAnsiTheme="majorHAnsi"/>
                <w:color w:val="000000"/>
                <w:sz w:val="18"/>
                <w:szCs w:val="18"/>
              </w:rPr>
              <w:t>1,225</w:t>
            </w:r>
          </w:p>
        </w:tc>
      </w:tr>
    </w:tbl>
    <w:p w:rsidR="00CC442E" w:rsidRPr="00B46640" w:rsidRDefault="0041087B" w:rsidP="004E1B5E">
      <w:pPr>
        <w:keepNext/>
        <w:keepLines/>
        <w:spacing w:before="120" w:line="240" w:lineRule="auto"/>
        <w:ind w:left="-360" w:right="1080"/>
        <w:rPr>
          <w:rFonts w:asciiTheme="minorHAnsi" w:hAnsiTheme="minorHAnsi"/>
          <w:sz w:val="16"/>
          <w:szCs w:val="16"/>
        </w:rPr>
      </w:pPr>
      <w:r w:rsidRPr="00B46640">
        <w:rPr>
          <w:rFonts w:asciiTheme="minorHAnsi" w:hAnsiTheme="minorHAnsi"/>
          <w:sz w:val="16"/>
          <w:szCs w:val="16"/>
        </w:rPr>
        <w:t xml:space="preserve">(a) </w:t>
      </w:r>
      <w:r w:rsidR="00CC442E" w:rsidRPr="00B46640">
        <w:rPr>
          <w:rFonts w:asciiTheme="minorHAnsi" w:hAnsiTheme="minorHAnsi"/>
          <w:sz w:val="16"/>
          <w:szCs w:val="16"/>
        </w:rPr>
        <w:t xml:space="preserve">Typical capacity values are </w:t>
      </w:r>
      <w:r w:rsidR="00F64FBE" w:rsidRPr="00B46640">
        <w:rPr>
          <w:rFonts w:asciiTheme="minorHAnsi" w:hAnsiTheme="minorHAnsi"/>
          <w:sz w:val="16"/>
          <w:szCs w:val="16"/>
        </w:rPr>
        <w:t>used in this study</w:t>
      </w:r>
      <w:r w:rsidRPr="00B46640">
        <w:rPr>
          <w:rFonts w:asciiTheme="minorHAnsi" w:hAnsiTheme="minorHAnsi"/>
          <w:sz w:val="16"/>
          <w:szCs w:val="16"/>
        </w:rPr>
        <w:t xml:space="preserve">; </w:t>
      </w:r>
      <w:r w:rsidR="00F97A3C" w:rsidRPr="00B46640">
        <w:rPr>
          <w:rFonts w:asciiTheme="minorHAnsi" w:hAnsiTheme="minorHAnsi"/>
          <w:sz w:val="16"/>
          <w:szCs w:val="16"/>
        </w:rPr>
        <w:t>26</w:t>
      </w:r>
      <w:r w:rsidR="00F64FBE" w:rsidRPr="00B46640">
        <w:rPr>
          <w:rFonts w:asciiTheme="minorHAnsi" w:hAnsiTheme="minorHAnsi"/>
          <w:sz w:val="16"/>
          <w:szCs w:val="16"/>
        </w:rPr>
        <w:t xml:space="preserve">% for onshore wind and </w:t>
      </w:r>
      <w:r w:rsidR="00F97A3C" w:rsidRPr="00B46640">
        <w:rPr>
          <w:rFonts w:asciiTheme="minorHAnsi" w:hAnsiTheme="minorHAnsi"/>
          <w:sz w:val="16"/>
          <w:szCs w:val="16"/>
        </w:rPr>
        <w:t>30</w:t>
      </w:r>
      <w:r w:rsidR="00F64FBE" w:rsidRPr="00B46640">
        <w:rPr>
          <w:rFonts w:asciiTheme="minorHAnsi" w:hAnsiTheme="minorHAnsi"/>
          <w:sz w:val="16"/>
          <w:szCs w:val="16"/>
        </w:rPr>
        <w:t>% for offshore wind</w:t>
      </w:r>
      <w:r w:rsidR="00860D3B">
        <w:rPr>
          <w:rFonts w:asciiTheme="minorHAnsi" w:hAnsiTheme="minorHAnsi"/>
          <w:sz w:val="16"/>
          <w:szCs w:val="16"/>
        </w:rPr>
        <w:t xml:space="preserve">. </w:t>
      </w:r>
    </w:p>
    <w:p w:rsidR="00C20923" w:rsidRDefault="00F90E42" w:rsidP="005C6415">
      <w:r w:rsidRPr="005C6415">
        <w:t>All scenarios</w:t>
      </w:r>
      <w:r w:rsidR="009B1F32">
        <w:t xml:space="preserve"> </w:t>
      </w:r>
      <w:r w:rsidRPr="005C6415">
        <w:t>assumed that the nuclear units at Millstone and Seabrook would</w:t>
      </w:r>
      <w:r w:rsidR="000F663A">
        <w:t xml:space="preserve"> be the first resources dispatched</w:t>
      </w:r>
      <w:r w:rsidRPr="005C6415">
        <w:t xml:space="preserve"> </w:t>
      </w:r>
      <w:r w:rsidR="000F663A">
        <w:t xml:space="preserve">so that they would operate </w:t>
      </w:r>
      <w:r w:rsidRPr="005C6415">
        <w:t xml:space="preserve">at full output and </w:t>
      </w:r>
      <w:r w:rsidR="000F663A">
        <w:t>would only</w:t>
      </w:r>
      <w:r w:rsidRPr="005C6415">
        <w:t xml:space="preserve"> be reduced</w:t>
      </w:r>
      <w:r w:rsidR="000F663A">
        <w:t xml:space="preserve"> in the event</w:t>
      </w:r>
      <w:r w:rsidR="008930A9">
        <w:t xml:space="preserve"> the net loads after EE and PV could not absorb their energy</w:t>
      </w:r>
      <w:r w:rsidRPr="005C6415">
        <w:t>.</w:t>
      </w:r>
      <w:r w:rsidR="00A37A8D" w:rsidRPr="00A37A8D">
        <w:t xml:space="preserve"> </w:t>
      </w:r>
      <w:r w:rsidR="00A66E7D">
        <w:t>In Scenario C, the maximum amount of nuclear generation was limited to 1,225 MW</w:t>
      </w:r>
      <w:r w:rsidR="00010FE9">
        <w:t xml:space="preserve"> because </w:t>
      </w:r>
      <w:r w:rsidR="00434F60">
        <w:t>Scenario C assumed the retirement of 2,122 MW of nuclear generation, proportionally spread among existing nuclear units.</w:t>
      </w:r>
    </w:p>
    <w:p w:rsidR="00333297" w:rsidRDefault="00A37A8D" w:rsidP="005C6415">
      <w:r w:rsidRPr="00A37A8D">
        <w:t>PV resources</w:t>
      </w:r>
      <w:r>
        <w:t xml:space="preserve"> u</w:t>
      </w:r>
      <w:r w:rsidRPr="00A37A8D">
        <w:t xml:space="preserve">sed the NREL database </w:t>
      </w:r>
      <w:r w:rsidRPr="005C6415">
        <w:t xml:space="preserve">for photovoltaic production </w:t>
      </w:r>
      <w:r w:rsidR="008930A9">
        <w:t xml:space="preserve">profiles </w:t>
      </w:r>
      <w:r w:rsidRPr="005C6415">
        <w:t>in 2006.</w:t>
      </w:r>
      <w:r w:rsidRPr="005C6415">
        <w:rPr>
          <w:rStyle w:val="FootnoteReference"/>
        </w:rPr>
        <w:footnoteReference w:id="39"/>
      </w:r>
    </w:p>
    <w:p w:rsidR="0084022F" w:rsidRPr="00E660C2" w:rsidRDefault="0084022F" w:rsidP="00D27B9E">
      <w:pPr>
        <w:pStyle w:val="Heading3"/>
      </w:pPr>
      <w:bookmarkStart w:id="134" w:name="_Toc528571206"/>
      <w:r w:rsidRPr="00E660C2">
        <w:t>Wind Generation</w:t>
      </w:r>
      <w:bookmarkEnd w:id="134"/>
    </w:p>
    <w:p w:rsidR="007D36A8" w:rsidRDefault="00531CC1" w:rsidP="009F384C">
      <w:r>
        <w:t>Similar to</w:t>
      </w:r>
      <w:r w:rsidR="004C04F8" w:rsidRPr="005C6415">
        <w:t xml:space="preserve"> photovoltaic resource</w:t>
      </w:r>
      <w:r>
        <w:t xml:space="preserve"> production profile</w:t>
      </w:r>
      <w:r w:rsidR="004C04F8" w:rsidRPr="005C6415">
        <w:t>s, t</w:t>
      </w:r>
      <w:r w:rsidR="00E55C4C" w:rsidRPr="004C04F8">
        <w:t xml:space="preserve">he study used </w:t>
      </w:r>
      <w:r w:rsidR="00A277FB" w:rsidRPr="005C6415">
        <w:t>NREL</w:t>
      </w:r>
      <w:r w:rsidR="004C04F8">
        <w:t xml:space="preserve"> </w:t>
      </w:r>
      <w:r w:rsidR="00A277FB" w:rsidRPr="005C6415">
        <w:t xml:space="preserve">data to build the </w:t>
      </w:r>
      <w:r w:rsidR="001109CA" w:rsidRPr="005C6415">
        <w:t>energy</w:t>
      </w:r>
      <w:r w:rsidR="00A37A8D" w:rsidRPr="005C6415">
        <w:t xml:space="preserve"> production</w:t>
      </w:r>
      <w:r w:rsidR="001109CA" w:rsidRPr="005C6415">
        <w:t xml:space="preserve"> </w:t>
      </w:r>
      <w:r w:rsidR="00A277FB" w:rsidRPr="005C6415">
        <w:t xml:space="preserve">profiles </w:t>
      </w:r>
      <w:r w:rsidR="00D856A3" w:rsidRPr="005C6415">
        <w:t xml:space="preserve">for </w:t>
      </w:r>
      <w:r w:rsidR="00A37A8D" w:rsidRPr="005C6415">
        <w:t xml:space="preserve">onshore and offshore </w:t>
      </w:r>
      <w:r w:rsidR="00D856A3" w:rsidRPr="005C6415">
        <w:t xml:space="preserve">wind resources </w:t>
      </w:r>
      <w:r w:rsidR="00A277FB" w:rsidRPr="005C6415">
        <w:t xml:space="preserve">and </w:t>
      </w:r>
      <w:r w:rsidR="00D856A3" w:rsidRPr="005C6415">
        <w:t>c</w:t>
      </w:r>
      <w:r w:rsidR="00A277FB" w:rsidRPr="005C6415">
        <w:t xml:space="preserve">alculate </w:t>
      </w:r>
      <w:r w:rsidR="00D856A3" w:rsidRPr="005C6415">
        <w:t xml:space="preserve">the </w:t>
      </w:r>
      <w:r w:rsidR="00A277FB" w:rsidRPr="005C6415">
        <w:t>capacity values</w:t>
      </w:r>
      <w:r w:rsidR="00A753F4" w:rsidRPr="005C6415">
        <w:t xml:space="preserve"> for wind generation</w:t>
      </w:r>
      <w:r w:rsidR="00633936" w:rsidRPr="005C6415">
        <w:t xml:space="preserve">, which </w:t>
      </w:r>
      <w:r w:rsidR="00C15D13">
        <w:t>a</w:t>
      </w:r>
      <w:r w:rsidR="00633936" w:rsidRPr="005C6415">
        <w:t>re based on reliability hours</w:t>
      </w:r>
      <w:r w:rsidR="00CD0DD6" w:rsidRPr="005C6415">
        <w:rPr>
          <w:rFonts w:eastAsia="Calibri"/>
        </w:rPr>
        <w:t xml:space="preserve"> </w:t>
      </w:r>
      <w:r w:rsidR="00D856A3" w:rsidRPr="005C6415">
        <w:rPr>
          <w:rFonts w:eastAsia="Calibri"/>
        </w:rPr>
        <w:t>and a percentage of the nameplate</w:t>
      </w:r>
      <w:r w:rsidR="00D856A3" w:rsidRPr="00D856A3">
        <w:rPr>
          <w:rFonts w:eastAsia="Calibri"/>
        </w:rPr>
        <w:t xml:space="preserve"> </w:t>
      </w:r>
      <w:r w:rsidR="00D856A3" w:rsidRPr="000C506F">
        <w:rPr>
          <w:rFonts w:eastAsia="Calibri"/>
        </w:rPr>
        <w:t>assumptions</w:t>
      </w:r>
      <w:r w:rsidR="00A277FB" w:rsidRPr="005C6415">
        <w:t xml:space="preserve">. </w:t>
      </w:r>
      <w:r w:rsidR="00D856A3" w:rsidRPr="00CD0DD6">
        <w:fldChar w:fldCharType="begin"/>
      </w:r>
      <w:r w:rsidR="00D856A3" w:rsidRPr="00CD0DD6">
        <w:instrText xml:space="preserve"> REF _Ref461379809 \h  \* MERGEFORMAT </w:instrText>
      </w:r>
      <w:r w:rsidR="00D856A3" w:rsidRPr="00CD0DD6">
        <w:fldChar w:fldCharType="separate"/>
      </w:r>
      <w:r w:rsidR="00872A95" w:rsidRPr="004D0C0A">
        <w:t xml:space="preserve">Figure </w:t>
      </w:r>
      <w:r w:rsidR="00872A95">
        <w:rPr>
          <w:noProof/>
        </w:rPr>
        <w:t>5</w:t>
      </w:r>
      <w:r w:rsidR="00872A95" w:rsidRPr="004D0C0A">
        <w:rPr>
          <w:noProof/>
        </w:rPr>
        <w:noBreakHyphen/>
      </w:r>
      <w:r w:rsidR="00872A95">
        <w:rPr>
          <w:noProof/>
        </w:rPr>
        <w:t>3</w:t>
      </w:r>
      <w:r w:rsidR="00D856A3" w:rsidRPr="00CD0DD6">
        <w:fldChar w:fldCharType="end"/>
      </w:r>
      <w:r w:rsidR="00D856A3" w:rsidRPr="00F60802">
        <w:t xml:space="preserve"> show</w:t>
      </w:r>
      <w:r w:rsidR="004248FE">
        <w:t>s</w:t>
      </w:r>
      <w:r w:rsidR="00D856A3" w:rsidRPr="00F60802">
        <w:t xml:space="preserve"> the </w:t>
      </w:r>
      <w:r w:rsidR="00D856A3">
        <w:t xml:space="preserve">wind nameplate capacities assumed in each scenario for </w:t>
      </w:r>
      <w:r w:rsidR="008E294A">
        <w:t>2030</w:t>
      </w:r>
      <w:r w:rsidR="00D856A3" w:rsidRPr="00A43594">
        <w:t>.</w:t>
      </w:r>
      <w:r w:rsidR="000C506F">
        <w:t xml:space="preserve"> </w:t>
      </w:r>
      <w:r w:rsidR="00D10A3A">
        <w:t xml:space="preserve">The </w:t>
      </w:r>
      <w:r w:rsidR="00D10A3A" w:rsidRPr="00BA1A19">
        <w:t>figure include</w:t>
      </w:r>
      <w:r w:rsidR="00AF7D42" w:rsidRPr="00BA1A19">
        <w:t>s</w:t>
      </w:r>
      <w:r w:rsidR="00D10A3A" w:rsidRPr="00BA1A19">
        <w:t xml:space="preserve"> wind resource</w:t>
      </w:r>
      <w:r w:rsidR="000E5E61" w:rsidRPr="00BA1A19">
        <w:t xml:space="preserve"> addition</w:t>
      </w:r>
      <w:r w:rsidR="00D10A3A" w:rsidRPr="00BA1A19">
        <w:t>s with I.3.9 appro</w:t>
      </w:r>
      <w:r w:rsidR="00AF7D42" w:rsidRPr="00BA1A19">
        <w:t>vals but not in service as of April 1, 2016</w:t>
      </w:r>
      <w:r w:rsidR="00860D3B" w:rsidRPr="005D4BEF">
        <w:t xml:space="preserve">. </w:t>
      </w:r>
      <w:r w:rsidR="004960A0" w:rsidRPr="005D4BEF">
        <w:fldChar w:fldCharType="begin"/>
      </w:r>
      <w:r w:rsidR="004960A0" w:rsidRPr="005D4BEF">
        <w:instrText xml:space="preserve"> REF _Ref517431551 \h  \* MERGEFORMAT </w:instrText>
      </w:r>
      <w:r w:rsidR="004960A0" w:rsidRPr="005D4BEF">
        <w:fldChar w:fldCharType="separate"/>
      </w:r>
      <w:r w:rsidR="00872A95">
        <w:t xml:space="preserve">Table </w:t>
      </w:r>
      <w:r w:rsidR="00872A95">
        <w:rPr>
          <w:noProof/>
        </w:rPr>
        <w:t>5</w:t>
      </w:r>
      <w:r w:rsidR="00872A95">
        <w:rPr>
          <w:noProof/>
        </w:rPr>
        <w:noBreakHyphen/>
        <w:t>7</w:t>
      </w:r>
      <w:r w:rsidR="004960A0" w:rsidRPr="005D4BEF">
        <w:fldChar w:fldCharType="end"/>
      </w:r>
      <w:r w:rsidR="004960A0" w:rsidRPr="005D4BEF">
        <w:t xml:space="preserve"> shows the data for the onshore and offshore wind additions and totals.</w:t>
      </w:r>
    </w:p>
    <w:p w:rsidR="00292FC9" w:rsidRDefault="00292FC9" w:rsidP="009F384C">
      <w:pPr>
        <w:spacing w:after="0" w:line="240" w:lineRule="auto"/>
        <w:ind w:left="270" w:right="630"/>
      </w:pPr>
      <w:r w:rsidRPr="00292FC9">
        <w:rPr>
          <w:noProof/>
        </w:rPr>
        <w:drawing>
          <wp:inline distT="0" distB="0" distL="0" distR="0" wp14:anchorId="48B5E29C" wp14:editId="04C35BDC">
            <wp:extent cx="5334000" cy="3352800"/>
            <wp:effectExtent l="19050" t="19050" r="19050" b="1905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352800"/>
                    </a:xfrm>
                    <a:prstGeom prst="rect">
                      <a:avLst/>
                    </a:prstGeom>
                    <a:noFill/>
                    <a:ln w="3175">
                      <a:solidFill>
                        <a:srgbClr val="030405"/>
                      </a:solidFill>
                    </a:ln>
                  </pic:spPr>
                </pic:pic>
              </a:graphicData>
            </a:graphic>
          </wp:inline>
        </w:drawing>
      </w:r>
    </w:p>
    <w:p w:rsidR="009733F0" w:rsidRPr="004D0C0A" w:rsidRDefault="009733F0" w:rsidP="004D0C0A">
      <w:pPr>
        <w:pStyle w:val="Caption"/>
        <w:spacing w:before="120" w:after="80"/>
        <w:ind w:left="270" w:right="630"/>
      </w:pPr>
      <w:bookmarkStart w:id="135" w:name="_Ref461379809"/>
      <w:bookmarkStart w:id="136" w:name="_Ref476575995"/>
      <w:bookmarkStart w:id="137" w:name="_Toc519511500"/>
      <w:r w:rsidRPr="004D0C0A">
        <w:t xml:space="preserve">Figure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CF5BC5" w:rsidRPr="004D0C0A">
        <w:noBreakHyphen/>
      </w:r>
      <w:r w:rsidR="00EA3757">
        <w:rPr>
          <w:noProof/>
        </w:rPr>
        <w:fldChar w:fldCharType="begin"/>
      </w:r>
      <w:r w:rsidR="00EA3757">
        <w:rPr>
          <w:noProof/>
        </w:rPr>
        <w:instrText xml:space="preserve"> SEQ Figure \* ARABIC \s 1 </w:instrText>
      </w:r>
      <w:r w:rsidR="00EA3757">
        <w:rPr>
          <w:noProof/>
        </w:rPr>
        <w:fldChar w:fldCharType="separate"/>
      </w:r>
      <w:r w:rsidR="00872A95">
        <w:rPr>
          <w:noProof/>
        </w:rPr>
        <w:t>3</w:t>
      </w:r>
      <w:r w:rsidR="00EA3757">
        <w:rPr>
          <w:noProof/>
        </w:rPr>
        <w:fldChar w:fldCharType="end"/>
      </w:r>
      <w:bookmarkEnd w:id="135"/>
      <w:bookmarkEnd w:id="136"/>
      <w:r w:rsidRPr="004D0C0A">
        <w:t>: Wind nameplate capacities assumed for the wind resource</w:t>
      </w:r>
      <w:r w:rsidR="007C37D8" w:rsidRPr="004D0C0A">
        <w:t>s</w:t>
      </w:r>
      <w:r w:rsidR="008E294A" w:rsidRPr="004D0C0A">
        <w:t>,</w:t>
      </w:r>
      <w:r w:rsidRPr="004D0C0A">
        <w:t xml:space="preserve"> 2030 (MW).</w:t>
      </w:r>
      <w:bookmarkEnd w:id="137"/>
      <w:r w:rsidR="003E7339" w:rsidRPr="004D0C0A">
        <w:t xml:space="preserve"> </w:t>
      </w:r>
    </w:p>
    <w:p w:rsidR="00564740" w:rsidRDefault="00564740" w:rsidP="009F384C">
      <w:pPr>
        <w:spacing w:line="240" w:lineRule="auto"/>
        <w:ind w:left="270" w:right="630"/>
        <w:rPr>
          <w:rFonts w:asciiTheme="minorHAnsi" w:hAnsiTheme="minorHAnsi"/>
          <w:sz w:val="16"/>
          <w:szCs w:val="16"/>
        </w:rPr>
      </w:pPr>
      <w:r w:rsidRPr="003A2CA8">
        <w:rPr>
          <w:rFonts w:asciiTheme="minorHAnsi" w:hAnsiTheme="minorHAnsi"/>
          <w:b/>
          <w:sz w:val="16"/>
          <w:szCs w:val="16"/>
        </w:rPr>
        <w:t>Note:</w:t>
      </w:r>
      <w:r w:rsidR="00EE039A" w:rsidRPr="003A2CA8">
        <w:rPr>
          <w:rFonts w:asciiTheme="minorHAnsi" w:hAnsiTheme="minorHAnsi"/>
          <w:sz w:val="16"/>
          <w:szCs w:val="16"/>
        </w:rPr>
        <w:t xml:space="preserve"> </w:t>
      </w:r>
      <w:r w:rsidRPr="003A2CA8">
        <w:rPr>
          <w:rFonts w:asciiTheme="minorHAnsi" w:hAnsiTheme="minorHAnsi"/>
          <w:sz w:val="16"/>
          <w:szCs w:val="16"/>
        </w:rPr>
        <w:t xml:space="preserve">“BHE” </w:t>
      </w:r>
      <w:r w:rsidR="00EE039A" w:rsidRPr="003A2CA8">
        <w:rPr>
          <w:rFonts w:asciiTheme="minorHAnsi" w:hAnsiTheme="minorHAnsi"/>
          <w:sz w:val="16"/>
          <w:szCs w:val="16"/>
        </w:rPr>
        <w:t>represents northeastern Maine; “ME,” western and central Maine/Saco Valley, New Hampshire;</w:t>
      </w:r>
      <w:r w:rsidRPr="003A2CA8">
        <w:rPr>
          <w:rFonts w:asciiTheme="minorHAnsi" w:hAnsiTheme="minorHAnsi"/>
          <w:sz w:val="16"/>
          <w:szCs w:val="16"/>
        </w:rPr>
        <w:t xml:space="preserve"> </w:t>
      </w:r>
      <w:r w:rsidR="00EE039A" w:rsidRPr="003A2CA8">
        <w:rPr>
          <w:rFonts w:asciiTheme="minorHAnsi" w:hAnsiTheme="minorHAnsi"/>
          <w:sz w:val="16"/>
          <w:szCs w:val="16"/>
        </w:rPr>
        <w:t>“VT,” Vermont/southwestern New Hampshire; “NH,” northern, eastern, and central New Hampshire/eastern Vermont, and southwestern Maine; “WMA,” western Massachusetts; “SEMA/RI,”</w:t>
      </w:r>
      <w:r w:rsidR="00EE039A" w:rsidRPr="003A2CA8">
        <w:rPr>
          <w:sz w:val="16"/>
          <w:szCs w:val="16"/>
        </w:rPr>
        <w:t xml:space="preserve"> s</w:t>
      </w:r>
      <w:r w:rsidR="00EE039A" w:rsidRPr="003A2CA8">
        <w:rPr>
          <w:rFonts w:asciiTheme="minorHAnsi" w:hAnsiTheme="minorHAnsi"/>
          <w:sz w:val="16"/>
          <w:szCs w:val="16"/>
        </w:rPr>
        <w:t>outheastern Massachusetts/Newport, Rhode Island, and Rhode Island/bordering Massachusetts.</w:t>
      </w:r>
    </w:p>
    <w:p w:rsidR="00AF0A26" w:rsidRDefault="004960A0" w:rsidP="009F384C">
      <w:pPr>
        <w:pStyle w:val="Caption"/>
        <w:jc w:val="center"/>
      </w:pPr>
      <w:bookmarkStart w:id="138" w:name="_Ref517431551"/>
      <w:bookmarkStart w:id="139" w:name="_Toc520721022"/>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7</w:t>
      </w:r>
      <w:r w:rsidR="00EA3757">
        <w:rPr>
          <w:noProof/>
        </w:rPr>
        <w:fldChar w:fldCharType="end"/>
      </w:r>
      <w:bookmarkEnd w:id="138"/>
      <w:r>
        <w:br/>
      </w:r>
      <w:r w:rsidRPr="00EE154D">
        <w:t>Onshore and Offshore Wind Additions and Totals for All the Scenarios, 2030 (MW)</w:t>
      </w:r>
      <w:bookmarkEnd w:id="139"/>
    </w:p>
    <w:tbl>
      <w:tblPr>
        <w:tblStyle w:val="TableGrid"/>
        <w:tblW w:w="10795" w:type="dxa"/>
        <w:jc w:val="center"/>
        <w:tblCellMar>
          <w:left w:w="58" w:type="dxa"/>
          <w:right w:w="58" w:type="dxa"/>
        </w:tblCellMar>
        <w:tblLook w:val="04A0" w:firstRow="1" w:lastRow="0" w:firstColumn="1" w:lastColumn="0" w:noHBand="0" w:noVBand="1"/>
      </w:tblPr>
      <w:tblGrid>
        <w:gridCol w:w="1069"/>
        <w:gridCol w:w="799"/>
        <w:gridCol w:w="808"/>
        <w:gridCol w:w="799"/>
        <w:gridCol w:w="784"/>
        <w:gridCol w:w="652"/>
        <w:gridCol w:w="652"/>
        <w:gridCol w:w="652"/>
        <w:gridCol w:w="652"/>
        <w:gridCol w:w="634"/>
        <w:gridCol w:w="855"/>
        <w:gridCol w:w="855"/>
        <w:gridCol w:w="784"/>
        <w:gridCol w:w="800"/>
      </w:tblGrid>
      <w:tr w:rsidR="00AF0A26" w:rsidRPr="00AF0A26" w:rsidTr="004C316C">
        <w:trPr>
          <w:trHeight w:val="1088"/>
          <w:jc w:val="center"/>
        </w:trPr>
        <w:tc>
          <w:tcPr>
            <w:tcW w:w="1069"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Scenario</w:t>
            </w:r>
          </w:p>
        </w:tc>
        <w:tc>
          <w:tcPr>
            <w:tcW w:w="799"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Offshore</w:t>
            </w:r>
            <w:r w:rsidR="004960A0">
              <w:rPr>
                <w:rFonts w:asciiTheme="majorHAnsi" w:hAnsiTheme="majorHAnsi"/>
                <w:b/>
                <w:bCs/>
                <w:color w:val="FFFFFF" w:themeColor="background1"/>
                <w:sz w:val="16"/>
                <w:szCs w:val="16"/>
              </w:rPr>
              <w:br/>
            </w:r>
            <w:r w:rsidRPr="007D65C0">
              <w:rPr>
                <w:rFonts w:asciiTheme="majorHAnsi" w:hAnsiTheme="majorHAnsi"/>
                <w:b/>
                <w:bCs/>
                <w:color w:val="FFFFFF" w:themeColor="background1"/>
                <w:sz w:val="16"/>
                <w:szCs w:val="16"/>
              </w:rPr>
              <w:t>Wind In</w:t>
            </w:r>
            <w:r w:rsidR="004960A0">
              <w:rPr>
                <w:rFonts w:asciiTheme="majorHAnsi" w:hAnsiTheme="majorHAnsi"/>
                <w:b/>
                <w:bCs/>
                <w:color w:val="FFFFFF" w:themeColor="background1"/>
                <w:sz w:val="16"/>
                <w:szCs w:val="16"/>
              </w:rPr>
              <w:t xml:space="preserve"> </w:t>
            </w:r>
            <w:r w:rsidRPr="007D65C0">
              <w:rPr>
                <w:rFonts w:asciiTheme="majorHAnsi" w:hAnsiTheme="majorHAnsi"/>
                <w:b/>
                <w:bCs/>
                <w:color w:val="FFFFFF" w:themeColor="background1"/>
                <w:sz w:val="16"/>
                <w:szCs w:val="16"/>
              </w:rPr>
              <w:t>Service</w:t>
            </w:r>
          </w:p>
        </w:tc>
        <w:tc>
          <w:tcPr>
            <w:tcW w:w="808"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SEMA/RI Offshore Wind Added</w:t>
            </w:r>
          </w:p>
        </w:tc>
        <w:tc>
          <w:tcPr>
            <w:tcW w:w="799"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Total Offshore</w:t>
            </w:r>
          </w:p>
        </w:tc>
        <w:tc>
          <w:tcPr>
            <w:tcW w:w="784"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Onshore Wind In Service</w:t>
            </w:r>
          </w:p>
        </w:tc>
        <w:tc>
          <w:tcPr>
            <w:tcW w:w="652"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BHE Wind Added</w:t>
            </w:r>
          </w:p>
        </w:tc>
        <w:tc>
          <w:tcPr>
            <w:tcW w:w="652"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ME Wind Added</w:t>
            </w:r>
          </w:p>
        </w:tc>
        <w:tc>
          <w:tcPr>
            <w:tcW w:w="652"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NH Wind Added</w:t>
            </w:r>
          </w:p>
        </w:tc>
        <w:tc>
          <w:tcPr>
            <w:tcW w:w="652"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VT Wind Added</w:t>
            </w:r>
          </w:p>
        </w:tc>
        <w:tc>
          <w:tcPr>
            <w:tcW w:w="634"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WMA wind added</w:t>
            </w:r>
          </w:p>
        </w:tc>
        <w:tc>
          <w:tcPr>
            <w:tcW w:w="855"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Onshore Additions</w:t>
            </w:r>
          </w:p>
        </w:tc>
        <w:tc>
          <w:tcPr>
            <w:tcW w:w="855"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Maine- Only Additions</w:t>
            </w:r>
          </w:p>
        </w:tc>
        <w:tc>
          <w:tcPr>
            <w:tcW w:w="784"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Total Onshore Wind</w:t>
            </w:r>
          </w:p>
        </w:tc>
        <w:tc>
          <w:tcPr>
            <w:tcW w:w="800" w:type="dxa"/>
            <w:shd w:val="clear" w:color="auto" w:fill="1795D2" w:themeFill="accent1"/>
            <w:vAlign w:val="center"/>
            <w:hideMark/>
          </w:tcPr>
          <w:p w:rsidR="00AF0A26" w:rsidRPr="007D65C0" w:rsidRDefault="00AF0A26" w:rsidP="009F384C">
            <w:pPr>
              <w:keepNext/>
              <w:keepLines/>
              <w:spacing w:before="40" w:after="40" w:line="240" w:lineRule="auto"/>
              <w:jc w:val="center"/>
              <w:rPr>
                <w:rFonts w:asciiTheme="majorHAnsi" w:hAnsiTheme="majorHAnsi"/>
                <w:b/>
                <w:bCs/>
                <w:color w:val="FFFFFF" w:themeColor="background1"/>
                <w:sz w:val="16"/>
                <w:szCs w:val="16"/>
              </w:rPr>
            </w:pPr>
            <w:r w:rsidRPr="007D65C0">
              <w:rPr>
                <w:rFonts w:asciiTheme="majorHAnsi" w:hAnsiTheme="majorHAnsi"/>
                <w:b/>
                <w:bCs/>
                <w:color w:val="FFFFFF" w:themeColor="background1"/>
                <w:sz w:val="16"/>
                <w:szCs w:val="16"/>
              </w:rPr>
              <w:t>Total Onshore and Offshore Wind</w:t>
            </w:r>
          </w:p>
        </w:tc>
      </w:tr>
      <w:tr w:rsidR="007D65C0" w:rsidRPr="00AF0A26" w:rsidTr="004C316C">
        <w:trPr>
          <w:trHeight w:val="400"/>
          <w:jc w:val="center"/>
        </w:trPr>
        <w:tc>
          <w:tcPr>
            <w:tcW w:w="1069" w:type="dxa"/>
            <w:vAlign w:val="center"/>
            <w:hideMark/>
          </w:tcPr>
          <w:p w:rsidR="00AF0A26" w:rsidRPr="007D65C0" w:rsidRDefault="00AF0A26" w:rsidP="009F384C">
            <w:pPr>
              <w:keepNext/>
              <w:keepLines/>
              <w:spacing w:before="40" w:after="40" w:line="240" w:lineRule="auto"/>
              <w:rPr>
                <w:rFonts w:asciiTheme="majorHAnsi" w:hAnsiTheme="majorHAnsi"/>
                <w:b/>
                <w:bCs/>
                <w:sz w:val="16"/>
                <w:szCs w:val="16"/>
              </w:rPr>
            </w:pPr>
            <w:r w:rsidRPr="007D65C0">
              <w:rPr>
                <w:rFonts w:asciiTheme="majorHAnsi" w:hAnsiTheme="majorHAnsi"/>
                <w:b/>
                <w:bCs/>
                <w:sz w:val="16"/>
                <w:szCs w:val="16"/>
              </w:rPr>
              <w:t>Renew Plus</w:t>
            </w:r>
          </w:p>
        </w:tc>
        <w:tc>
          <w:tcPr>
            <w:tcW w:w="799"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0</w:t>
            </w:r>
          </w:p>
        </w:tc>
        <w:tc>
          <w:tcPr>
            <w:tcW w:w="808"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2,483</w:t>
            </w:r>
          </w:p>
        </w:tc>
        <w:tc>
          <w:tcPr>
            <w:tcW w:w="799"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2,483</w:t>
            </w:r>
          </w:p>
        </w:tc>
        <w:tc>
          <w:tcPr>
            <w:tcW w:w="78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1,039</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2,661</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991</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63</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16</w:t>
            </w:r>
          </w:p>
        </w:tc>
        <w:tc>
          <w:tcPr>
            <w:tcW w:w="63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31</w:t>
            </w:r>
          </w:p>
        </w:tc>
        <w:tc>
          <w:tcPr>
            <w:tcW w:w="855" w:type="dxa"/>
            <w:shd w:val="clear" w:color="auto" w:fill="auto"/>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3,761</w:t>
            </w:r>
          </w:p>
        </w:tc>
        <w:tc>
          <w:tcPr>
            <w:tcW w:w="855"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3,652</w:t>
            </w:r>
          </w:p>
        </w:tc>
        <w:tc>
          <w:tcPr>
            <w:tcW w:w="784"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4,800</w:t>
            </w:r>
          </w:p>
        </w:tc>
        <w:tc>
          <w:tcPr>
            <w:tcW w:w="800" w:type="dxa"/>
            <w:shd w:val="clear" w:color="auto" w:fill="9AD6F4" w:themeFill="accent1" w:themeFillTint="66"/>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b/>
                <w:sz w:val="16"/>
                <w:szCs w:val="16"/>
              </w:rPr>
            </w:pPr>
            <w:r w:rsidRPr="007D65C0">
              <w:rPr>
                <w:rFonts w:asciiTheme="majorHAnsi" w:hAnsiTheme="majorHAnsi"/>
                <w:b/>
                <w:sz w:val="16"/>
                <w:szCs w:val="16"/>
              </w:rPr>
              <w:t>7,283</w:t>
            </w:r>
          </w:p>
        </w:tc>
      </w:tr>
      <w:tr w:rsidR="007D65C0" w:rsidRPr="00AF0A26" w:rsidTr="004C316C">
        <w:trPr>
          <w:trHeight w:val="400"/>
          <w:jc w:val="center"/>
        </w:trPr>
        <w:tc>
          <w:tcPr>
            <w:tcW w:w="1069" w:type="dxa"/>
            <w:vAlign w:val="center"/>
            <w:hideMark/>
          </w:tcPr>
          <w:p w:rsidR="00AF0A26" w:rsidRPr="007D65C0" w:rsidRDefault="00AF0A26" w:rsidP="009F384C">
            <w:pPr>
              <w:keepNext/>
              <w:keepLines/>
              <w:spacing w:before="40" w:after="40" w:line="240" w:lineRule="auto"/>
              <w:rPr>
                <w:rFonts w:asciiTheme="majorHAnsi" w:hAnsiTheme="majorHAnsi"/>
                <w:b/>
                <w:bCs/>
                <w:sz w:val="16"/>
                <w:szCs w:val="16"/>
              </w:rPr>
            </w:pPr>
            <w:r w:rsidRPr="007D65C0">
              <w:rPr>
                <w:rFonts w:asciiTheme="majorHAnsi" w:hAnsiTheme="majorHAnsi"/>
                <w:b/>
                <w:bCs/>
                <w:sz w:val="16"/>
                <w:szCs w:val="16"/>
              </w:rPr>
              <w:t>EE + Offshore</w:t>
            </w:r>
          </w:p>
        </w:tc>
        <w:tc>
          <w:tcPr>
            <w:tcW w:w="799"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0</w:t>
            </w:r>
          </w:p>
        </w:tc>
        <w:tc>
          <w:tcPr>
            <w:tcW w:w="808"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3,483</w:t>
            </w:r>
          </w:p>
        </w:tc>
        <w:tc>
          <w:tcPr>
            <w:tcW w:w="799"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3,483</w:t>
            </w:r>
          </w:p>
        </w:tc>
        <w:tc>
          <w:tcPr>
            <w:tcW w:w="78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1,039</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675</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251</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20</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5</w:t>
            </w:r>
          </w:p>
        </w:tc>
        <w:tc>
          <w:tcPr>
            <w:tcW w:w="63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10</w:t>
            </w:r>
          </w:p>
        </w:tc>
        <w:tc>
          <w:tcPr>
            <w:tcW w:w="855" w:type="dxa"/>
            <w:shd w:val="clear" w:color="auto" w:fill="auto"/>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961</w:t>
            </w:r>
          </w:p>
        </w:tc>
        <w:tc>
          <w:tcPr>
            <w:tcW w:w="855"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926</w:t>
            </w:r>
          </w:p>
        </w:tc>
        <w:tc>
          <w:tcPr>
            <w:tcW w:w="784"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2,000</w:t>
            </w:r>
          </w:p>
        </w:tc>
        <w:tc>
          <w:tcPr>
            <w:tcW w:w="800" w:type="dxa"/>
            <w:shd w:val="clear" w:color="auto" w:fill="9AD6F4" w:themeFill="accent1" w:themeFillTint="66"/>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b/>
                <w:sz w:val="16"/>
                <w:szCs w:val="16"/>
              </w:rPr>
            </w:pPr>
            <w:r w:rsidRPr="007D65C0">
              <w:rPr>
                <w:rFonts w:asciiTheme="majorHAnsi" w:hAnsiTheme="majorHAnsi"/>
                <w:b/>
                <w:sz w:val="16"/>
                <w:szCs w:val="16"/>
              </w:rPr>
              <w:t>5,483</w:t>
            </w:r>
          </w:p>
        </w:tc>
      </w:tr>
      <w:tr w:rsidR="007D65C0" w:rsidRPr="00AF0A26" w:rsidTr="004C316C">
        <w:trPr>
          <w:trHeight w:val="400"/>
          <w:jc w:val="center"/>
        </w:trPr>
        <w:tc>
          <w:tcPr>
            <w:tcW w:w="1069" w:type="dxa"/>
            <w:vAlign w:val="center"/>
            <w:hideMark/>
          </w:tcPr>
          <w:p w:rsidR="00AF0A26" w:rsidRPr="007D65C0" w:rsidRDefault="00AF0A26" w:rsidP="009F384C">
            <w:pPr>
              <w:keepNext/>
              <w:keepLines/>
              <w:spacing w:before="40" w:after="40" w:line="240" w:lineRule="auto"/>
              <w:rPr>
                <w:rFonts w:asciiTheme="majorHAnsi" w:hAnsiTheme="majorHAnsi"/>
                <w:b/>
                <w:bCs/>
                <w:sz w:val="16"/>
                <w:szCs w:val="16"/>
              </w:rPr>
            </w:pPr>
            <w:r w:rsidRPr="007D65C0">
              <w:rPr>
                <w:rFonts w:asciiTheme="majorHAnsi" w:hAnsiTheme="majorHAnsi"/>
                <w:b/>
                <w:bCs/>
                <w:sz w:val="16"/>
                <w:szCs w:val="16"/>
              </w:rPr>
              <w:t xml:space="preserve">Onshore </w:t>
            </w:r>
            <w:r>
              <w:rPr>
                <w:rFonts w:asciiTheme="majorHAnsi" w:hAnsiTheme="majorHAnsi"/>
                <w:b/>
                <w:bCs/>
                <w:sz w:val="16"/>
                <w:szCs w:val="16"/>
              </w:rPr>
              <w:t>Less EE/PV</w:t>
            </w:r>
            <w:r w:rsidRPr="007D65C0">
              <w:rPr>
                <w:rFonts w:asciiTheme="majorHAnsi" w:hAnsiTheme="majorHAnsi"/>
                <w:b/>
                <w:bCs/>
                <w:sz w:val="16"/>
                <w:szCs w:val="16"/>
              </w:rPr>
              <w:t>s</w:t>
            </w:r>
          </w:p>
        </w:tc>
        <w:tc>
          <w:tcPr>
            <w:tcW w:w="799"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0</w:t>
            </w:r>
          </w:p>
        </w:tc>
        <w:tc>
          <w:tcPr>
            <w:tcW w:w="808"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2,483</w:t>
            </w:r>
          </w:p>
        </w:tc>
        <w:tc>
          <w:tcPr>
            <w:tcW w:w="799"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2,483</w:t>
            </w:r>
          </w:p>
        </w:tc>
        <w:tc>
          <w:tcPr>
            <w:tcW w:w="78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1,039</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4,185</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1,558</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125</w:t>
            </w:r>
          </w:p>
        </w:tc>
        <w:tc>
          <w:tcPr>
            <w:tcW w:w="652"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31</w:t>
            </w:r>
          </w:p>
        </w:tc>
        <w:tc>
          <w:tcPr>
            <w:tcW w:w="634"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63</w:t>
            </w:r>
          </w:p>
        </w:tc>
        <w:tc>
          <w:tcPr>
            <w:tcW w:w="855" w:type="dxa"/>
            <w:shd w:val="clear" w:color="auto" w:fill="auto"/>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5,961</w:t>
            </w:r>
          </w:p>
        </w:tc>
        <w:tc>
          <w:tcPr>
            <w:tcW w:w="855"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5,743</w:t>
            </w:r>
          </w:p>
        </w:tc>
        <w:tc>
          <w:tcPr>
            <w:tcW w:w="784" w:type="dxa"/>
            <w:shd w:val="clear" w:color="auto" w:fill="CCEAF9" w:themeFill="accent1" w:themeFillTint="33"/>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7,000</w:t>
            </w:r>
          </w:p>
        </w:tc>
        <w:tc>
          <w:tcPr>
            <w:tcW w:w="800" w:type="dxa"/>
            <w:shd w:val="clear" w:color="auto" w:fill="9AD6F4" w:themeFill="accent1" w:themeFillTint="66"/>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b/>
                <w:sz w:val="16"/>
                <w:szCs w:val="16"/>
              </w:rPr>
            </w:pPr>
            <w:r w:rsidRPr="007D65C0">
              <w:rPr>
                <w:rFonts w:asciiTheme="majorHAnsi" w:hAnsiTheme="majorHAnsi"/>
                <w:b/>
                <w:sz w:val="16"/>
                <w:szCs w:val="16"/>
              </w:rPr>
              <w:t>9,483</w:t>
            </w:r>
          </w:p>
        </w:tc>
      </w:tr>
      <w:tr w:rsidR="007D65C0" w:rsidRPr="00AF0A26" w:rsidTr="004C316C">
        <w:trPr>
          <w:trHeight w:val="400"/>
          <w:jc w:val="center"/>
        </w:trPr>
        <w:tc>
          <w:tcPr>
            <w:tcW w:w="1069" w:type="dxa"/>
            <w:vAlign w:val="center"/>
            <w:hideMark/>
          </w:tcPr>
          <w:p w:rsidR="00AF0A26" w:rsidRPr="007D65C0" w:rsidRDefault="00AF6389" w:rsidP="009F384C">
            <w:pPr>
              <w:keepNext/>
              <w:keepLines/>
              <w:spacing w:before="40" w:after="40" w:line="240" w:lineRule="auto"/>
              <w:rPr>
                <w:rFonts w:asciiTheme="majorHAnsi" w:hAnsiTheme="majorHAnsi"/>
                <w:b/>
                <w:bCs/>
                <w:sz w:val="16"/>
                <w:szCs w:val="16"/>
              </w:rPr>
            </w:pPr>
            <w:r>
              <w:rPr>
                <w:rFonts w:asciiTheme="majorHAnsi" w:hAnsiTheme="majorHAnsi"/>
                <w:b/>
                <w:bCs/>
                <w:sz w:val="16"/>
                <w:szCs w:val="16"/>
              </w:rPr>
              <w:t>Wind Less Nuclear</w:t>
            </w:r>
          </w:p>
        </w:tc>
        <w:tc>
          <w:tcPr>
            <w:tcW w:w="799"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0</w:t>
            </w:r>
          </w:p>
        </w:tc>
        <w:tc>
          <w:tcPr>
            <w:tcW w:w="808" w:type="dxa"/>
            <w:tcMar>
              <w:left w:w="0" w:type="dxa"/>
              <w:right w:w="115" w:type="dxa"/>
            </w:tcMar>
            <w:vAlign w:val="center"/>
            <w:hideMark/>
          </w:tcPr>
          <w:p w:rsidR="00AF0A26" w:rsidRPr="007D65C0" w:rsidRDefault="00AF0A26" w:rsidP="009F384C">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4,085</w:t>
            </w:r>
          </w:p>
        </w:tc>
        <w:tc>
          <w:tcPr>
            <w:tcW w:w="799" w:type="dxa"/>
            <w:shd w:val="clear" w:color="auto" w:fill="CCEAF9" w:themeFill="accent1" w:themeFillTint="33"/>
            <w:tcMar>
              <w:left w:w="0" w:type="dxa"/>
              <w:right w:w="115" w:type="dxa"/>
            </w:tcMar>
            <w:vAlign w:val="center"/>
            <w:hideMark/>
          </w:tcPr>
          <w:p w:rsidR="00AF0A26" w:rsidRPr="007D65C0" w:rsidRDefault="00AF0A26" w:rsidP="004565FD">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4,085</w:t>
            </w:r>
          </w:p>
        </w:tc>
        <w:tc>
          <w:tcPr>
            <w:tcW w:w="784"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1,039</w:t>
            </w:r>
          </w:p>
        </w:tc>
        <w:tc>
          <w:tcPr>
            <w:tcW w:w="652"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5,523</w:t>
            </w:r>
          </w:p>
        </w:tc>
        <w:tc>
          <w:tcPr>
            <w:tcW w:w="652"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2,056</w:t>
            </w:r>
          </w:p>
        </w:tc>
        <w:tc>
          <w:tcPr>
            <w:tcW w:w="652"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164</w:t>
            </w:r>
          </w:p>
        </w:tc>
        <w:tc>
          <w:tcPr>
            <w:tcW w:w="652"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41</w:t>
            </w:r>
          </w:p>
        </w:tc>
        <w:tc>
          <w:tcPr>
            <w:tcW w:w="634"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83</w:t>
            </w:r>
          </w:p>
        </w:tc>
        <w:tc>
          <w:tcPr>
            <w:tcW w:w="855" w:type="dxa"/>
            <w:shd w:val="clear" w:color="auto" w:fill="auto"/>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7,867</w:t>
            </w:r>
          </w:p>
        </w:tc>
        <w:tc>
          <w:tcPr>
            <w:tcW w:w="855" w:type="dxa"/>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7,579</w:t>
            </w:r>
          </w:p>
        </w:tc>
        <w:tc>
          <w:tcPr>
            <w:tcW w:w="784" w:type="dxa"/>
            <w:shd w:val="clear" w:color="auto" w:fill="CCEAF9" w:themeFill="accent1" w:themeFillTint="33"/>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sz w:val="16"/>
                <w:szCs w:val="16"/>
              </w:rPr>
            </w:pPr>
            <w:r w:rsidRPr="007D65C0">
              <w:rPr>
                <w:rFonts w:asciiTheme="majorHAnsi" w:hAnsiTheme="majorHAnsi"/>
                <w:sz w:val="16"/>
                <w:szCs w:val="16"/>
              </w:rPr>
              <w:t>8,906</w:t>
            </w:r>
          </w:p>
        </w:tc>
        <w:tc>
          <w:tcPr>
            <w:tcW w:w="800" w:type="dxa"/>
            <w:shd w:val="clear" w:color="auto" w:fill="9AD6F4" w:themeFill="accent1" w:themeFillTint="66"/>
            <w:tcMar>
              <w:left w:w="0" w:type="dxa"/>
              <w:right w:w="115" w:type="dxa"/>
            </w:tcMar>
            <w:vAlign w:val="center"/>
            <w:hideMark/>
          </w:tcPr>
          <w:p w:rsidR="00AF0A26" w:rsidRPr="007D65C0" w:rsidRDefault="00AF0A26">
            <w:pPr>
              <w:keepNext/>
              <w:keepLines/>
              <w:spacing w:before="40" w:after="40" w:line="240" w:lineRule="auto"/>
              <w:jc w:val="right"/>
              <w:rPr>
                <w:rFonts w:asciiTheme="majorHAnsi" w:hAnsiTheme="majorHAnsi"/>
                <w:b/>
                <w:sz w:val="16"/>
                <w:szCs w:val="16"/>
              </w:rPr>
            </w:pPr>
            <w:r w:rsidRPr="007D65C0">
              <w:rPr>
                <w:rFonts w:asciiTheme="majorHAnsi" w:hAnsiTheme="majorHAnsi"/>
                <w:b/>
                <w:sz w:val="16"/>
                <w:szCs w:val="16"/>
              </w:rPr>
              <w:t>12,991</w:t>
            </w:r>
          </w:p>
        </w:tc>
      </w:tr>
    </w:tbl>
    <w:p w:rsidR="00AF0A26" w:rsidRDefault="00AF0A26" w:rsidP="00B46640">
      <w:pPr>
        <w:rPr>
          <w:szCs w:val="20"/>
        </w:rPr>
      </w:pPr>
    </w:p>
    <w:p w:rsidR="006D4289" w:rsidRDefault="00572F45" w:rsidP="00B46640">
      <w:pPr>
        <w:rPr>
          <w:rFonts w:eastAsia="Calibri"/>
        </w:rPr>
      </w:pPr>
      <w:r>
        <w:rPr>
          <w:szCs w:val="20"/>
        </w:rPr>
        <w:t>In all scenarios</w:t>
      </w:r>
      <w:r w:rsidR="0084022F" w:rsidRPr="00FD59E0">
        <w:rPr>
          <w:szCs w:val="20"/>
        </w:rPr>
        <w:t xml:space="preserve">, </w:t>
      </w:r>
      <w:r w:rsidR="00C9567B">
        <w:rPr>
          <w:szCs w:val="20"/>
        </w:rPr>
        <w:t xml:space="preserve">onshore </w:t>
      </w:r>
      <w:r w:rsidR="0084022F" w:rsidRPr="00FD59E0">
        <w:rPr>
          <w:szCs w:val="20"/>
        </w:rPr>
        <w:t xml:space="preserve">wind resources were </w:t>
      </w:r>
      <w:r w:rsidR="0084022F" w:rsidRPr="00A753F4">
        <w:rPr>
          <w:rFonts w:eastAsia="Calibri"/>
          <w:spacing w:val="-1"/>
          <w:szCs w:val="20"/>
        </w:rPr>
        <w:t>scaled</w:t>
      </w:r>
      <w:r w:rsidR="0084022F" w:rsidRPr="00A753F4">
        <w:rPr>
          <w:rFonts w:eastAsia="Calibri"/>
          <w:szCs w:val="20"/>
        </w:rPr>
        <w:t xml:space="preserve"> </w:t>
      </w:r>
      <w:r w:rsidR="0084022F" w:rsidRPr="00A753F4">
        <w:rPr>
          <w:rFonts w:eastAsia="Calibri"/>
          <w:spacing w:val="-1"/>
          <w:szCs w:val="20"/>
        </w:rPr>
        <w:t xml:space="preserve">up </w:t>
      </w:r>
      <w:r w:rsidR="00C9567B">
        <w:rPr>
          <w:rFonts w:eastAsia="Calibri"/>
          <w:spacing w:val="-1"/>
          <w:szCs w:val="20"/>
        </w:rPr>
        <w:t xml:space="preserve">from the </w:t>
      </w:r>
      <w:r w:rsidR="00195114">
        <w:rPr>
          <w:rFonts w:eastAsia="Calibri"/>
          <w:spacing w:val="-1"/>
          <w:szCs w:val="20"/>
        </w:rPr>
        <w:t>amount</w:t>
      </w:r>
      <w:r w:rsidR="00C9567B">
        <w:rPr>
          <w:rFonts w:eastAsia="Calibri"/>
          <w:spacing w:val="-1"/>
          <w:szCs w:val="20"/>
        </w:rPr>
        <w:t xml:space="preserve"> assumed </w:t>
      </w:r>
      <w:r w:rsidR="008A5E64">
        <w:rPr>
          <w:rFonts w:eastAsia="Calibri"/>
          <w:spacing w:val="-1"/>
          <w:szCs w:val="20"/>
        </w:rPr>
        <w:t xml:space="preserve">to be </w:t>
      </w:r>
      <w:r w:rsidR="00C9567B">
        <w:rPr>
          <w:rFonts w:eastAsia="Calibri"/>
          <w:spacing w:val="-1"/>
          <w:szCs w:val="20"/>
        </w:rPr>
        <w:t>in</w:t>
      </w:r>
      <w:r w:rsidR="008A5E64">
        <w:rPr>
          <w:rFonts w:eastAsia="Calibri"/>
          <w:spacing w:val="-1"/>
          <w:szCs w:val="20"/>
        </w:rPr>
        <w:t xml:space="preserve"> </w:t>
      </w:r>
      <w:r w:rsidR="00C9567B">
        <w:rPr>
          <w:rFonts w:eastAsia="Calibri"/>
          <w:spacing w:val="-1"/>
          <w:szCs w:val="20"/>
        </w:rPr>
        <w:t>service</w:t>
      </w:r>
      <w:r w:rsidR="00195114">
        <w:rPr>
          <w:rFonts w:eastAsia="Calibri"/>
          <w:spacing w:val="-1"/>
          <w:szCs w:val="20"/>
        </w:rPr>
        <w:t>,</w:t>
      </w:r>
      <w:r w:rsidR="00C9567B">
        <w:rPr>
          <w:rFonts w:eastAsia="Calibri"/>
          <w:spacing w:val="-1"/>
          <w:szCs w:val="20"/>
        </w:rPr>
        <w:t xml:space="preserve"> </w:t>
      </w:r>
      <w:r w:rsidR="00195114">
        <w:rPr>
          <w:rFonts w:eastAsia="Calibri"/>
          <w:spacing w:val="-1"/>
          <w:szCs w:val="20"/>
        </w:rPr>
        <w:t>until the scenario’s desired nameplate amount was reached</w:t>
      </w:r>
      <w:r w:rsidR="0084022F" w:rsidRPr="00FD59E0">
        <w:rPr>
          <w:rFonts w:eastAsia="Calibri"/>
          <w:spacing w:val="-1"/>
          <w:szCs w:val="20"/>
        </w:rPr>
        <w:t xml:space="preserve">. </w:t>
      </w:r>
      <w:r w:rsidR="00C50687">
        <w:rPr>
          <w:rFonts w:eastAsia="Calibri"/>
          <w:spacing w:val="-1"/>
          <w:szCs w:val="20"/>
        </w:rPr>
        <w:t xml:space="preserve">Offshore wind was added off the coast of </w:t>
      </w:r>
      <w:r w:rsidR="008A5E64">
        <w:rPr>
          <w:rFonts w:eastAsia="Calibri"/>
          <w:spacing w:val="-1"/>
          <w:szCs w:val="20"/>
        </w:rPr>
        <w:t>s</w:t>
      </w:r>
      <w:r w:rsidR="00C50687">
        <w:rPr>
          <w:rFonts w:eastAsia="Calibri"/>
          <w:spacing w:val="-1"/>
          <w:szCs w:val="20"/>
        </w:rPr>
        <w:t>outheast</w:t>
      </w:r>
      <w:r w:rsidR="008A5E64">
        <w:rPr>
          <w:rFonts w:eastAsia="Calibri"/>
          <w:spacing w:val="-1"/>
          <w:szCs w:val="20"/>
        </w:rPr>
        <w:t>ern</w:t>
      </w:r>
      <w:r w:rsidR="00C50687">
        <w:rPr>
          <w:rFonts w:eastAsia="Calibri"/>
          <w:spacing w:val="-1"/>
          <w:szCs w:val="20"/>
        </w:rPr>
        <w:t xml:space="preserve"> Massachusetts and Rhode Island at the same locations as used in the 2016 </w:t>
      </w:r>
      <w:r w:rsidR="008A5E64">
        <w:rPr>
          <w:rFonts w:eastAsia="Calibri"/>
          <w:spacing w:val="-1"/>
          <w:szCs w:val="20"/>
        </w:rPr>
        <w:t>NEPOOL Scenario Analysis</w:t>
      </w:r>
      <w:r w:rsidR="00097785">
        <w:rPr>
          <w:rFonts w:eastAsia="Calibri"/>
          <w:spacing w:val="-1"/>
          <w:szCs w:val="20"/>
        </w:rPr>
        <w:t xml:space="preserve"> and used </w:t>
      </w:r>
      <w:r w:rsidR="00097785" w:rsidRPr="00FD7285">
        <w:rPr>
          <w:rFonts w:eastAsia="Calibri"/>
          <w:spacing w:val="-1"/>
          <w:szCs w:val="20"/>
        </w:rPr>
        <w:t>production profiles supplied by NREL</w:t>
      </w:r>
      <w:r w:rsidR="00736E59" w:rsidRPr="00FD7285">
        <w:rPr>
          <w:rFonts w:eastAsia="Calibri"/>
          <w:spacing w:val="-2"/>
          <w:szCs w:val="20"/>
        </w:rPr>
        <w:t>.</w:t>
      </w:r>
      <w:r w:rsidR="0084022F" w:rsidRPr="00FD7285">
        <w:rPr>
          <w:rStyle w:val="FootnoteReference"/>
          <w:rFonts w:eastAsia="Calibri"/>
          <w:spacing w:val="-4"/>
          <w:sz w:val="20"/>
          <w:szCs w:val="20"/>
        </w:rPr>
        <w:footnoteReference w:id="40"/>
      </w:r>
      <w:r w:rsidR="00C50687" w:rsidRPr="00FD7285">
        <w:rPr>
          <w:rFonts w:eastAsia="Calibri"/>
          <w:spacing w:val="-4"/>
          <w:szCs w:val="20"/>
        </w:rPr>
        <w:t xml:space="preserve"> </w:t>
      </w:r>
      <w:r w:rsidR="00E22A94" w:rsidRPr="00FD7285">
        <w:rPr>
          <w:rFonts w:eastAsia="Calibri"/>
          <w:spacing w:val="-4"/>
          <w:szCs w:val="20"/>
        </w:rPr>
        <w:t xml:space="preserve">Although the plants are </w:t>
      </w:r>
      <w:r w:rsidR="0084022F" w:rsidRPr="00FD7285">
        <w:rPr>
          <w:rFonts w:eastAsia="Calibri"/>
          <w:spacing w:val="-4"/>
          <w:szCs w:val="20"/>
        </w:rPr>
        <w:t>assumed to i</w:t>
      </w:r>
      <w:r w:rsidR="0084022F" w:rsidRPr="00FD7285">
        <w:rPr>
          <w:rFonts w:eastAsia="Calibri"/>
          <w:spacing w:val="-2"/>
          <w:szCs w:val="20"/>
        </w:rPr>
        <w:t>nterconnect</w:t>
      </w:r>
      <w:r w:rsidR="0084022F" w:rsidRPr="00FD7285">
        <w:rPr>
          <w:rFonts w:eastAsia="Calibri"/>
          <w:spacing w:val="-4"/>
          <w:szCs w:val="20"/>
        </w:rPr>
        <w:t xml:space="preserve"> </w:t>
      </w:r>
      <w:r w:rsidR="0084022F" w:rsidRPr="00FD7285">
        <w:rPr>
          <w:rFonts w:eastAsia="Calibri"/>
          <w:szCs w:val="20"/>
        </w:rPr>
        <w:t>mainly</w:t>
      </w:r>
      <w:r w:rsidR="0084022F" w:rsidRPr="00FD7285">
        <w:rPr>
          <w:rFonts w:eastAsia="Calibri"/>
          <w:spacing w:val="1"/>
          <w:szCs w:val="20"/>
        </w:rPr>
        <w:t xml:space="preserve"> </w:t>
      </w:r>
      <w:r w:rsidR="0084022F" w:rsidRPr="00FD7285">
        <w:rPr>
          <w:rFonts w:eastAsia="Calibri"/>
          <w:szCs w:val="20"/>
        </w:rPr>
        <w:t>in</w:t>
      </w:r>
      <w:r w:rsidR="0084022F" w:rsidRPr="00FD7285">
        <w:rPr>
          <w:rFonts w:eastAsia="Calibri"/>
          <w:spacing w:val="-3"/>
          <w:szCs w:val="20"/>
        </w:rPr>
        <w:t xml:space="preserve"> </w:t>
      </w:r>
      <w:r w:rsidR="0084022F" w:rsidRPr="00FD7285">
        <w:rPr>
          <w:rFonts w:eastAsia="Calibri"/>
          <w:szCs w:val="20"/>
        </w:rPr>
        <w:t>SEMA</w:t>
      </w:r>
      <w:r w:rsidR="007D0B58" w:rsidRPr="00FD7285">
        <w:rPr>
          <w:rFonts w:eastAsia="Calibri"/>
          <w:szCs w:val="20"/>
        </w:rPr>
        <w:t>/</w:t>
      </w:r>
      <w:r w:rsidR="0084022F" w:rsidRPr="00FD7285">
        <w:rPr>
          <w:rFonts w:eastAsia="Calibri"/>
          <w:szCs w:val="20"/>
        </w:rPr>
        <w:t>RI</w:t>
      </w:r>
      <w:r w:rsidR="00E22A94" w:rsidRPr="00FD7285">
        <w:rPr>
          <w:rFonts w:eastAsia="Calibri"/>
          <w:szCs w:val="20"/>
        </w:rPr>
        <w:t xml:space="preserve">, </w:t>
      </w:r>
      <w:r w:rsidR="000E5E61" w:rsidRPr="00FD7285">
        <w:rPr>
          <w:rFonts w:eastAsia="Calibri"/>
          <w:szCs w:val="20"/>
        </w:rPr>
        <w:t>some interconnect</w:t>
      </w:r>
      <w:r w:rsidR="00BA1A19" w:rsidRPr="00FD7285">
        <w:rPr>
          <w:rFonts w:eastAsia="Calibri"/>
          <w:szCs w:val="20"/>
        </w:rPr>
        <w:t>ions</w:t>
      </w:r>
      <w:r w:rsidR="000E5E61" w:rsidRPr="00FD7285">
        <w:rPr>
          <w:rFonts w:eastAsia="Calibri"/>
          <w:szCs w:val="20"/>
        </w:rPr>
        <w:t xml:space="preserve"> to Connecticut</w:t>
      </w:r>
      <w:r w:rsidR="00E22A94" w:rsidRPr="00FD7285">
        <w:rPr>
          <w:rFonts w:eastAsia="Calibri"/>
          <w:szCs w:val="20"/>
        </w:rPr>
        <w:t xml:space="preserve"> were assumed t</w:t>
      </w:r>
      <w:r w:rsidR="00097785" w:rsidRPr="00FD7285">
        <w:rPr>
          <w:rFonts w:eastAsia="Calibri"/>
          <w:szCs w:val="20"/>
        </w:rPr>
        <w:t xml:space="preserve">hat would eliminate </w:t>
      </w:r>
      <w:r w:rsidR="00E22A94" w:rsidRPr="00FD7285">
        <w:rPr>
          <w:rFonts w:eastAsia="Calibri"/>
          <w:szCs w:val="20"/>
        </w:rPr>
        <w:t xml:space="preserve">costs associated with </w:t>
      </w:r>
      <w:r w:rsidR="00651F44" w:rsidRPr="00FD7285">
        <w:rPr>
          <w:rFonts w:eastAsia="Calibri"/>
          <w:szCs w:val="20"/>
        </w:rPr>
        <w:t xml:space="preserve">the </w:t>
      </w:r>
      <w:r w:rsidR="00E22A94" w:rsidRPr="00FD7285">
        <w:rPr>
          <w:rFonts w:eastAsia="Calibri"/>
          <w:szCs w:val="20"/>
        </w:rPr>
        <w:t>interconnector and congestion</w:t>
      </w:r>
      <w:r w:rsidR="00651F44" w:rsidRPr="00FD7285">
        <w:rPr>
          <w:rFonts w:eastAsia="Calibri"/>
          <w:szCs w:val="20"/>
        </w:rPr>
        <w:t>-</w:t>
      </w:r>
      <w:r w:rsidR="00E22A94" w:rsidRPr="00FD7285">
        <w:rPr>
          <w:rFonts w:eastAsia="Calibri"/>
          <w:szCs w:val="20"/>
        </w:rPr>
        <w:t>relief systems between SEMA/RI and CT</w:t>
      </w:r>
      <w:r w:rsidR="00651F44" w:rsidRPr="00FD7285">
        <w:rPr>
          <w:rFonts w:eastAsia="Calibri"/>
          <w:szCs w:val="20"/>
        </w:rPr>
        <w:t xml:space="preserve"> (see Section </w:t>
      </w:r>
      <w:r w:rsidR="00651F44" w:rsidRPr="00FD7285">
        <w:rPr>
          <w:rFonts w:eastAsia="Calibri"/>
          <w:szCs w:val="20"/>
        </w:rPr>
        <w:fldChar w:fldCharType="begin"/>
      </w:r>
      <w:r w:rsidR="00651F44" w:rsidRPr="00FD7285">
        <w:rPr>
          <w:rFonts w:eastAsia="Calibri"/>
          <w:szCs w:val="20"/>
        </w:rPr>
        <w:instrText xml:space="preserve"> REF _Ref480804991 \r \h </w:instrText>
      </w:r>
      <w:r w:rsidR="00FD7285">
        <w:rPr>
          <w:rFonts w:eastAsia="Calibri"/>
          <w:szCs w:val="20"/>
        </w:rPr>
        <w:instrText xml:space="preserve"> \* MERGEFORMAT </w:instrText>
      </w:r>
      <w:r w:rsidR="00651F44" w:rsidRPr="00FD7285">
        <w:rPr>
          <w:rFonts w:eastAsia="Calibri"/>
          <w:szCs w:val="20"/>
        </w:rPr>
      </w:r>
      <w:r w:rsidR="00651F44" w:rsidRPr="00FD7285">
        <w:rPr>
          <w:rFonts w:eastAsia="Calibri"/>
          <w:szCs w:val="20"/>
        </w:rPr>
        <w:fldChar w:fldCharType="separate"/>
      </w:r>
      <w:r w:rsidR="00872A95">
        <w:rPr>
          <w:rFonts w:eastAsia="Calibri"/>
          <w:szCs w:val="20"/>
        </w:rPr>
        <w:t>5.7.1</w:t>
      </w:r>
      <w:r w:rsidR="00651F44" w:rsidRPr="00FD7285">
        <w:rPr>
          <w:rFonts w:eastAsia="Calibri"/>
          <w:szCs w:val="20"/>
        </w:rPr>
        <w:fldChar w:fldCharType="end"/>
      </w:r>
      <w:r w:rsidR="00651F44" w:rsidRPr="00FD7285">
        <w:rPr>
          <w:rFonts w:eastAsia="Calibri"/>
          <w:szCs w:val="20"/>
        </w:rPr>
        <w:t>)</w:t>
      </w:r>
      <w:r w:rsidR="0084022F" w:rsidRPr="00FD7285">
        <w:rPr>
          <w:rFonts w:eastAsia="Calibri"/>
          <w:szCs w:val="20"/>
        </w:rPr>
        <w:t xml:space="preserve">. </w:t>
      </w:r>
      <w:r w:rsidR="00C43632" w:rsidRPr="00FD7285">
        <w:rPr>
          <w:rFonts w:eastAsia="Calibri"/>
          <w:szCs w:val="20"/>
        </w:rPr>
        <w:t xml:space="preserve"> </w:t>
      </w:r>
      <w:r w:rsidR="00EE154D" w:rsidRPr="00FD7285">
        <w:rPr>
          <w:rFonts w:eastAsia="Calibri"/>
          <w:szCs w:val="20"/>
        </w:rPr>
        <w:fldChar w:fldCharType="begin"/>
      </w:r>
      <w:r w:rsidR="00EE154D" w:rsidRPr="00FD7285">
        <w:rPr>
          <w:rFonts w:eastAsia="Calibri"/>
          <w:szCs w:val="20"/>
        </w:rPr>
        <w:instrText xml:space="preserve"> REF _Ref518053890 \h </w:instrText>
      </w:r>
      <w:r w:rsidR="007D36A8" w:rsidRPr="00FD7285">
        <w:rPr>
          <w:rFonts w:eastAsia="Calibri"/>
          <w:szCs w:val="20"/>
        </w:rPr>
        <w:instrText xml:space="preserve"> \* MERGEFORMAT </w:instrText>
      </w:r>
      <w:r w:rsidR="00EE154D" w:rsidRPr="00FD7285">
        <w:rPr>
          <w:rFonts w:eastAsia="Calibri"/>
          <w:szCs w:val="20"/>
        </w:rPr>
      </w:r>
      <w:r w:rsidR="00EE154D" w:rsidRPr="00FD7285">
        <w:rPr>
          <w:rFonts w:eastAsia="Calibri"/>
          <w:szCs w:val="20"/>
        </w:rPr>
        <w:fldChar w:fldCharType="separate"/>
      </w:r>
      <w:r w:rsidR="00872A95">
        <w:t xml:space="preserve">Table </w:t>
      </w:r>
      <w:r w:rsidR="00872A95">
        <w:rPr>
          <w:noProof/>
        </w:rPr>
        <w:t>5</w:t>
      </w:r>
      <w:r w:rsidR="00872A95">
        <w:rPr>
          <w:noProof/>
        </w:rPr>
        <w:noBreakHyphen/>
        <w:t>8</w:t>
      </w:r>
      <w:r w:rsidR="00EE154D" w:rsidRPr="00FD7285">
        <w:rPr>
          <w:rFonts w:eastAsia="Calibri"/>
          <w:szCs w:val="20"/>
        </w:rPr>
        <w:fldChar w:fldCharType="end"/>
      </w:r>
      <w:r w:rsidR="0084022F" w:rsidRPr="00FD7285">
        <w:rPr>
          <w:rFonts w:eastAsia="Calibri"/>
        </w:rPr>
        <w:t xml:space="preserve"> s</w:t>
      </w:r>
      <w:r w:rsidR="004960A0" w:rsidRPr="00FD7285">
        <w:rPr>
          <w:rFonts w:eastAsia="Calibri"/>
        </w:rPr>
        <w:t xml:space="preserve">ummarizes </w:t>
      </w:r>
      <w:r w:rsidR="0084022F" w:rsidRPr="00FD7285">
        <w:rPr>
          <w:rFonts w:eastAsia="Calibri"/>
        </w:rPr>
        <w:t xml:space="preserve">the assumptions used for onshore </w:t>
      </w:r>
      <w:r w:rsidR="00EB5279" w:rsidRPr="00FD7285">
        <w:rPr>
          <w:rFonts w:eastAsia="Calibri"/>
        </w:rPr>
        <w:t xml:space="preserve">and offshore </w:t>
      </w:r>
      <w:r w:rsidR="0084022F" w:rsidRPr="00FD7285">
        <w:rPr>
          <w:rFonts w:eastAsia="Calibri"/>
        </w:rPr>
        <w:t>wind generation</w:t>
      </w:r>
      <w:r w:rsidR="0084022F" w:rsidRPr="00B46640">
        <w:rPr>
          <w:rFonts w:eastAsia="Calibri"/>
        </w:rPr>
        <w:t xml:space="preserve"> nameplate </w:t>
      </w:r>
      <w:r w:rsidR="00EB5279" w:rsidRPr="00B46640">
        <w:rPr>
          <w:rFonts w:eastAsia="Calibri"/>
        </w:rPr>
        <w:t>values</w:t>
      </w:r>
      <w:r w:rsidR="0084022F" w:rsidRPr="00B46640">
        <w:rPr>
          <w:rFonts w:eastAsia="Calibri"/>
        </w:rPr>
        <w:t xml:space="preserve"> for </w:t>
      </w:r>
      <w:r w:rsidR="00851358">
        <w:rPr>
          <w:rFonts w:eastAsia="Calibri"/>
        </w:rPr>
        <w:t xml:space="preserve">the </w:t>
      </w:r>
      <w:r w:rsidR="008A5E64">
        <w:rPr>
          <w:rFonts w:eastAsia="Calibri"/>
        </w:rPr>
        <w:t xml:space="preserve">2030 </w:t>
      </w:r>
      <w:r w:rsidR="00851358">
        <w:rPr>
          <w:rFonts w:eastAsia="Calibri"/>
        </w:rPr>
        <w:t>study year</w:t>
      </w:r>
      <w:r w:rsidR="00AF0A26">
        <w:rPr>
          <w:rFonts w:eastAsia="Calibri"/>
        </w:rPr>
        <w:t>.</w:t>
      </w:r>
    </w:p>
    <w:p w:rsidR="00010FE9" w:rsidRDefault="002E0E68" w:rsidP="006D4289">
      <w:pPr>
        <w:pStyle w:val="Caption"/>
        <w:widowControl w:val="0"/>
        <w:jc w:val="center"/>
        <w:rPr>
          <w:rFonts w:asciiTheme="minorHAnsi" w:eastAsia="Calibri" w:hAnsiTheme="minorHAnsi" w:cstheme="minorHAnsi"/>
          <w:sz w:val="16"/>
          <w:szCs w:val="16"/>
        </w:rPr>
      </w:pPr>
      <w:bookmarkStart w:id="140" w:name="_Ref518053890"/>
      <w:bookmarkStart w:id="141" w:name="_Toc520721023"/>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DA7D6C">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8</w:t>
      </w:r>
      <w:r w:rsidR="00EA3757">
        <w:rPr>
          <w:noProof/>
        </w:rPr>
        <w:fldChar w:fldCharType="end"/>
      </w:r>
      <w:bookmarkEnd w:id="140"/>
      <w:r>
        <w:rPr>
          <w:noProof/>
        </w:rPr>
        <w:br/>
        <w:t>Assumptions Used for Onshore and Offshore Wind Generation Nameplate Values, 2030 (MW)</w:t>
      </w:r>
      <w:bookmarkEnd w:id="141"/>
      <w:r w:rsidR="008528DF" w:rsidRPr="00B46640">
        <w:t xml:space="preserve"> </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865"/>
        <w:gridCol w:w="1200"/>
        <w:gridCol w:w="1340"/>
        <w:gridCol w:w="1340"/>
        <w:gridCol w:w="1220"/>
      </w:tblGrid>
      <w:tr w:rsidR="002E0E68" w:rsidRPr="002E0E68" w:rsidTr="006023CD">
        <w:trPr>
          <w:trHeight w:val="276"/>
          <w:jc w:val="center"/>
        </w:trPr>
        <w:tc>
          <w:tcPr>
            <w:tcW w:w="2865" w:type="dxa"/>
            <w:shd w:val="clear" w:color="auto" w:fill="1795D2" w:themeFill="accent1"/>
            <w:noWrap/>
            <w:vAlign w:val="center"/>
            <w:hideMark/>
          </w:tcPr>
          <w:p w:rsidR="00C50687" w:rsidRPr="00EE154D" w:rsidRDefault="0046331C" w:rsidP="00EE154D">
            <w:pPr>
              <w:keepNext/>
              <w:keepLines/>
              <w:spacing w:before="40" w:after="40" w:line="240" w:lineRule="auto"/>
              <w:jc w:val="center"/>
              <w:rPr>
                <w:rFonts w:asciiTheme="minorHAnsi" w:eastAsia="Calibri" w:hAnsiTheme="minorHAnsi"/>
                <w:b/>
                <w:color w:val="FFFFFF" w:themeColor="background1"/>
                <w:sz w:val="18"/>
                <w:szCs w:val="18"/>
              </w:rPr>
            </w:pPr>
            <w:r w:rsidRPr="00EE154D">
              <w:rPr>
                <w:rFonts w:asciiTheme="minorHAnsi" w:eastAsia="Calibri" w:hAnsiTheme="minorHAnsi"/>
                <w:b/>
                <w:color w:val="FFFFFF" w:themeColor="background1"/>
                <w:sz w:val="18"/>
                <w:szCs w:val="18"/>
              </w:rPr>
              <w:t>Variable</w:t>
            </w:r>
            <w:r w:rsidRPr="00EE154D">
              <w:rPr>
                <w:rFonts w:asciiTheme="minorHAnsi" w:eastAsia="Calibri" w:hAnsiTheme="minorHAnsi"/>
                <w:b/>
                <w:color w:val="FFFFFF" w:themeColor="background1"/>
                <w:sz w:val="18"/>
                <w:szCs w:val="18"/>
                <w:vertAlign w:val="superscript"/>
              </w:rPr>
              <w:t>(a)</w:t>
            </w:r>
          </w:p>
        </w:tc>
        <w:tc>
          <w:tcPr>
            <w:tcW w:w="1200" w:type="dxa"/>
            <w:shd w:val="clear" w:color="auto" w:fill="1795D2" w:themeFill="accent1"/>
            <w:vAlign w:val="center"/>
            <w:hideMark/>
          </w:tcPr>
          <w:p w:rsidR="00C50687" w:rsidRPr="002E0E68" w:rsidRDefault="002E0E68" w:rsidP="00EE154D">
            <w:pPr>
              <w:keepNext/>
              <w:keepLines/>
              <w:spacing w:before="40" w:after="40" w:line="240" w:lineRule="auto"/>
              <w:jc w:val="center"/>
              <w:rPr>
                <w:rFonts w:asciiTheme="minorHAnsi" w:eastAsia="Calibri" w:hAnsiTheme="minorHAnsi"/>
                <w:b/>
                <w:bCs/>
                <w:color w:val="FFFFFF" w:themeColor="background1"/>
                <w:sz w:val="18"/>
                <w:szCs w:val="18"/>
              </w:rPr>
            </w:pPr>
            <w:r w:rsidRPr="002E0E68">
              <w:rPr>
                <w:rFonts w:asciiTheme="minorHAnsi" w:eastAsia="Calibri" w:hAnsiTheme="minorHAnsi"/>
                <w:b/>
                <w:bCs/>
                <w:color w:val="FFFFFF" w:themeColor="background1"/>
                <w:sz w:val="18"/>
                <w:szCs w:val="18"/>
              </w:rPr>
              <w:t>Reference</w:t>
            </w:r>
            <w:r w:rsidRPr="002E0E68">
              <w:rPr>
                <w:rFonts w:asciiTheme="minorHAnsi" w:eastAsia="Calibri" w:hAnsiTheme="minorHAnsi"/>
                <w:b/>
                <w:bCs/>
                <w:color w:val="FFFFFF" w:themeColor="background1"/>
                <w:sz w:val="18"/>
                <w:szCs w:val="18"/>
              </w:rPr>
              <w:br/>
            </w:r>
            <w:r w:rsidR="00C50687" w:rsidRPr="002E0E68">
              <w:rPr>
                <w:rFonts w:asciiTheme="minorHAnsi" w:eastAsia="Calibri" w:hAnsiTheme="minorHAnsi"/>
                <w:b/>
                <w:bCs/>
                <w:color w:val="FFFFFF" w:themeColor="background1"/>
                <w:sz w:val="18"/>
                <w:szCs w:val="18"/>
              </w:rPr>
              <w:t>Renew Plus</w:t>
            </w:r>
          </w:p>
        </w:tc>
        <w:tc>
          <w:tcPr>
            <w:tcW w:w="1340" w:type="dxa"/>
            <w:shd w:val="clear" w:color="auto" w:fill="1795D2" w:themeFill="accent1"/>
            <w:vAlign w:val="center"/>
            <w:hideMark/>
          </w:tcPr>
          <w:p w:rsidR="00C50687" w:rsidRPr="002E0E68" w:rsidRDefault="002E0E68" w:rsidP="00EE154D">
            <w:pPr>
              <w:keepNext/>
              <w:keepLines/>
              <w:spacing w:before="40" w:after="40" w:line="240" w:lineRule="auto"/>
              <w:jc w:val="center"/>
              <w:rPr>
                <w:rFonts w:asciiTheme="minorHAnsi" w:eastAsia="Calibri" w:hAnsiTheme="minorHAnsi"/>
                <w:b/>
                <w:bCs/>
                <w:color w:val="FFFFFF" w:themeColor="background1"/>
                <w:sz w:val="18"/>
                <w:szCs w:val="18"/>
              </w:rPr>
            </w:pPr>
            <w:r w:rsidRPr="002E0E68">
              <w:rPr>
                <w:rFonts w:asciiTheme="minorHAnsi" w:eastAsia="Calibri" w:hAnsiTheme="minorHAnsi"/>
                <w:b/>
                <w:bCs/>
                <w:color w:val="FFFFFF" w:themeColor="background1"/>
                <w:sz w:val="18"/>
                <w:szCs w:val="18"/>
              </w:rPr>
              <w:t>Scenario A</w:t>
            </w:r>
            <w:r w:rsidRPr="002E0E68">
              <w:rPr>
                <w:rFonts w:asciiTheme="minorHAnsi" w:eastAsia="Calibri" w:hAnsiTheme="minorHAnsi"/>
                <w:b/>
                <w:bCs/>
                <w:color w:val="FFFFFF" w:themeColor="background1"/>
                <w:sz w:val="18"/>
                <w:szCs w:val="18"/>
              </w:rPr>
              <w:br/>
            </w:r>
            <w:r w:rsidR="00C50687" w:rsidRPr="002E0E68">
              <w:rPr>
                <w:rFonts w:asciiTheme="minorHAnsi" w:eastAsia="Calibri" w:hAnsiTheme="minorHAnsi"/>
                <w:b/>
                <w:bCs/>
                <w:color w:val="FFFFFF" w:themeColor="background1"/>
                <w:sz w:val="18"/>
                <w:szCs w:val="18"/>
              </w:rPr>
              <w:t>EE + Offshore</w:t>
            </w:r>
          </w:p>
        </w:tc>
        <w:tc>
          <w:tcPr>
            <w:tcW w:w="1340" w:type="dxa"/>
            <w:shd w:val="clear" w:color="auto" w:fill="1795D2" w:themeFill="accent1"/>
            <w:vAlign w:val="center"/>
            <w:hideMark/>
          </w:tcPr>
          <w:p w:rsidR="00C50687" w:rsidRPr="002E0E68" w:rsidRDefault="002E0E68" w:rsidP="00EE154D">
            <w:pPr>
              <w:keepNext/>
              <w:keepLines/>
              <w:spacing w:before="40" w:after="40" w:line="240" w:lineRule="auto"/>
              <w:jc w:val="center"/>
              <w:rPr>
                <w:rFonts w:asciiTheme="minorHAnsi" w:eastAsia="Calibri" w:hAnsiTheme="minorHAnsi"/>
                <w:b/>
                <w:bCs/>
                <w:color w:val="FFFFFF" w:themeColor="background1"/>
                <w:sz w:val="18"/>
                <w:szCs w:val="18"/>
              </w:rPr>
            </w:pPr>
            <w:r w:rsidRPr="002E0E68">
              <w:rPr>
                <w:rFonts w:asciiTheme="minorHAnsi" w:eastAsia="Calibri" w:hAnsiTheme="minorHAnsi"/>
                <w:b/>
                <w:bCs/>
                <w:color w:val="FFFFFF" w:themeColor="background1"/>
                <w:sz w:val="18"/>
                <w:szCs w:val="18"/>
              </w:rPr>
              <w:t>Scenario B</w:t>
            </w:r>
            <w:r w:rsidRPr="002E0E68">
              <w:rPr>
                <w:rFonts w:asciiTheme="minorHAnsi" w:eastAsia="Calibri" w:hAnsiTheme="minorHAnsi"/>
                <w:b/>
                <w:bCs/>
                <w:color w:val="FFFFFF" w:themeColor="background1"/>
                <w:sz w:val="18"/>
                <w:szCs w:val="18"/>
              </w:rPr>
              <w:br/>
            </w:r>
            <w:r w:rsidR="00C50687" w:rsidRPr="002E0E68">
              <w:rPr>
                <w:rFonts w:asciiTheme="minorHAnsi" w:eastAsia="Calibri" w:hAnsiTheme="minorHAnsi"/>
                <w:b/>
                <w:bCs/>
                <w:color w:val="FFFFFF" w:themeColor="background1"/>
                <w:sz w:val="18"/>
                <w:szCs w:val="18"/>
              </w:rPr>
              <w:t xml:space="preserve">Onshore </w:t>
            </w:r>
            <w:r w:rsidRPr="002E0E68">
              <w:rPr>
                <w:rFonts w:asciiTheme="minorHAnsi" w:eastAsia="Calibri" w:hAnsiTheme="minorHAnsi"/>
                <w:b/>
                <w:bCs/>
                <w:color w:val="FFFFFF" w:themeColor="background1"/>
                <w:sz w:val="18"/>
                <w:szCs w:val="18"/>
              </w:rPr>
              <w:t>Less EE/PV</w:t>
            </w:r>
          </w:p>
        </w:tc>
        <w:tc>
          <w:tcPr>
            <w:tcW w:w="1220" w:type="dxa"/>
            <w:shd w:val="clear" w:color="auto" w:fill="1795D2" w:themeFill="accent1"/>
            <w:vAlign w:val="center"/>
            <w:hideMark/>
          </w:tcPr>
          <w:p w:rsidR="00C50687" w:rsidRPr="002E0E68" w:rsidRDefault="002E0E68" w:rsidP="00EE154D">
            <w:pPr>
              <w:keepNext/>
              <w:keepLines/>
              <w:spacing w:before="40" w:after="40" w:line="240" w:lineRule="auto"/>
              <w:jc w:val="center"/>
              <w:rPr>
                <w:rFonts w:asciiTheme="minorHAnsi" w:eastAsia="Calibri" w:hAnsiTheme="minorHAnsi"/>
                <w:b/>
                <w:bCs/>
                <w:color w:val="FFFFFF" w:themeColor="background1"/>
                <w:sz w:val="18"/>
                <w:szCs w:val="18"/>
              </w:rPr>
            </w:pPr>
            <w:r w:rsidRPr="002E0E68">
              <w:rPr>
                <w:rFonts w:asciiTheme="minorHAnsi" w:eastAsia="Calibri" w:hAnsiTheme="minorHAnsi"/>
                <w:b/>
                <w:bCs/>
                <w:color w:val="FFFFFF" w:themeColor="background1"/>
                <w:sz w:val="18"/>
                <w:szCs w:val="18"/>
              </w:rPr>
              <w:t>Scenario C</w:t>
            </w:r>
            <w:r w:rsidRPr="002E0E68">
              <w:rPr>
                <w:rFonts w:asciiTheme="minorHAnsi" w:eastAsia="Calibri" w:hAnsiTheme="minorHAnsi"/>
                <w:b/>
                <w:bCs/>
                <w:color w:val="FFFFFF" w:themeColor="background1"/>
                <w:sz w:val="18"/>
                <w:szCs w:val="18"/>
              </w:rPr>
              <w:br/>
            </w:r>
            <w:r w:rsidR="00AF6389">
              <w:rPr>
                <w:rFonts w:asciiTheme="minorHAnsi" w:eastAsia="Calibri" w:hAnsiTheme="minorHAnsi"/>
                <w:b/>
                <w:bCs/>
                <w:color w:val="FFFFFF" w:themeColor="background1"/>
                <w:sz w:val="18"/>
                <w:szCs w:val="18"/>
              </w:rPr>
              <w:t>Wind Less Nuclear</w:t>
            </w:r>
          </w:p>
        </w:tc>
      </w:tr>
      <w:tr w:rsidR="00C50687" w:rsidRPr="002E0E68" w:rsidTr="006023CD">
        <w:trPr>
          <w:cantSplit/>
          <w:trHeight w:val="360"/>
          <w:jc w:val="center"/>
        </w:trPr>
        <w:tc>
          <w:tcPr>
            <w:tcW w:w="2865" w:type="dxa"/>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Existing onshore wind in service</w:t>
            </w:r>
          </w:p>
        </w:tc>
        <w:tc>
          <w:tcPr>
            <w:tcW w:w="120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1,039</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1,039</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1,039</w:t>
            </w:r>
          </w:p>
        </w:tc>
        <w:tc>
          <w:tcPr>
            <w:tcW w:w="122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1,039</w:t>
            </w:r>
          </w:p>
        </w:tc>
      </w:tr>
      <w:tr w:rsidR="00C50687" w:rsidRPr="002E0E68" w:rsidTr="006023CD">
        <w:trPr>
          <w:cantSplit/>
          <w:trHeight w:val="360"/>
          <w:jc w:val="center"/>
        </w:trPr>
        <w:tc>
          <w:tcPr>
            <w:tcW w:w="2865" w:type="dxa"/>
            <w:shd w:val="clear" w:color="auto" w:fill="CCEAF9" w:themeFill="accent1" w:themeFillTint="33"/>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SEMA/RI offshore wind added</w:t>
            </w:r>
          </w:p>
        </w:tc>
        <w:tc>
          <w:tcPr>
            <w:tcW w:w="120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2,483</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3,483</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2,483</w:t>
            </w:r>
          </w:p>
        </w:tc>
        <w:tc>
          <w:tcPr>
            <w:tcW w:w="122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4,085</w:t>
            </w:r>
          </w:p>
        </w:tc>
      </w:tr>
      <w:tr w:rsidR="00C50687" w:rsidRPr="002E0E68" w:rsidTr="006023CD">
        <w:trPr>
          <w:cantSplit/>
          <w:trHeight w:val="360"/>
          <w:jc w:val="center"/>
        </w:trPr>
        <w:tc>
          <w:tcPr>
            <w:tcW w:w="2865" w:type="dxa"/>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BHE wind added</w:t>
            </w:r>
          </w:p>
        </w:tc>
        <w:tc>
          <w:tcPr>
            <w:tcW w:w="120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2,661</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675</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4,185</w:t>
            </w:r>
          </w:p>
        </w:tc>
        <w:tc>
          <w:tcPr>
            <w:tcW w:w="122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5,523</w:t>
            </w:r>
          </w:p>
        </w:tc>
      </w:tr>
      <w:tr w:rsidR="00C50687" w:rsidRPr="002E0E68" w:rsidTr="006023CD">
        <w:trPr>
          <w:cantSplit/>
          <w:trHeight w:val="360"/>
          <w:jc w:val="center"/>
        </w:trPr>
        <w:tc>
          <w:tcPr>
            <w:tcW w:w="2865" w:type="dxa"/>
            <w:shd w:val="clear" w:color="auto" w:fill="CCEAF9" w:themeFill="accent1" w:themeFillTint="33"/>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ME wind added</w:t>
            </w:r>
          </w:p>
        </w:tc>
        <w:tc>
          <w:tcPr>
            <w:tcW w:w="120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991</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251</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1,558</w:t>
            </w:r>
          </w:p>
        </w:tc>
        <w:tc>
          <w:tcPr>
            <w:tcW w:w="122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2,056</w:t>
            </w:r>
          </w:p>
        </w:tc>
      </w:tr>
      <w:tr w:rsidR="00C50687" w:rsidRPr="002E0E68" w:rsidTr="006023CD">
        <w:trPr>
          <w:cantSplit/>
          <w:trHeight w:val="360"/>
          <w:jc w:val="center"/>
        </w:trPr>
        <w:tc>
          <w:tcPr>
            <w:tcW w:w="2865" w:type="dxa"/>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NH wind added</w:t>
            </w:r>
          </w:p>
        </w:tc>
        <w:tc>
          <w:tcPr>
            <w:tcW w:w="120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63</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20</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125</w:t>
            </w:r>
          </w:p>
        </w:tc>
        <w:tc>
          <w:tcPr>
            <w:tcW w:w="122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164</w:t>
            </w:r>
          </w:p>
        </w:tc>
      </w:tr>
      <w:tr w:rsidR="00C50687" w:rsidRPr="002E0E68" w:rsidTr="006023CD">
        <w:trPr>
          <w:cantSplit/>
          <w:trHeight w:val="360"/>
          <w:jc w:val="center"/>
        </w:trPr>
        <w:tc>
          <w:tcPr>
            <w:tcW w:w="2865" w:type="dxa"/>
            <w:shd w:val="clear" w:color="auto" w:fill="CCEAF9" w:themeFill="accent1" w:themeFillTint="33"/>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VT wind added</w:t>
            </w:r>
          </w:p>
        </w:tc>
        <w:tc>
          <w:tcPr>
            <w:tcW w:w="120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16</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5</w:t>
            </w:r>
          </w:p>
        </w:tc>
        <w:tc>
          <w:tcPr>
            <w:tcW w:w="134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31</w:t>
            </w:r>
          </w:p>
        </w:tc>
        <w:tc>
          <w:tcPr>
            <w:tcW w:w="1220" w:type="dxa"/>
            <w:shd w:val="clear" w:color="auto" w:fill="CCEAF9" w:themeFill="accent1" w:themeFillTint="33"/>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41</w:t>
            </w:r>
          </w:p>
        </w:tc>
      </w:tr>
      <w:tr w:rsidR="00C50687" w:rsidRPr="002E0E68" w:rsidTr="006023CD">
        <w:trPr>
          <w:cantSplit/>
          <w:trHeight w:val="360"/>
          <w:jc w:val="center"/>
        </w:trPr>
        <w:tc>
          <w:tcPr>
            <w:tcW w:w="2865" w:type="dxa"/>
            <w:noWrap/>
            <w:vAlign w:val="center"/>
            <w:hideMark/>
          </w:tcPr>
          <w:p w:rsidR="00C50687" w:rsidRPr="002E0E68" w:rsidRDefault="00C50687" w:rsidP="00EE154D">
            <w:pPr>
              <w:keepNext/>
              <w:keepLines/>
              <w:spacing w:before="40" w:after="40" w:line="240" w:lineRule="auto"/>
              <w:rPr>
                <w:rFonts w:asciiTheme="minorHAnsi" w:eastAsia="Calibri" w:hAnsiTheme="minorHAnsi"/>
                <w:sz w:val="18"/>
                <w:szCs w:val="18"/>
              </w:rPr>
            </w:pPr>
            <w:r w:rsidRPr="002E0E68">
              <w:rPr>
                <w:rFonts w:asciiTheme="minorHAnsi" w:eastAsia="Calibri" w:hAnsiTheme="minorHAnsi"/>
                <w:sz w:val="18"/>
                <w:szCs w:val="18"/>
              </w:rPr>
              <w:t>WMA wind added</w:t>
            </w:r>
          </w:p>
        </w:tc>
        <w:tc>
          <w:tcPr>
            <w:tcW w:w="120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31</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10</w:t>
            </w:r>
          </w:p>
        </w:tc>
        <w:tc>
          <w:tcPr>
            <w:tcW w:w="134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63</w:t>
            </w:r>
          </w:p>
        </w:tc>
        <w:tc>
          <w:tcPr>
            <w:tcW w:w="1220" w:type="dxa"/>
            <w:noWrap/>
            <w:vAlign w:val="center"/>
            <w:hideMark/>
          </w:tcPr>
          <w:p w:rsidR="00C50687" w:rsidRPr="002E0E68" w:rsidRDefault="00C50687" w:rsidP="00EE154D">
            <w:pPr>
              <w:keepNext/>
              <w:keepLines/>
              <w:spacing w:before="40" w:after="40" w:line="240" w:lineRule="auto"/>
              <w:jc w:val="right"/>
              <w:rPr>
                <w:rFonts w:asciiTheme="minorHAnsi" w:eastAsia="Calibri" w:hAnsiTheme="minorHAnsi"/>
                <w:sz w:val="18"/>
                <w:szCs w:val="18"/>
              </w:rPr>
            </w:pPr>
            <w:r w:rsidRPr="002E0E68">
              <w:rPr>
                <w:rFonts w:asciiTheme="minorHAnsi" w:eastAsia="Calibri" w:hAnsiTheme="minorHAnsi"/>
                <w:sz w:val="18"/>
                <w:szCs w:val="18"/>
              </w:rPr>
              <w:t>83</w:t>
            </w:r>
          </w:p>
        </w:tc>
      </w:tr>
    </w:tbl>
    <w:p w:rsidR="009545B4" w:rsidRDefault="00D96938" w:rsidP="006023CD">
      <w:pPr>
        <w:pStyle w:val="Caption"/>
        <w:widowControl w:val="0"/>
        <w:numPr>
          <w:ilvl w:val="0"/>
          <w:numId w:val="83"/>
        </w:numPr>
        <w:spacing w:before="120" w:after="240"/>
        <w:ind w:left="990" w:hanging="270"/>
        <w:rPr>
          <w:rFonts w:asciiTheme="minorHAnsi" w:eastAsia="Calibri" w:hAnsiTheme="minorHAnsi" w:cstheme="minorHAnsi"/>
          <w:b w:val="0"/>
          <w:sz w:val="16"/>
          <w:szCs w:val="16"/>
        </w:rPr>
      </w:pPr>
      <w:r w:rsidRPr="00E660C2">
        <w:rPr>
          <w:rFonts w:asciiTheme="minorHAnsi" w:eastAsia="Calibri" w:hAnsiTheme="minorHAnsi" w:cstheme="minorHAnsi"/>
          <w:b w:val="0"/>
          <w:sz w:val="16"/>
          <w:szCs w:val="16"/>
        </w:rPr>
        <w:t>Additions include wind resources with I.3.9</w:t>
      </w:r>
      <w:r w:rsidR="003B1F3F" w:rsidRPr="00E660C2">
        <w:rPr>
          <w:rFonts w:asciiTheme="minorHAnsi" w:eastAsia="Calibri" w:hAnsiTheme="minorHAnsi" w:cstheme="minorHAnsi"/>
          <w:b w:val="0"/>
          <w:sz w:val="16"/>
          <w:szCs w:val="16"/>
        </w:rPr>
        <w:t xml:space="preserve"> approval</w:t>
      </w:r>
      <w:r w:rsidRPr="00E660C2">
        <w:rPr>
          <w:rFonts w:asciiTheme="minorHAnsi" w:eastAsia="Calibri" w:hAnsiTheme="minorHAnsi" w:cstheme="minorHAnsi"/>
          <w:b w:val="0"/>
          <w:sz w:val="16"/>
          <w:szCs w:val="16"/>
        </w:rPr>
        <w:t xml:space="preserve">. </w:t>
      </w:r>
    </w:p>
    <w:p w:rsidR="0030601D" w:rsidRPr="00EE154D" w:rsidRDefault="0030601D" w:rsidP="00D27B9E">
      <w:pPr>
        <w:pStyle w:val="Heading3"/>
      </w:pPr>
      <w:bookmarkStart w:id="142" w:name="_Toc528571207"/>
      <w:r w:rsidRPr="00F66E6B">
        <w:t>Resource Retirements</w:t>
      </w:r>
      <w:bookmarkEnd w:id="142"/>
      <w:r w:rsidR="00E324D5" w:rsidRPr="00F66E6B">
        <w:t xml:space="preserve"> </w:t>
      </w:r>
      <w:r w:rsidR="004C2828" w:rsidRPr="00F66E6B">
        <w:t xml:space="preserve"> </w:t>
      </w:r>
    </w:p>
    <w:p w:rsidR="00E357BB" w:rsidRDefault="0030601D" w:rsidP="007A529F">
      <w:r>
        <w:t>For all scenarios</w:t>
      </w:r>
      <w:r w:rsidR="00AF6FBD">
        <w:t xml:space="preserve">, the retirement of existing resources is in </w:t>
      </w:r>
      <w:r>
        <w:t xml:space="preserve">accordance with FCA </w:t>
      </w:r>
      <w:r w:rsidR="00AF6FBD">
        <w:t>#</w:t>
      </w:r>
      <w:r>
        <w:t>10 results</w:t>
      </w:r>
      <w:r w:rsidR="004D7C64">
        <w:t>;</w:t>
      </w:r>
      <w:r w:rsidR="00E357BB">
        <w:t xml:space="preserve"> a</w:t>
      </w:r>
      <w:r w:rsidR="00E55C4C">
        <w:t xml:space="preserve">dditional </w:t>
      </w:r>
      <w:r w:rsidR="00AF6FBD">
        <w:t>retirement assumptions were made</w:t>
      </w:r>
      <w:r w:rsidR="00221D93">
        <w:t xml:space="preserve"> consistent with the resource assumptions</w:t>
      </w:r>
      <w:r w:rsidR="00E357BB">
        <w:t xml:space="preserve"> for </w:t>
      </w:r>
      <w:r w:rsidR="00904B46">
        <w:t>the Renew Plus s</w:t>
      </w:r>
      <w:r w:rsidR="00E357BB">
        <w:t xml:space="preserve">cenario in the 2016 </w:t>
      </w:r>
      <w:r w:rsidR="004D7C64">
        <w:t>NEPOOL Scenario Analysis</w:t>
      </w:r>
      <w:r w:rsidR="00E357BB">
        <w:t xml:space="preserve">. </w:t>
      </w:r>
      <w:r w:rsidR="00DF560F">
        <w:fldChar w:fldCharType="begin"/>
      </w:r>
      <w:r w:rsidR="00DF560F">
        <w:instrText xml:space="preserve"> REF _Ref462295275 \h </w:instrText>
      </w:r>
      <w:r w:rsidR="00DF560F">
        <w:fldChar w:fldCharType="separate"/>
      </w:r>
      <w:r w:rsidR="00872A95" w:rsidRPr="005108C7">
        <w:t xml:space="preserve">Table </w:t>
      </w:r>
      <w:r w:rsidR="00872A95">
        <w:rPr>
          <w:noProof/>
        </w:rPr>
        <w:t>5</w:t>
      </w:r>
      <w:r w:rsidR="00872A95" w:rsidRPr="005108C7">
        <w:noBreakHyphen/>
      </w:r>
      <w:r w:rsidR="00872A95">
        <w:rPr>
          <w:noProof/>
        </w:rPr>
        <w:t>9</w:t>
      </w:r>
      <w:r w:rsidR="00DF560F">
        <w:fldChar w:fldCharType="end"/>
      </w:r>
      <w:r w:rsidR="00E357BB">
        <w:t xml:space="preserve"> lists the assumed retirements of all conventional oil- and coal-fired steam units by </w:t>
      </w:r>
      <w:r>
        <w:t>20</w:t>
      </w:r>
      <w:r w:rsidR="00E357BB">
        <w:t>30</w:t>
      </w:r>
      <w:r>
        <w:t xml:space="preserve"> (including dual</w:t>
      </w:r>
      <w:r w:rsidR="00AF6FBD">
        <w:t>-</w:t>
      </w:r>
      <w:r>
        <w:t>fuel units)</w:t>
      </w:r>
      <w:r w:rsidR="00AF6FBD">
        <w:t>.</w:t>
      </w:r>
      <w:r w:rsidR="00AF6FBD" w:rsidRPr="00AF6FBD">
        <w:rPr>
          <w:vertAlign w:val="superscript"/>
        </w:rPr>
        <w:footnoteReference w:id="41"/>
      </w:r>
      <w:r w:rsidR="00E357BB">
        <w:t xml:space="preserve"> In addition, Scenario C retires 2,122 MW of nuclear generation, which was </w:t>
      </w:r>
      <w:r w:rsidR="00FF6ECA">
        <w:t xml:space="preserve">removed from the simulations </w:t>
      </w:r>
      <w:r w:rsidR="00E357BB">
        <w:t>proportional</w:t>
      </w:r>
      <w:r w:rsidR="00CE143C">
        <w:t>ly with</w:t>
      </w:r>
      <w:r w:rsidR="00FF6ECA">
        <w:t xml:space="preserve"> the SCC values for Millstone and Seabrook</w:t>
      </w:r>
      <w:r w:rsidR="00860D3B">
        <w:t xml:space="preserve">. </w:t>
      </w:r>
    </w:p>
    <w:p w:rsidR="0030601D" w:rsidRDefault="004602FB" w:rsidP="004602FB">
      <w:pPr>
        <w:pStyle w:val="Caption"/>
        <w:jc w:val="center"/>
      </w:pPr>
      <w:bookmarkStart w:id="143" w:name="_Ref462295275"/>
      <w:bookmarkStart w:id="144" w:name="_Toc520721024"/>
      <w:r w:rsidRPr="005108C7">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Pr="005108C7">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9</w:t>
      </w:r>
      <w:r w:rsidR="00EA3757">
        <w:rPr>
          <w:noProof/>
        </w:rPr>
        <w:fldChar w:fldCharType="end"/>
      </w:r>
      <w:bookmarkEnd w:id="143"/>
      <w:r w:rsidR="007A529F">
        <w:br/>
        <w:t xml:space="preserve">Assumed Generating </w:t>
      </w:r>
      <w:r w:rsidR="007A529F" w:rsidRPr="003D47DA">
        <w:t>Unit Retirements</w:t>
      </w:r>
      <w:r w:rsidR="00EE154D" w:rsidRPr="003D47DA">
        <w:t xml:space="preserve"> by 2030 (MW)</w:t>
      </w:r>
      <w:bookmarkEnd w:id="144"/>
    </w:p>
    <w:tbl>
      <w:tblPr>
        <w:tblW w:w="93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8"/>
        <w:gridCol w:w="1429"/>
        <w:gridCol w:w="1429"/>
        <w:gridCol w:w="1429"/>
        <w:gridCol w:w="1429"/>
        <w:gridCol w:w="1430"/>
      </w:tblGrid>
      <w:tr w:rsidR="00F515EB" w:rsidRPr="00F515EB" w:rsidTr="00F515EB">
        <w:trPr>
          <w:trHeight w:hRule="exact" w:val="799"/>
          <w:jc w:val="center"/>
        </w:trPr>
        <w:tc>
          <w:tcPr>
            <w:tcW w:w="2178" w:type="dxa"/>
            <w:shd w:val="clear" w:color="auto" w:fill="1795D2" w:themeFill="accent1"/>
            <w:tcMar>
              <w:top w:w="29" w:type="dxa"/>
              <w:bottom w:w="29" w:type="dxa"/>
            </w:tcMar>
            <w:vAlign w:val="center"/>
          </w:tcPr>
          <w:p w:rsidR="0030601D" w:rsidRPr="00304756" w:rsidRDefault="0030601D" w:rsidP="00EE154D">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Name</w:t>
            </w:r>
          </w:p>
        </w:tc>
        <w:tc>
          <w:tcPr>
            <w:tcW w:w="1429" w:type="dxa"/>
            <w:shd w:val="clear" w:color="auto" w:fill="1795D2" w:themeFill="accent1"/>
            <w:tcMar>
              <w:top w:w="29" w:type="dxa"/>
              <w:bottom w:w="29" w:type="dxa"/>
            </w:tcMar>
            <w:vAlign w:val="center"/>
          </w:tcPr>
          <w:p w:rsidR="0030601D" w:rsidRPr="00304756" w:rsidRDefault="0030601D" w:rsidP="00EE154D">
            <w:pPr>
              <w:pStyle w:val="TableParagraph"/>
              <w:keepNext/>
              <w:keepLines/>
              <w:spacing w:before="20" w:after="20"/>
              <w:jc w:val="center"/>
              <w:rPr>
                <w:rFonts w:cs="Calibri"/>
                <w:color w:val="FFFFFF" w:themeColor="background1"/>
                <w:sz w:val="18"/>
                <w:szCs w:val="18"/>
              </w:rPr>
            </w:pPr>
            <w:r w:rsidRPr="00914F15">
              <w:rPr>
                <w:b/>
                <w:color w:val="FFFFFF" w:themeColor="background1"/>
                <w:spacing w:val="-1"/>
                <w:sz w:val="18"/>
                <w:szCs w:val="18"/>
              </w:rPr>
              <w:t>RSP</w:t>
            </w:r>
            <w:r w:rsidR="001B3B09" w:rsidRPr="00914F15">
              <w:rPr>
                <w:b/>
                <w:color w:val="FFFFFF" w:themeColor="background1"/>
                <w:spacing w:val="-1"/>
                <w:sz w:val="18"/>
                <w:szCs w:val="18"/>
              </w:rPr>
              <w:br/>
            </w:r>
            <w:r w:rsidRPr="00914F15">
              <w:rPr>
                <w:b/>
                <w:color w:val="FFFFFF" w:themeColor="background1"/>
                <w:spacing w:val="-1"/>
                <w:sz w:val="18"/>
                <w:szCs w:val="18"/>
              </w:rPr>
              <w:t>Subarea</w:t>
            </w:r>
            <w:r w:rsidR="000914EB" w:rsidRPr="00744C70">
              <w:rPr>
                <w:b/>
                <w:color w:val="FFFFFF" w:themeColor="background1"/>
                <w:spacing w:val="-1"/>
                <w:sz w:val="18"/>
                <w:szCs w:val="18"/>
                <w:vertAlign w:val="superscript"/>
              </w:rPr>
              <w:t>(</w:t>
            </w:r>
            <w:r w:rsidR="00EE154D">
              <w:rPr>
                <w:b/>
                <w:color w:val="FFFFFF" w:themeColor="background1"/>
                <w:spacing w:val="-1"/>
                <w:sz w:val="18"/>
                <w:szCs w:val="18"/>
                <w:vertAlign w:val="superscript"/>
              </w:rPr>
              <w:t>a</w:t>
            </w:r>
            <w:r w:rsidR="000914EB" w:rsidRPr="00744C70">
              <w:rPr>
                <w:b/>
                <w:color w:val="FFFFFF" w:themeColor="background1"/>
                <w:spacing w:val="-1"/>
                <w:sz w:val="18"/>
                <w:szCs w:val="18"/>
                <w:vertAlign w:val="superscript"/>
              </w:rPr>
              <w:t>)</w:t>
            </w:r>
          </w:p>
        </w:tc>
        <w:tc>
          <w:tcPr>
            <w:tcW w:w="1429" w:type="dxa"/>
            <w:shd w:val="clear" w:color="auto" w:fill="1795D2"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Fuel</w:t>
            </w:r>
            <w:r w:rsidR="001B3B09" w:rsidRPr="00304756">
              <w:rPr>
                <w:b/>
                <w:color w:val="FFFFFF" w:themeColor="background1"/>
                <w:spacing w:val="-1"/>
                <w:sz w:val="18"/>
                <w:szCs w:val="18"/>
              </w:rPr>
              <w:br/>
            </w:r>
            <w:r w:rsidRPr="00304756">
              <w:rPr>
                <w:b/>
                <w:color w:val="FFFFFF" w:themeColor="background1"/>
                <w:spacing w:val="-1"/>
                <w:sz w:val="18"/>
                <w:szCs w:val="18"/>
              </w:rPr>
              <w:t>Type</w:t>
            </w:r>
          </w:p>
        </w:tc>
        <w:tc>
          <w:tcPr>
            <w:tcW w:w="1429" w:type="dxa"/>
            <w:shd w:val="clear" w:color="auto" w:fill="1795D2"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z w:val="18"/>
                <w:szCs w:val="18"/>
              </w:rPr>
              <w:t>FCA</w:t>
            </w:r>
            <w:r w:rsidRPr="00304756">
              <w:rPr>
                <w:b/>
                <w:color w:val="FFFFFF" w:themeColor="background1"/>
                <w:spacing w:val="-2"/>
                <w:sz w:val="18"/>
                <w:szCs w:val="18"/>
              </w:rPr>
              <w:t xml:space="preserve"> </w:t>
            </w:r>
            <w:r w:rsidRPr="00304756">
              <w:rPr>
                <w:b/>
                <w:color w:val="FFFFFF" w:themeColor="background1"/>
                <w:sz w:val="18"/>
                <w:szCs w:val="18"/>
              </w:rPr>
              <w:t>#10</w:t>
            </w:r>
            <w:r w:rsidRPr="00304756">
              <w:rPr>
                <w:b/>
                <w:color w:val="FFFFFF" w:themeColor="background1"/>
                <w:spacing w:val="-2"/>
                <w:sz w:val="18"/>
                <w:szCs w:val="18"/>
              </w:rPr>
              <w:t xml:space="preserve"> </w:t>
            </w:r>
            <w:r w:rsidRPr="00304756">
              <w:rPr>
                <w:b/>
                <w:color w:val="FFFFFF" w:themeColor="background1"/>
                <w:spacing w:val="-1"/>
                <w:sz w:val="18"/>
                <w:szCs w:val="18"/>
              </w:rPr>
              <w:t>Summer</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c>
          <w:tcPr>
            <w:tcW w:w="1429" w:type="dxa"/>
            <w:shd w:val="clear" w:color="auto" w:fill="1795D2"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z w:val="18"/>
                <w:szCs w:val="18"/>
              </w:rPr>
              <w:t>In</w:t>
            </w:r>
            <w:r w:rsidR="00A36081" w:rsidRPr="00304756">
              <w:rPr>
                <w:b/>
                <w:color w:val="FFFFFF" w:themeColor="background1"/>
                <w:sz w:val="18"/>
                <w:szCs w:val="18"/>
              </w:rPr>
              <w:t>-</w:t>
            </w:r>
            <w:r w:rsidRPr="00304756">
              <w:rPr>
                <w:b/>
                <w:color w:val="FFFFFF" w:themeColor="background1"/>
                <w:spacing w:val="-1"/>
                <w:sz w:val="18"/>
                <w:szCs w:val="18"/>
              </w:rPr>
              <w:t>Service</w:t>
            </w:r>
            <w:r w:rsidR="001B3B09" w:rsidRPr="00304756">
              <w:rPr>
                <w:b/>
                <w:color w:val="FFFFFF" w:themeColor="background1"/>
                <w:spacing w:val="-1"/>
                <w:sz w:val="18"/>
                <w:szCs w:val="18"/>
              </w:rPr>
              <w:br/>
            </w:r>
            <w:r w:rsidRPr="00304756">
              <w:rPr>
                <w:b/>
                <w:color w:val="FFFFFF" w:themeColor="background1"/>
                <w:spacing w:val="-1"/>
                <w:sz w:val="18"/>
                <w:szCs w:val="18"/>
              </w:rPr>
              <w:t>Date</w:t>
            </w:r>
          </w:p>
        </w:tc>
        <w:tc>
          <w:tcPr>
            <w:tcW w:w="1430" w:type="dxa"/>
            <w:shd w:val="clear" w:color="auto" w:fill="1795D2"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Cumulative</w:t>
            </w:r>
            <w:r w:rsidR="001B3B09" w:rsidRPr="00304756">
              <w:rPr>
                <w:b/>
                <w:color w:val="FFFFFF" w:themeColor="background1"/>
                <w:spacing w:val="-1"/>
                <w:sz w:val="18"/>
                <w:szCs w:val="18"/>
              </w:rPr>
              <w:t xml:space="preserve"> </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r>
      <w:tr w:rsidR="009A2324" w:rsidRPr="00BC66E3" w:rsidTr="00EE154D">
        <w:trPr>
          <w:trHeight w:hRule="exact" w:val="28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4</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1952</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5</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1"/>
              <w:jc w:val="right"/>
              <w:rPr>
                <w:spacing w:val="-1"/>
                <w:sz w:val="18"/>
                <w:szCs w:val="18"/>
              </w:rPr>
            </w:pPr>
            <w:r w:rsidRPr="00433F35">
              <w:rPr>
                <w:spacing w:val="-1"/>
                <w:sz w:val="18"/>
                <w:szCs w:val="18"/>
              </w:rPr>
              <w:t>81</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1954</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129</w:t>
            </w:r>
          </w:p>
        </w:tc>
      </w:tr>
      <w:tr w:rsidR="009A2324" w:rsidRPr="00BC66E3"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6</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176</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West Springfield 3</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WMA</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Dual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94</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271</w:t>
            </w:r>
          </w:p>
        </w:tc>
      </w:tr>
      <w:tr w:rsidR="00324765" w:rsidRPr="00324765"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1</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50</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321</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2</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117</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438</w:t>
            </w:r>
          </w:p>
        </w:tc>
      </w:tr>
      <w:tr w:rsidR="009A2324" w:rsidRPr="00BC66E3"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2</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51</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489</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1</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108</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1960</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597</w:t>
            </w:r>
          </w:p>
        </w:tc>
      </w:tr>
      <w:tr w:rsidR="009A2324" w:rsidRPr="00BC66E3"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3</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234</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1964</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831</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3</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115</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1965</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945</w:t>
            </w:r>
          </w:p>
        </w:tc>
      </w:tr>
      <w:tr w:rsidR="009A2324" w:rsidRPr="00BC66E3"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Bridgeport Harbor 3</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SWCT</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383</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1,329</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Canal 1</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SEMA</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547</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1,876</w:t>
            </w:r>
          </w:p>
        </w:tc>
      </w:tr>
      <w:tr w:rsidR="009A2324" w:rsidRPr="00BC66E3" w:rsidTr="00EE154D">
        <w:trPr>
          <w:trHeight w:hRule="exact" w:val="304"/>
          <w:jc w:val="center"/>
        </w:trPr>
        <w:tc>
          <w:tcPr>
            <w:tcW w:w="2178" w:type="dxa"/>
            <w:shd w:val="clear" w:color="auto" w:fill="auto"/>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2</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auto"/>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330</w:t>
            </w:r>
          </w:p>
        </w:tc>
        <w:tc>
          <w:tcPr>
            <w:tcW w:w="1429" w:type="dxa"/>
            <w:shd w:val="clear" w:color="auto" w:fill="auto"/>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auto"/>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2,206</w:t>
            </w:r>
          </w:p>
        </w:tc>
      </w:tr>
      <w:tr w:rsidR="009A2324" w:rsidRPr="00BC66E3"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6</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CCEAF9"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405</w:t>
            </w:r>
          </w:p>
        </w:tc>
        <w:tc>
          <w:tcPr>
            <w:tcW w:w="1429" w:type="dxa"/>
            <w:shd w:val="clear" w:color="auto" w:fill="CCEAF9"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1971</w:t>
            </w:r>
          </w:p>
        </w:tc>
        <w:tc>
          <w:tcPr>
            <w:tcW w:w="1430" w:type="dxa"/>
            <w:shd w:val="clear" w:color="auto" w:fill="CCEAF9"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2,611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Middletown </w:t>
            </w:r>
            <w:r w:rsidRPr="001B3B09">
              <w:rPr>
                <w:b/>
                <w:sz w:val="18"/>
                <w:szCs w:val="18"/>
              </w:rPr>
              <w:t>4</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400</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1973</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3,011</w:t>
            </w:r>
          </w:p>
        </w:tc>
      </w:tr>
      <w:tr w:rsidR="009A2324" w:rsidRPr="001B3B09"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Newington</w:t>
            </w:r>
            <w:r w:rsidRPr="001B3B09">
              <w:rPr>
                <w:b/>
                <w:spacing w:val="-3"/>
                <w:sz w:val="18"/>
                <w:szCs w:val="18"/>
              </w:rPr>
              <w:t xml:space="preserve"> </w:t>
            </w:r>
            <w:r w:rsidRPr="001B3B09">
              <w:rPr>
                <w:b/>
                <w:sz w:val="18"/>
                <w:szCs w:val="18"/>
              </w:rPr>
              <w:t>1</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NH</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400</w:t>
            </w:r>
          </w:p>
        </w:tc>
        <w:tc>
          <w:tcPr>
            <w:tcW w:w="1429" w:type="dxa"/>
            <w:shd w:val="clear" w:color="auto" w:fill="CCEAF9" w:themeFill="accent1" w:themeFillTint="33"/>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1974</w:t>
            </w:r>
          </w:p>
        </w:tc>
        <w:tc>
          <w:tcPr>
            <w:tcW w:w="1430"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1"/>
              <w:jc w:val="right"/>
              <w:rPr>
                <w:rFonts w:cs="Calibri"/>
                <w:sz w:val="18"/>
                <w:szCs w:val="18"/>
              </w:rPr>
            </w:pPr>
            <w:r>
              <w:rPr>
                <w:color w:val="000000"/>
                <w:sz w:val="18"/>
                <w:szCs w:val="18"/>
              </w:rPr>
              <w:t>3,411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Mystic </w:t>
            </w:r>
            <w:r w:rsidRPr="001B3B09">
              <w:rPr>
                <w:b/>
                <w:sz w:val="18"/>
                <w:szCs w:val="18"/>
              </w:rPr>
              <w:t>7</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BOSTON</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sidRPr="001B3B09">
              <w:rPr>
                <w:spacing w:val="-1"/>
                <w:sz w:val="18"/>
                <w:szCs w:val="18"/>
              </w:rPr>
              <w:t>Dual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571</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z w:val="18"/>
                <w:szCs w:val="18"/>
              </w:rPr>
              <w:t>3,982</w:t>
            </w:r>
          </w:p>
        </w:tc>
      </w:tr>
      <w:tr w:rsidR="009A2324" w:rsidRPr="001B3B09"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 Haven</w:t>
            </w:r>
            <w:r w:rsidRPr="001B3B09">
              <w:rPr>
                <w:b/>
                <w:spacing w:val="-3"/>
                <w:sz w:val="18"/>
                <w:szCs w:val="18"/>
              </w:rPr>
              <w:t xml:space="preserve"> </w:t>
            </w:r>
            <w:r w:rsidRPr="001B3B09">
              <w:rPr>
                <w:b/>
                <w:spacing w:val="-1"/>
                <w:sz w:val="18"/>
                <w:szCs w:val="18"/>
              </w:rPr>
              <w:t>Harbor</w:t>
            </w:r>
            <w:r w:rsidRPr="001B3B09">
              <w:rPr>
                <w:b/>
                <w:spacing w:val="-2"/>
                <w:sz w:val="18"/>
                <w:szCs w:val="18"/>
              </w:rPr>
              <w:t xml:space="preserve"> </w:t>
            </w:r>
            <w:r w:rsidRPr="001B3B09">
              <w:rPr>
                <w:b/>
                <w:sz w:val="18"/>
                <w:szCs w:val="18"/>
              </w:rPr>
              <w:t>1</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448</w:t>
            </w:r>
          </w:p>
        </w:tc>
        <w:tc>
          <w:tcPr>
            <w:tcW w:w="1429" w:type="dxa"/>
            <w:shd w:val="clear" w:color="auto" w:fill="CCEAF9" w:themeFill="accent1" w:themeFillTint="33"/>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4,430</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Canal</w:t>
            </w:r>
            <w:r w:rsidRPr="001B3B09">
              <w:rPr>
                <w:b/>
                <w:spacing w:val="-2"/>
                <w:sz w:val="18"/>
                <w:szCs w:val="18"/>
              </w:rPr>
              <w:t xml:space="preserve"> </w:t>
            </w:r>
            <w:r w:rsidRPr="001B3B09">
              <w:rPr>
                <w:b/>
                <w:sz w:val="18"/>
                <w:szCs w:val="18"/>
              </w:rPr>
              <w:t>2</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SEMA</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545</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1976</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4,975</w:t>
            </w:r>
          </w:p>
        </w:tc>
      </w:tr>
      <w:tr w:rsidR="009A2324" w:rsidRPr="001B3B09" w:rsidTr="00EE154D">
        <w:trPr>
          <w:trHeight w:hRule="exact" w:val="304"/>
          <w:jc w:val="center"/>
        </w:trPr>
        <w:tc>
          <w:tcPr>
            <w:tcW w:w="2178" w:type="dxa"/>
            <w:shd w:val="clear" w:color="auto" w:fill="CCEAF9" w:themeFill="accent1" w:themeFillTint="33"/>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Yarmouth</w:t>
            </w:r>
            <w:r w:rsidRPr="001B3B09">
              <w:rPr>
                <w:b/>
                <w:spacing w:val="-3"/>
                <w:sz w:val="18"/>
                <w:szCs w:val="18"/>
              </w:rPr>
              <w:t xml:space="preserve"> </w:t>
            </w:r>
            <w:r w:rsidRPr="001B3B09">
              <w:rPr>
                <w:b/>
                <w:sz w:val="18"/>
                <w:szCs w:val="18"/>
              </w:rPr>
              <w:t>4</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SME</w:t>
            </w:r>
          </w:p>
        </w:tc>
        <w:tc>
          <w:tcPr>
            <w:tcW w:w="1429" w:type="dxa"/>
            <w:shd w:val="clear" w:color="auto" w:fill="CCEAF9" w:themeFill="accent1" w:themeFillTint="33"/>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602</w:t>
            </w:r>
          </w:p>
        </w:tc>
        <w:tc>
          <w:tcPr>
            <w:tcW w:w="1429" w:type="dxa"/>
            <w:shd w:val="clear" w:color="auto" w:fill="CCEAF9" w:themeFill="accent1" w:themeFillTint="33"/>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1978</w:t>
            </w:r>
          </w:p>
        </w:tc>
        <w:tc>
          <w:tcPr>
            <w:tcW w:w="1430" w:type="dxa"/>
            <w:shd w:val="clear" w:color="auto" w:fill="CCEAF9" w:themeFill="accent1" w:themeFillTint="33"/>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5,577</w:t>
            </w:r>
          </w:p>
        </w:tc>
      </w:tr>
      <w:tr w:rsidR="00F515EB" w:rsidRPr="00F515EB" w:rsidTr="00F515EB">
        <w:trPr>
          <w:trHeight w:hRule="exact" w:val="331"/>
          <w:jc w:val="center"/>
        </w:trPr>
        <w:tc>
          <w:tcPr>
            <w:tcW w:w="2178" w:type="dxa"/>
            <w:shd w:val="clear" w:color="auto" w:fill="1795D2" w:themeFill="accent1"/>
            <w:tcMar>
              <w:top w:w="29" w:type="dxa"/>
              <w:left w:w="115" w:type="dxa"/>
              <w:bottom w:w="29" w:type="dxa"/>
            </w:tcMar>
            <w:vAlign w:val="center"/>
          </w:tcPr>
          <w:p w:rsidR="009A2324" w:rsidRPr="00304756" w:rsidRDefault="009A2324" w:rsidP="00A753F4">
            <w:pPr>
              <w:pStyle w:val="TableParagraph"/>
              <w:keepNext/>
              <w:keepLines/>
              <w:spacing w:before="20" w:after="20"/>
              <w:ind w:left="98"/>
              <w:rPr>
                <w:rFonts w:cs="Calibri"/>
                <w:color w:val="FFFFFF" w:themeColor="background1"/>
                <w:sz w:val="18"/>
                <w:szCs w:val="18"/>
              </w:rPr>
            </w:pPr>
            <w:r w:rsidRPr="00304756">
              <w:rPr>
                <w:b/>
                <w:color w:val="FFFFFF" w:themeColor="background1"/>
                <w:spacing w:val="-5"/>
                <w:sz w:val="18"/>
                <w:szCs w:val="18"/>
              </w:rPr>
              <w:t>T</w:t>
            </w:r>
            <w:r w:rsidRPr="00304756">
              <w:rPr>
                <w:b/>
                <w:color w:val="FFFFFF" w:themeColor="background1"/>
                <w:spacing w:val="-6"/>
                <w:sz w:val="18"/>
                <w:szCs w:val="18"/>
              </w:rPr>
              <w:t>otal</w:t>
            </w:r>
          </w:p>
        </w:tc>
        <w:tc>
          <w:tcPr>
            <w:tcW w:w="1429" w:type="dxa"/>
            <w:shd w:val="clear" w:color="auto" w:fill="1795D2"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1795D2"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1795D2"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29" w:type="dxa"/>
            <w:shd w:val="clear" w:color="auto" w:fill="1795D2"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30" w:type="dxa"/>
            <w:shd w:val="clear" w:color="auto" w:fill="1795D2" w:themeFill="accent1"/>
            <w:tcMar>
              <w:top w:w="29" w:type="dxa"/>
              <w:bottom w:w="29" w:type="dxa"/>
              <w:right w:w="360" w:type="dxa"/>
            </w:tcMar>
            <w:vAlign w:val="center"/>
          </w:tcPr>
          <w:p w:rsidR="009A2324" w:rsidRPr="00304756" w:rsidRDefault="009A2324" w:rsidP="00A753F4">
            <w:pPr>
              <w:pStyle w:val="TableParagraph"/>
              <w:keepNext/>
              <w:keepLines/>
              <w:spacing w:before="20" w:after="20"/>
              <w:ind w:left="452"/>
              <w:jc w:val="right"/>
              <w:rPr>
                <w:rFonts w:cs="Calibri"/>
                <w:b/>
                <w:color w:val="FFFFFF" w:themeColor="background1"/>
                <w:sz w:val="18"/>
                <w:szCs w:val="18"/>
              </w:rPr>
            </w:pPr>
            <w:r w:rsidRPr="00304756">
              <w:rPr>
                <w:b/>
                <w:bCs/>
                <w:color w:val="FFFFFF" w:themeColor="background1"/>
                <w:sz w:val="18"/>
                <w:szCs w:val="18"/>
              </w:rPr>
              <w:t>5,577</w:t>
            </w:r>
          </w:p>
        </w:tc>
      </w:tr>
    </w:tbl>
    <w:p w:rsidR="000914EB" w:rsidRPr="003A2CA8" w:rsidRDefault="00EE154D" w:rsidP="00EE154D">
      <w:pPr>
        <w:keepNext/>
        <w:keepLines/>
        <w:spacing w:before="120" w:line="240" w:lineRule="auto"/>
        <w:ind w:left="274" w:hanging="274"/>
        <w:rPr>
          <w:rFonts w:ascii="Calibri" w:hAnsi="Calibri"/>
          <w:sz w:val="16"/>
          <w:szCs w:val="16"/>
        </w:rPr>
      </w:pPr>
      <w:r w:rsidRPr="00EE154D" w:rsidDel="00EE154D">
        <w:rPr>
          <w:rFonts w:ascii="Calibri" w:hAnsi="Calibri"/>
          <w:sz w:val="16"/>
          <w:szCs w:val="16"/>
        </w:rPr>
        <w:t xml:space="preserve"> </w:t>
      </w:r>
      <w:r w:rsidR="000914EB" w:rsidRPr="003A2CA8">
        <w:rPr>
          <w:rFonts w:ascii="Calibri" w:hAnsi="Calibri"/>
          <w:sz w:val="16"/>
          <w:szCs w:val="16"/>
        </w:rPr>
        <w:t>(</w:t>
      </w:r>
      <w:r>
        <w:rPr>
          <w:rFonts w:ascii="Calibri" w:hAnsi="Calibri"/>
          <w:sz w:val="16"/>
          <w:szCs w:val="16"/>
        </w:rPr>
        <w:t>a</w:t>
      </w:r>
      <w:r w:rsidR="000914EB" w:rsidRPr="003A2CA8">
        <w:rPr>
          <w:rFonts w:ascii="Calibri" w:hAnsi="Calibri"/>
          <w:sz w:val="16"/>
          <w:szCs w:val="16"/>
        </w:rPr>
        <w:t xml:space="preserve">) </w:t>
      </w:r>
      <w:r w:rsidR="00D9125E" w:rsidRPr="003A2CA8">
        <w:rPr>
          <w:rFonts w:ascii="Calibri" w:hAnsi="Calibri"/>
          <w:sz w:val="16"/>
          <w:szCs w:val="16"/>
        </w:rPr>
        <w:tab/>
      </w:r>
      <w:r w:rsidR="000914EB" w:rsidRPr="003A2CA8">
        <w:rPr>
          <w:rFonts w:ascii="Calibri" w:hAnsi="Calibri"/>
          <w:sz w:val="16"/>
          <w:szCs w:val="16"/>
        </w:rPr>
        <w:t xml:space="preserve">The RSP subareas </w:t>
      </w:r>
      <w:r w:rsidR="00744C70" w:rsidRPr="003A2CA8">
        <w:rPr>
          <w:rFonts w:ascii="Calibri" w:hAnsi="Calibri"/>
          <w:sz w:val="16"/>
          <w:szCs w:val="16"/>
        </w:rPr>
        <w:t xml:space="preserve">above </w:t>
      </w:r>
      <w:r w:rsidR="000914EB" w:rsidRPr="003A2CA8">
        <w:rPr>
          <w:rFonts w:ascii="Calibri" w:hAnsi="Calibri"/>
          <w:sz w:val="16"/>
          <w:szCs w:val="16"/>
        </w:rPr>
        <w:t>are as follows:</w:t>
      </w:r>
      <w:r w:rsidR="00744C70" w:rsidRPr="003A2CA8">
        <w:rPr>
          <w:rFonts w:ascii="Calibri" w:hAnsi="Calibri"/>
          <w:sz w:val="16"/>
          <w:szCs w:val="16"/>
        </w:rPr>
        <w:t xml:space="preserve"> BOSTON</w:t>
      </w:r>
      <w:r w:rsidR="004242C8" w:rsidRPr="003A2CA8">
        <w:rPr>
          <w:rFonts w:ascii="Calibri" w:hAnsi="Calibri"/>
          <w:sz w:val="16"/>
          <w:szCs w:val="16"/>
        </w:rPr>
        <w:t xml:space="preserve"> (</w:t>
      </w:r>
      <w:r w:rsidR="00744C70" w:rsidRPr="003A2CA8">
        <w:rPr>
          <w:rFonts w:ascii="Calibri" w:hAnsi="Calibri"/>
          <w:sz w:val="16"/>
          <w:szCs w:val="16"/>
        </w:rPr>
        <w:t>all caps)</w:t>
      </w:r>
      <w:r w:rsidR="004242C8" w:rsidRPr="003A2CA8">
        <w:rPr>
          <w:rFonts w:ascii="Calibri" w:hAnsi="Calibri"/>
          <w:sz w:val="16"/>
          <w:szCs w:val="16"/>
        </w:rPr>
        <w:t xml:space="preserve"> covers</w:t>
      </w:r>
      <w:r w:rsidR="004242C8" w:rsidRPr="003A2CA8">
        <w:rPr>
          <w:rFonts w:asciiTheme="minorHAnsi" w:hAnsiTheme="minorHAnsi"/>
          <w:sz w:val="16"/>
          <w:szCs w:val="16"/>
        </w:rPr>
        <w:t xml:space="preserve"> Greater Boston, including the North Shore; CT is northern and eastern </w:t>
      </w:r>
      <w:r w:rsidR="00744C70" w:rsidRPr="003A2CA8">
        <w:rPr>
          <w:rFonts w:ascii="Calibri" w:hAnsi="Calibri"/>
          <w:sz w:val="16"/>
          <w:szCs w:val="16"/>
        </w:rPr>
        <w:t>Connecticut</w:t>
      </w:r>
      <w:r w:rsidR="004242C8" w:rsidRPr="003A2CA8">
        <w:rPr>
          <w:rFonts w:ascii="Calibri" w:hAnsi="Calibri"/>
          <w:sz w:val="16"/>
          <w:szCs w:val="16"/>
        </w:rPr>
        <w:t>; NH is n</w:t>
      </w:r>
      <w:r w:rsidR="004242C8" w:rsidRPr="003A2CA8">
        <w:rPr>
          <w:rFonts w:asciiTheme="minorHAnsi" w:hAnsiTheme="minorHAnsi"/>
          <w:sz w:val="16"/>
          <w:szCs w:val="16"/>
        </w:rPr>
        <w:t>orthern, eastern, and central</w:t>
      </w:r>
      <w:r w:rsidR="00914F15" w:rsidRPr="003A2CA8">
        <w:rPr>
          <w:rFonts w:asciiTheme="minorHAnsi" w:hAnsiTheme="minorHAnsi"/>
          <w:sz w:val="16"/>
          <w:szCs w:val="16"/>
        </w:rPr>
        <w:t xml:space="preserve"> </w:t>
      </w:r>
      <w:r w:rsidR="004242C8" w:rsidRPr="003A2CA8">
        <w:rPr>
          <w:rFonts w:asciiTheme="minorHAnsi" w:hAnsiTheme="minorHAnsi"/>
          <w:sz w:val="16"/>
          <w:szCs w:val="16"/>
        </w:rPr>
        <w:t>New Hampshire/eastern Vermont and southwestern Maine; SEMA is s</w:t>
      </w:r>
      <w:r w:rsidR="00744C70" w:rsidRPr="003A2CA8">
        <w:rPr>
          <w:rFonts w:ascii="Calibri" w:hAnsi="Calibri"/>
          <w:sz w:val="16"/>
          <w:szCs w:val="16"/>
        </w:rPr>
        <w:t>outheastern Massachusetts</w:t>
      </w:r>
      <w:r w:rsidR="004242C8" w:rsidRPr="003A2CA8">
        <w:rPr>
          <w:rFonts w:ascii="Calibri" w:hAnsi="Calibri"/>
          <w:sz w:val="16"/>
          <w:szCs w:val="16"/>
        </w:rPr>
        <w:t>/Newport, Rhode Island; SME is s</w:t>
      </w:r>
      <w:r w:rsidR="00744C70" w:rsidRPr="003A2CA8">
        <w:rPr>
          <w:rFonts w:ascii="Calibri" w:hAnsi="Calibri"/>
          <w:sz w:val="16"/>
          <w:szCs w:val="16"/>
        </w:rPr>
        <w:t>outhe</w:t>
      </w:r>
      <w:r w:rsidR="004242C8" w:rsidRPr="003A2CA8">
        <w:rPr>
          <w:rFonts w:ascii="Calibri" w:hAnsi="Calibri"/>
          <w:sz w:val="16"/>
          <w:szCs w:val="16"/>
        </w:rPr>
        <w:t>aster</w:t>
      </w:r>
      <w:r w:rsidR="00744C70" w:rsidRPr="003A2CA8">
        <w:rPr>
          <w:rFonts w:ascii="Calibri" w:hAnsi="Calibri"/>
          <w:sz w:val="16"/>
          <w:szCs w:val="16"/>
        </w:rPr>
        <w:t>n Maine</w:t>
      </w:r>
      <w:r w:rsidR="004242C8" w:rsidRPr="003A2CA8">
        <w:rPr>
          <w:rFonts w:ascii="Calibri" w:hAnsi="Calibri"/>
          <w:sz w:val="16"/>
          <w:szCs w:val="16"/>
        </w:rPr>
        <w:t>; SWCT is s</w:t>
      </w:r>
      <w:r w:rsidR="00744C70" w:rsidRPr="003A2CA8">
        <w:rPr>
          <w:rFonts w:ascii="Calibri" w:hAnsi="Calibri"/>
          <w:sz w:val="16"/>
          <w:szCs w:val="16"/>
        </w:rPr>
        <w:t>outhwest</w:t>
      </w:r>
      <w:r w:rsidR="004242C8" w:rsidRPr="003A2CA8">
        <w:rPr>
          <w:rFonts w:ascii="Calibri" w:hAnsi="Calibri"/>
          <w:sz w:val="16"/>
          <w:szCs w:val="16"/>
        </w:rPr>
        <w:t>ern</w:t>
      </w:r>
      <w:r w:rsidR="00744C70" w:rsidRPr="003A2CA8">
        <w:rPr>
          <w:rFonts w:ascii="Calibri" w:hAnsi="Calibri"/>
          <w:sz w:val="16"/>
          <w:szCs w:val="16"/>
        </w:rPr>
        <w:t xml:space="preserve"> Connecticut</w:t>
      </w:r>
      <w:r w:rsidR="004242C8" w:rsidRPr="003A2CA8">
        <w:rPr>
          <w:rFonts w:ascii="Calibri" w:hAnsi="Calibri"/>
          <w:sz w:val="16"/>
          <w:szCs w:val="16"/>
        </w:rPr>
        <w:t>; and WMA is wester</w:t>
      </w:r>
      <w:r w:rsidR="00744C70" w:rsidRPr="003A2CA8">
        <w:rPr>
          <w:rFonts w:ascii="Calibri" w:hAnsi="Calibri"/>
          <w:sz w:val="16"/>
          <w:szCs w:val="16"/>
        </w:rPr>
        <w:t xml:space="preserve">n Massachusetts. </w:t>
      </w:r>
    </w:p>
    <w:p w:rsidR="00EA57CD" w:rsidRPr="007A1B20" w:rsidRDefault="00EA57CD" w:rsidP="00D27B9E">
      <w:pPr>
        <w:pStyle w:val="Heading3"/>
      </w:pPr>
      <w:bookmarkStart w:id="145" w:name="_Ref483475763"/>
      <w:bookmarkStart w:id="146" w:name="_Toc528571208"/>
      <w:r w:rsidRPr="007A1B20">
        <w:t>Renewable Portfolio Standards</w:t>
      </w:r>
      <w:bookmarkEnd w:id="128"/>
      <w:bookmarkEnd w:id="145"/>
      <w:bookmarkEnd w:id="146"/>
      <w:r w:rsidR="00814CF4" w:rsidRPr="007A1B20">
        <w:t xml:space="preserve"> </w:t>
      </w:r>
    </w:p>
    <w:p w:rsidR="00EA57CD" w:rsidRDefault="00235B9A" w:rsidP="00FF6ECA">
      <w:r w:rsidRPr="00201D25">
        <w:t xml:space="preserve">The </w:t>
      </w:r>
      <w:r w:rsidR="00DF560F">
        <w:t xml:space="preserve">2017 </w:t>
      </w:r>
      <w:r w:rsidR="00FF6ECA">
        <w:t>Economic Study</w:t>
      </w:r>
      <w:r w:rsidR="004852D1">
        <w:t xml:space="preserve"> request </w:t>
      </w:r>
      <w:r w:rsidRPr="00201D25">
        <w:t>account</w:t>
      </w:r>
      <w:r w:rsidR="00F515EB">
        <w:t>ed</w:t>
      </w:r>
      <w:r w:rsidRPr="00201D25">
        <w:t xml:space="preserve"> for the </w:t>
      </w:r>
      <w:r w:rsidR="00523500">
        <w:t>growth of</w:t>
      </w:r>
      <w:r w:rsidR="00F515EB" w:rsidRPr="00EA15C1">
        <w:t xml:space="preserve"> </w:t>
      </w:r>
      <w:r w:rsidR="005940BB">
        <w:t xml:space="preserve">the </w:t>
      </w:r>
      <w:r w:rsidRPr="00EA15C1">
        <w:t xml:space="preserve">regional </w:t>
      </w:r>
      <w:r w:rsidR="000E3F8E">
        <w:t>goal</w:t>
      </w:r>
      <w:r w:rsidR="00DF560F">
        <w:t>s</w:t>
      </w:r>
      <w:r w:rsidR="000E3F8E">
        <w:t xml:space="preserve"> for </w:t>
      </w:r>
      <w:r w:rsidR="00F97986" w:rsidRPr="000E3F8E">
        <w:t>renewable</w:t>
      </w:r>
      <w:r w:rsidR="000E3F8E">
        <w:t xml:space="preserve"> resources</w:t>
      </w:r>
      <w:r w:rsidR="00DF560F">
        <w:t xml:space="preserve"> </w:t>
      </w:r>
      <w:r w:rsidR="0048530E">
        <w:t xml:space="preserve">in effect at the time </w:t>
      </w:r>
      <w:r w:rsidR="00DF560F">
        <w:t xml:space="preserve">the </w:t>
      </w:r>
      <w:r w:rsidR="0048530E">
        <w:t xml:space="preserve">assumptions were made for the 2016 </w:t>
      </w:r>
      <w:r w:rsidR="00DF560F">
        <w:t>NEPOOL Scenario Analysis</w:t>
      </w:r>
      <w:r w:rsidR="0048530E">
        <w:t xml:space="preserve">. </w:t>
      </w:r>
      <w:r w:rsidR="00FF6ECA">
        <w:t xml:space="preserve">The 2016 </w:t>
      </w:r>
      <w:r w:rsidR="00DF560F">
        <w:t>s</w:t>
      </w:r>
      <w:r w:rsidR="00FF6ECA">
        <w:t xml:space="preserve">tudy showed </w:t>
      </w:r>
      <w:r w:rsidR="00DF560F">
        <w:t xml:space="preserve">that the </w:t>
      </w:r>
      <w:r w:rsidR="00FF6ECA">
        <w:t xml:space="preserve">resource assumptions used for </w:t>
      </w:r>
      <w:r w:rsidR="002030A8">
        <w:t>Scenario 3 exceed</w:t>
      </w:r>
      <w:r w:rsidR="00FF6ECA">
        <w:t>ed</w:t>
      </w:r>
      <w:r w:rsidR="002030A8">
        <w:t xml:space="preserve"> the physical requirements of RPS goals for new resources. </w:t>
      </w:r>
      <w:r w:rsidR="00904B46">
        <w:t>All the new s</w:t>
      </w:r>
      <w:r w:rsidR="00FF6ECA">
        <w:t xml:space="preserve">cenarios </w:t>
      </w:r>
      <w:r w:rsidR="00784EB5">
        <w:t>of the 2017 study</w:t>
      </w:r>
      <w:r w:rsidR="00904B46">
        <w:t xml:space="preserve"> (Scenarios A, B, and C)</w:t>
      </w:r>
      <w:r w:rsidR="00784EB5">
        <w:t xml:space="preserve"> </w:t>
      </w:r>
      <w:r w:rsidR="00FF6ECA">
        <w:t xml:space="preserve">reflect different mixes of renewable resources </w:t>
      </w:r>
      <w:r w:rsidR="0048530E">
        <w:t>that</w:t>
      </w:r>
      <w:r w:rsidR="00FF6ECA">
        <w:t xml:space="preserve"> would also </w:t>
      </w:r>
      <w:r w:rsidR="0048530E">
        <w:t xml:space="preserve">physically </w:t>
      </w:r>
      <w:r w:rsidR="00FF6ECA">
        <w:t xml:space="preserve">exceed the </w:t>
      </w:r>
      <w:r w:rsidR="0048530E">
        <w:t xml:space="preserve">regional </w:t>
      </w:r>
      <w:r w:rsidR="00FF6ECA">
        <w:t xml:space="preserve">RPS </w:t>
      </w:r>
      <w:r w:rsidR="0048530E">
        <w:t>goals</w:t>
      </w:r>
      <w:r w:rsidR="00FF6ECA">
        <w:t xml:space="preserve">. </w:t>
      </w:r>
    </w:p>
    <w:p w:rsidR="00902496" w:rsidRDefault="00902496" w:rsidP="00D27B9E">
      <w:pPr>
        <w:pStyle w:val="Heading3"/>
      </w:pPr>
      <w:bookmarkStart w:id="147" w:name="_Toc528571209"/>
      <w:r>
        <w:t>Active Demand Resources</w:t>
      </w:r>
      <w:bookmarkEnd w:id="147"/>
    </w:p>
    <w:p w:rsidR="00EA7F32" w:rsidRDefault="007C7845" w:rsidP="00902496">
      <w:r w:rsidRPr="003348D4">
        <w:t>The study simulat</w:t>
      </w:r>
      <w:r w:rsidR="00EF4A0C" w:rsidRPr="003348D4">
        <w:t xml:space="preserve">ed </w:t>
      </w:r>
      <w:r w:rsidRPr="003348D4">
        <w:t>FCA #10 active demand resources</w:t>
      </w:r>
      <w:r w:rsidR="00F200DC" w:rsidRPr="003348D4">
        <w:t xml:space="preserve"> </w:t>
      </w:r>
      <w:r w:rsidR="00C3163E">
        <w:t xml:space="preserve">totaling 319 MW, which were </w:t>
      </w:r>
      <w:r w:rsidR="00832C9F" w:rsidRPr="003348D4">
        <w:t>dispatched</w:t>
      </w:r>
      <w:r w:rsidR="00832C9F">
        <w:t xml:space="preserve"> to shave peak load</w:t>
      </w:r>
      <w:r>
        <w:t xml:space="preserve">. </w:t>
      </w:r>
      <w:r w:rsidR="003B57FB" w:rsidRPr="003B57FB">
        <w:t>All scenarios modeled an additional 1,000 MW of active demand resources by 2030.</w:t>
      </w:r>
      <w:r w:rsidR="003B57FB">
        <w:t xml:space="preserve"> For these</w:t>
      </w:r>
      <w:r w:rsidR="00C3163E">
        <w:t xml:space="preserve"> </w:t>
      </w:r>
      <w:r w:rsidR="00C569B0">
        <w:t>resources</w:t>
      </w:r>
      <w:r w:rsidR="00784EB5">
        <w:t>,</w:t>
      </w:r>
      <w:r w:rsidR="00C569B0">
        <w:t xml:space="preserve"> </w:t>
      </w:r>
      <w:r w:rsidR="00C3163E">
        <w:t xml:space="preserve">200 MW </w:t>
      </w:r>
      <w:r w:rsidR="003B57FB">
        <w:t xml:space="preserve">was dispatched </w:t>
      </w:r>
      <w:r w:rsidR="00C3163E">
        <w:t>at $50/ MWh and 800 MW w</w:t>
      </w:r>
      <w:r w:rsidR="003B57FB">
        <w:t>as</w:t>
      </w:r>
      <w:r w:rsidR="00C3163E">
        <w:t xml:space="preserve"> dispatched at $500/MWh</w:t>
      </w:r>
      <w:r w:rsidR="00860D3B">
        <w:t xml:space="preserve">. </w:t>
      </w:r>
      <w:r w:rsidR="003B57FB">
        <w:t xml:space="preserve">The dispatch price determined some of the </w:t>
      </w:r>
      <w:r w:rsidR="00784EB5">
        <w:t xml:space="preserve">energy profiles for the </w:t>
      </w:r>
      <w:r w:rsidR="003B57FB">
        <w:t>active demand resource</w:t>
      </w:r>
      <w:r w:rsidR="00784EB5">
        <w:t>s</w:t>
      </w:r>
      <w:r w:rsidR="003B57FB">
        <w:t xml:space="preserve">. </w:t>
      </w:r>
    </w:p>
    <w:p w:rsidR="00FA3CDD" w:rsidRPr="00304756" w:rsidRDefault="00FA3CDD" w:rsidP="00D27B9E">
      <w:pPr>
        <w:pStyle w:val="Heading3"/>
      </w:pPr>
      <w:bookmarkStart w:id="148" w:name="_Toc528571210"/>
      <w:r w:rsidRPr="00304756">
        <w:t xml:space="preserve">New England </w:t>
      </w:r>
      <w:r w:rsidR="00424EA8" w:rsidRPr="00304756">
        <w:t>Hydro</w:t>
      </w:r>
      <w:r w:rsidR="00A10C4B">
        <w:t>electric</w:t>
      </w:r>
      <w:r w:rsidR="00424EA8" w:rsidRPr="00304756">
        <w:t xml:space="preserve"> Generation</w:t>
      </w:r>
      <w:bookmarkEnd w:id="148"/>
    </w:p>
    <w:p w:rsidR="00FA3CDD" w:rsidRPr="00304756" w:rsidRDefault="00FA3CDD" w:rsidP="00201D25">
      <w:r w:rsidRPr="00304756">
        <w:t xml:space="preserve">The </w:t>
      </w:r>
      <w:r w:rsidR="00CC7F4D" w:rsidRPr="00304756">
        <w:t xml:space="preserve">assumption for </w:t>
      </w:r>
      <w:r w:rsidR="00A37A8D">
        <w:t xml:space="preserve">local </w:t>
      </w:r>
      <w:r w:rsidRPr="00304756">
        <w:t xml:space="preserve">New England hydro generation reflected the average </w:t>
      </w:r>
      <w:r w:rsidR="005F7D29">
        <w:t xml:space="preserve">annual </w:t>
      </w:r>
      <w:r w:rsidR="00A37A8D">
        <w:t>energy production</w:t>
      </w:r>
      <w:r w:rsidR="005F7D29">
        <w:t>. A profile for dispatching the energy was developed to shift the energy generation to the higher load hours.</w:t>
      </w:r>
    </w:p>
    <w:p w:rsidR="00902496" w:rsidRPr="00B811F8" w:rsidRDefault="00D85509" w:rsidP="00D27B9E">
      <w:pPr>
        <w:pStyle w:val="Heading3"/>
      </w:pPr>
      <w:bookmarkStart w:id="149" w:name="_Ref476903312"/>
      <w:bookmarkStart w:id="150" w:name="_Toc528571211"/>
      <w:r w:rsidRPr="00B811F8">
        <w:t xml:space="preserve">Pumped </w:t>
      </w:r>
      <w:r w:rsidR="00902496" w:rsidRPr="00B811F8">
        <w:t>Storage</w:t>
      </w:r>
      <w:r w:rsidRPr="00B811F8">
        <w:t xml:space="preserve"> and Battery Storage</w:t>
      </w:r>
      <w:bookmarkEnd w:id="149"/>
      <w:bookmarkEnd w:id="150"/>
    </w:p>
    <w:p w:rsidR="003C2314" w:rsidRPr="003C2314" w:rsidRDefault="00A10C4B" w:rsidP="003C2314">
      <w:r w:rsidRPr="00B811F8">
        <w:t>Energy storage (pumped storage</w:t>
      </w:r>
      <w:r w:rsidR="00172BE3" w:rsidRPr="00B811F8">
        <w:t xml:space="preserve"> and</w:t>
      </w:r>
      <w:r w:rsidRPr="00B811F8">
        <w:t xml:space="preserve"> batteries)</w:t>
      </w:r>
      <w:r w:rsidR="00CA1C6E" w:rsidRPr="00B811F8">
        <w:t xml:space="preserve"> tend to </w:t>
      </w:r>
      <w:r w:rsidRPr="00B811F8">
        <w:t>levelize the load</w:t>
      </w:r>
      <w:r w:rsidR="00860D3B" w:rsidRPr="00B811F8">
        <w:t xml:space="preserve">. </w:t>
      </w:r>
      <w:r w:rsidR="00C569B0" w:rsidRPr="00B811F8">
        <w:t>Across all scenarios</w:t>
      </w:r>
      <w:r w:rsidR="00784EB5" w:rsidRPr="00B811F8">
        <w:t>,</w:t>
      </w:r>
      <w:r w:rsidR="00C569B0" w:rsidRPr="00B811F8">
        <w:t xml:space="preserve"> e</w:t>
      </w:r>
      <w:r w:rsidR="00A0778C" w:rsidRPr="00B811F8">
        <w:t>xisting pumped</w:t>
      </w:r>
      <w:r w:rsidR="00304756" w:rsidRPr="00B811F8">
        <w:t>-</w:t>
      </w:r>
      <w:r w:rsidR="00A0778C" w:rsidRPr="00B811F8">
        <w:t>storage units</w:t>
      </w:r>
      <w:r w:rsidR="00215121" w:rsidRPr="00B811F8">
        <w:t xml:space="preserve"> </w:t>
      </w:r>
      <w:r w:rsidR="00D30A78" w:rsidRPr="00B811F8">
        <w:t>were</w:t>
      </w:r>
      <w:r w:rsidR="00215121" w:rsidRPr="00B811F8">
        <w:t xml:space="preserve"> dispatched to equalize the daily high and low </w:t>
      </w:r>
      <w:r w:rsidR="00365F6D" w:rsidRPr="00B811F8">
        <w:t xml:space="preserve">net </w:t>
      </w:r>
      <w:r w:rsidR="00215121" w:rsidRPr="00B811F8">
        <w:t>loads</w:t>
      </w:r>
      <w:r w:rsidR="003C2314" w:rsidRPr="00B811F8">
        <w:t xml:space="preserve"> after accounting for all EE, active demand response, all PV (BTM and non-BTM), PHEVs, wind energy, hydro (excluding pumped storage), existing imports, and new imports</w:t>
      </w:r>
      <w:r w:rsidR="00215121" w:rsidRPr="00B811F8">
        <w:t xml:space="preserve">. </w:t>
      </w:r>
      <w:r w:rsidR="00365F6D" w:rsidRPr="00B811F8">
        <w:t>This treatment of p</w:t>
      </w:r>
      <w:r w:rsidR="00215121" w:rsidRPr="00B811F8">
        <w:t>umped storage, assumed to have</w:t>
      </w:r>
      <w:r w:rsidR="00215121">
        <w:t xml:space="preserve"> approximately 78% efficiency, </w:t>
      </w:r>
      <w:r w:rsidR="00D30A78">
        <w:t>wa</w:t>
      </w:r>
      <w:r w:rsidR="00215121">
        <w:t xml:space="preserve">s </w:t>
      </w:r>
      <w:r w:rsidR="00A0778C">
        <w:t xml:space="preserve">modeled similar to </w:t>
      </w:r>
      <w:r w:rsidR="00215121">
        <w:t>its treatment in</w:t>
      </w:r>
      <w:r w:rsidR="0081207A">
        <w:t xml:space="preserve"> other economic studies</w:t>
      </w:r>
      <w:r w:rsidR="00860D3B">
        <w:t xml:space="preserve">. </w:t>
      </w:r>
    </w:p>
    <w:p w:rsidR="00A0778C" w:rsidRPr="0080348E" w:rsidRDefault="00A0778C" w:rsidP="00A0778C">
      <w:r>
        <w:t>Scenario</w:t>
      </w:r>
      <w:r w:rsidR="0048530E">
        <w:t>s</w:t>
      </w:r>
      <w:r>
        <w:t xml:space="preserve"> 3</w:t>
      </w:r>
      <w:r w:rsidR="00C569B0">
        <w:t>, A, and C</w:t>
      </w:r>
      <w:r>
        <w:t xml:space="preserve"> </w:t>
      </w:r>
      <w:r w:rsidRPr="00DF0DCE">
        <w:t>add battery storage totaling 2,</w:t>
      </w:r>
      <w:r w:rsidR="00C569B0">
        <w:t>483</w:t>
      </w:r>
      <w:r w:rsidRPr="00DF0DCE">
        <w:t xml:space="preserve"> MW in 2030 </w:t>
      </w:r>
      <w:r w:rsidR="001F6039">
        <w:t xml:space="preserve">with a goal </w:t>
      </w:r>
      <w:r w:rsidR="0048530E">
        <w:t>of</w:t>
      </w:r>
      <w:r w:rsidRPr="00DF0DCE">
        <w:t xml:space="preserve"> equaliz</w:t>
      </w:r>
      <w:r w:rsidR="0048530E">
        <w:t>ing</w:t>
      </w:r>
      <w:r w:rsidRPr="00DF0DCE">
        <w:t xml:space="preserve"> daily high and low </w:t>
      </w:r>
      <w:r w:rsidR="00365F6D" w:rsidRPr="00DF0DCE">
        <w:t xml:space="preserve">net </w:t>
      </w:r>
      <w:r w:rsidRPr="00DF0DCE">
        <w:t>loads.</w:t>
      </w:r>
      <w:r w:rsidRPr="00A0778C">
        <w:t xml:space="preserve"> </w:t>
      </w:r>
      <w:r>
        <w:t xml:space="preserve">Battery storage </w:t>
      </w:r>
      <w:r w:rsidR="00C759F6">
        <w:t>wa</w:t>
      </w:r>
      <w:r>
        <w:t>s assumed to have approximately 90% efficiency</w:t>
      </w:r>
      <w:r w:rsidR="00296C8F">
        <w:t xml:space="preserve"> and was placed in the</w:t>
      </w:r>
      <w:r w:rsidR="00172BE3">
        <w:t xml:space="preserve"> New England</w:t>
      </w:r>
      <w:r w:rsidR="00296C8F">
        <w:t xml:space="preserve"> </w:t>
      </w:r>
      <w:r w:rsidR="001127B8">
        <w:t>H</w:t>
      </w:r>
      <w:r w:rsidR="00296C8F">
        <w:t>ub</w:t>
      </w:r>
      <w:r w:rsidR="00460EDE" w:rsidRPr="00C40A1D">
        <w:t>.</w:t>
      </w:r>
      <w:r w:rsidR="008C58EE">
        <w:t xml:space="preserve"> </w:t>
      </w:r>
      <w:r w:rsidR="00C569B0">
        <w:t>The recharge time varied from 1 to 4 hours</w:t>
      </w:r>
      <w:r w:rsidR="00784EB5">
        <w:t>,</w:t>
      </w:r>
      <w:r w:rsidR="00C569B0">
        <w:t xml:space="preserve"> and the simulations used a discharge time of </w:t>
      </w:r>
      <w:r w:rsidR="00D71058">
        <w:t>4 </w:t>
      </w:r>
      <w:r w:rsidR="00C569B0">
        <w:t>hours</w:t>
      </w:r>
      <w:r w:rsidR="008C58EE">
        <w:t>.</w:t>
      </w:r>
      <w:r w:rsidR="00C569B0">
        <w:t xml:space="preserve"> Scenario B did not add any battery storage. </w:t>
      </w:r>
    </w:p>
    <w:p w:rsidR="00DE7399" w:rsidRPr="00D70B5D" w:rsidRDefault="00225933" w:rsidP="00D27B9E">
      <w:pPr>
        <w:pStyle w:val="Heading3"/>
      </w:pPr>
      <w:bookmarkStart w:id="151" w:name="_Ref487203787"/>
      <w:bookmarkStart w:id="152" w:name="_Ref483919002"/>
      <w:bookmarkStart w:id="153" w:name="_Toc528571212"/>
      <w:r w:rsidRPr="00D70B5D">
        <w:t xml:space="preserve">Transmission Interface </w:t>
      </w:r>
      <w:r w:rsidR="003E0EAE" w:rsidRPr="00D70B5D">
        <w:t>Limits</w:t>
      </w:r>
      <w:r w:rsidR="009D011D" w:rsidRPr="00D70B5D">
        <w:t xml:space="preserve"> </w:t>
      </w:r>
      <w:r w:rsidR="001D67C5" w:rsidRPr="00D70B5D">
        <w:t>and</w:t>
      </w:r>
      <w:r w:rsidR="009D011D" w:rsidRPr="00D70B5D">
        <w:t xml:space="preserve"> Interchanges with Neighboring Systems</w:t>
      </w:r>
      <w:bookmarkEnd w:id="151"/>
      <w:bookmarkEnd w:id="153"/>
      <w:r w:rsidR="00642A08" w:rsidRPr="00D70B5D">
        <w:t xml:space="preserve"> </w:t>
      </w:r>
      <w:bookmarkEnd w:id="152"/>
    </w:p>
    <w:p w:rsidR="00EA1571" w:rsidRDefault="00FF5ADE" w:rsidP="00FF5ADE">
      <w:r w:rsidRPr="00D70B5D">
        <w:t>This section summarizes the assumptions covering internal and external interfaces.</w:t>
      </w:r>
    </w:p>
    <w:p w:rsidR="00A516E7" w:rsidRPr="0097425C" w:rsidRDefault="00A516E7" w:rsidP="0040198C">
      <w:pPr>
        <w:pStyle w:val="Heading4"/>
      </w:pPr>
      <w:r w:rsidRPr="0097425C">
        <w:t>Internal Interfaces</w:t>
      </w:r>
    </w:p>
    <w:p w:rsidR="00F56EF3" w:rsidRDefault="00F56EF3" w:rsidP="001259D9">
      <w:pPr>
        <w:spacing w:after="120"/>
      </w:pPr>
      <w:r>
        <w:t>T</w:t>
      </w:r>
      <w:r w:rsidRPr="00DE7C49">
        <w:t xml:space="preserve">he system’s internal transfer limits </w:t>
      </w:r>
      <w:r>
        <w:t xml:space="preserve">were </w:t>
      </w:r>
      <w:r w:rsidRPr="00DE7C49">
        <w:t xml:space="preserve">used to </w:t>
      </w:r>
      <w:r w:rsidR="009A7155">
        <w:t>constrain</w:t>
      </w:r>
      <w:r w:rsidRPr="00DE7C49">
        <w:t xml:space="preserve"> economic dispatch in the GridView program. </w:t>
      </w:r>
      <w:r>
        <w:t>The</w:t>
      </w:r>
      <w:r w:rsidRPr="008D20C2">
        <w:t xml:space="preserve"> </w:t>
      </w:r>
      <w:r>
        <w:t>economi</w:t>
      </w:r>
      <w:r w:rsidRPr="00CB5BCE">
        <w:t xml:space="preserve">c dispatch simulations </w:t>
      </w:r>
      <w:r w:rsidRPr="00163ABC">
        <w:t>reflected first-contingency (N-1) limits fo</w:t>
      </w:r>
      <w:r w:rsidRPr="00CB5BCE">
        <w:t>r the summer period.</w:t>
      </w:r>
      <w:r>
        <w:t xml:space="preserve"> </w:t>
      </w:r>
      <w:r w:rsidRPr="00905855">
        <w:fldChar w:fldCharType="begin"/>
      </w:r>
      <w:r w:rsidRPr="00905855">
        <w:instrText xml:space="preserve"> REF _Ref461610658 \h  \* MERGEFORMAT </w:instrText>
      </w:r>
      <w:r w:rsidRPr="00905855">
        <w:fldChar w:fldCharType="separate"/>
      </w:r>
      <w:r w:rsidR="00872A95">
        <w:t xml:space="preserve">Table </w:t>
      </w:r>
      <w:r w:rsidR="00872A95">
        <w:rPr>
          <w:noProof/>
        </w:rPr>
        <w:t>5</w:t>
      </w:r>
      <w:r w:rsidR="00872A95">
        <w:rPr>
          <w:noProof/>
        </w:rPr>
        <w:noBreakHyphen/>
        <w:t>10</w:t>
      </w:r>
      <w:r w:rsidRPr="00905855">
        <w:fldChar w:fldCharType="end"/>
      </w:r>
      <w:r w:rsidRPr="00905855">
        <w:t xml:space="preserve"> shows the </w:t>
      </w:r>
      <w:r>
        <w:t xml:space="preserve">assumptions for the </w:t>
      </w:r>
      <w:r w:rsidRPr="00905855">
        <w:t>internal interface</w:t>
      </w:r>
      <w:r>
        <w:t xml:space="preserve"> transfer limits, which can constrain the flow of power between RSP bubbles. </w:t>
      </w:r>
      <w:r w:rsidRPr="00CB5BCE">
        <w:fldChar w:fldCharType="begin"/>
      </w:r>
      <w:r w:rsidRPr="00CB5BCE">
        <w:instrText xml:space="preserve"> REF _Ref461610691 \h </w:instrText>
      </w:r>
      <w:r>
        <w:instrText xml:space="preserve"> \* MERGEFORMAT </w:instrText>
      </w:r>
      <w:r w:rsidRPr="00CB5BCE">
        <w:fldChar w:fldCharType="separate"/>
      </w:r>
      <w:r w:rsidR="00872A95" w:rsidRPr="00BD250C">
        <w:t xml:space="preserve">Figure </w:t>
      </w:r>
      <w:r w:rsidR="00872A95">
        <w:rPr>
          <w:noProof/>
        </w:rPr>
        <w:t>5</w:t>
      </w:r>
      <w:r w:rsidR="00872A95">
        <w:rPr>
          <w:noProof/>
        </w:rPr>
        <w:noBreakHyphen/>
        <w:t>4</w:t>
      </w:r>
      <w:r w:rsidRPr="00CB5BCE">
        <w:fldChar w:fldCharType="end"/>
      </w:r>
      <w:r>
        <w:t xml:space="preserve"> depicts the transmission i</w:t>
      </w:r>
      <w:r w:rsidR="000363BD">
        <w:t xml:space="preserve">nterface limits (MW) assumed in </w:t>
      </w:r>
      <w:r>
        <w:t>the models for interfaces internal to New England</w:t>
      </w:r>
      <w:r w:rsidR="00E91FAA">
        <w:t>, which were assumed at the same values as determined for 2025</w:t>
      </w:r>
      <w:r>
        <w:t>.</w:t>
      </w:r>
    </w:p>
    <w:p w:rsidR="00A12E6B" w:rsidRDefault="004602FB" w:rsidP="001259D9">
      <w:pPr>
        <w:pStyle w:val="Caption"/>
        <w:spacing w:after="60"/>
        <w:jc w:val="center"/>
      </w:pPr>
      <w:bookmarkStart w:id="154" w:name="_Ref461610658"/>
      <w:bookmarkStart w:id="155" w:name="_Toc520721025"/>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10</w:t>
      </w:r>
      <w:r w:rsidR="00EA3757">
        <w:rPr>
          <w:noProof/>
        </w:rPr>
        <w:fldChar w:fldCharType="end"/>
      </w:r>
      <w:bookmarkEnd w:id="154"/>
      <w:r>
        <w:br/>
      </w:r>
      <w:r w:rsidR="00957FFC" w:rsidRPr="00BE28CD">
        <w:t xml:space="preserve">Single-Value </w:t>
      </w:r>
      <w:r w:rsidR="00A12E6B" w:rsidRPr="00BE28CD">
        <w:t xml:space="preserve">Internal </w:t>
      </w:r>
      <w:r w:rsidR="00CB7F85" w:rsidRPr="00BE28CD">
        <w:t>T</w:t>
      </w:r>
      <w:r w:rsidR="00A12E6B" w:rsidRPr="00BE28CD">
        <w:t>ransmission</w:t>
      </w:r>
      <w:r w:rsidR="00B96A48" w:rsidRPr="00BE28CD">
        <w:t>-</w:t>
      </w:r>
      <w:r w:rsidR="00CB7F85" w:rsidRPr="00BE28CD">
        <w:t>I</w:t>
      </w:r>
      <w:r w:rsidR="00A12E6B" w:rsidRPr="00BE28CD">
        <w:t>nterface Limits</w:t>
      </w:r>
      <w:r w:rsidR="00E0246D" w:rsidRPr="00BE28CD">
        <w:br/>
      </w:r>
      <w:r w:rsidR="00957FFC" w:rsidRPr="00EE154D">
        <w:t xml:space="preserve">for Use in </w:t>
      </w:r>
      <w:r w:rsidR="00365F6D" w:rsidRPr="00EE154D">
        <w:t xml:space="preserve">RSP </w:t>
      </w:r>
      <w:r w:rsidR="00957FFC" w:rsidRPr="00EE154D">
        <w:t xml:space="preserve">Subarea </w:t>
      </w:r>
      <w:r w:rsidR="00365F6D" w:rsidRPr="00EE154D">
        <w:t>Models</w:t>
      </w:r>
      <w:r w:rsidR="00957FFC" w:rsidRPr="00EE154D">
        <w:t xml:space="preserve"> </w:t>
      </w:r>
      <w:r w:rsidR="002A68CF" w:rsidRPr="00EE154D">
        <w:t xml:space="preserve">assumed </w:t>
      </w:r>
      <w:r w:rsidR="00957FFC" w:rsidRPr="00EE154D">
        <w:t>for</w:t>
      </w:r>
      <w:r w:rsidR="00CB7F85" w:rsidRPr="00EE154D">
        <w:t xml:space="preserve"> 2030</w:t>
      </w:r>
      <w:r w:rsidR="00B63FC5" w:rsidRPr="00EE154D">
        <w:t xml:space="preserve"> </w:t>
      </w:r>
      <w:r w:rsidR="00A12E6B" w:rsidRPr="00EE154D">
        <w:t>(MW)</w:t>
      </w:r>
      <w:bookmarkEnd w:id="155"/>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71"/>
        <w:gridCol w:w="1059"/>
      </w:tblGrid>
      <w:tr w:rsidR="00E84202" w:rsidRPr="00E84202" w:rsidTr="001259D9">
        <w:trPr>
          <w:cantSplit/>
          <w:jc w:val="center"/>
        </w:trPr>
        <w:tc>
          <w:tcPr>
            <w:tcW w:w="3771" w:type="dxa"/>
            <w:shd w:val="clear" w:color="auto" w:fill="1795D2" w:themeFill="accent1"/>
            <w:tcMar>
              <w:top w:w="43" w:type="dxa"/>
              <w:left w:w="58" w:type="dxa"/>
              <w:bottom w:w="43" w:type="dxa"/>
              <w:right w:w="58" w:type="dxa"/>
            </w:tcMar>
            <w:vAlign w:val="center"/>
          </w:tcPr>
          <w:p w:rsidR="00A12E6B" w:rsidRPr="00022865" w:rsidRDefault="00CB7F85" w:rsidP="004E4AD2">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Internal I</w:t>
            </w:r>
            <w:r w:rsidR="00A12E6B" w:rsidRPr="00022865">
              <w:rPr>
                <w:rFonts w:ascii="Calibri" w:hAnsi="Calibri"/>
                <w:b/>
                <w:color w:val="FFFFFF" w:themeColor="background1"/>
                <w:sz w:val="18"/>
                <w:szCs w:val="18"/>
              </w:rPr>
              <w:t>nterface</w:t>
            </w:r>
          </w:p>
        </w:tc>
        <w:tc>
          <w:tcPr>
            <w:tcW w:w="1059" w:type="dxa"/>
            <w:shd w:val="clear" w:color="auto" w:fill="1795D2" w:themeFill="accent1"/>
            <w:tcMar>
              <w:top w:w="43" w:type="dxa"/>
              <w:left w:w="58" w:type="dxa"/>
              <w:bottom w:w="43" w:type="dxa"/>
              <w:right w:w="58" w:type="dxa"/>
            </w:tcMar>
            <w:vAlign w:val="center"/>
          </w:tcPr>
          <w:p w:rsidR="00A12E6B" w:rsidRPr="00022865" w:rsidRDefault="00CB7F85" w:rsidP="000914EB">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MW</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Orrington South Export</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325</w:t>
            </w:r>
          </w:p>
        </w:tc>
      </w:tr>
      <w:tr w:rsidR="00A12E6B" w:rsidRPr="00022865" w:rsidTr="001259D9">
        <w:trPr>
          <w:cantSplit/>
          <w:jc w:val="center"/>
        </w:trPr>
        <w:tc>
          <w:tcPr>
            <w:tcW w:w="3771" w:type="dxa"/>
            <w:shd w:val="clear" w:color="auto" w:fill="CCEAF9" w:themeFill="accent1" w:themeFillTint="33"/>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Surowiec South</w:t>
            </w:r>
          </w:p>
        </w:tc>
        <w:tc>
          <w:tcPr>
            <w:tcW w:w="1059" w:type="dxa"/>
            <w:shd w:val="clear" w:color="auto" w:fill="CCEAF9" w:themeFill="accent1" w:themeFillTint="33"/>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500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245E69">
            <w:pPr>
              <w:keepNext/>
              <w:keepLines/>
              <w:spacing w:before="20" w:after="20" w:line="240" w:lineRule="auto"/>
              <w:rPr>
                <w:rFonts w:ascii="Calibri" w:hAnsi="Calibri"/>
                <w:b/>
                <w:sz w:val="18"/>
                <w:szCs w:val="18"/>
              </w:rPr>
            </w:pPr>
            <w:r w:rsidRPr="00022865">
              <w:rPr>
                <w:rFonts w:ascii="Calibri" w:hAnsi="Calibri"/>
                <w:b/>
                <w:sz w:val="18"/>
                <w:szCs w:val="18"/>
              </w:rPr>
              <w:t>Maine</w:t>
            </w:r>
            <w:r w:rsidR="00022865">
              <w:rPr>
                <w:rFonts w:ascii="Calibri" w:hAnsi="Calibri"/>
                <w:b/>
                <w:sz w:val="18"/>
                <w:szCs w:val="18"/>
              </w:rPr>
              <w:t>–</w:t>
            </w:r>
            <w:r w:rsidRPr="00022865">
              <w:rPr>
                <w:rFonts w:ascii="Calibri" w:hAnsi="Calibri"/>
                <w:b/>
                <w:sz w:val="18"/>
                <w:szCs w:val="18"/>
              </w:rPr>
              <w:t>New  Hampshire</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900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North</w:t>
            </w:r>
            <w:r w:rsidR="00022865">
              <w:rPr>
                <w:rFonts w:ascii="Calibri" w:hAnsi="Calibri"/>
                <w:b/>
                <w:sz w:val="18"/>
                <w:szCs w:val="18"/>
              </w:rPr>
              <w:t>–</w:t>
            </w:r>
            <w:r w:rsidRPr="00022865">
              <w:rPr>
                <w:rFonts w:ascii="Calibri" w:hAnsi="Calibri"/>
                <w:b/>
                <w:sz w:val="18"/>
                <w:szCs w:val="18"/>
              </w:rPr>
              <w:t>South</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725</w:t>
            </w:r>
          </w:p>
        </w:tc>
      </w:tr>
      <w:tr w:rsidR="00A12E6B" w:rsidRPr="00022865" w:rsidTr="001259D9">
        <w:trPr>
          <w:cantSplit/>
          <w:jc w:val="center"/>
        </w:trPr>
        <w:tc>
          <w:tcPr>
            <w:tcW w:w="3771" w:type="dxa"/>
            <w:shd w:val="clear" w:color="auto" w:fill="CCEAF9" w:themeFill="accent1" w:themeFillTint="33"/>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East</w:t>
            </w:r>
            <w:r w:rsidR="00022865">
              <w:rPr>
                <w:rFonts w:ascii="Calibri" w:hAnsi="Calibri"/>
                <w:b/>
                <w:sz w:val="18"/>
                <w:szCs w:val="18"/>
              </w:rPr>
              <w:t>–</w:t>
            </w:r>
            <w:r w:rsidRPr="00022865">
              <w:rPr>
                <w:rFonts w:ascii="Calibri" w:hAnsi="Calibri"/>
                <w:b/>
                <w:sz w:val="18"/>
                <w:szCs w:val="18"/>
              </w:rPr>
              <w:t>West</w:t>
            </w:r>
          </w:p>
        </w:tc>
        <w:tc>
          <w:tcPr>
            <w:tcW w:w="1059" w:type="dxa"/>
            <w:shd w:val="clear" w:color="auto" w:fill="CCEAF9" w:themeFill="accent1" w:themeFillTint="33"/>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500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West</w:t>
            </w:r>
            <w:r w:rsidR="00022865">
              <w:rPr>
                <w:rFonts w:ascii="Calibri" w:hAnsi="Calibri"/>
                <w:b/>
                <w:sz w:val="18"/>
                <w:szCs w:val="18"/>
              </w:rPr>
              <w:t>–</w:t>
            </w:r>
            <w:r w:rsidRPr="00022865">
              <w:rPr>
                <w:rFonts w:ascii="Calibri" w:hAnsi="Calibri"/>
                <w:b/>
                <w:sz w:val="18"/>
                <w:szCs w:val="18"/>
              </w:rPr>
              <w:t>East</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200</w:t>
            </w:r>
          </w:p>
        </w:tc>
      </w:tr>
      <w:tr w:rsidR="00A12E6B" w:rsidRPr="00022865" w:rsidTr="001259D9">
        <w:trPr>
          <w:cantSplit/>
          <w:jc w:val="center"/>
        </w:trPr>
        <w:tc>
          <w:tcPr>
            <w:tcW w:w="3771" w:type="dxa"/>
            <w:shd w:val="clear" w:color="auto" w:fill="CCEAF9" w:themeFill="accent1" w:themeFillTint="33"/>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Boston Import (N-1)</w:t>
            </w:r>
          </w:p>
        </w:tc>
        <w:tc>
          <w:tcPr>
            <w:tcW w:w="1059" w:type="dxa"/>
            <w:shd w:val="clear" w:color="auto" w:fill="CCEAF9" w:themeFill="accent1" w:themeFillTint="33"/>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SEMA/RI Export</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400</w:t>
            </w:r>
          </w:p>
        </w:tc>
      </w:tr>
      <w:tr w:rsidR="00A12E6B" w:rsidRPr="00022865" w:rsidTr="001259D9">
        <w:trPr>
          <w:cantSplit/>
          <w:jc w:val="center"/>
        </w:trPr>
        <w:tc>
          <w:tcPr>
            <w:tcW w:w="3771" w:type="dxa"/>
            <w:shd w:val="clear" w:color="auto" w:fill="CCEAF9" w:themeFill="accent1" w:themeFillTint="33"/>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SEMA/RI Import (N-1)</w:t>
            </w:r>
          </w:p>
        </w:tc>
        <w:tc>
          <w:tcPr>
            <w:tcW w:w="1059" w:type="dxa"/>
            <w:shd w:val="clear" w:color="auto" w:fill="CCEAF9" w:themeFill="accent1" w:themeFillTint="33"/>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280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Southeast New England Import (N-1)</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6238ED" w:rsidRPr="00022865" w:rsidTr="001259D9">
        <w:trPr>
          <w:cantSplit/>
          <w:jc w:val="center"/>
        </w:trPr>
        <w:tc>
          <w:tcPr>
            <w:tcW w:w="3771" w:type="dxa"/>
            <w:shd w:val="clear" w:color="auto" w:fill="CCEAF9" w:themeFill="accent1" w:themeFillTint="33"/>
            <w:tcMar>
              <w:top w:w="43" w:type="dxa"/>
              <w:left w:w="58" w:type="dxa"/>
              <w:bottom w:w="43" w:type="dxa"/>
              <w:right w:w="58" w:type="dxa"/>
            </w:tcMar>
            <w:vAlign w:val="center"/>
          </w:tcPr>
          <w:p w:rsidR="006238ED" w:rsidRPr="00022865" w:rsidRDefault="006238ED" w:rsidP="000914EB">
            <w:pPr>
              <w:keepNext/>
              <w:keepLines/>
              <w:spacing w:before="20" w:after="20" w:line="240" w:lineRule="auto"/>
              <w:rPr>
                <w:rFonts w:ascii="Calibri" w:hAnsi="Calibri"/>
                <w:b/>
                <w:sz w:val="18"/>
                <w:szCs w:val="18"/>
              </w:rPr>
            </w:pPr>
            <w:r w:rsidRPr="00022865">
              <w:rPr>
                <w:rFonts w:ascii="Calibri" w:hAnsi="Calibri"/>
                <w:b/>
                <w:sz w:val="18"/>
                <w:szCs w:val="18"/>
              </w:rPr>
              <w:t>Connecticut Import (N-1)</w:t>
            </w:r>
          </w:p>
        </w:tc>
        <w:tc>
          <w:tcPr>
            <w:tcW w:w="1059" w:type="dxa"/>
            <w:shd w:val="clear" w:color="auto" w:fill="CCEAF9" w:themeFill="accent1" w:themeFillTint="33"/>
            <w:tcMar>
              <w:top w:w="43" w:type="dxa"/>
              <w:left w:w="58" w:type="dxa"/>
              <w:bottom w:w="43" w:type="dxa"/>
              <w:right w:w="144" w:type="dxa"/>
            </w:tcMar>
            <w:vAlign w:val="center"/>
          </w:tcPr>
          <w:p w:rsidR="006238ED" w:rsidRPr="00022865" w:rsidRDefault="006238ED" w:rsidP="000914EB">
            <w:pPr>
              <w:keepNext/>
              <w:keepLines/>
              <w:spacing w:before="20" w:after="20" w:line="240" w:lineRule="auto"/>
              <w:jc w:val="right"/>
              <w:rPr>
                <w:rFonts w:ascii="Calibri" w:hAnsi="Calibri"/>
                <w:sz w:val="18"/>
                <w:szCs w:val="18"/>
              </w:rPr>
            </w:pPr>
            <w:r w:rsidRPr="00022865">
              <w:rPr>
                <w:rFonts w:ascii="Calibri" w:hAnsi="Calibri"/>
                <w:sz w:val="18"/>
                <w:szCs w:val="18"/>
              </w:rPr>
              <w:t>3,400</w:t>
            </w:r>
          </w:p>
        </w:tc>
      </w:tr>
      <w:tr w:rsidR="00A12E6B" w:rsidRPr="00022865" w:rsidTr="001259D9">
        <w:trPr>
          <w:cantSplit/>
          <w:jc w:val="center"/>
        </w:trPr>
        <w:tc>
          <w:tcPr>
            <w:tcW w:w="3771" w:type="dxa"/>
            <w:shd w:val="clear" w:color="auto" w:fill="auto"/>
            <w:tcMar>
              <w:top w:w="43" w:type="dxa"/>
              <w:left w:w="58" w:type="dxa"/>
              <w:bottom w:w="43"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SW Connecticut Import (N-1)</w:t>
            </w:r>
          </w:p>
        </w:tc>
        <w:tc>
          <w:tcPr>
            <w:tcW w:w="1059" w:type="dxa"/>
            <w:shd w:val="clear" w:color="auto" w:fill="auto"/>
            <w:tcMar>
              <w:top w:w="43" w:type="dxa"/>
              <w:left w:w="58" w:type="dxa"/>
              <w:bottom w:w="43"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800</w:t>
            </w:r>
          </w:p>
        </w:tc>
      </w:tr>
    </w:tbl>
    <w:p w:rsidR="00A12E6B" w:rsidRDefault="00E0246D" w:rsidP="001259D9">
      <w:pPr>
        <w:widowControl w:val="0"/>
        <w:tabs>
          <w:tab w:val="left" w:pos="720"/>
        </w:tabs>
        <w:adjustRightInd/>
        <w:spacing w:before="40" w:after="0" w:line="240" w:lineRule="auto"/>
        <w:ind w:left="2246" w:right="2074"/>
        <w:textAlignment w:val="auto"/>
        <w:rPr>
          <w:rFonts w:ascii="Calibri" w:hAnsi="Calibri"/>
          <w:spacing w:val="-1"/>
          <w:sz w:val="16"/>
          <w:szCs w:val="16"/>
          <w:u w:val="single" w:color="1794D2"/>
        </w:rPr>
      </w:pPr>
      <w:r w:rsidRPr="00EE154D">
        <w:rPr>
          <w:rFonts w:ascii="Calibri" w:hAnsi="Calibri"/>
          <w:b/>
          <w:sz w:val="16"/>
          <w:szCs w:val="16"/>
        </w:rPr>
        <w:t>Source:</w:t>
      </w:r>
      <w:r w:rsidRPr="00EE154D">
        <w:rPr>
          <w:rFonts w:ascii="Calibri" w:hAnsi="Calibri"/>
          <w:sz w:val="16"/>
          <w:szCs w:val="16"/>
        </w:rPr>
        <w:t xml:space="preserve"> </w:t>
      </w:r>
      <w:r w:rsidR="00AD567A" w:rsidRPr="00EE154D">
        <w:rPr>
          <w:rFonts w:ascii="Calibri" w:hAnsi="Calibri"/>
          <w:sz w:val="16"/>
          <w:szCs w:val="16"/>
        </w:rPr>
        <w:t xml:space="preserve">ISO New England, </w:t>
      </w:r>
      <w:r w:rsidR="00AD567A" w:rsidRPr="00EE154D">
        <w:rPr>
          <w:rFonts w:ascii="Calibri" w:hAnsi="Calibri"/>
          <w:i/>
          <w:sz w:val="16"/>
          <w:szCs w:val="16"/>
        </w:rPr>
        <w:t>Transmission Transfer Capabilities Update</w:t>
      </w:r>
      <w:r w:rsidR="00AD567A" w:rsidRPr="00EE154D">
        <w:rPr>
          <w:rFonts w:ascii="Calibri" w:hAnsi="Calibri"/>
          <w:sz w:val="16"/>
          <w:szCs w:val="16"/>
        </w:rPr>
        <w:t xml:space="preserve">, PAC presentation (June 10, 2016), </w:t>
      </w:r>
      <w:hyperlink r:id="rId30">
        <w:r w:rsidR="00A12E6B" w:rsidRPr="00EE154D">
          <w:rPr>
            <w:rFonts w:ascii="Calibri" w:hAnsi="Calibri"/>
            <w:spacing w:val="-1"/>
            <w:sz w:val="16"/>
            <w:szCs w:val="16"/>
            <w:u w:val="single" w:color="1794D2"/>
          </w:rPr>
          <w:t>https://smd.iso</w:t>
        </w:r>
      </w:hyperlink>
      <w:hyperlink r:id="rId31">
        <w:r w:rsidR="00A12E6B" w:rsidRPr="00EE154D">
          <w:rPr>
            <w:rFonts w:ascii="Calibri" w:hAnsi="Calibri"/>
            <w:spacing w:val="-1"/>
            <w:sz w:val="16"/>
            <w:szCs w:val="16"/>
            <w:u w:val="single" w:color="1794D2"/>
          </w:rPr>
          <w:t>-</w:t>
        </w:r>
      </w:hyperlink>
      <w:hyperlink r:id="rId32">
        <w:r w:rsidR="00A12E6B" w:rsidRPr="00EE154D">
          <w:rPr>
            <w:rFonts w:ascii="Calibri" w:hAnsi="Calibri"/>
            <w:spacing w:val="-1"/>
            <w:sz w:val="16"/>
            <w:szCs w:val="16"/>
            <w:u w:val="single" w:color="1794D2"/>
          </w:rPr>
          <w:t>ne.com/operations</w:t>
        </w:r>
      </w:hyperlink>
      <w:hyperlink r:id="rId33">
        <w:r w:rsidR="00A12E6B" w:rsidRPr="00EE154D">
          <w:rPr>
            <w:rFonts w:ascii="Calibri" w:hAnsi="Calibri"/>
            <w:spacing w:val="-1"/>
            <w:sz w:val="16"/>
            <w:szCs w:val="16"/>
            <w:u w:val="single" w:color="1794D2"/>
          </w:rPr>
          <w:t>-</w:t>
        </w:r>
      </w:hyperlink>
      <w:hyperlink r:id="rId34">
        <w:r w:rsidR="00A12E6B" w:rsidRPr="00EE154D">
          <w:rPr>
            <w:rFonts w:ascii="Calibri" w:hAnsi="Calibri"/>
            <w:spacing w:val="-1"/>
            <w:sz w:val="16"/>
            <w:szCs w:val="16"/>
            <w:u w:val="single" w:color="1794D2"/>
          </w:rPr>
          <w:t>services/ceii/pac/2016/06/a3_transmission_transfer_capabilities_update.pdf</w:t>
        </w:r>
      </w:hyperlink>
      <w:r w:rsidRPr="00EE154D">
        <w:rPr>
          <w:rFonts w:ascii="Calibri" w:hAnsi="Calibri"/>
          <w:spacing w:val="-1"/>
          <w:sz w:val="16"/>
          <w:szCs w:val="16"/>
          <w:u w:val="single" w:color="1794D2"/>
        </w:rPr>
        <w:t>.</w:t>
      </w:r>
    </w:p>
    <w:p w:rsidR="00D404E5" w:rsidRDefault="00D404E5" w:rsidP="001259D9">
      <w:pPr>
        <w:spacing w:after="0" w:line="240" w:lineRule="auto"/>
        <w:jc w:val="center"/>
      </w:pPr>
      <w:r>
        <w:rPr>
          <w:noProof/>
        </w:rPr>
        <w:drawing>
          <wp:inline distT="0" distB="0" distL="0" distR="0" wp14:anchorId="55A7AA96" wp14:editId="1C482804">
            <wp:extent cx="5943600" cy="4283982"/>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283982"/>
                    </a:xfrm>
                    <a:prstGeom prst="rect">
                      <a:avLst/>
                    </a:prstGeom>
                    <a:noFill/>
                    <a:ln w="3175">
                      <a:solidFill>
                        <a:srgbClr val="000000"/>
                      </a:solidFill>
                    </a:ln>
                  </pic:spPr>
                </pic:pic>
              </a:graphicData>
            </a:graphic>
          </wp:inline>
        </w:drawing>
      </w:r>
    </w:p>
    <w:p w:rsidR="003C3C38" w:rsidRPr="00BD250C" w:rsidRDefault="00255638" w:rsidP="00EF45CF">
      <w:pPr>
        <w:pStyle w:val="Caption"/>
        <w:spacing w:before="120" w:after="80"/>
      </w:pPr>
      <w:bookmarkStart w:id="156" w:name="_Ref461610691"/>
      <w:bookmarkStart w:id="157" w:name="_Ref461610675"/>
      <w:bookmarkStart w:id="158" w:name="_Toc519511501"/>
      <w:r w:rsidRPr="00BD250C">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4</w:t>
      </w:r>
      <w:r w:rsidR="00E930AF">
        <w:rPr>
          <w:noProof/>
        </w:rPr>
        <w:fldChar w:fldCharType="end"/>
      </w:r>
      <w:bookmarkEnd w:id="156"/>
      <w:r w:rsidR="00D70052" w:rsidRPr="00BD250C">
        <w:t>: Pipe and bubble representations of transmission interfaces in New England for 2030 (MW).</w:t>
      </w:r>
      <w:bookmarkEnd w:id="157"/>
      <w:bookmarkEnd w:id="158"/>
      <w:r w:rsidR="00642A08" w:rsidRPr="00BD250C">
        <w:rPr>
          <w:color w:val="FF0000"/>
        </w:rPr>
        <w:t xml:space="preserve"> </w:t>
      </w:r>
    </w:p>
    <w:p w:rsidR="00900E26" w:rsidRPr="00BD250C" w:rsidRDefault="008C5922" w:rsidP="00877379">
      <w:pPr>
        <w:spacing w:line="240" w:lineRule="auto"/>
        <w:rPr>
          <w:rFonts w:ascii="Calibri" w:hAnsi="Calibri"/>
          <w:sz w:val="16"/>
          <w:szCs w:val="16"/>
        </w:rPr>
      </w:pPr>
      <w:r w:rsidRPr="00BD250C">
        <w:rPr>
          <w:rFonts w:ascii="Calibri" w:hAnsi="Calibri"/>
          <w:b/>
          <w:sz w:val="16"/>
          <w:szCs w:val="16"/>
        </w:rPr>
        <w:t>Note</w:t>
      </w:r>
      <w:r w:rsidR="00900E26" w:rsidRPr="00BD250C">
        <w:rPr>
          <w:rFonts w:ascii="Calibri" w:hAnsi="Calibri"/>
          <w:b/>
          <w:sz w:val="16"/>
          <w:szCs w:val="16"/>
        </w:rPr>
        <w:t>s</w:t>
      </w:r>
      <w:r w:rsidRPr="00BD250C">
        <w:rPr>
          <w:rFonts w:ascii="Calibri" w:hAnsi="Calibri"/>
          <w:b/>
          <w:sz w:val="16"/>
          <w:szCs w:val="16"/>
        </w:rPr>
        <w:t>:</w:t>
      </w:r>
      <w:r w:rsidRPr="00BD250C">
        <w:rPr>
          <w:rFonts w:ascii="Calibri" w:hAnsi="Calibri"/>
          <w:sz w:val="16"/>
          <w:szCs w:val="16"/>
        </w:rPr>
        <w:t xml:space="preserve"> The Cross-Sound Cable </w:t>
      </w:r>
      <w:r w:rsidR="000D4B7A">
        <w:rPr>
          <w:rFonts w:ascii="Calibri" w:hAnsi="Calibri"/>
          <w:sz w:val="16"/>
          <w:szCs w:val="16"/>
        </w:rPr>
        <w:t xml:space="preserve">(CSC) </w:t>
      </w:r>
      <w:r w:rsidRPr="00BD250C">
        <w:rPr>
          <w:rFonts w:ascii="Calibri" w:hAnsi="Calibri"/>
          <w:sz w:val="16"/>
          <w:szCs w:val="16"/>
        </w:rPr>
        <w:t>capacity import capability was assumed to provide no capacity (0 MW).</w:t>
      </w:r>
      <w:r w:rsidR="001D41ED" w:rsidRPr="00BD250C">
        <w:rPr>
          <w:rFonts w:ascii="Calibri" w:hAnsi="Calibri"/>
          <w:sz w:val="16"/>
          <w:szCs w:val="16"/>
        </w:rPr>
        <w:t xml:space="preserve"> </w:t>
      </w:r>
      <w:r w:rsidR="00BC0942">
        <w:rPr>
          <w:rFonts w:ascii="Calibri" w:hAnsi="Calibri"/>
          <w:sz w:val="16"/>
          <w:szCs w:val="16"/>
        </w:rPr>
        <w:t>Similar to the Renew Plus Scenario</w:t>
      </w:r>
      <w:r w:rsidR="00E91FAA">
        <w:rPr>
          <w:rFonts w:ascii="Calibri" w:hAnsi="Calibri"/>
          <w:sz w:val="16"/>
          <w:szCs w:val="16"/>
        </w:rPr>
        <w:t>,</w:t>
      </w:r>
      <w:r w:rsidR="00900E26" w:rsidRPr="00BD250C">
        <w:rPr>
          <w:rFonts w:ascii="Calibri" w:hAnsi="Calibri"/>
          <w:sz w:val="16"/>
          <w:szCs w:val="16"/>
        </w:rPr>
        <w:t xml:space="preserve"> </w:t>
      </w:r>
      <w:r w:rsidR="00BC0942">
        <w:rPr>
          <w:rFonts w:ascii="Calibri" w:hAnsi="Calibri"/>
          <w:sz w:val="16"/>
          <w:szCs w:val="16"/>
        </w:rPr>
        <w:t xml:space="preserve">all </w:t>
      </w:r>
      <w:r w:rsidR="00FD723F">
        <w:rPr>
          <w:rFonts w:ascii="Calibri" w:hAnsi="Calibri"/>
          <w:sz w:val="16"/>
          <w:szCs w:val="16"/>
        </w:rPr>
        <w:t>the scenario</w:t>
      </w:r>
      <w:r w:rsidR="00BC0942">
        <w:rPr>
          <w:rFonts w:ascii="Calibri" w:hAnsi="Calibri"/>
          <w:sz w:val="16"/>
          <w:szCs w:val="16"/>
        </w:rPr>
        <w:t>s</w:t>
      </w:r>
      <w:r w:rsidR="00900E26" w:rsidRPr="00BD250C">
        <w:rPr>
          <w:rFonts w:ascii="Calibri" w:hAnsi="Calibri"/>
          <w:sz w:val="16"/>
          <w:szCs w:val="16"/>
        </w:rPr>
        <w:t xml:space="preserve"> </w:t>
      </w:r>
      <w:r w:rsidR="00E91FAA">
        <w:rPr>
          <w:rFonts w:ascii="Calibri" w:hAnsi="Calibri"/>
          <w:sz w:val="16"/>
          <w:szCs w:val="16"/>
        </w:rPr>
        <w:t>added</w:t>
      </w:r>
      <w:r w:rsidR="00921B89" w:rsidRPr="00BD250C">
        <w:rPr>
          <w:rFonts w:ascii="Calibri" w:hAnsi="Calibri"/>
          <w:sz w:val="16"/>
          <w:szCs w:val="16"/>
        </w:rPr>
        <w:t xml:space="preserve"> </w:t>
      </w:r>
      <w:r w:rsidR="00E91FAA">
        <w:rPr>
          <w:rFonts w:ascii="Calibri" w:hAnsi="Calibri"/>
          <w:sz w:val="16"/>
          <w:szCs w:val="16"/>
        </w:rPr>
        <w:t>two</w:t>
      </w:r>
      <w:r w:rsidR="00921B89" w:rsidRPr="00BD250C">
        <w:rPr>
          <w:rFonts w:ascii="Calibri" w:hAnsi="Calibri"/>
          <w:sz w:val="16"/>
          <w:szCs w:val="16"/>
        </w:rPr>
        <w:t xml:space="preserve"> new tie</w:t>
      </w:r>
      <w:r w:rsidR="00E91FAA">
        <w:rPr>
          <w:rFonts w:ascii="Calibri" w:hAnsi="Calibri"/>
          <w:sz w:val="16"/>
          <w:szCs w:val="16"/>
        </w:rPr>
        <w:t xml:space="preserve">s </w:t>
      </w:r>
      <w:r w:rsidR="00921B89" w:rsidRPr="00BD250C">
        <w:rPr>
          <w:rFonts w:ascii="Calibri" w:hAnsi="Calibri"/>
          <w:sz w:val="16"/>
          <w:szCs w:val="16"/>
        </w:rPr>
        <w:t>rom Q</w:t>
      </w:r>
      <w:r w:rsidR="00C713E4" w:rsidRPr="00BD250C">
        <w:rPr>
          <w:rFonts w:ascii="Calibri" w:hAnsi="Calibri"/>
          <w:sz w:val="16"/>
          <w:szCs w:val="16"/>
        </w:rPr>
        <w:t>uébec</w:t>
      </w:r>
      <w:r w:rsidR="00921B89" w:rsidRPr="00BD250C">
        <w:rPr>
          <w:rFonts w:ascii="Calibri" w:hAnsi="Calibri"/>
          <w:sz w:val="16"/>
          <w:szCs w:val="16"/>
        </w:rPr>
        <w:t xml:space="preserve"> </w:t>
      </w:r>
      <w:r w:rsidR="00E91FAA" w:rsidRPr="00E91FAA">
        <w:rPr>
          <w:rFonts w:ascii="Calibri" w:hAnsi="Calibri"/>
          <w:sz w:val="16"/>
          <w:szCs w:val="16"/>
        </w:rPr>
        <w:t>with equal capability and energy</w:t>
      </w:r>
      <w:r w:rsidR="00E91FAA">
        <w:rPr>
          <w:rFonts w:ascii="Calibri" w:hAnsi="Calibri"/>
          <w:sz w:val="16"/>
          <w:szCs w:val="16"/>
        </w:rPr>
        <w:t xml:space="preserve">: one </w:t>
      </w:r>
      <w:r w:rsidR="00E91FAA" w:rsidRPr="00BD250C">
        <w:rPr>
          <w:rFonts w:ascii="Calibri" w:hAnsi="Calibri"/>
          <w:sz w:val="16"/>
          <w:szCs w:val="16"/>
        </w:rPr>
        <w:t>t</w:t>
      </w:r>
      <w:r w:rsidR="00E91FAA">
        <w:rPr>
          <w:rFonts w:ascii="Calibri" w:hAnsi="Calibri"/>
          <w:sz w:val="16"/>
          <w:szCs w:val="16"/>
        </w:rPr>
        <w:t>o</w:t>
      </w:r>
      <w:r w:rsidR="00921B89" w:rsidRPr="00BD250C">
        <w:rPr>
          <w:rFonts w:ascii="Calibri" w:hAnsi="Calibri"/>
          <w:sz w:val="16"/>
          <w:szCs w:val="16"/>
        </w:rPr>
        <w:t xml:space="preserve"> WMA and one to </w:t>
      </w:r>
      <w:r w:rsidR="0011576D" w:rsidRPr="00BD250C">
        <w:rPr>
          <w:rFonts w:ascii="Calibri" w:hAnsi="Calibri"/>
          <w:sz w:val="16"/>
          <w:szCs w:val="16"/>
        </w:rPr>
        <w:t>the Central Massachusetts/Northeast Massachusetts (</w:t>
      </w:r>
      <w:r w:rsidR="00921B89" w:rsidRPr="00BD250C">
        <w:rPr>
          <w:rFonts w:ascii="Calibri" w:hAnsi="Calibri"/>
          <w:sz w:val="16"/>
          <w:szCs w:val="16"/>
        </w:rPr>
        <w:t>C</w:t>
      </w:r>
      <w:r w:rsidR="00C713E4" w:rsidRPr="00BD250C">
        <w:rPr>
          <w:rFonts w:ascii="Calibri" w:hAnsi="Calibri"/>
          <w:sz w:val="16"/>
          <w:szCs w:val="16"/>
        </w:rPr>
        <w:t>MA</w:t>
      </w:r>
      <w:r w:rsidR="00921B89" w:rsidRPr="00BD250C">
        <w:rPr>
          <w:rFonts w:ascii="Calibri" w:hAnsi="Calibri"/>
          <w:sz w:val="16"/>
          <w:szCs w:val="16"/>
        </w:rPr>
        <w:t>/NEMA</w:t>
      </w:r>
      <w:r w:rsidR="0011576D" w:rsidRPr="00BD250C">
        <w:rPr>
          <w:rFonts w:ascii="Calibri" w:hAnsi="Calibri"/>
          <w:sz w:val="16"/>
          <w:szCs w:val="16"/>
        </w:rPr>
        <w:t>) area</w:t>
      </w:r>
      <w:r w:rsidR="00921B89" w:rsidRPr="00BD250C">
        <w:rPr>
          <w:rFonts w:ascii="Calibri" w:hAnsi="Calibri"/>
          <w:sz w:val="16"/>
          <w:szCs w:val="16"/>
        </w:rPr>
        <w:t>.</w:t>
      </w:r>
      <w:r w:rsidR="00877379" w:rsidRPr="00BD250C">
        <w:rPr>
          <w:rFonts w:ascii="Calibri" w:hAnsi="Calibri"/>
          <w:sz w:val="16"/>
          <w:szCs w:val="16"/>
        </w:rPr>
        <w:t xml:space="preserve"> See </w:t>
      </w:r>
      <w:r w:rsidR="0076248F" w:rsidRPr="00BD250C">
        <w:rPr>
          <w:rFonts w:ascii="Calibri" w:hAnsi="Calibri"/>
          <w:sz w:val="16"/>
          <w:szCs w:val="16"/>
        </w:rPr>
        <w:t>Section</w:t>
      </w:r>
      <w:r w:rsidR="0076248F">
        <w:rPr>
          <w:rFonts w:ascii="Calibri" w:hAnsi="Calibri"/>
          <w:sz w:val="16"/>
          <w:szCs w:val="16"/>
        </w:rPr>
        <w:t> </w:t>
      </w:r>
      <w:r w:rsidR="00BD250C" w:rsidRPr="00BD250C">
        <w:rPr>
          <w:rFonts w:ascii="Calibri" w:hAnsi="Calibri"/>
          <w:sz w:val="16"/>
          <w:szCs w:val="16"/>
        </w:rPr>
        <w:fldChar w:fldCharType="begin"/>
      </w:r>
      <w:r w:rsidR="00BD250C" w:rsidRPr="00BD250C">
        <w:rPr>
          <w:rFonts w:ascii="Calibri" w:hAnsi="Calibri"/>
          <w:sz w:val="16"/>
          <w:szCs w:val="16"/>
        </w:rPr>
        <w:instrText xml:space="preserve"> REF _Ref486261846 \r \h </w:instrText>
      </w:r>
      <w:r w:rsidR="00BD250C">
        <w:rPr>
          <w:rFonts w:ascii="Calibri" w:hAnsi="Calibri"/>
          <w:sz w:val="16"/>
          <w:szCs w:val="16"/>
        </w:rPr>
        <w:instrText xml:space="preserve"> \* MERGEFORMAT </w:instrText>
      </w:r>
      <w:r w:rsidR="00BD250C" w:rsidRPr="00BD250C">
        <w:rPr>
          <w:rFonts w:ascii="Calibri" w:hAnsi="Calibri"/>
          <w:sz w:val="16"/>
          <w:szCs w:val="16"/>
        </w:rPr>
      </w:r>
      <w:r w:rsidR="00BD250C" w:rsidRPr="00BD250C">
        <w:rPr>
          <w:rFonts w:ascii="Calibri" w:hAnsi="Calibri"/>
          <w:sz w:val="16"/>
          <w:szCs w:val="16"/>
        </w:rPr>
        <w:fldChar w:fldCharType="separate"/>
      </w:r>
      <w:r w:rsidR="00872A95">
        <w:rPr>
          <w:rFonts w:ascii="Calibri" w:hAnsi="Calibri"/>
          <w:sz w:val="16"/>
          <w:szCs w:val="16"/>
        </w:rPr>
        <w:t>5.3.8.2</w:t>
      </w:r>
      <w:r w:rsidR="00BD250C" w:rsidRPr="00BD250C">
        <w:rPr>
          <w:rFonts w:ascii="Calibri" w:hAnsi="Calibri"/>
          <w:sz w:val="16"/>
          <w:szCs w:val="16"/>
        </w:rPr>
        <w:fldChar w:fldCharType="end"/>
      </w:r>
      <w:r w:rsidR="00877379" w:rsidRPr="00BD250C">
        <w:rPr>
          <w:rFonts w:ascii="Calibri" w:hAnsi="Calibri"/>
          <w:sz w:val="16"/>
          <w:szCs w:val="16"/>
        </w:rPr>
        <w:t>.</w:t>
      </w:r>
      <w:r w:rsidR="00921B89" w:rsidRPr="00BD250C">
        <w:rPr>
          <w:rFonts w:ascii="Calibri" w:hAnsi="Calibri"/>
          <w:sz w:val="16"/>
          <w:szCs w:val="16"/>
        </w:rPr>
        <w:t xml:space="preserve"> </w:t>
      </w:r>
    </w:p>
    <w:p w:rsidR="00225C77" w:rsidRPr="0097425C" w:rsidRDefault="00225C77" w:rsidP="0040198C">
      <w:pPr>
        <w:pStyle w:val="Heading4"/>
      </w:pPr>
      <w:bookmarkStart w:id="159" w:name="_Ref486261846"/>
      <w:r w:rsidRPr="0097425C">
        <w:t>External Ties</w:t>
      </w:r>
      <w:bookmarkEnd w:id="159"/>
    </w:p>
    <w:p w:rsidR="00225C77" w:rsidRDefault="00225C77" w:rsidP="00C713E4">
      <w:r w:rsidRPr="00CB5BCE">
        <w:t xml:space="preserve">The scenarios required information about the </w:t>
      </w:r>
      <w:r w:rsidRPr="007A1B20">
        <w:t>capacity imports assumed to determine the initial mix of resources</w:t>
      </w:r>
      <w:r>
        <w:t xml:space="preserve">. </w:t>
      </w:r>
      <w:r w:rsidRPr="00DE7C49">
        <w:t xml:space="preserve">The assumptions for each scenario’s resource mix considered capacity imports with capacity supply obligations. </w:t>
      </w:r>
      <w:r w:rsidRPr="003A4727">
        <w:t>Import capacity includes New York Power Authority imports under a long-term contract plus the average capacity supply obligations associated with New Brunswick, Highgate, and Phase II occurring during 2013, 2014, and 2015.</w:t>
      </w:r>
      <w:r w:rsidRPr="00C16903">
        <w:t xml:space="preserve"> Scenario 3 </w:t>
      </w:r>
      <w:r w:rsidR="0005215E">
        <w:t xml:space="preserve">and Scenario C </w:t>
      </w:r>
      <w:r w:rsidRPr="00C16903">
        <w:t xml:space="preserve">assume additional import capacity of </w:t>
      </w:r>
      <w:r w:rsidRPr="00731662">
        <w:t>2,</w:t>
      </w:r>
      <w:r w:rsidR="00284D94" w:rsidRPr="00731662">
        <w:t>000 </w:t>
      </w:r>
      <w:r w:rsidRPr="00731662">
        <w:t>MW in 2030,</w:t>
      </w:r>
      <w:r w:rsidR="0005215E" w:rsidRPr="00BD2B3A">
        <w:t xml:space="preserve"> </w:t>
      </w:r>
      <w:r w:rsidR="00FE01F1" w:rsidRPr="00904178">
        <w:t>and</w:t>
      </w:r>
      <w:r w:rsidR="0005215E" w:rsidRPr="004931FC">
        <w:t xml:space="preserve"> Scenario A and Scenario C assume additional import capacity of 1</w:t>
      </w:r>
      <w:r w:rsidR="00284D94" w:rsidRPr="004931FC">
        <w:t>,</w:t>
      </w:r>
      <w:r w:rsidR="0005215E" w:rsidRPr="004931FC">
        <w:t>000 MW</w:t>
      </w:r>
      <w:r w:rsidRPr="004931FC">
        <w:t>.</w:t>
      </w:r>
    </w:p>
    <w:p w:rsidR="0030601D" w:rsidRPr="0080348E" w:rsidRDefault="00225C77" w:rsidP="00C713E4">
      <w:r>
        <w:t>Energy i</w:t>
      </w:r>
      <w:r w:rsidR="00A10C4B" w:rsidRPr="004C04F8">
        <w:t>mports over the existing ties with Canada</w:t>
      </w:r>
      <w:r w:rsidR="00A651AB" w:rsidRPr="00C16903">
        <w:t xml:space="preserve"> </w:t>
      </w:r>
      <w:r w:rsidR="00A10C4B" w:rsidRPr="004C04F8">
        <w:t>were based on diurnal profiles for 2013, 2014, and 2015</w:t>
      </w:r>
      <w:r w:rsidR="00A651AB" w:rsidRPr="004C04F8">
        <w:t>.</w:t>
      </w:r>
      <w:r w:rsidR="00C16903">
        <w:rPr>
          <w:rStyle w:val="FootnoteReference"/>
        </w:rPr>
        <w:footnoteReference w:id="42"/>
      </w:r>
      <w:r w:rsidR="004C04F8">
        <w:t xml:space="preserve"> </w:t>
      </w:r>
      <w:r w:rsidR="00957741" w:rsidRPr="00C713E4">
        <w:t xml:space="preserve">The energy profiles for </w:t>
      </w:r>
      <w:r w:rsidR="009F26D4">
        <w:t xml:space="preserve">imports from </w:t>
      </w:r>
      <w:r w:rsidR="00957741" w:rsidRPr="00C713E4">
        <w:t xml:space="preserve">Québec and the Maritimes for </w:t>
      </w:r>
      <w:r w:rsidR="0005215E">
        <w:t>all s</w:t>
      </w:r>
      <w:r w:rsidR="0030601D" w:rsidRPr="00C713E4">
        <w:t xml:space="preserve">cenarios </w:t>
      </w:r>
      <w:r w:rsidR="00957741" w:rsidRPr="009A7169">
        <w:t>were developed</w:t>
      </w:r>
      <w:r w:rsidR="00957741" w:rsidRPr="00C713E4">
        <w:t xml:space="preserve"> </w:t>
      </w:r>
      <w:r w:rsidR="00957741" w:rsidRPr="007A186C">
        <w:t xml:space="preserve">using </w:t>
      </w:r>
      <w:r w:rsidR="0030601D" w:rsidRPr="007A186C">
        <w:t xml:space="preserve">a </w:t>
      </w:r>
      <w:r w:rsidR="0030601D" w:rsidRPr="003A4727">
        <w:t xml:space="preserve">methodology similar to </w:t>
      </w:r>
      <w:r w:rsidR="00957741" w:rsidRPr="003A4727">
        <w:t xml:space="preserve">one used in </w:t>
      </w:r>
      <w:r w:rsidR="00EF2612">
        <w:t>previous</w:t>
      </w:r>
      <w:r w:rsidR="0030601D" w:rsidRPr="003A4727">
        <w:t xml:space="preserve"> </w:t>
      </w:r>
      <w:r w:rsidR="00284D94">
        <w:t>ISO e</w:t>
      </w:r>
      <w:r w:rsidR="0030601D" w:rsidRPr="003A4727">
        <w:t xml:space="preserve">conomic </w:t>
      </w:r>
      <w:r w:rsidR="00284D94">
        <w:t>s</w:t>
      </w:r>
      <w:r w:rsidR="0030601D" w:rsidRPr="003A4727">
        <w:t>tudies</w:t>
      </w:r>
      <w:r w:rsidR="00957741" w:rsidRPr="003A4727">
        <w:t>.</w:t>
      </w:r>
      <w:r w:rsidR="007C7C93" w:rsidRPr="003A4727">
        <w:rPr>
          <w:rStyle w:val="FootnoteReference"/>
        </w:rPr>
        <w:footnoteReference w:id="43"/>
      </w:r>
      <w:r w:rsidR="00957741" w:rsidRPr="003A4727">
        <w:t xml:space="preserve"> </w:t>
      </w:r>
      <w:r w:rsidR="00EF2612">
        <w:t xml:space="preserve">Because of the dispatch threshold price </w:t>
      </w:r>
      <w:r w:rsidR="00EF2612" w:rsidRPr="00997529">
        <w:t xml:space="preserve">assumed, </w:t>
      </w:r>
      <w:r w:rsidR="00284D94" w:rsidRPr="00997529">
        <w:t>imports</w:t>
      </w:r>
      <w:r w:rsidR="00EF2612" w:rsidRPr="00997529">
        <w:t xml:space="preserve"> would be able to set the clearing price only when natural</w:t>
      </w:r>
      <w:r w:rsidR="00BD250C" w:rsidRPr="00997529">
        <w:t>-</w:t>
      </w:r>
      <w:r w:rsidR="00EF2612" w:rsidRPr="00997529">
        <w:t>gas</w:t>
      </w:r>
      <w:r w:rsidR="00BD250C" w:rsidRPr="00997529">
        <w:t>-</w:t>
      </w:r>
      <w:r w:rsidR="00EF2612" w:rsidRPr="00997529">
        <w:t>fired combined</w:t>
      </w:r>
      <w:r w:rsidR="00BD250C" w:rsidRPr="00997529">
        <w:t>-</w:t>
      </w:r>
      <w:r w:rsidR="00EF2612" w:rsidRPr="00997529">
        <w:t>cycle</w:t>
      </w:r>
      <w:r w:rsidR="00EF2612">
        <w:t xml:space="preserve"> generation was not needed.</w:t>
      </w:r>
      <w:r w:rsidR="00BD250C">
        <w:rPr>
          <w:rStyle w:val="FootnoteReference"/>
        </w:rPr>
        <w:footnoteReference w:id="44"/>
      </w:r>
      <w:r w:rsidR="00BD250C">
        <w:t xml:space="preserve"> </w:t>
      </w:r>
      <w:r w:rsidR="00EF2612">
        <w:t xml:space="preserve">The threshold price for imports from New Brunswick was </w:t>
      </w:r>
      <w:r w:rsidR="00755884">
        <w:t xml:space="preserve">assumed to be </w:t>
      </w:r>
      <w:r w:rsidR="00EF2612">
        <w:t>$10/MWh</w:t>
      </w:r>
      <w:r w:rsidR="00BD250C">
        <w:t>,</w:t>
      </w:r>
      <w:r w:rsidR="00EF2612">
        <w:t xml:space="preserve"> </w:t>
      </w:r>
      <w:r w:rsidR="00755884">
        <w:t xml:space="preserve">while </w:t>
      </w:r>
      <w:r w:rsidR="00EF2612">
        <w:t xml:space="preserve">imports </w:t>
      </w:r>
      <w:r w:rsidR="00755884">
        <w:t>from Qu</w:t>
      </w:r>
      <w:r w:rsidR="005B7651">
        <w:t>é</w:t>
      </w:r>
      <w:r w:rsidR="00755884">
        <w:t xml:space="preserve">bec </w:t>
      </w:r>
      <w:r w:rsidR="00EF2612">
        <w:t>w</w:t>
      </w:r>
      <w:r w:rsidR="00736DEB">
        <w:t>ere</w:t>
      </w:r>
      <w:r w:rsidR="00EF2612">
        <w:t xml:space="preserve"> assumed</w:t>
      </w:r>
      <w:r w:rsidR="00755884">
        <w:t xml:space="preserve"> to be $5/MWh. </w:t>
      </w:r>
      <w:r w:rsidR="009D4865" w:rsidRPr="003A4727">
        <w:t>The study also assumed no interchange would occur across the Cross</w:t>
      </w:r>
      <w:r w:rsidR="00FA7845" w:rsidRPr="003A4727">
        <w:t>-</w:t>
      </w:r>
      <w:r w:rsidR="009D4865" w:rsidRPr="003A4727">
        <w:t>Sound Cable or N</w:t>
      </w:r>
      <w:r w:rsidR="00FA7845" w:rsidRPr="003A4727">
        <w:t xml:space="preserve">ew </w:t>
      </w:r>
      <w:r w:rsidR="009D4865" w:rsidRPr="003A4727">
        <w:t>Y</w:t>
      </w:r>
      <w:r w:rsidR="00FA7845" w:rsidRPr="003A4727">
        <w:t>ork</w:t>
      </w:r>
      <w:r w:rsidR="009D4865" w:rsidRPr="003A4727">
        <w:t xml:space="preserve"> AC interconnections as a simplifying assumption that would accentuate </w:t>
      </w:r>
      <w:r w:rsidR="00C52B2C">
        <w:t xml:space="preserve">the </w:t>
      </w:r>
      <w:r w:rsidR="009D4865" w:rsidRPr="003A4727">
        <w:t>results for New England resources and imports from Canada</w:t>
      </w:r>
      <w:r w:rsidR="00957741" w:rsidRPr="003A4727">
        <w:t>.</w:t>
      </w:r>
    </w:p>
    <w:p w:rsidR="000A56F0" w:rsidRDefault="00571F88" w:rsidP="00C713E4">
      <w:r>
        <w:t xml:space="preserve">All scenarios modeled </w:t>
      </w:r>
      <w:r w:rsidR="007860C0" w:rsidRPr="00FE361E">
        <w:t xml:space="preserve">energy imports from </w:t>
      </w:r>
      <w:r w:rsidR="007860C0">
        <w:t xml:space="preserve">two </w:t>
      </w:r>
      <w:r w:rsidR="00C713E4" w:rsidRPr="009A7169">
        <w:t xml:space="preserve">new </w:t>
      </w:r>
      <w:r w:rsidR="007860C0">
        <w:t>interconnections</w:t>
      </w:r>
      <w:r w:rsidR="00C713E4" w:rsidRPr="009A7169">
        <w:t xml:space="preserve"> </w:t>
      </w:r>
      <w:r w:rsidR="007860C0">
        <w:t>with Qu</w:t>
      </w:r>
      <w:r w:rsidR="00C52E23">
        <w:t>é</w:t>
      </w:r>
      <w:r w:rsidR="007860C0">
        <w:t>bec</w:t>
      </w:r>
      <w:r w:rsidR="00C52E23">
        <w:t>—</w:t>
      </w:r>
      <w:r w:rsidR="007860C0">
        <w:t>one interconnecting</w:t>
      </w:r>
      <w:r w:rsidR="00C713E4" w:rsidRPr="009A7169">
        <w:t xml:space="preserve"> to </w:t>
      </w:r>
      <w:r w:rsidR="00C713E4" w:rsidRPr="00E90B69">
        <w:t>WMA</w:t>
      </w:r>
      <w:r w:rsidR="00C713E4" w:rsidRPr="00624D5F">
        <w:t xml:space="preserve"> and one </w:t>
      </w:r>
      <w:r w:rsidR="007860C0" w:rsidRPr="00624D5F">
        <w:t xml:space="preserve">interconnecting </w:t>
      </w:r>
      <w:r w:rsidR="00C713E4" w:rsidRPr="00624D5F">
        <w:t xml:space="preserve">to </w:t>
      </w:r>
      <w:r w:rsidR="00C713E4" w:rsidRPr="00E90B69">
        <w:t>CMA/NEMA</w:t>
      </w:r>
      <w:r w:rsidR="007860C0" w:rsidRPr="00E90B69">
        <w:t xml:space="preserve">. Both </w:t>
      </w:r>
      <w:r w:rsidR="006D13B2">
        <w:t xml:space="preserve">new </w:t>
      </w:r>
      <w:r w:rsidR="007860C0" w:rsidRPr="00E90B69">
        <w:t xml:space="preserve">ties </w:t>
      </w:r>
      <w:r w:rsidR="00062479">
        <w:t xml:space="preserve">were assumed to </w:t>
      </w:r>
      <w:r w:rsidR="007860C0" w:rsidRPr="00E90B69">
        <w:t>have</w:t>
      </w:r>
      <w:r w:rsidR="00C713E4" w:rsidRPr="00E90B69">
        <w:t xml:space="preserve"> </w:t>
      </w:r>
      <w:r w:rsidR="00C713E4" w:rsidRPr="00624D5F">
        <w:t>equal</w:t>
      </w:r>
      <w:r w:rsidR="00C713E4" w:rsidRPr="009A7169">
        <w:t xml:space="preserve"> </w:t>
      </w:r>
      <w:r w:rsidR="007860C0" w:rsidRPr="00624D5F">
        <w:t>capacity contract</w:t>
      </w:r>
      <w:r w:rsidR="00062479">
        <w:t>s</w:t>
      </w:r>
      <w:r w:rsidR="007860C0">
        <w:t xml:space="preserve"> </w:t>
      </w:r>
      <w:r w:rsidR="00C713E4" w:rsidRPr="009A7169">
        <w:t>and energy</w:t>
      </w:r>
      <w:r w:rsidR="00C52E23">
        <w:t>-</w:t>
      </w:r>
      <w:r w:rsidR="007860C0">
        <w:t>delivery assumptions</w:t>
      </w:r>
      <w:r w:rsidR="00C713E4" w:rsidRPr="009A7169">
        <w:t xml:space="preserve">. </w:t>
      </w:r>
      <w:r w:rsidR="007860C0">
        <w:t>The two n</w:t>
      </w:r>
      <w:r w:rsidR="00154EF6" w:rsidRPr="009A7169">
        <w:t>ew interconnections total</w:t>
      </w:r>
      <w:r w:rsidR="00C713E4" w:rsidRPr="009A7169">
        <w:t xml:space="preserve">ed </w:t>
      </w:r>
      <w:r w:rsidR="00154EF6" w:rsidRPr="003B0588">
        <w:t>2,000</w:t>
      </w:r>
      <w:r w:rsidR="009A7169" w:rsidRPr="003B0588">
        <w:t> </w:t>
      </w:r>
      <w:r w:rsidR="00154EF6" w:rsidRPr="003B0588">
        <w:t xml:space="preserve">MW </w:t>
      </w:r>
      <w:r>
        <w:t>for Scenarios 3 and C</w:t>
      </w:r>
      <w:r w:rsidR="00154EF6" w:rsidRPr="003B0588">
        <w:t xml:space="preserve"> (1,000 MW in each</w:t>
      </w:r>
      <w:r w:rsidR="00C713E4" w:rsidRPr="003B0588">
        <w:t xml:space="preserve"> </w:t>
      </w:r>
      <w:r w:rsidR="00154EF6" w:rsidRPr="003B0588">
        <w:t>location)</w:t>
      </w:r>
      <w:r>
        <w:t>, and 1</w:t>
      </w:r>
      <w:r w:rsidR="00C52B2C">
        <w:t>,</w:t>
      </w:r>
      <w:r>
        <w:t>000 MW for Scenarios A and B</w:t>
      </w:r>
      <w:r w:rsidR="00C713E4" w:rsidRPr="003B0588">
        <w:t xml:space="preserve">. </w:t>
      </w:r>
      <w:r w:rsidR="004F3E03" w:rsidRPr="003B0588">
        <w:t>To balance and smooth out the net load profile affected by renewables, t</w:t>
      </w:r>
      <w:r w:rsidR="009F7A20" w:rsidRPr="003B0588">
        <w:t xml:space="preserve">he energy imports from external capacity resources over the new ties used a profile that imported more energy when loads </w:t>
      </w:r>
      <w:r w:rsidR="00230F35" w:rsidRPr="003B0588">
        <w:t xml:space="preserve">net of EE and other renewable resources (PV, wind, and hydro) </w:t>
      </w:r>
      <w:r w:rsidR="009F7A20" w:rsidRPr="003B0588">
        <w:t xml:space="preserve">were higher and less when </w:t>
      </w:r>
      <w:r w:rsidR="00230F35" w:rsidRPr="003B0588">
        <w:t xml:space="preserve">the net </w:t>
      </w:r>
      <w:r w:rsidR="009F7A20" w:rsidRPr="003B0588">
        <w:t>loads were lower</w:t>
      </w:r>
      <w:r w:rsidR="00C713E4" w:rsidRPr="003B0588">
        <w:t>.</w:t>
      </w:r>
      <w:r w:rsidR="009F7A20" w:rsidRPr="009F7A20">
        <w:t xml:space="preserve"> </w:t>
      </w:r>
    </w:p>
    <w:p w:rsidR="00F8573F" w:rsidRPr="00626354" w:rsidRDefault="001D41ED" w:rsidP="00EB1618">
      <w:r w:rsidRPr="003B0588">
        <w:fldChar w:fldCharType="begin"/>
      </w:r>
      <w:r w:rsidRPr="003B0588">
        <w:instrText xml:space="preserve"> REF _Ref462320501 \h  \* MERGEFORMAT </w:instrText>
      </w:r>
      <w:r w:rsidRPr="003B0588">
        <w:fldChar w:fldCharType="separate"/>
      </w:r>
      <w:r w:rsidR="00872A95">
        <w:t xml:space="preserve">Table </w:t>
      </w:r>
      <w:r w:rsidR="00872A95">
        <w:rPr>
          <w:noProof/>
        </w:rPr>
        <w:t>5</w:t>
      </w:r>
      <w:r w:rsidR="00872A95">
        <w:rPr>
          <w:noProof/>
        </w:rPr>
        <w:noBreakHyphen/>
        <w:t>11</w:t>
      </w:r>
      <w:r w:rsidRPr="003B0588">
        <w:fldChar w:fldCharType="end"/>
      </w:r>
      <w:r w:rsidRPr="003B0588">
        <w:t xml:space="preserve"> </w:t>
      </w:r>
      <w:r w:rsidR="00EB1618" w:rsidRPr="003B0588">
        <w:t xml:space="preserve">shows the </w:t>
      </w:r>
      <w:r w:rsidR="00626354" w:rsidRPr="003B0588">
        <w:t>import</w:t>
      </w:r>
      <w:r w:rsidR="00FE361E">
        <w:t>-</w:t>
      </w:r>
      <w:r w:rsidR="00626354" w:rsidRPr="003B0588">
        <w:t>transfer capabilities</w:t>
      </w:r>
      <w:r w:rsidR="009A2F9C" w:rsidRPr="003B0588">
        <w:t xml:space="preserve">, </w:t>
      </w:r>
      <w:r w:rsidR="00626354" w:rsidRPr="003B0588">
        <w:t xml:space="preserve">capacity </w:t>
      </w:r>
      <w:r w:rsidR="009A2F9C" w:rsidRPr="003B0588">
        <w:t xml:space="preserve">imports, </w:t>
      </w:r>
      <w:r w:rsidR="00626354" w:rsidRPr="003B0588">
        <w:t xml:space="preserve">and energy </w:t>
      </w:r>
      <w:r w:rsidR="009A2F9C" w:rsidRPr="003B0588">
        <w:t xml:space="preserve">imports used </w:t>
      </w:r>
      <w:r w:rsidR="00626354" w:rsidRPr="003B0588">
        <w:t xml:space="preserve">for 2030 external </w:t>
      </w:r>
      <w:r w:rsidR="00EB1618" w:rsidRPr="003B0588">
        <w:t>inter</w:t>
      </w:r>
      <w:r w:rsidR="009A7169" w:rsidRPr="003B0588">
        <w:t>changes with neighboring systems</w:t>
      </w:r>
      <w:r w:rsidRPr="003B0588">
        <w:t xml:space="preserve">, including </w:t>
      </w:r>
      <w:r w:rsidR="009A7169" w:rsidRPr="003B0588">
        <w:t xml:space="preserve">the </w:t>
      </w:r>
      <w:r w:rsidRPr="003B0588">
        <w:t xml:space="preserve">two new ones from Québec assumed for </w:t>
      </w:r>
      <w:r w:rsidR="00571F88">
        <w:t>all scenarios</w:t>
      </w:r>
      <w:r w:rsidR="00EB1618" w:rsidRPr="00626354">
        <w:t>.</w:t>
      </w:r>
      <w:r w:rsidR="009A2F9C">
        <w:t xml:space="preserve"> </w:t>
      </w:r>
      <w:r w:rsidR="003B0588">
        <w:t xml:space="preserve">Based on the </w:t>
      </w:r>
      <w:r w:rsidR="009A2F9C">
        <w:t>historical profiles</w:t>
      </w:r>
      <w:r w:rsidR="003B0588">
        <w:t>,</w:t>
      </w:r>
      <w:r w:rsidR="009A2F9C">
        <w:t xml:space="preserve"> the maximum energy import</w:t>
      </w:r>
      <w:r w:rsidR="003B0588">
        <w:t xml:space="preserve"> value</w:t>
      </w:r>
      <w:r w:rsidR="009A2F9C">
        <w:t>s w</w:t>
      </w:r>
      <w:r w:rsidR="003B0588">
        <w:t>ere</w:t>
      </w:r>
      <w:r w:rsidR="009A2F9C">
        <w:t xml:space="preserve"> allowed to exceed the capacity import values, but </w:t>
      </w:r>
      <w:r w:rsidR="003B0588">
        <w:t>they</w:t>
      </w:r>
      <w:r w:rsidR="009A2F9C">
        <w:t xml:space="preserve"> never exceeded the import</w:t>
      </w:r>
      <w:r w:rsidR="00DB314E">
        <w:t>-transfer</w:t>
      </w:r>
      <w:r w:rsidR="009A2F9C">
        <w:t xml:space="preserve"> capability of the ties. </w:t>
      </w:r>
    </w:p>
    <w:p w:rsidR="001D41ED" w:rsidRDefault="00C73A12" w:rsidP="00C73A12">
      <w:pPr>
        <w:pStyle w:val="Caption"/>
        <w:jc w:val="center"/>
      </w:pPr>
      <w:bookmarkStart w:id="160" w:name="_Ref462320501"/>
      <w:bookmarkStart w:id="161" w:name="_Toc520721026"/>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11</w:t>
      </w:r>
      <w:r w:rsidR="00EA3757">
        <w:rPr>
          <w:noProof/>
        </w:rPr>
        <w:fldChar w:fldCharType="end"/>
      </w:r>
      <w:bookmarkEnd w:id="160"/>
      <w:r w:rsidR="001D41ED" w:rsidRPr="00626354">
        <w:br/>
        <w:t>Assumed Interconnections with Neighboring Systems, Import Capabilities,</w:t>
      </w:r>
      <w:r w:rsidR="001D41ED" w:rsidRPr="00626354">
        <w:br/>
        <w:t>and Capacity Imports for 2030 (MW)</w:t>
      </w:r>
      <w:bookmarkEnd w:id="161"/>
    </w:p>
    <w:tbl>
      <w:tblPr>
        <w:tblW w:w="83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1503"/>
        <w:gridCol w:w="1178"/>
        <w:gridCol w:w="1177"/>
        <w:gridCol w:w="1176"/>
        <w:gridCol w:w="1353"/>
        <w:gridCol w:w="1980"/>
      </w:tblGrid>
      <w:tr w:rsidR="00571F88" w:rsidRPr="0059014F" w:rsidTr="001239FB">
        <w:trPr>
          <w:trHeight w:val="333"/>
          <w:jc w:val="center"/>
        </w:trPr>
        <w:tc>
          <w:tcPr>
            <w:tcW w:w="1503" w:type="dxa"/>
            <w:vMerge w:val="restart"/>
            <w:shd w:val="clear" w:color="auto" w:fill="1795D2" w:themeFill="accent1"/>
            <w:tcMar>
              <w:top w:w="29" w:type="dxa"/>
              <w:left w:w="58" w:type="dxa"/>
              <w:bottom w:w="29" w:type="dxa"/>
              <w:right w:w="58" w:type="dxa"/>
            </w:tcMar>
            <w:vAlign w:val="center"/>
          </w:tcPr>
          <w:p w:rsidR="00571F88" w:rsidRPr="00082296" w:rsidRDefault="00571F88" w:rsidP="00BE11B5">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Interconnection</w:t>
            </w:r>
          </w:p>
        </w:tc>
        <w:tc>
          <w:tcPr>
            <w:tcW w:w="2355" w:type="dxa"/>
            <w:gridSpan w:val="2"/>
            <w:shd w:val="clear" w:color="auto" w:fill="1795D2" w:themeFill="accent1"/>
            <w:tcMar>
              <w:top w:w="29" w:type="dxa"/>
              <w:left w:w="58" w:type="dxa"/>
              <w:bottom w:w="29" w:type="dxa"/>
              <w:right w:w="58" w:type="dxa"/>
            </w:tcMar>
            <w:vAlign w:val="center"/>
          </w:tcPr>
          <w:p w:rsidR="00571F88" w:rsidRPr="00082296" w:rsidRDefault="00571F88" w:rsidP="00BE11B5">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Import Capability</w:t>
            </w:r>
          </w:p>
        </w:tc>
        <w:tc>
          <w:tcPr>
            <w:tcW w:w="2529" w:type="dxa"/>
            <w:gridSpan w:val="2"/>
            <w:shd w:val="clear" w:color="auto" w:fill="1795D2" w:themeFill="accent1"/>
            <w:tcMar>
              <w:top w:w="29" w:type="dxa"/>
              <w:left w:w="58" w:type="dxa"/>
              <w:bottom w:w="29" w:type="dxa"/>
              <w:right w:w="58" w:type="dxa"/>
            </w:tcMar>
            <w:vAlign w:val="center"/>
          </w:tcPr>
          <w:p w:rsidR="00571F88" w:rsidRPr="00082296" w:rsidRDefault="00571F88" w:rsidP="00BE11B5">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Capacity Imports</w:t>
            </w:r>
          </w:p>
        </w:tc>
        <w:tc>
          <w:tcPr>
            <w:tcW w:w="1980" w:type="dxa"/>
            <w:shd w:val="clear" w:color="auto" w:fill="1795D2" w:themeFill="accent1"/>
            <w:vAlign w:val="center"/>
          </w:tcPr>
          <w:p w:rsidR="00571F88" w:rsidRPr="00082296" w:rsidRDefault="00571F88" w:rsidP="00BE11B5">
            <w:pPr>
              <w:keepNext/>
              <w:keepLines/>
              <w:spacing w:before="40" w:after="40" w:line="240" w:lineRule="auto"/>
              <w:jc w:val="center"/>
              <w:rPr>
                <w:rFonts w:ascii="Calibri" w:hAnsi="Calibri"/>
                <w:color w:val="FFFFFF" w:themeColor="background1"/>
                <w:sz w:val="18"/>
                <w:szCs w:val="18"/>
                <w:highlight w:val="yellow"/>
              </w:rPr>
            </w:pPr>
            <w:r w:rsidRPr="00082296">
              <w:rPr>
                <w:rFonts w:ascii="Calibri" w:hAnsi="Calibri"/>
                <w:b/>
                <w:bCs/>
                <w:color w:val="FFFFFF" w:themeColor="background1"/>
                <w:sz w:val="18"/>
                <w:szCs w:val="18"/>
              </w:rPr>
              <w:t>Energy Delivery</w:t>
            </w:r>
          </w:p>
        </w:tc>
      </w:tr>
      <w:tr w:rsidR="00BE11B5" w:rsidRPr="0059014F" w:rsidTr="001239FB">
        <w:trPr>
          <w:trHeight w:val="140"/>
          <w:jc w:val="center"/>
        </w:trPr>
        <w:tc>
          <w:tcPr>
            <w:tcW w:w="1503" w:type="dxa"/>
            <w:vMerge/>
            <w:shd w:val="clear" w:color="auto" w:fill="1795D2" w:themeFill="accent1"/>
            <w:tcMar>
              <w:top w:w="29" w:type="dxa"/>
              <w:left w:w="58" w:type="dxa"/>
              <w:bottom w:w="29" w:type="dxa"/>
              <w:right w:w="58" w:type="dxa"/>
            </w:tcMar>
            <w:vAlign w:val="center"/>
          </w:tcPr>
          <w:p w:rsidR="00571F88" w:rsidRPr="00082296" w:rsidRDefault="00571F88" w:rsidP="00BE11B5">
            <w:pPr>
              <w:keepNext/>
              <w:keepLines/>
              <w:spacing w:before="40" w:after="40" w:line="240" w:lineRule="auto"/>
              <w:jc w:val="center"/>
              <w:rPr>
                <w:rFonts w:ascii="Calibri" w:hAnsi="Calibri"/>
                <w:color w:val="FFFFFF" w:themeColor="background1"/>
                <w:sz w:val="18"/>
                <w:szCs w:val="18"/>
              </w:rPr>
            </w:pPr>
          </w:p>
        </w:tc>
        <w:tc>
          <w:tcPr>
            <w:tcW w:w="1178" w:type="dxa"/>
            <w:shd w:val="clear" w:color="auto" w:fill="1795D2" w:themeFill="accent1"/>
            <w:tcMar>
              <w:top w:w="29" w:type="dxa"/>
              <w:left w:w="58" w:type="dxa"/>
              <w:bottom w:w="29" w:type="dxa"/>
              <w:right w:w="58" w:type="dxa"/>
            </w:tcMar>
            <w:vAlign w:val="center"/>
          </w:tcPr>
          <w:p w:rsidR="00571F88" w:rsidRPr="00BE11B5" w:rsidRDefault="00671AB3" w:rsidP="00BE11B5">
            <w:pPr>
              <w:keepNext/>
              <w:keepLines/>
              <w:spacing w:before="40" w:after="40" w:line="240" w:lineRule="auto"/>
              <w:jc w:val="center"/>
              <w:rPr>
                <w:rFonts w:ascii="Calibri" w:hAnsi="Calibri"/>
                <w:b/>
                <w:color w:val="FFFFFF" w:themeColor="background1"/>
                <w:sz w:val="18"/>
                <w:szCs w:val="18"/>
              </w:rPr>
            </w:pPr>
            <w:r w:rsidRPr="00BE11B5">
              <w:rPr>
                <w:rFonts w:ascii="Calibri" w:hAnsi="Calibri"/>
                <w:b/>
                <w:color w:val="FFFFFF" w:themeColor="background1"/>
                <w:sz w:val="18"/>
                <w:szCs w:val="18"/>
              </w:rPr>
              <w:t>Reference and</w:t>
            </w:r>
            <w:r w:rsidR="00BE11B5">
              <w:rPr>
                <w:rFonts w:ascii="Calibri" w:hAnsi="Calibri"/>
                <w:b/>
                <w:color w:val="FFFFFF" w:themeColor="background1"/>
                <w:sz w:val="18"/>
                <w:szCs w:val="18"/>
              </w:rPr>
              <w:br/>
            </w:r>
            <w:r w:rsidR="00AF6389">
              <w:rPr>
                <w:rFonts w:ascii="Calibri" w:hAnsi="Calibri"/>
                <w:b/>
                <w:color w:val="FFFFFF" w:themeColor="background1"/>
                <w:sz w:val="18"/>
                <w:szCs w:val="18"/>
              </w:rPr>
              <w:t>Wind Less Nuclear</w:t>
            </w:r>
            <w:r w:rsidR="00BE11B5" w:rsidRPr="00BE11B5">
              <w:rPr>
                <w:rFonts w:ascii="Calibri" w:hAnsi="Calibri"/>
                <w:b/>
                <w:color w:val="FFFFFF" w:themeColor="background1"/>
                <w:sz w:val="18"/>
                <w:szCs w:val="18"/>
              </w:rPr>
              <w:t xml:space="preserve"> </w:t>
            </w:r>
            <w:r w:rsidRPr="00BE11B5">
              <w:rPr>
                <w:rFonts w:ascii="Calibri" w:hAnsi="Calibri"/>
                <w:b/>
                <w:color w:val="FFFFFF" w:themeColor="background1"/>
                <w:sz w:val="18"/>
                <w:szCs w:val="18"/>
              </w:rPr>
              <w:t>Scenario</w:t>
            </w:r>
            <w:r w:rsidR="00BE11B5">
              <w:rPr>
                <w:rFonts w:ascii="Calibri" w:hAnsi="Calibri"/>
                <w:b/>
                <w:color w:val="FFFFFF" w:themeColor="background1"/>
                <w:sz w:val="18"/>
                <w:szCs w:val="18"/>
              </w:rPr>
              <w:t>s</w:t>
            </w:r>
          </w:p>
        </w:tc>
        <w:tc>
          <w:tcPr>
            <w:tcW w:w="1177" w:type="dxa"/>
            <w:shd w:val="clear" w:color="auto" w:fill="1795D2" w:themeFill="accent1"/>
            <w:tcMar>
              <w:top w:w="29" w:type="dxa"/>
              <w:left w:w="58" w:type="dxa"/>
              <w:bottom w:w="29" w:type="dxa"/>
              <w:right w:w="58" w:type="dxa"/>
            </w:tcMar>
            <w:vAlign w:val="center"/>
          </w:tcPr>
          <w:p w:rsidR="00571F88" w:rsidRPr="00BE11B5" w:rsidRDefault="00BE11B5" w:rsidP="00BE11B5">
            <w:pPr>
              <w:keepNext/>
              <w:keepLines/>
              <w:spacing w:before="40" w:after="40" w:line="240" w:lineRule="auto"/>
              <w:jc w:val="center"/>
              <w:rPr>
                <w:rFonts w:ascii="Calibri" w:hAnsi="Calibri"/>
                <w:b/>
                <w:color w:val="FFFFFF" w:themeColor="background1"/>
                <w:sz w:val="18"/>
                <w:szCs w:val="18"/>
              </w:rPr>
            </w:pPr>
            <w:r w:rsidRPr="00BE11B5">
              <w:rPr>
                <w:rFonts w:ascii="Calibri" w:hAnsi="Calibri"/>
                <w:b/>
                <w:color w:val="FFFFFF" w:themeColor="background1"/>
                <w:sz w:val="18"/>
                <w:szCs w:val="18"/>
              </w:rPr>
              <w:t xml:space="preserve">EE + Offshore and Onshore Less EE/PV </w:t>
            </w:r>
            <w:r w:rsidR="00571F88" w:rsidRPr="00BE11B5">
              <w:rPr>
                <w:rFonts w:ascii="Calibri" w:hAnsi="Calibri"/>
                <w:b/>
                <w:color w:val="FFFFFF" w:themeColor="background1"/>
                <w:sz w:val="18"/>
                <w:szCs w:val="18"/>
              </w:rPr>
              <w:t>S</w:t>
            </w:r>
            <w:r w:rsidR="00671AB3" w:rsidRPr="00BE11B5">
              <w:rPr>
                <w:rFonts w:ascii="Calibri" w:hAnsi="Calibri"/>
                <w:b/>
                <w:color w:val="FFFFFF" w:themeColor="background1"/>
                <w:sz w:val="18"/>
                <w:szCs w:val="18"/>
              </w:rPr>
              <w:t>cenarios</w:t>
            </w:r>
          </w:p>
        </w:tc>
        <w:tc>
          <w:tcPr>
            <w:tcW w:w="1176" w:type="dxa"/>
            <w:shd w:val="clear" w:color="auto" w:fill="1795D2" w:themeFill="accent1"/>
            <w:tcMar>
              <w:top w:w="29" w:type="dxa"/>
              <w:left w:w="58" w:type="dxa"/>
              <w:bottom w:w="29" w:type="dxa"/>
              <w:right w:w="58" w:type="dxa"/>
            </w:tcMar>
            <w:vAlign w:val="center"/>
          </w:tcPr>
          <w:p w:rsidR="00571F88" w:rsidRPr="00BE11B5" w:rsidRDefault="00BE11B5" w:rsidP="00BE11B5">
            <w:pPr>
              <w:keepNext/>
              <w:keepLines/>
              <w:spacing w:before="40" w:after="40" w:line="240" w:lineRule="auto"/>
              <w:jc w:val="center"/>
              <w:rPr>
                <w:rFonts w:ascii="Calibri" w:hAnsi="Calibri"/>
                <w:b/>
                <w:color w:val="FFFFFF" w:themeColor="background1"/>
                <w:sz w:val="18"/>
                <w:szCs w:val="18"/>
              </w:rPr>
            </w:pPr>
            <w:r w:rsidRPr="00BE11B5">
              <w:rPr>
                <w:rFonts w:ascii="Calibri" w:hAnsi="Calibri"/>
                <w:b/>
                <w:color w:val="FFFFFF" w:themeColor="background1"/>
                <w:sz w:val="18"/>
                <w:szCs w:val="18"/>
              </w:rPr>
              <w:t>Reference and</w:t>
            </w:r>
            <w:r>
              <w:rPr>
                <w:rFonts w:ascii="Calibri" w:hAnsi="Calibri"/>
                <w:b/>
                <w:color w:val="FFFFFF" w:themeColor="background1"/>
                <w:sz w:val="18"/>
                <w:szCs w:val="18"/>
              </w:rPr>
              <w:br/>
            </w:r>
            <w:r w:rsidR="00AF6389">
              <w:rPr>
                <w:rFonts w:ascii="Calibri" w:hAnsi="Calibri"/>
                <w:b/>
                <w:color w:val="FFFFFF" w:themeColor="background1"/>
                <w:sz w:val="18"/>
                <w:szCs w:val="18"/>
              </w:rPr>
              <w:t>Wind Less Nuclear</w:t>
            </w:r>
            <w:r w:rsidRPr="00BE11B5">
              <w:rPr>
                <w:rFonts w:ascii="Calibri" w:hAnsi="Calibri"/>
                <w:b/>
                <w:color w:val="FFFFFF" w:themeColor="background1"/>
                <w:sz w:val="18"/>
                <w:szCs w:val="18"/>
              </w:rPr>
              <w:t xml:space="preserve"> Scenario</w:t>
            </w:r>
            <w:r>
              <w:rPr>
                <w:rFonts w:ascii="Calibri" w:hAnsi="Calibri"/>
                <w:b/>
                <w:color w:val="FFFFFF" w:themeColor="background1"/>
                <w:sz w:val="18"/>
                <w:szCs w:val="18"/>
              </w:rPr>
              <w:t>s</w:t>
            </w:r>
          </w:p>
        </w:tc>
        <w:tc>
          <w:tcPr>
            <w:tcW w:w="1353" w:type="dxa"/>
            <w:shd w:val="clear" w:color="auto" w:fill="1795D2" w:themeFill="accent1"/>
          </w:tcPr>
          <w:p w:rsidR="00571F88" w:rsidRPr="00BE11B5" w:rsidRDefault="00BE11B5" w:rsidP="00BE11B5">
            <w:pPr>
              <w:keepNext/>
              <w:keepLines/>
              <w:spacing w:before="40" w:after="40" w:line="240" w:lineRule="auto"/>
              <w:jc w:val="center"/>
              <w:rPr>
                <w:rFonts w:ascii="Calibri" w:hAnsi="Calibri"/>
                <w:b/>
                <w:color w:val="FFFFFF" w:themeColor="background1"/>
                <w:sz w:val="18"/>
                <w:szCs w:val="18"/>
              </w:rPr>
            </w:pPr>
            <w:r w:rsidRPr="00BE11B5">
              <w:rPr>
                <w:rFonts w:ascii="Calibri" w:hAnsi="Calibri"/>
                <w:b/>
                <w:color w:val="FFFFFF" w:themeColor="background1"/>
                <w:sz w:val="18"/>
                <w:szCs w:val="18"/>
              </w:rPr>
              <w:t>EE + Offshore and Onshore Less EE/PV Scenarios</w:t>
            </w:r>
          </w:p>
        </w:tc>
        <w:tc>
          <w:tcPr>
            <w:tcW w:w="1980" w:type="dxa"/>
            <w:shd w:val="clear" w:color="auto" w:fill="1795D2" w:themeFill="accent1"/>
            <w:vAlign w:val="center"/>
          </w:tcPr>
          <w:p w:rsidR="00571F88" w:rsidRPr="00E660C2" w:rsidRDefault="00571F88" w:rsidP="00BE11B5">
            <w:pPr>
              <w:keepNext/>
              <w:keepLines/>
              <w:spacing w:before="40" w:after="40" w:line="240" w:lineRule="auto"/>
              <w:jc w:val="center"/>
              <w:rPr>
                <w:rFonts w:ascii="Calibri" w:hAnsi="Calibri"/>
                <w:b/>
                <w:color w:val="FFFFFF" w:themeColor="background1"/>
                <w:sz w:val="18"/>
                <w:szCs w:val="18"/>
              </w:rPr>
            </w:pPr>
            <w:r w:rsidRPr="00E660C2">
              <w:rPr>
                <w:rFonts w:ascii="Calibri" w:hAnsi="Calibri"/>
                <w:b/>
                <w:color w:val="FFFFFF" w:themeColor="background1"/>
                <w:sz w:val="18"/>
                <w:szCs w:val="18"/>
              </w:rPr>
              <w:t>All Scenarios</w:t>
            </w:r>
          </w:p>
        </w:tc>
      </w:tr>
      <w:tr w:rsidR="00BE11B5" w:rsidRPr="00F8573F" w:rsidTr="003A2D37">
        <w:trPr>
          <w:trHeight w:val="147"/>
          <w:jc w:val="center"/>
        </w:trPr>
        <w:tc>
          <w:tcPr>
            <w:tcW w:w="1503"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Highgate </w:t>
            </w:r>
          </w:p>
        </w:tc>
        <w:tc>
          <w:tcPr>
            <w:tcW w:w="1178"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217</w:t>
            </w:r>
            <w:r w:rsidRPr="001D41ED">
              <w:rPr>
                <w:rFonts w:ascii="Calibri" w:hAnsi="Calibri"/>
                <w:sz w:val="18"/>
                <w:szCs w:val="18"/>
                <w:vertAlign w:val="superscript"/>
              </w:rPr>
              <w:t>(a)</w:t>
            </w:r>
            <w:r w:rsidRPr="00F8573F">
              <w:rPr>
                <w:rFonts w:ascii="Calibri" w:hAnsi="Calibri"/>
                <w:sz w:val="18"/>
                <w:szCs w:val="18"/>
              </w:rPr>
              <w:t xml:space="preserve"> </w:t>
            </w:r>
          </w:p>
        </w:tc>
        <w:tc>
          <w:tcPr>
            <w:tcW w:w="1177"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217</w:t>
            </w:r>
            <w:r w:rsidRPr="001D41ED">
              <w:rPr>
                <w:rFonts w:ascii="Calibri" w:hAnsi="Calibri"/>
                <w:sz w:val="18"/>
                <w:szCs w:val="18"/>
                <w:vertAlign w:val="superscript"/>
              </w:rPr>
              <w:t>(a)</w:t>
            </w:r>
            <w:r w:rsidRPr="00F8573F">
              <w:rPr>
                <w:rFonts w:ascii="Calibri" w:hAnsi="Calibri"/>
                <w:sz w:val="18"/>
                <w:szCs w:val="18"/>
              </w:rPr>
              <w:t xml:space="preserve"> </w:t>
            </w:r>
          </w:p>
        </w:tc>
        <w:tc>
          <w:tcPr>
            <w:tcW w:w="1176"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1353" w:type="dxa"/>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1980"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BE11B5" w:rsidRPr="00F8573F" w:rsidTr="003A2D37">
        <w:trPr>
          <w:trHeight w:val="147"/>
          <w:jc w:val="center"/>
        </w:trPr>
        <w:tc>
          <w:tcPr>
            <w:tcW w:w="1503"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 Phase II </w:t>
            </w:r>
          </w:p>
        </w:tc>
        <w:tc>
          <w:tcPr>
            <w:tcW w:w="1178" w:type="dxa"/>
            <w:shd w:val="clear" w:color="auto" w:fill="CCEAF9" w:themeFill="accent1" w:themeFillTint="33"/>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2,000</w:t>
            </w:r>
            <w:r w:rsidRPr="001D41ED">
              <w:rPr>
                <w:rFonts w:ascii="Calibri" w:hAnsi="Calibri"/>
                <w:sz w:val="18"/>
                <w:szCs w:val="18"/>
                <w:vertAlign w:val="superscript"/>
              </w:rPr>
              <w:t>(a)</w:t>
            </w:r>
            <w:r w:rsidRPr="00F8573F">
              <w:rPr>
                <w:rFonts w:ascii="Calibri" w:hAnsi="Calibri"/>
                <w:sz w:val="18"/>
                <w:szCs w:val="18"/>
              </w:rPr>
              <w:t xml:space="preserve"> </w:t>
            </w:r>
          </w:p>
        </w:tc>
        <w:tc>
          <w:tcPr>
            <w:tcW w:w="1177" w:type="dxa"/>
            <w:shd w:val="clear" w:color="auto" w:fill="CCEAF9" w:themeFill="accent1" w:themeFillTint="33"/>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2,000</w:t>
            </w:r>
            <w:r w:rsidRPr="001D41ED">
              <w:rPr>
                <w:rFonts w:ascii="Calibri" w:hAnsi="Calibri"/>
                <w:sz w:val="18"/>
                <w:szCs w:val="18"/>
                <w:vertAlign w:val="superscript"/>
              </w:rPr>
              <w:t>(a)</w:t>
            </w:r>
            <w:r w:rsidRPr="00F8573F">
              <w:rPr>
                <w:rFonts w:ascii="Calibri" w:hAnsi="Calibri"/>
                <w:sz w:val="18"/>
                <w:szCs w:val="18"/>
              </w:rPr>
              <w:t xml:space="preserve"> </w:t>
            </w:r>
          </w:p>
        </w:tc>
        <w:tc>
          <w:tcPr>
            <w:tcW w:w="1176" w:type="dxa"/>
            <w:shd w:val="clear" w:color="auto" w:fill="CCEAF9" w:themeFill="accent1" w:themeFillTint="33"/>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1353" w:type="dxa"/>
            <w:shd w:val="clear" w:color="auto" w:fill="CCEAF9" w:themeFill="accent1" w:themeFillTint="33"/>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1980"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BE11B5" w:rsidRPr="00F8573F" w:rsidTr="004931FC">
        <w:trPr>
          <w:trHeight w:val="333"/>
          <w:jc w:val="center"/>
        </w:trPr>
        <w:tc>
          <w:tcPr>
            <w:tcW w:w="1503"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HQ-WMA </w:t>
            </w:r>
          </w:p>
        </w:tc>
        <w:tc>
          <w:tcPr>
            <w:tcW w:w="1178" w:type="dxa"/>
            <w:tcMar>
              <w:top w:w="29" w:type="dxa"/>
              <w:left w:w="58" w:type="dxa"/>
              <w:bottom w:w="29" w:type="dxa"/>
              <w:right w:w="288"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177" w:type="dxa"/>
            <w:tcMar>
              <w:top w:w="29" w:type="dxa"/>
              <w:left w:w="58" w:type="dxa"/>
              <w:bottom w:w="29" w:type="dxa"/>
              <w:right w:w="288" w:type="dxa"/>
            </w:tcMar>
            <w:vAlign w:val="center"/>
          </w:tcPr>
          <w:p w:rsidR="00882B01" w:rsidRPr="0059014F" w:rsidRDefault="00882B01" w:rsidP="00C20923">
            <w:pPr>
              <w:keepNext/>
              <w:keepLines/>
              <w:spacing w:before="40" w:after="40" w:line="240" w:lineRule="auto"/>
              <w:jc w:val="right"/>
              <w:rPr>
                <w:rFonts w:ascii="Calibri" w:hAnsi="Calibri"/>
                <w:sz w:val="18"/>
                <w:szCs w:val="18"/>
              </w:rPr>
            </w:pPr>
            <w:r>
              <w:rPr>
                <w:rFonts w:ascii="Calibri" w:hAnsi="Calibri"/>
                <w:sz w:val="18"/>
                <w:szCs w:val="18"/>
              </w:rPr>
              <w:t>5</w:t>
            </w:r>
            <w:r w:rsidRPr="00F8573F">
              <w:rPr>
                <w:rFonts w:ascii="Calibri" w:hAnsi="Calibri"/>
                <w:sz w:val="18"/>
                <w:szCs w:val="18"/>
              </w:rPr>
              <w:t xml:space="preserve">00 </w:t>
            </w:r>
          </w:p>
        </w:tc>
        <w:tc>
          <w:tcPr>
            <w:tcW w:w="1176" w:type="dxa"/>
            <w:tcMar>
              <w:top w:w="29" w:type="dxa"/>
              <w:left w:w="58" w:type="dxa"/>
              <w:bottom w:w="29" w:type="dxa"/>
              <w:right w:w="144" w:type="dxa"/>
            </w:tcMar>
            <w:vAlign w:val="center"/>
          </w:tcPr>
          <w:p w:rsidR="00882B01" w:rsidRPr="0059014F" w:rsidRDefault="00882B01" w:rsidP="00C20923">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1353" w:type="dxa"/>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Pr>
                <w:rFonts w:ascii="Calibri" w:hAnsi="Calibri"/>
                <w:sz w:val="18"/>
                <w:szCs w:val="18"/>
              </w:rPr>
              <w:t>5</w:t>
            </w:r>
            <w:r w:rsidRPr="0059014F">
              <w:rPr>
                <w:rFonts w:ascii="Calibri" w:hAnsi="Calibri"/>
                <w:sz w:val="18"/>
                <w:szCs w:val="18"/>
              </w:rPr>
              <w:t>00</w:t>
            </w:r>
          </w:p>
        </w:tc>
        <w:tc>
          <w:tcPr>
            <w:tcW w:w="1980"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Pr="001D41ED">
              <w:rPr>
                <w:rFonts w:ascii="Calibri" w:hAnsi="Calibri"/>
                <w:sz w:val="18"/>
                <w:szCs w:val="18"/>
                <w:vertAlign w:val="superscript"/>
              </w:rPr>
              <w:t>(</w:t>
            </w:r>
            <w:r>
              <w:rPr>
                <w:rFonts w:ascii="Calibri" w:hAnsi="Calibri"/>
                <w:sz w:val="18"/>
                <w:szCs w:val="18"/>
                <w:vertAlign w:val="superscript"/>
              </w:rPr>
              <w:t>b</w:t>
            </w:r>
            <w:r w:rsidRPr="001D41ED">
              <w:rPr>
                <w:rFonts w:ascii="Calibri" w:hAnsi="Calibri"/>
                <w:sz w:val="18"/>
                <w:szCs w:val="18"/>
                <w:vertAlign w:val="superscript"/>
              </w:rPr>
              <w:t>)</w:t>
            </w:r>
          </w:p>
        </w:tc>
      </w:tr>
      <w:tr w:rsidR="00BE11B5" w:rsidRPr="00F8573F" w:rsidTr="004931FC">
        <w:trPr>
          <w:trHeight w:val="333"/>
          <w:jc w:val="center"/>
        </w:trPr>
        <w:tc>
          <w:tcPr>
            <w:tcW w:w="1503"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HQ-CMA/NEMA </w:t>
            </w:r>
          </w:p>
        </w:tc>
        <w:tc>
          <w:tcPr>
            <w:tcW w:w="1178" w:type="dxa"/>
            <w:shd w:val="clear" w:color="auto" w:fill="CCEAF9" w:themeFill="accent1" w:themeFillTint="33"/>
            <w:tcMar>
              <w:top w:w="29" w:type="dxa"/>
              <w:left w:w="58" w:type="dxa"/>
              <w:bottom w:w="29" w:type="dxa"/>
              <w:right w:w="288"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177" w:type="dxa"/>
            <w:shd w:val="clear" w:color="auto" w:fill="CCEAF9" w:themeFill="accent1" w:themeFillTint="33"/>
            <w:tcMar>
              <w:top w:w="29" w:type="dxa"/>
              <w:left w:w="58" w:type="dxa"/>
              <w:bottom w:w="29" w:type="dxa"/>
              <w:right w:w="288" w:type="dxa"/>
            </w:tcMar>
            <w:vAlign w:val="center"/>
          </w:tcPr>
          <w:p w:rsidR="00882B01" w:rsidRPr="0059014F" w:rsidRDefault="00882B01" w:rsidP="00C20923">
            <w:pPr>
              <w:keepNext/>
              <w:keepLines/>
              <w:spacing w:before="40" w:after="40" w:line="240" w:lineRule="auto"/>
              <w:jc w:val="right"/>
              <w:rPr>
                <w:rFonts w:ascii="Calibri" w:hAnsi="Calibri"/>
                <w:sz w:val="18"/>
                <w:szCs w:val="18"/>
              </w:rPr>
            </w:pPr>
            <w:r>
              <w:rPr>
                <w:rFonts w:ascii="Calibri" w:hAnsi="Calibri"/>
                <w:sz w:val="18"/>
                <w:szCs w:val="18"/>
              </w:rPr>
              <w:t>5</w:t>
            </w:r>
            <w:r w:rsidRPr="00F8573F">
              <w:rPr>
                <w:rFonts w:ascii="Calibri" w:hAnsi="Calibri"/>
                <w:sz w:val="18"/>
                <w:szCs w:val="18"/>
              </w:rPr>
              <w:t xml:space="preserve">00 </w:t>
            </w:r>
          </w:p>
        </w:tc>
        <w:tc>
          <w:tcPr>
            <w:tcW w:w="1176" w:type="dxa"/>
            <w:shd w:val="clear" w:color="auto" w:fill="CCEAF9" w:themeFill="accent1" w:themeFillTint="33"/>
            <w:tcMar>
              <w:top w:w="29" w:type="dxa"/>
              <w:left w:w="58" w:type="dxa"/>
              <w:bottom w:w="29" w:type="dxa"/>
              <w:right w:w="144" w:type="dxa"/>
            </w:tcMar>
            <w:vAlign w:val="center"/>
          </w:tcPr>
          <w:p w:rsidR="00882B01" w:rsidRPr="0059014F" w:rsidRDefault="00882B01" w:rsidP="00C20923">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1353" w:type="dxa"/>
            <w:shd w:val="clear" w:color="auto" w:fill="CCEAF9" w:themeFill="accent1" w:themeFillTint="33"/>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Pr>
                <w:rFonts w:ascii="Calibri" w:hAnsi="Calibri"/>
                <w:sz w:val="18"/>
                <w:szCs w:val="18"/>
              </w:rPr>
              <w:t>5</w:t>
            </w:r>
            <w:r w:rsidRPr="0059014F">
              <w:rPr>
                <w:rFonts w:ascii="Calibri" w:hAnsi="Calibri"/>
                <w:sz w:val="18"/>
                <w:szCs w:val="18"/>
              </w:rPr>
              <w:t>00</w:t>
            </w:r>
          </w:p>
        </w:tc>
        <w:tc>
          <w:tcPr>
            <w:tcW w:w="1980"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Pr="001D41ED">
              <w:rPr>
                <w:rFonts w:ascii="Calibri" w:hAnsi="Calibri"/>
                <w:sz w:val="18"/>
                <w:szCs w:val="18"/>
                <w:vertAlign w:val="superscript"/>
              </w:rPr>
              <w:t>(</w:t>
            </w:r>
            <w:r>
              <w:rPr>
                <w:rFonts w:ascii="Calibri" w:hAnsi="Calibri"/>
                <w:sz w:val="18"/>
                <w:szCs w:val="18"/>
                <w:vertAlign w:val="superscript"/>
              </w:rPr>
              <w:t>b</w:t>
            </w:r>
            <w:r w:rsidRPr="001D41ED">
              <w:rPr>
                <w:rFonts w:ascii="Calibri" w:hAnsi="Calibri"/>
                <w:sz w:val="18"/>
                <w:szCs w:val="18"/>
                <w:vertAlign w:val="superscript"/>
              </w:rPr>
              <w:t>)</w:t>
            </w:r>
            <w:r w:rsidRPr="00F8573F">
              <w:rPr>
                <w:rFonts w:ascii="Calibri" w:hAnsi="Calibri"/>
                <w:sz w:val="18"/>
                <w:szCs w:val="18"/>
              </w:rPr>
              <w:t xml:space="preserve"> </w:t>
            </w:r>
          </w:p>
        </w:tc>
      </w:tr>
      <w:tr w:rsidR="00BE11B5" w:rsidRPr="00F8573F" w:rsidTr="003A2D37">
        <w:trPr>
          <w:trHeight w:val="147"/>
          <w:jc w:val="center"/>
        </w:trPr>
        <w:tc>
          <w:tcPr>
            <w:tcW w:w="1503"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Brunswick </w:t>
            </w:r>
          </w:p>
        </w:tc>
        <w:tc>
          <w:tcPr>
            <w:tcW w:w="1178"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1,000</w:t>
            </w:r>
            <w:r w:rsidRPr="001D41ED">
              <w:rPr>
                <w:rFonts w:ascii="Calibri" w:hAnsi="Calibri"/>
                <w:sz w:val="18"/>
                <w:szCs w:val="18"/>
                <w:vertAlign w:val="superscript"/>
              </w:rPr>
              <w:t>(a)</w:t>
            </w:r>
            <w:r w:rsidRPr="00F8573F">
              <w:rPr>
                <w:rFonts w:ascii="Calibri" w:hAnsi="Calibri"/>
                <w:sz w:val="18"/>
                <w:szCs w:val="18"/>
              </w:rPr>
              <w:t xml:space="preserve"> </w:t>
            </w:r>
          </w:p>
        </w:tc>
        <w:tc>
          <w:tcPr>
            <w:tcW w:w="1177"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1,000</w:t>
            </w:r>
            <w:r w:rsidRPr="001D41ED">
              <w:rPr>
                <w:rFonts w:ascii="Calibri" w:hAnsi="Calibri"/>
                <w:sz w:val="18"/>
                <w:szCs w:val="18"/>
                <w:vertAlign w:val="superscript"/>
              </w:rPr>
              <w:t>(a)</w:t>
            </w:r>
            <w:r w:rsidRPr="00F8573F">
              <w:rPr>
                <w:rFonts w:ascii="Calibri" w:hAnsi="Calibri"/>
                <w:sz w:val="18"/>
                <w:szCs w:val="18"/>
              </w:rPr>
              <w:t xml:space="preserve"> </w:t>
            </w:r>
          </w:p>
        </w:tc>
        <w:tc>
          <w:tcPr>
            <w:tcW w:w="1176"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1353" w:type="dxa"/>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1980"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BE11B5" w:rsidRPr="00F8573F" w:rsidTr="004931FC">
        <w:trPr>
          <w:trHeight w:val="147"/>
          <w:jc w:val="center"/>
        </w:trPr>
        <w:tc>
          <w:tcPr>
            <w:tcW w:w="1503"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York AC </w:t>
            </w:r>
          </w:p>
        </w:tc>
        <w:tc>
          <w:tcPr>
            <w:tcW w:w="1178" w:type="dxa"/>
            <w:shd w:val="clear" w:color="auto" w:fill="CCEAF9" w:themeFill="accent1" w:themeFillTint="33"/>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1,400</w:t>
            </w:r>
            <w:r w:rsidRPr="001D41ED">
              <w:rPr>
                <w:rFonts w:ascii="Calibri" w:hAnsi="Calibri"/>
                <w:sz w:val="18"/>
                <w:szCs w:val="18"/>
                <w:vertAlign w:val="superscript"/>
              </w:rPr>
              <w:t>(a)</w:t>
            </w:r>
            <w:r w:rsidRPr="00F8573F">
              <w:rPr>
                <w:rFonts w:ascii="Calibri" w:hAnsi="Calibri"/>
                <w:sz w:val="18"/>
                <w:szCs w:val="18"/>
              </w:rPr>
              <w:t xml:space="preserve"> </w:t>
            </w:r>
          </w:p>
        </w:tc>
        <w:tc>
          <w:tcPr>
            <w:tcW w:w="1177" w:type="dxa"/>
            <w:shd w:val="clear" w:color="auto" w:fill="CCEAF9" w:themeFill="accent1" w:themeFillTint="33"/>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1,400</w:t>
            </w:r>
            <w:r w:rsidRPr="001D41ED">
              <w:rPr>
                <w:rFonts w:ascii="Calibri" w:hAnsi="Calibri"/>
                <w:sz w:val="18"/>
                <w:szCs w:val="18"/>
                <w:vertAlign w:val="superscript"/>
              </w:rPr>
              <w:t>(a)</w:t>
            </w:r>
            <w:r w:rsidRPr="00F8573F">
              <w:rPr>
                <w:rFonts w:ascii="Calibri" w:hAnsi="Calibri"/>
                <w:sz w:val="18"/>
                <w:szCs w:val="18"/>
              </w:rPr>
              <w:t xml:space="preserve"> </w:t>
            </w:r>
          </w:p>
        </w:tc>
        <w:tc>
          <w:tcPr>
            <w:tcW w:w="1176" w:type="dxa"/>
            <w:shd w:val="clear" w:color="auto" w:fill="CCEAF9" w:themeFill="accent1" w:themeFillTint="33"/>
            <w:tcMar>
              <w:top w:w="29" w:type="dxa"/>
              <w:left w:w="58" w:type="dxa"/>
              <w:bottom w:w="29" w:type="dxa"/>
              <w:right w:w="29" w:type="dxa"/>
            </w:tcMar>
            <w:vAlign w:val="center"/>
          </w:tcPr>
          <w:p w:rsidR="00882B01" w:rsidRPr="00F8573F" w:rsidRDefault="00C00EB6" w:rsidP="00C00EB6">
            <w:pPr>
              <w:keepNext/>
              <w:keepLines/>
              <w:spacing w:before="40" w:after="40" w:line="240" w:lineRule="auto"/>
              <w:jc w:val="right"/>
              <w:rPr>
                <w:rFonts w:ascii="Calibri" w:hAnsi="Calibri"/>
                <w:sz w:val="18"/>
                <w:szCs w:val="18"/>
              </w:rPr>
            </w:pPr>
            <w:r>
              <w:rPr>
                <w:rFonts w:ascii="Calibri" w:hAnsi="Calibri"/>
                <w:sz w:val="18"/>
                <w:szCs w:val="18"/>
              </w:rPr>
              <w:t>83</w:t>
            </w:r>
            <w:r w:rsidRPr="00C00EB6">
              <w:rPr>
                <w:rFonts w:ascii="Calibri" w:hAnsi="Calibri"/>
                <w:sz w:val="18"/>
                <w:szCs w:val="18"/>
                <w:vertAlign w:val="superscript"/>
              </w:rPr>
              <w:t>(c)</w:t>
            </w:r>
          </w:p>
        </w:tc>
        <w:tc>
          <w:tcPr>
            <w:tcW w:w="1353" w:type="dxa"/>
            <w:shd w:val="clear" w:color="auto" w:fill="CCEAF9" w:themeFill="accent1" w:themeFillTint="33"/>
            <w:tcMar>
              <w:right w:w="29" w:type="dxa"/>
            </w:tcMar>
            <w:vAlign w:val="center"/>
          </w:tcPr>
          <w:p w:rsidR="00882B01" w:rsidRPr="00F8573F" w:rsidRDefault="0090587C" w:rsidP="00C00EB6">
            <w:pPr>
              <w:keepNext/>
              <w:keepLines/>
              <w:spacing w:before="40" w:after="40" w:line="240" w:lineRule="auto"/>
              <w:jc w:val="right"/>
              <w:rPr>
                <w:rFonts w:ascii="Calibri" w:hAnsi="Calibri"/>
                <w:sz w:val="18"/>
                <w:szCs w:val="18"/>
              </w:rPr>
            </w:pPr>
            <w:r>
              <w:rPr>
                <w:rFonts w:ascii="Calibri" w:hAnsi="Calibri"/>
                <w:sz w:val="18"/>
                <w:szCs w:val="18"/>
              </w:rPr>
              <w:t>83</w:t>
            </w:r>
            <w:r w:rsidRPr="00C00EB6">
              <w:rPr>
                <w:rFonts w:ascii="Calibri" w:hAnsi="Calibri"/>
                <w:sz w:val="18"/>
                <w:szCs w:val="18"/>
                <w:vertAlign w:val="superscript"/>
              </w:rPr>
              <w:t>(c)</w:t>
            </w:r>
            <w:r w:rsidR="00882B01" w:rsidRPr="00F8573F">
              <w:rPr>
                <w:rFonts w:ascii="Calibri" w:hAnsi="Calibri"/>
                <w:sz w:val="18"/>
                <w:szCs w:val="18"/>
              </w:rPr>
              <w:t xml:space="preserve"> </w:t>
            </w:r>
          </w:p>
        </w:tc>
        <w:tc>
          <w:tcPr>
            <w:tcW w:w="1980" w:type="dxa"/>
            <w:shd w:val="clear" w:color="auto" w:fill="CCEAF9" w:themeFill="accent1" w:themeFillTint="33"/>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r w:rsidR="00BE11B5" w:rsidRPr="00F8573F" w:rsidTr="003A2D37">
        <w:trPr>
          <w:trHeight w:val="147"/>
          <w:jc w:val="center"/>
        </w:trPr>
        <w:tc>
          <w:tcPr>
            <w:tcW w:w="1503"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b/>
                <w:bCs/>
                <w:sz w:val="18"/>
                <w:szCs w:val="18"/>
              </w:rPr>
              <w:t>C</w:t>
            </w:r>
            <w:r>
              <w:rPr>
                <w:rFonts w:ascii="Calibri" w:hAnsi="Calibri"/>
                <w:b/>
                <w:bCs/>
                <w:sz w:val="18"/>
                <w:szCs w:val="18"/>
              </w:rPr>
              <w:t>ross-</w:t>
            </w:r>
            <w:r w:rsidRPr="00F8573F">
              <w:rPr>
                <w:rFonts w:ascii="Calibri" w:hAnsi="Calibri"/>
                <w:b/>
                <w:bCs/>
                <w:sz w:val="18"/>
                <w:szCs w:val="18"/>
              </w:rPr>
              <w:t>S</w:t>
            </w:r>
            <w:r>
              <w:rPr>
                <w:rFonts w:ascii="Calibri" w:hAnsi="Calibri"/>
                <w:b/>
                <w:bCs/>
                <w:sz w:val="18"/>
                <w:szCs w:val="18"/>
              </w:rPr>
              <w:t xml:space="preserve">ound </w:t>
            </w:r>
            <w:r w:rsidRPr="00F8573F">
              <w:rPr>
                <w:rFonts w:ascii="Calibri" w:hAnsi="Calibri"/>
                <w:b/>
                <w:bCs/>
                <w:sz w:val="18"/>
                <w:szCs w:val="18"/>
              </w:rPr>
              <w:t>C</w:t>
            </w:r>
            <w:r>
              <w:rPr>
                <w:rFonts w:ascii="Calibri" w:hAnsi="Calibri"/>
                <w:b/>
                <w:bCs/>
                <w:sz w:val="18"/>
                <w:szCs w:val="18"/>
              </w:rPr>
              <w:t>able</w:t>
            </w:r>
            <w:r w:rsidRPr="00F8573F">
              <w:rPr>
                <w:rFonts w:ascii="Calibri" w:hAnsi="Calibri"/>
                <w:b/>
                <w:bCs/>
                <w:sz w:val="18"/>
                <w:szCs w:val="18"/>
              </w:rPr>
              <w:t xml:space="preserve"> </w:t>
            </w:r>
          </w:p>
        </w:tc>
        <w:tc>
          <w:tcPr>
            <w:tcW w:w="1178"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330</w:t>
            </w:r>
            <w:r w:rsidRPr="001D41ED">
              <w:rPr>
                <w:rFonts w:ascii="Calibri" w:hAnsi="Calibri"/>
                <w:sz w:val="18"/>
                <w:szCs w:val="18"/>
                <w:vertAlign w:val="superscript"/>
              </w:rPr>
              <w:t>(a)</w:t>
            </w:r>
            <w:r w:rsidRPr="00F8573F">
              <w:rPr>
                <w:rFonts w:ascii="Calibri" w:hAnsi="Calibri"/>
                <w:sz w:val="18"/>
                <w:szCs w:val="18"/>
              </w:rPr>
              <w:t xml:space="preserve"> </w:t>
            </w:r>
          </w:p>
        </w:tc>
        <w:tc>
          <w:tcPr>
            <w:tcW w:w="1177"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330</w:t>
            </w:r>
            <w:r w:rsidRPr="001D41ED">
              <w:rPr>
                <w:rFonts w:ascii="Calibri" w:hAnsi="Calibri"/>
                <w:sz w:val="18"/>
                <w:szCs w:val="18"/>
                <w:vertAlign w:val="superscript"/>
              </w:rPr>
              <w:t>(a)</w:t>
            </w:r>
            <w:r w:rsidRPr="00F8573F">
              <w:rPr>
                <w:rFonts w:ascii="Calibri" w:hAnsi="Calibri"/>
                <w:sz w:val="18"/>
                <w:szCs w:val="18"/>
              </w:rPr>
              <w:t xml:space="preserve"> </w:t>
            </w:r>
          </w:p>
        </w:tc>
        <w:tc>
          <w:tcPr>
            <w:tcW w:w="1176" w:type="dxa"/>
            <w:tcMar>
              <w:top w:w="29" w:type="dxa"/>
              <w:left w:w="58" w:type="dxa"/>
              <w:bottom w:w="29" w:type="dxa"/>
              <w:right w:w="144" w:type="dxa"/>
            </w:tcMar>
            <w:vAlign w:val="center"/>
          </w:tcPr>
          <w:p w:rsidR="00882B01" w:rsidRPr="00F8573F" w:rsidRDefault="00882B01" w:rsidP="00C20923">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353" w:type="dxa"/>
            <w:tcMar>
              <w:right w:w="144" w:type="dxa"/>
            </w:tcMar>
            <w:vAlign w:val="center"/>
          </w:tcPr>
          <w:p w:rsidR="00882B01" w:rsidRPr="00F8573F" w:rsidRDefault="00882B01" w:rsidP="00C00EB6">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980" w:type="dxa"/>
            <w:tcMar>
              <w:top w:w="29" w:type="dxa"/>
              <w:left w:w="58" w:type="dxa"/>
              <w:bottom w:w="29" w:type="dxa"/>
              <w:right w:w="58" w:type="dxa"/>
            </w:tcMar>
            <w:vAlign w:val="center"/>
          </w:tcPr>
          <w:p w:rsidR="00882B01" w:rsidRPr="00F8573F" w:rsidRDefault="00882B01"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bl>
    <w:p w:rsidR="00154EF6" w:rsidRPr="003A2CA8" w:rsidRDefault="001D41ED" w:rsidP="00C00EB6">
      <w:pPr>
        <w:keepNext/>
        <w:keepLines/>
        <w:spacing w:before="120" w:after="80" w:line="240" w:lineRule="auto"/>
        <w:ind w:left="720" w:right="630" w:hanging="270"/>
        <w:rPr>
          <w:rFonts w:ascii="Calibri" w:hAnsi="Calibri"/>
          <w:sz w:val="16"/>
          <w:szCs w:val="16"/>
        </w:rPr>
      </w:pPr>
      <w:r w:rsidRPr="003A2CA8">
        <w:rPr>
          <w:rFonts w:ascii="Calibri" w:hAnsi="Calibri"/>
          <w:sz w:val="16"/>
          <w:szCs w:val="16"/>
        </w:rPr>
        <w:t>(a)</w:t>
      </w:r>
      <w:r w:rsidR="00154EF6" w:rsidRPr="003A2CA8">
        <w:rPr>
          <w:rFonts w:ascii="Calibri" w:hAnsi="Calibri"/>
          <w:sz w:val="16"/>
          <w:szCs w:val="16"/>
        </w:rPr>
        <w:t xml:space="preserve"> </w:t>
      </w:r>
      <w:r w:rsidR="00F70A80" w:rsidRPr="003A2CA8">
        <w:rPr>
          <w:rFonts w:ascii="Calibri" w:hAnsi="Calibri"/>
          <w:sz w:val="16"/>
          <w:szCs w:val="16"/>
        </w:rPr>
        <w:tab/>
      </w:r>
      <w:r w:rsidR="00225C77" w:rsidRPr="003A2CA8">
        <w:rPr>
          <w:rFonts w:ascii="Calibri" w:hAnsi="Calibri"/>
          <w:sz w:val="16"/>
          <w:szCs w:val="16"/>
        </w:rPr>
        <w:t>The i</w:t>
      </w:r>
      <w:r w:rsidR="00154EF6" w:rsidRPr="003A2CA8">
        <w:rPr>
          <w:rFonts w:ascii="Calibri" w:hAnsi="Calibri"/>
          <w:sz w:val="16"/>
          <w:szCs w:val="16"/>
        </w:rPr>
        <w:t>mport capability for energy</w:t>
      </w:r>
      <w:r w:rsidR="00225C77" w:rsidRPr="003A2CA8">
        <w:rPr>
          <w:rFonts w:ascii="Calibri" w:hAnsi="Calibri"/>
          <w:sz w:val="16"/>
          <w:szCs w:val="16"/>
        </w:rPr>
        <w:t xml:space="preserve"> reflects the physical limitations of the ties. Although Phase II is physically designed to transfer 2,000 MW, its transfer limit </w:t>
      </w:r>
      <w:r w:rsidR="00D44860" w:rsidRPr="003A2CA8">
        <w:rPr>
          <w:rFonts w:ascii="Calibri" w:hAnsi="Calibri"/>
          <w:sz w:val="16"/>
          <w:szCs w:val="16"/>
        </w:rPr>
        <w:t xml:space="preserve">is typically limited to </w:t>
      </w:r>
      <w:r w:rsidR="0019013E" w:rsidRPr="003A2CA8">
        <w:rPr>
          <w:rFonts w:ascii="Calibri" w:hAnsi="Calibri"/>
          <w:sz w:val="16"/>
          <w:szCs w:val="16"/>
        </w:rPr>
        <w:t xml:space="preserve">approximately </w:t>
      </w:r>
      <w:r w:rsidR="00D44860" w:rsidRPr="003A2CA8">
        <w:rPr>
          <w:rFonts w:ascii="Calibri" w:hAnsi="Calibri"/>
          <w:sz w:val="16"/>
          <w:szCs w:val="16"/>
        </w:rPr>
        <w:t>1,500 MW under expected system conditions</w:t>
      </w:r>
      <w:r w:rsidR="0019013E" w:rsidRPr="003A2CA8">
        <w:rPr>
          <w:rFonts w:ascii="Calibri" w:hAnsi="Calibri"/>
          <w:sz w:val="16"/>
          <w:szCs w:val="16"/>
        </w:rPr>
        <w:t xml:space="preserve"> to </w:t>
      </w:r>
      <w:r w:rsidR="00225C77" w:rsidRPr="003A2CA8">
        <w:rPr>
          <w:rFonts w:ascii="Calibri" w:hAnsi="Calibri"/>
          <w:sz w:val="16"/>
          <w:szCs w:val="16"/>
        </w:rPr>
        <w:t xml:space="preserve">respect the </w:t>
      </w:r>
      <w:r w:rsidR="0019013E" w:rsidRPr="003A2CA8">
        <w:rPr>
          <w:rFonts w:ascii="Calibri" w:hAnsi="Calibri"/>
          <w:sz w:val="16"/>
          <w:szCs w:val="16"/>
        </w:rPr>
        <w:t>loss</w:t>
      </w:r>
      <w:r w:rsidR="00FE361E" w:rsidRPr="003A2CA8">
        <w:rPr>
          <w:rFonts w:ascii="Calibri" w:hAnsi="Calibri"/>
          <w:sz w:val="16"/>
          <w:szCs w:val="16"/>
        </w:rPr>
        <w:t>-</w:t>
      </w:r>
      <w:r w:rsidR="0019013E" w:rsidRPr="003A2CA8">
        <w:rPr>
          <w:rFonts w:ascii="Calibri" w:hAnsi="Calibri"/>
          <w:sz w:val="16"/>
          <w:szCs w:val="16"/>
        </w:rPr>
        <w:t>of</w:t>
      </w:r>
      <w:r w:rsidR="00FE361E" w:rsidRPr="003A2CA8">
        <w:rPr>
          <w:rFonts w:ascii="Calibri" w:hAnsi="Calibri"/>
          <w:sz w:val="16"/>
          <w:szCs w:val="16"/>
        </w:rPr>
        <w:t>-</w:t>
      </w:r>
      <w:r w:rsidR="0019013E" w:rsidRPr="003A2CA8">
        <w:rPr>
          <w:rFonts w:ascii="Calibri" w:hAnsi="Calibri"/>
          <w:sz w:val="16"/>
          <w:szCs w:val="16"/>
        </w:rPr>
        <w:t>source</w:t>
      </w:r>
      <w:r w:rsidR="00225C77" w:rsidRPr="003A2CA8">
        <w:rPr>
          <w:rFonts w:ascii="Calibri" w:hAnsi="Calibri"/>
          <w:sz w:val="16"/>
          <w:szCs w:val="16"/>
        </w:rPr>
        <w:t xml:space="preserve"> contingency limit of the New England system</w:t>
      </w:r>
      <w:r w:rsidR="0086003A" w:rsidRPr="003A2CA8">
        <w:rPr>
          <w:rFonts w:ascii="Calibri" w:hAnsi="Calibri"/>
          <w:sz w:val="16"/>
          <w:szCs w:val="16"/>
        </w:rPr>
        <w:t xml:space="preserve">. Import capacity </w:t>
      </w:r>
      <w:r w:rsidR="00225C77" w:rsidRPr="003A2CA8">
        <w:rPr>
          <w:rFonts w:ascii="Calibri" w:hAnsi="Calibri"/>
          <w:sz w:val="16"/>
          <w:szCs w:val="16"/>
        </w:rPr>
        <w:t xml:space="preserve">limits are typically a </w:t>
      </w:r>
      <w:r w:rsidR="0086003A" w:rsidRPr="003A2CA8">
        <w:rPr>
          <w:rFonts w:ascii="Calibri" w:hAnsi="Calibri"/>
          <w:sz w:val="16"/>
          <w:szCs w:val="16"/>
        </w:rPr>
        <w:t>lower value</w:t>
      </w:r>
      <w:r w:rsidR="00225C77" w:rsidRPr="003A2CA8">
        <w:rPr>
          <w:rFonts w:ascii="Calibri" w:hAnsi="Calibri"/>
          <w:sz w:val="16"/>
          <w:szCs w:val="16"/>
        </w:rPr>
        <w:t xml:space="preserve"> than the import </w:t>
      </w:r>
      <w:r w:rsidR="006251C7" w:rsidRPr="003A2CA8">
        <w:rPr>
          <w:rFonts w:ascii="Calibri" w:hAnsi="Calibri"/>
          <w:sz w:val="16"/>
          <w:szCs w:val="16"/>
        </w:rPr>
        <w:t>capabilities of</w:t>
      </w:r>
      <w:r w:rsidR="00225C77" w:rsidRPr="003A2CA8">
        <w:rPr>
          <w:rFonts w:ascii="Calibri" w:hAnsi="Calibri"/>
          <w:sz w:val="16"/>
          <w:szCs w:val="16"/>
        </w:rPr>
        <w:t xml:space="preserve"> external ties</w:t>
      </w:r>
      <w:r w:rsidR="0086003A" w:rsidRPr="003A2CA8">
        <w:rPr>
          <w:rFonts w:ascii="Calibri" w:hAnsi="Calibri"/>
          <w:sz w:val="16"/>
          <w:szCs w:val="16"/>
        </w:rPr>
        <w:t>.</w:t>
      </w:r>
      <w:r w:rsidR="00D44860" w:rsidRPr="003A2CA8">
        <w:rPr>
          <w:rFonts w:ascii="Calibri" w:hAnsi="Calibri"/>
          <w:sz w:val="16"/>
          <w:szCs w:val="16"/>
        </w:rPr>
        <w:t xml:space="preserve"> </w:t>
      </w:r>
    </w:p>
    <w:p w:rsidR="00F8573F" w:rsidRDefault="001D41ED" w:rsidP="00091FF3">
      <w:pPr>
        <w:keepNext/>
        <w:keepLines/>
        <w:spacing w:after="80" w:line="240" w:lineRule="auto"/>
        <w:ind w:left="720" w:right="634" w:hanging="270"/>
        <w:rPr>
          <w:rFonts w:ascii="Calibri" w:hAnsi="Calibri"/>
          <w:sz w:val="16"/>
          <w:szCs w:val="16"/>
        </w:rPr>
      </w:pPr>
      <w:r w:rsidRPr="003A2CA8">
        <w:rPr>
          <w:rFonts w:ascii="Calibri" w:hAnsi="Calibri"/>
          <w:sz w:val="16"/>
          <w:szCs w:val="16"/>
        </w:rPr>
        <w:t>(b)</w:t>
      </w:r>
      <w:r w:rsidR="00154EF6" w:rsidRPr="003A2CA8">
        <w:rPr>
          <w:rFonts w:ascii="Calibri" w:hAnsi="Calibri"/>
          <w:sz w:val="16"/>
          <w:szCs w:val="16"/>
        </w:rPr>
        <w:t xml:space="preserve"> </w:t>
      </w:r>
      <w:r w:rsidR="00F70A80" w:rsidRPr="003A2CA8">
        <w:rPr>
          <w:rFonts w:ascii="Calibri" w:hAnsi="Calibri"/>
          <w:sz w:val="16"/>
          <w:szCs w:val="16"/>
        </w:rPr>
        <w:tab/>
      </w:r>
      <w:r w:rsidR="00154EF6" w:rsidRPr="003A2CA8">
        <w:rPr>
          <w:rFonts w:ascii="Calibri" w:hAnsi="Calibri"/>
          <w:sz w:val="16"/>
          <w:szCs w:val="16"/>
        </w:rPr>
        <w:t xml:space="preserve">Energy </w:t>
      </w:r>
      <w:r w:rsidR="00A177B5">
        <w:rPr>
          <w:rFonts w:ascii="Calibri" w:hAnsi="Calibri"/>
          <w:sz w:val="16"/>
          <w:szCs w:val="16"/>
        </w:rPr>
        <w:t xml:space="preserve">was </w:t>
      </w:r>
      <w:r w:rsidR="00154EF6" w:rsidRPr="003A2CA8">
        <w:rPr>
          <w:rFonts w:ascii="Calibri" w:hAnsi="Calibri"/>
          <w:sz w:val="16"/>
          <w:szCs w:val="16"/>
        </w:rPr>
        <w:t xml:space="preserve">imported to </w:t>
      </w:r>
      <w:r w:rsidR="00057090">
        <w:rPr>
          <w:rFonts w:ascii="Calibri" w:hAnsi="Calibri"/>
          <w:sz w:val="16"/>
          <w:szCs w:val="16"/>
        </w:rPr>
        <w:t xml:space="preserve">reduce </w:t>
      </w:r>
      <w:r w:rsidR="00C00EB6">
        <w:rPr>
          <w:rFonts w:ascii="Calibri" w:hAnsi="Calibri"/>
          <w:sz w:val="16"/>
          <w:szCs w:val="16"/>
        </w:rPr>
        <w:t xml:space="preserve">net load </w:t>
      </w:r>
      <w:r w:rsidR="00057090">
        <w:rPr>
          <w:rFonts w:ascii="Calibri" w:hAnsi="Calibri"/>
          <w:sz w:val="16"/>
          <w:szCs w:val="16"/>
        </w:rPr>
        <w:t xml:space="preserve">peaks, which is </w:t>
      </w:r>
      <w:r w:rsidR="006845EF">
        <w:rPr>
          <w:rFonts w:ascii="Calibri" w:hAnsi="Calibri"/>
          <w:sz w:val="16"/>
          <w:szCs w:val="16"/>
        </w:rPr>
        <w:t xml:space="preserve">after adjustment </w:t>
      </w:r>
      <w:r w:rsidR="00A177B5">
        <w:rPr>
          <w:rFonts w:ascii="Calibri" w:hAnsi="Calibri"/>
          <w:sz w:val="16"/>
          <w:szCs w:val="16"/>
        </w:rPr>
        <w:t>for</w:t>
      </w:r>
      <w:r w:rsidR="006845EF">
        <w:rPr>
          <w:rFonts w:ascii="Calibri" w:hAnsi="Calibri"/>
          <w:sz w:val="16"/>
          <w:szCs w:val="16"/>
        </w:rPr>
        <w:t xml:space="preserve"> EE, </w:t>
      </w:r>
      <w:r w:rsidR="009427B1">
        <w:rPr>
          <w:rFonts w:ascii="Calibri" w:hAnsi="Calibri"/>
          <w:sz w:val="16"/>
          <w:szCs w:val="16"/>
        </w:rPr>
        <w:t>PHEV, PV, onshore and offshore wind, local hydro, and interchange over existing tie</w:t>
      </w:r>
      <w:r w:rsidR="009427B1" w:rsidRPr="00A177B5">
        <w:rPr>
          <w:rFonts w:ascii="Calibri" w:hAnsi="Calibri"/>
          <w:sz w:val="16"/>
          <w:szCs w:val="16"/>
        </w:rPr>
        <w:t>s</w:t>
      </w:r>
      <w:r w:rsidR="007748CB" w:rsidRPr="00A177B5">
        <w:rPr>
          <w:rFonts w:ascii="Calibri" w:hAnsi="Calibri"/>
          <w:sz w:val="16"/>
          <w:szCs w:val="16"/>
        </w:rPr>
        <w:t>.</w:t>
      </w:r>
    </w:p>
    <w:p w:rsidR="0090587C" w:rsidRPr="003A2CA8" w:rsidRDefault="0090587C" w:rsidP="00C00EB6">
      <w:pPr>
        <w:keepNext/>
        <w:keepLines/>
        <w:spacing w:line="240" w:lineRule="auto"/>
        <w:ind w:left="720" w:right="634" w:hanging="270"/>
        <w:rPr>
          <w:rFonts w:ascii="Calibri" w:hAnsi="Calibri"/>
          <w:sz w:val="16"/>
          <w:szCs w:val="16"/>
        </w:rPr>
      </w:pPr>
      <w:r w:rsidRPr="00C00EB6">
        <w:rPr>
          <w:rFonts w:ascii="Calibri" w:hAnsi="Calibri"/>
          <w:sz w:val="16"/>
          <w:szCs w:val="16"/>
        </w:rPr>
        <w:t xml:space="preserve">(c) </w:t>
      </w:r>
      <w:r w:rsidR="00C00EB6">
        <w:rPr>
          <w:rFonts w:ascii="Calibri" w:hAnsi="Calibri"/>
          <w:sz w:val="16"/>
          <w:szCs w:val="16"/>
        </w:rPr>
        <w:tab/>
      </w:r>
      <w:r w:rsidRPr="00C00EB6">
        <w:rPr>
          <w:rFonts w:ascii="Calibri" w:hAnsi="Calibri"/>
          <w:sz w:val="16"/>
          <w:szCs w:val="16"/>
        </w:rPr>
        <w:t>New York Power Authority capacity imports are accounted for here.</w:t>
      </w:r>
    </w:p>
    <w:p w:rsidR="00CC0709" w:rsidRDefault="00CC0709" w:rsidP="00B8270A">
      <w:pPr>
        <w:pStyle w:val="Heading2"/>
      </w:pPr>
      <w:bookmarkStart w:id="162" w:name="_Toc528571213"/>
      <w:r>
        <w:t>Fuel Prices</w:t>
      </w:r>
      <w:bookmarkEnd w:id="162"/>
    </w:p>
    <w:p w:rsidR="00CC0709" w:rsidRDefault="00CC0709" w:rsidP="00082296">
      <w:r>
        <w:t xml:space="preserve">The assumed fuel prices for coal, oil, and natural gas were based on forecasts from the US Department of Energy (DOE), Energy </w:t>
      </w:r>
      <w:r w:rsidRPr="00632AC8">
        <w:t xml:space="preserve">Information Administration (EIA) </w:t>
      </w:r>
      <w:r w:rsidRPr="00632AC8">
        <w:rPr>
          <w:i/>
        </w:rPr>
        <w:t>2016 Annual Energy Outlook</w:t>
      </w:r>
      <w:r w:rsidRPr="00632AC8">
        <w:t xml:space="preserve"> (AEO) for New England</w:t>
      </w:r>
      <w:r w:rsidRPr="00AB7EAC">
        <w:t>.</w:t>
      </w:r>
      <w:r w:rsidRPr="00AB7EAC">
        <w:rPr>
          <w:rStyle w:val="FootnoteReference"/>
        </w:rPr>
        <w:footnoteReference w:id="45"/>
      </w:r>
      <w:r>
        <w:t xml:space="preserve"> </w:t>
      </w:r>
      <w:r>
        <w:fldChar w:fldCharType="begin"/>
      </w:r>
      <w:r>
        <w:instrText xml:space="preserve"> REF _Ref461537126 \h </w:instrText>
      </w:r>
      <w:r>
        <w:fldChar w:fldCharType="separate"/>
      </w:r>
      <w:r w:rsidR="00872A95">
        <w:t xml:space="preserve">Figure </w:t>
      </w:r>
      <w:r w:rsidR="00872A95">
        <w:rPr>
          <w:noProof/>
        </w:rPr>
        <w:t>5</w:t>
      </w:r>
      <w:r w:rsidR="00872A95">
        <w:noBreakHyphen/>
      </w:r>
      <w:r w:rsidR="00872A95">
        <w:rPr>
          <w:noProof/>
        </w:rPr>
        <w:t>5</w:t>
      </w:r>
      <w:r>
        <w:fldChar w:fldCharType="end"/>
      </w:r>
      <w:r>
        <w:t xml:space="preserve"> shows the 2016 AEO reference cases in 2015 $/million British thermal units (</w:t>
      </w:r>
      <w:r w:rsidR="00082296">
        <w:t>2015 </w:t>
      </w:r>
      <w:r>
        <w:t>$/MMBtu).</w:t>
      </w:r>
      <w:r w:rsidR="00B92F44">
        <w:t xml:space="preserve"> </w:t>
      </w:r>
      <w:r w:rsidR="00386008">
        <w:t>The use of the forecast means that more efficient coal-fired units wo</w:t>
      </w:r>
      <w:r w:rsidR="00B435B3">
        <w:t>u</w:t>
      </w:r>
      <w:r w:rsidR="00386008">
        <w:t>ld be dispatched before more expensive steam and combined</w:t>
      </w:r>
      <w:r w:rsidR="004F3BA8">
        <w:t>-</w:t>
      </w:r>
      <w:r w:rsidR="00386008">
        <w:t xml:space="preserve">cycle units burning natural gas. </w:t>
      </w:r>
    </w:p>
    <w:p w:rsidR="007840EF" w:rsidRDefault="007840EF" w:rsidP="00DD2369">
      <w:pPr>
        <w:keepNext/>
        <w:keepLines/>
        <w:spacing w:after="0" w:line="240" w:lineRule="auto"/>
        <w:jc w:val="center"/>
      </w:pPr>
      <w:r w:rsidRPr="007840EF">
        <w:rPr>
          <w:noProof/>
        </w:rPr>
        <w:drawing>
          <wp:inline distT="0" distB="0" distL="0" distR="0" wp14:anchorId="1733EE08" wp14:editId="3E3F74CF">
            <wp:extent cx="4862915" cy="2857500"/>
            <wp:effectExtent l="19050" t="19050" r="13970" b="190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2493" cy="2863128"/>
                    </a:xfrm>
                    <a:prstGeom prst="rect">
                      <a:avLst/>
                    </a:prstGeom>
                    <a:noFill/>
                    <a:ln w="3175">
                      <a:solidFill>
                        <a:srgbClr val="000000"/>
                      </a:solidFill>
                    </a:ln>
                  </pic:spPr>
                </pic:pic>
              </a:graphicData>
            </a:graphic>
          </wp:inline>
        </w:drawing>
      </w:r>
    </w:p>
    <w:p w:rsidR="00CC0709" w:rsidRDefault="00CC0709" w:rsidP="00082296">
      <w:pPr>
        <w:pStyle w:val="Caption"/>
        <w:spacing w:before="120" w:after="240"/>
        <w:ind w:left="907" w:right="994"/>
      </w:pPr>
      <w:bookmarkStart w:id="163" w:name="_Ref461537126"/>
      <w:bookmarkStart w:id="164" w:name="_Toc519511502"/>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5</w:t>
      </w:r>
      <w:r w:rsidR="00E930AF">
        <w:rPr>
          <w:noProof/>
        </w:rPr>
        <w:fldChar w:fldCharType="end"/>
      </w:r>
      <w:bookmarkEnd w:id="163"/>
      <w:r>
        <w:t>: Reference f</w:t>
      </w:r>
      <w:r w:rsidRPr="00237060">
        <w:t>uel</w:t>
      </w:r>
      <w:r>
        <w:t>-p</w:t>
      </w:r>
      <w:r w:rsidRPr="00237060">
        <w:t xml:space="preserve">rice </w:t>
      </w:r>
      <w:r>
        <w:t>f</w:t>
      </w:r>
      <w:r w:rsidRPr="00237060">
        <w:t>orecast</w:t>
      </w:r>
      <w:r>
        <w:t>s</w:t>
      </w:r>
      <w:r w:rsidRPr="00237060">
        <w:t xml:space="preserve"> for New England, 203</w:t>
      </w:r>
      <w:r w:rsidR="004845F2">
        <w:t>0</w:t>
      </w:r>
      <w:r w:rsidR="00730810">
        <w:br/>
      </w:r>
      <w:r w:rsidRPr="00237060">
        <w:t>($/</w:t>
      </w:r>
      <w:r w:rsidR="00CA1C6E">
        <w:t>M</w:t>
      </w:r>
      <w:r w:rsidRPr="00BE5473">
        <w:t>MBtu).</w:t>
      </w:r>
      <w:bookmarkEnd w:id="164"/>
    </w:p>
    <w:p w:rsidR="005B3B8B" w:rsidRDefault="00C707F5" w:rsidP="001768DA">
      <w:pPr>
        <w:keepNext/>
        <w:keepLines/>
        <w:spacing w:line="240" w:lineRule="auto"/>
        <w:rPr>
          <w:noProof/>
        </w:rPr>
      </w:pPr>
      <w:r w:rsidRPr="004845F2">
        <w:t xml:space="preserve">Similar to the </w:t>
      </w:r>
      <w:r w:rsidR="00B92F44" w:rsidRPr="004845F2">
        <w:t xml:space="preserve">seasonal variations used in the </w:t>
      </w:r>
      <w:r w:rsidR="00671AB3" w:rsidRPr="004845F2">
        <w:t xml:space="preserve">ISO’s three </w:t>
      </w:r>
      <w:r w:rsidRPr="004845F2">
        <w:t xml:space="preserve">2015 </w:t>
      </w:r>
      <w:r w:rsidR="00671AB3" w:rsidRPr="004845F2">
        <w:t>e</w:t>
      </w:r>
      <w:r w:rsidRPr="004845F2">
        <w:t xml:space="preserve">conomic </w:t>
      </w:r>
      <w:r w:rsidR="00671AB3" w:rsidRPr="004845F2">
        <w:t>s</w:t>
      </w:r>
      <w:r w:rsidRPr="004845F2">
        <w:t>tudies, natural gas prices were increased 10% over the nominal price in the winter and reduced 10% of the nominal price in the summer</w:t>
      </w:r>
      <w:r w:rsidR="00B92F44" w:rsidRPr="004845F2">
        <w:t xml:space="preserve"> for 2030</w:t>
      </w:r>
      <w:r w:rsidRPr="004845F2">
        <w:t xml:space="preserve">. </w:t>
      </w:r>
      <w:r w:rsidR="00CC0709" w:rsidRPr="004845F2">
        <w:fldChar w:fldCharType="begin"/>
      </w:r>
      <w:r w:rsidR="00CC0709" w:rsidRPr="004845F2">
        <w:instrText xml:space="preserve"> REF _Ref461533499 \h  \* MERGEFORMAT </w:instrText>
      </w:r>
      <w:r w:rsidR="00CC0709" w:rsidRPr="004845F2">
        <w:fldChar w:fldCharType="separate"/>
      </w:r>
      <w:r w:rsidR="00872A95">
        <w:t>Figure 5</w:t>
      </w:r>
      <w:r w:rsidR="00872A95">
        <w:noBreakHyphen/>
        <w:t>6</w:t>
      </w:r>
      <w:r w:rsidR="00CC0709" w:rsidRPr="004845F2">
        <w:fldChar w:fldCharType="end"/>
      </w:r>
      <w:r w:rsidR="00CC0709" w:rsidRPr="004845F2">
        <w:t xml:space="preserve"> shows the per-unit multipliers used on the forecasted monthly natural gas prices.</w:t>
      </w:r>
      <w:r w:rsidR="008E41AE" w:rsidRPr="004845F2">
        <w:t xml:space="preserve"> </w:t>
      </w:r>
      <w:r w:rsidR="00B92F44" w:rsidRPr="004845F2">
        <w:t>Other fuels used the annual AEO forecast values.</w:t>
      </w:r>
      <w:r w:rsidR="005B3B8B" w:rsidRPr="005B3B8B">
        <w:rPr>
          <w:noProof/>
        </w:rPr>
        <w:t xml:space="preserve"> </w:t>
      </w:r>
    </w:p>
    <w:p w:rsidR="00FD723F" w:rsidRDefault="005B3B8B" w:rsidP="003D0E54">
      <w:pPr>
        <w:keepNext/>
        <w:keepLines/>
        <w:spacing w:after="0" w:line="240" w:lineRule="auto"/>
        <w:jc w:val="center"/>
      </w:pPr>
      <w:r w:rsidRPr="00FD723F">
        <w:rPr>
          <w:noProof/>
        </w:rPr>
        <w:drawing>
          <wp:inline distT="0" distB="0" distL="0" distR="0" wp14:anchorId="2371031E" wp14:editId="4191482D">
            <wp:extent cx="4675540" cy="3238500"/>
            <wp:effectExtent l="19050" t="19050" r="10795" b="190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1928" cy="3242925"/>
                    </a:xfrm>
                    <a:prstGeom prst="rect">
                      <a:avLst/>
                    </a:prstGeom>
                    <a:noFill/>
                    <a:ln w="3175">
                      <a:solidFill>
                        <a:srgbClr val="03131B"/>
                      </a:solidFill>
                    </a:ln>
                  </pic:spPr>
                </pic:pic>
              </a:graphicData>
            </a:graphic>
          </wp:inline>
        </w:drawing>
      </w:r>
    </w:p>
    <w:p w:rsidR="00CC0709" w:rsidRPr="0058370C" w:rsidRDefault="00CC0709" w:rsidP="003D0E54">
      <w:pPr>
        <w:pStyle w:val="Caption"/>
        <w:keepNext w:val="0"/>
        <w:keepLines w:val="0"/>
        <w:spacing w:before="120" w:after="240"/>
        <w:ind w:left="990" w:right="810"/>
        <w:rPr>
          <w:sz w:val="18"/>
          <w:szCs w:val="18"/>
        </w:rPr>
      </w:pPr>
      <w:bookmarkStart w:id="165" w:name="_Ref461533499"/>
      <w:bookmarkStart w:id="166" w:name="_Toc519511503"/>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6</w:t>
      </w:r>
      <w:r w:rsidR="00E930AF">
        <w:rPr>
          <w:noProof/>
        </w:rPr>
        <w:fldChar w:fldCharType="end"/>
      </w:r>
      <w:bookmarkEnd w:id="165"/>
      <w:r>
        <w:t>: Per-u</w:t>
      </w:r>
      <w:r w:rsidRPr="00DE7399">
        <w:t xml:space="preserve">nit </w:t>
      </w:r>
      <w:r>
        <w:t>m</w:t>
      </w:r>
      <w:r w:rsidRPr="00DE7399">
        <w:t xml:space="preserve">ultiplier for </w:t>
      </w:r>
      <w:r>
        <w:t>m</w:t>
      </w:r>
      <w:r w:rsidRPr="00DE7399">
        <w:t xml:space="preserve">onthly </w:t>
      </w:r>
      <w:r>
        <w:t>n</w:t>
      </w:r>
      <w:r w:rsidRPr="00DE7399">
        <w:t xml:space="preserve">atural </w:t>
      </w:r>
      <w:r>
        <w:t>g</w:t>
      </w:r>
      <w:r w:rsidRPr="00DE7399">
        <w:t xml:space="preserve">as </w:t>
      </w:r>
      <w:r>
        <w:t>p</w:t>
      </w:r>
      <w:r w:rsidRPr="00DE7399">
        <w:t xml:space="preserve">rice </w:t>
      </w:r>
      <w:r w:rsidR="00C707F5">
        <w:t xml:space="preserve">forecast </w:t>
      </w:r>
      <w:r w:rsidRPr="009F4543">
        <w:t>assumptions</w:t>
      </w:r>
      <w:r>
        <w:t xml:space="preserve"> for </w:t>
      </w:r>
      <w:r w:rsidRPr="00DE7399">
        <w:t>2030</w:t>
      </w:r>
      <w:r>
        <w:t>.</w:t>
      </w:r>
      <w:bookmarkEnd w:id="166"/>
    </w:p>
    <w:p w:rsidR="00CC0709" w:rsidRDefault="00CC0709" w:rsidP="00CC0709">
      <w:r>
        <w:fldChar w:fldCharType="begin"/>
      </w:r>
      <w:r>
        <w:instrText xml:space="preserve"> REF _Ref461435234 \h </w:instrText>
      </w:r>
      <w:r>
        <w:fldChar w:fldCharType="separate"/>
      </w:r>
      <w:r w:rsidR="00872A95">
        <w:t xml:space="preserve">Table </w:t>
      </w:r>
      <w:r w:rsidR="00872A95">
        <w:rPr>
          <w:noProof/>
        </w:rPr>
        <w:t>5</w:t>
      </w:r>
      <w:r w:rsidR="00872A95">
        <w:noBreakHyphen/>
      </w:r>
      <w:r w:rsidR="00872A95">
        <w:rPr>
          <w:noProof/>
        </w:rPr>
        <w:t>12</w:t>
      </w:r>
      <w:r>
        <w:fldChar w:fldCharType="end"/>
      </w:r>
      <w:r>
        <w:t xml:space="preserve"> shows the fuel price forecasts for New England for 2030 used in this analysis.</w:t>
      </w:r>
    </w:p>
    <w:p w:rsidR="00CC0709" w:rsidRDefault="00C73A12" w:rsidP="00FD723F">
      <w:pPr>
        <w:pStyle w:val="Caption"/>
        <w:jc w:val="center"/>
      </w:pPr>
      <w:bookmarkStart w:id="167" w:name="_Ref461435234"/>
      <w:bookmarkStart w:id="168" w:name="_Toc520721027"/>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12</w:t>
      </w:r>
      <w:r w:rsidR="00EA3757">
        <w:rPr>
          <w:noProof/>
        </w:rPr>
        <w:fldChar w:fldCharType="end"/>
      </w:r>
      <w:bookmarkEnd w:id="167"/>
      <w:r w:rsidR="00CC0709">
        <w:br/>
      </w:r>
      <w:r w:rsidR="00F92794">
        <w:t xml:space="preserve">Nominal </w:t>
      </w:r>
      <w:r w:rsidR="00CC0709">
        <w:t>Fuel Price Forecast for New England, 2030 ($/MMBtu)</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tblGrid>
      <w:tr w:rsidR="00882B01" w:rsidRPr="0059014F" w:rsidTr="003D0E54">
        <w:trPr>
          <w:cantSplit/>
          <w:jc w:val="center"/>
        </w:trPr>
        <w:tc>
          <w:tcPr>
            <w:tcW w:w="1915" w:type="dxa"/>
            <w:shd w:val="clear" w:color="auto" w:fill="1795D2" w:themeFill="accent1"/>
          </w:tcPr>
          <w:p w:rsidR="00882B01" w:rsidRPr="00BE28CD" w:rsidRDefault="00882B01" w:rsidP="003D0E54">
            <w:pPr>
              <w:keepNext/>
              <w:keepLines/>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Fuel</w:t>
            </w:r>
          </w:p>
        </w:tc>
        <w:tc>
          <w:tcPr>
            <w:tcW w:w="1915" w:type="dxa"/>
            <w:shd w:val="clear" w:color="auto" w:fill="1795D2" w:themeFill="accent1"/>
          </w:tcPr>
          <w:p w:rsidR="00882B01" w:rsidRPr="00BE28CD" w:rsidRDefault="00882B01" w:rsidP="003D0E54">
            <w:pPr>
              <w:keepNext/>
              <w:keepLines/>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2030</w:t>
            </w:r>
          </w:p>
        </w:tc>
      </w:tr>
      <w:tr w:rsidR="00882B01" w:rsidRPr="00E619F5" w:rsidTr="003D0E54">
        <w:trPr>
          <w:cantSplit/>
          <w:jc w:val="center"/>
        </w:trPr>
        <w:tc>
          <w:tcPr>
            <w:tcW w:w="1915" w:type="dxa"/>
            <w:shd w:val="clear" w:color="auto" w:fill="auto"/>
          </w:tcPr>
          <w:p w:rsidR="00882B01" w:rsidRPr="00E619F5" w:rsidRDefault="00882B01" w:rsidP="003D0E54">
            <w:pPr>
              <w:keepNext/>
              <w:keepLines/>
              <w:widowControl w:val="0"/>
              <w:spacing w:before="40" w:after="40" w:line="240" w:lineRule="auto"/>
              <w:rPr>
                <w:rFonts w:ascii="Calibri" w:hAnsi="Calibri"/>
                <w:b/>
                <w:sz w:val="18"/>
                <w:szCs w:val="18"/>
              </w:rPr>
            </w:pPr>
            <w:r w:rsidRPr="00E619F5">
              <w:rPr>
                <w:rFonts w:ascii="Calibri" w:hAnsi="Calibri"/>
                <w:b/>
                <w:sz w:val="18"/>
                <w:szCs w:val="18"/>
              </w:rPr>
              <w:t>Distillate fuel oil</w:t>
            </w:r>
          </w:p>
        </w:tc>
        <w:tc>
          <w:tcPr>
            <w:tcW w:w="1915" w:type="dxa"/>
            <w:shd w:val="clear" w:color="auto" w:fill="auto"/>
          </w:tcPr>
          <w:p w:rsidR="00882B01" w:rsidRPr="00E619F5" w:rsidRDefault="00882B01" w:rsidP="003D0E54">
            <w:pPr>
              <w:keepNext/>
              <w:keepLines/>
              <w:widowControl w:val="0"/>
              <w:spacing w:before="40" w:after="40" w:line="240" w:lineRule="auto"/>
              <w:jc w:val="center"/>
              <w:rPr>
                <w:rFonts w:ascii="Calibri" w:hAnsi="Calibri"/>
                <w:sz w:val="18"/>
                <w:szCs w:val="18"/>
              </w:rPr>
            </w:pPr>
            <w:r w:rsidRPr="00E619F5">
              <w:rPr>
                <w:rFonts w:ascii="Calibri" w:hAnsi="Calibri"/>
                <w:sz w:val="18"/>
                <w:szCs w:val="18"/>
              </w:rPr>
              <w:t>22.995</w:t>
            </w:r>
          </w:p>
        </w:tc>
      </w:tr>
      <w:tr w:rsidR="00882B01" w:rsidRPr="00E619F5" w:rsidTr="003D0E54">
        <w:trPr>
          <w:cantSplit/>
          <w:jc w:val="center"/>
        </w:trPr>
        <w:tc>
          <w:tcPr>
            <w:tcW w:w="1915" w:type="dxa"/>
            <w:shd w:val="clear" w:color="auto" w:fill="CCEAF9" w:themeFill="accent1" w:themeFillTint="33"/>
          </w:tcPr>
          <w:p w:rsidR="00882B01" w:rsidRPr="00E619F5" w:rsidRDefault="00882B01" w:rsidP="003D0E54">
            <w:pPr>
              <w:keepNext/>
              <w:keepLines/>
              <w:widowControl w:val="0"/>
              <w:spacing w:before="40" w:after="40" w:line="240" w:lineRule="auto"/>
              <w:rPr>
                <w:rFonts w:ascii="Calibri" w:hAnsi="Calibri"/>
                <w:b/>
                <w:sz w:val="18"/>
                <w:szCs w:val="18"/>
              </w:rPr>
            </w:pPr>
            <w:r w:rsidRPr="00E619F5">
              <w:rPr>
                <w:rFonts w:ascii="Calibri" w:hAnsi="Calibri"/>
                <w:b/>
                <w:sz w:val="18"/>
                <w:szCs w:val="18"/>
              </w:rPr>
              <w:t>Residual fuel oil</w:t>
            </w:r>
          </w:p>
        </w:tc>
        <w:tc>
          <w:tcPr>
            <w:tcW w:w="1915" w:type="dxa"/>
            <w:shd w:val="clear" w:color="auto" w:fill="CCEAF9" w:themeFill="accent1" w:themeFillTint="33"/>
          </w:tcPr>
          <w:p w:rsidR="00882B01" w:rsidRPr="00E619F5" w:rsidRDefault="00882B01" w:rsidP="003D0E54">
            <w:pPr>
              <w:keepNext/>
              <w:keepLines/>
              <w:widowControl w:val="0"/>
              <w:spacing w:before="40" w:after="40" w:line="240" w:lineRule="auto"/>
              <w:jc w:val="center"/>
              <w:rPr>
                <w:rFonts w:ascii="Calibri" w:hAnsi="Calibri"/>
                <w:sz w:val="18"/>
                <w:szCs w:val="18"/>
              </w:rPr>
            </w:pPr>
            <w:r w:rsidRPr="00E619F5">
              <w:rPr>
                <w:rFonts w:ascii="Calibri" w:hAnsi="Calibri"/>
                <w:sz w:val="18"/>
                <w:szCs w:val="18"/>
              </w:rPr>
              <w:t>14.923</w:t>
            </w:r>
          </w:p>
        </w:tc>
      </w:tr>
      <w:tr w:rsidR="00882B01" w:rsidRPr="00E619F5" w:rsidTr="003D0E54">
        <w:trPr>
          <w:cantSplit/>
          <w:jc w:val="center"/>
        </w:trPr>
        <w:tc>
          <w:tcPr>
            <w:tcW w:w="1915" w:type="dxa"/>
            <w:shd w:val="clear" w:color="auto" w:fill="auto"/>
          </w:tcPr>
          <w:p w:rsidR="00882B01" w:rsidRPr="00E619F5" w:rsidRDefault="00882B01" w:rsidP="003D0E54">
            <w:pPr>
              <w:keepNext/>
              <w:keepLines/>
              <w:widowControl w:val="0"/>
              <w:spacing w:before="40" w:after="40" w:line="240" w:lineRule="auto"/>
              <w:rPr>
                <w:rFonts w:ascii="Calibri" w:hAnsi="Calibri"/>
                <w:b/>
                <w:sz w:val="18"/>
                <w:szCs w:val="18"/>
              </w:rPr>
            </w:pPr>
            <w:r w:rsidRPr="00E619F5">
              <w:rPr>
                <w:rFonts w:ascii="Calibri" w:hAnsi="Calibri"/>
                <w:b/>
                <w:sz w:val="18"/>
                <w:szCs w:val="18"/>
              </w:rPr>
              <w:t>Natural gas</w:t>
            </w:r>
          </w:p>
        </w:tc>
        <w:tc>
          <w:tcPr>
            <w:tcW w:w="1915" w:type="dxa"/>
            <w:shd w:val="clear" w:color="auto" w:fill="auto"/>
          </w:tcPr>
          <w:p w:rsidR="00882B01" w:rsidRPr="00E619F5" w:rsidRDefault="00882B01" w:rsidP="003D0E54">
            <w:pPr>
              <w:keepNext/>
              <w:keepLines/>
              <w:widowControl w:val="0"/>
              <w:spacing w:before="40" w:after="40" w:line="240" w:lineRule="auto"/>
              <w:jc w:val="center"/>
              <w:rPr>
                <w:rFonts w:ascii="Calibri" w:hAnsi="Calibri"/>
                <w:sz w:val="18"/>
                <w:szCs w:val="18"/>
              </w:rPr>
            </w:pPr>
            <w:r w:rsidRPr="00E619F5">
              <w:rPr>
                <w:rFonts w:ascii="Calibri" w:hAnsi="Calibri"/>
                <w:sz w:val="18"/>
                <w:szCs w:val="18"/>
              </w:rPr>
              <w:t>5.874</w:t>
            </w:r>
          </w:p>
        </w:tc>
      </w:tr>
      <w:tr w:rsidR="00882B01" w:rsidRPr="00E619F5" w:rsidTr="003D0E54">
        <w:trPr>
          <w:cantSplit/>
          <w:jc w:val="center"/>
        </w:trPr>
        <w:tc>
          <w:tcPr>
            <w:tcW w:w="1915" w:type="dxa"/>
            <w:shd w:val="clear" w:color="auto" w:fill="CCEAF9" w:themeFill="accent1" w:themeFillTint="33"/>
          </w:tcPr>
          <w:p w:rsidR="00882B01" w:rsidRPr="00E619F5" w:rsidRDefault="00882B01" w:rsidP="003D0E54">
            <w:pPr>
              <w:keepNext/>
              <w:keepLines/>
              <w:widowControl w:val="0"/>
              <w:spacing w:before="40" w:after="40" w:line="240" w:lineRule="auto"/>
              <w:rPr>
                <w:rFonts w:ascii="Calibri" w:hAnsi="Calibri"/>
                <w:b/>
                <w:sz w:val="18"/>
                <w:szCs w:val="18"/>
              </w:rPr>
            </w:pPr>
            <w:r w:rsidRPr="00E619F5">
              <w:rPr>
                <w:rFonts w:ascii="Calibri" w:hAnsi="Calibri"/>
                <w:b/>
                <w:sz w:val="18"/>
                <w:szCs w:val="18"/>
              </w:rPr>
              <w:t>Steam coal</w:t>
            </w:r>
          </w:p>
        </w:tc>
        <w:tc>
          <w:tcPr>
            <w:tcW w:w="1915" w:type="dxa"/>
            <w:shd w:val="clear" w:color="auto" w:fill="CCEAF9" w:themeFill="accent1" w:themeFillTint="33"/>
          </w:tcPr>
          <w:p w:rsidR="00882B01" w:rsidRPr="00E619F5" w:rsidRDefault="00882B01" w:rsidP="003D0E54">
            <w:pPr>
              <w:keepNext/>
              <w:keepLines/>
              <w:widowControl w:val="0"/>
              <w:spacing w:before="40" w:after="40" w:line="240" w:lineRule="auto"/>
              <w:jc w:val="center"/>
              <w:rPr>
                <w:rFonts w:ascii="Calibri" w:hAnsi="Calibri"/>
                <w:sz w:val="18"/>
                <w:szCs w:val="18"/>
              </w:rPr>
            </w:pPr>
            <w:r w:rsidRPr="00E619F5">
              <w:rPr>
                <w:rFonts w:ascii="Calibri" w:hAnsi="Calibri"/>
                <w:sz w:val="18"/>
                <w:szCs w:val="18"/>
              </w:rPr>
              <w:t>2.799</w:t>
            </w:r>
          </w:p>
        </w:tc>
      </w:tr>
    </w:tbl>
    <w:p w:rsidR="00A37A8D" w:rsidRPr="0080348E" w:rsidRDefault="00A37A8D" w:rsidP="00CC0709"/>
    <w:p w:rsidR="003B0588" w:rsidRPr="00851CC4" w:rsidRDefault="003B0588" w:rsidP="00B8270A">
      <w:pPr>
        <w:pStyle w:val="Heading2"/>
      </w:pPr>
      <w:bookmarkStart w:id="169" w:name="_Ref483919087"/>
      <w:bookmarkStart w:id="170" w:name="_Toc528571214"/>
      <w:r w:rsidRPr="00851CC4">
        <w:t>Threshold Prices</w:t>
      </w:r>
      <w:bookmarkEnd w:id="169"/>
      <w:bookmarkEnd w:id="170"/>
    </w:p>
    <w:p w:rsidR="003B0588" w:rsidRPr="003D0E54" w:rsidRDefault="003B0588" w:rsidP="003B0588">
      <w:r>
        <w:t>S</w:t>
      </w:r>
      <w:r w:rsidRPr="00915638">
        <w:t>everal price-taking resources were assumed to have $0/MWh production costs</w:t>
      </w:r>
      <w:r>
        <w:t xml:space="preserve">, including PV resources, onshore and offshore wind, local New England hydro, imports over the existing </w:t>
      </w:r>
      <w:r w:rsidR="007B5BDA">
        <w:t xml:space="preserve">ties </w:t>
      </w:r>
      <w:r>
        <w:t xml:space="preserve">and </w:t>
      </w:r>
      <w:r w:rsidR="007B5BDA">
        <w:t xml:space="preserve">imports over </w:t>
      </w:r>
      <w:r>
        <w:t xml:space="preserve">new ties </w:t>
      </w:r>
      <w:r w:rsidRPr="004602FB">
        <w:t xml:space="preserve">with Canada. </w:t>
      </w:r>
      <w:r w:rsidRPr="005108C7">
        <w:t xml:space="preserve">Threshold prices were assumed for price-taking resources to economically reduce their production during hours when total production would otherwise exceed the systemwide hourly demand </w:t>
      </w:r>
      <w:r w:rsidR="003363A0" w:rsidRPr="005108C7">
        <w:t>(</w:t>
      </w:r>
      <w:r w:rsidR="00B257F6" w:rsidRPr="005108C7">
        <w:t>i.e</w:t>
      </w:r>
      <w:r w:rsidR="006342FB" w:rsidRPr="005108C7">
        <w:t>., </w:t>
      </w:r>
      <w:r w:rsidR="00B257F6" w:rsidRPr="005108C7">
        <w:t>the</w:t>
      </w:r>
      <w:r w:rsidR="00EC3A1C" w:rsidRPr="005108C7">
        <w:t xml:space="preserve"> resources </w:t>
      </w:r>
      <w:r w:rsidR="00B257F6" w:rsidRPr="005108C7">
        <w:t xml:space="preserve">would </w:t>
      </w:r>
      <w:r w:rsidR="007B5BDA" w:rsidRPr="005108C7">
        <w:t xml:space="preserve">be </w:t>
      </w:r>
      <w:r w:rsidR="00B257F6" w:rsidRPr="005108C7">
        <w:t>spill</w:t>
      </w:r>
      <w:r w:rsidR="007B5BDA" w:rsidRPr="005108C7">
        <w:t>ed</w:t>
      </w:r>
      <w:r w:rsidR="003363A0" w:rsidRPr="005108C7">
        <w:t>)</w:t>
      </w:r>
      <w:r w:rsidR="00EC3A1C" w:rsidRPr="005108C7">
        <w:t xml:space="preserve">, </w:t>
      </w:r>
      <w:r w:rsidRPr="005108C7">
        <w:t>or flows would otherwise exceed transmission interface limits in the constrained cases</w:t>
      </w:r>
      <w:r w:rsidR="001C2C7F" w:rsidRPr="005108C7">
        <w:t xml:space="preserve"> (i.e., the </w:t>
      </w:r>
      <w:r w:rsidR="00C14994" w:rsidRPr="005108C7">
        <w:t xml:space="preserve">transmission limits </w:t>
      </w:r>
      <w:r w:rsidR="001C2C7F" w:rsidRPr="005108C7">
        <w:t>bottled</w:t>
      </w:r>
      <w:r w:rsidR="00C14994" w:rsidRPr="005108C7">
        <w:t xml:space="preserve"> resource production</w:t>
      </w:r>
      <w:r w:rsidR="001C2C7F" w:rsidRPr="005108C7">
        <w:t>)</w:t>
      </w:r>
      <w:r w:rsidRPr="005108C7">
        <w:t>.</w:t>
      </w:r>
      <w:r w:rsidRPr="00A8490C">
        <w:t xml:space="preserve"> Threshold prices reduce the output of resources</w:t>
      </w:r>
      <w:r w:rsidR="00A177B5" w:rsidRPr="00A8490C">
        <w:t>;</w:t>
      </w:r>
      <w:r w:rsidR="007B5BDA" w:rsidRPr="00A8490C">
        <w:t xml:space="preserve"> </w:t>
      </w:r>
      <w:r w:rsidRPr="00A8490C">
        <w:t xml:space="preserve">they </w:t>
      </w:r>
      <w:r w:rsidR="00147ACD" w:rsidRPr="00A8490C">
        <w:t xml:space="preserve">can </w:t>
      </w:r>
      <w:r w:rsidRPr="00A8490C">
        <w:t>set LMPs</w:t>
      </w:r>
      <w:r w:rsidR="00A177B5" w:rsidRPr="00A8490C">
        <w:t xml:space="preserve"> </w:t>
      </w:r>
      <w:r w:rsidR="00147ACD" w:rsidRPr="00A8490C">
        <w:t>and are not reflected in the production costs</w:t>
      </w:r>
      <w:r w:rsidRPr="00A8490C">
        <w:t xml:space="preserve">. </w:t>
      </w:r>
      <w:r w:rsidR="00851CC4" w:rsidRPr="003D0E54">
        <w:fldChar w:fldCharType="begin"/>
      </w:r>
      <w:r w:rsidR="00851CC4" w:rsidRPr="003D0E54">
        <w:instrText xml:space="preserve"> REF _Ref480800494 \h </w:instrText>
      </w:r>
      <w:r w:rsidR="00A8490C" w:rsidRPr="003D0E54">
        <w:instrText xml:space="preserve"> \* MERGEFORMAT </w:instrText>
      </w:r>
      <w:r w:rsidR="00851CC4" w:rsidRPr="003D0E54">
        <w:fldChar w:fldCharType="separate"/>
      </w:r>
      <w:r w:rsidR="00872A95" w:rsidRPr="003D0E54">
        <w:t xml:space="preserve">Table </w:t>
      </w:r>
      <w:r w:rsidR="00872A95">
        <w:rPr>
          <w:noProof/>
        </w:rPr>
        <w:t>5</w:t>
      </w:r>
      <w:r w:rsidR="00872A95">
        <w:rPr>
          <w:noProof/>
        </w:rPr>
        <w:noBreakHyphen/>
        <w:t>13</w:t>
      </w:r>
      <w:r w:rsidR="00851CC4" w:rsidRPr="003D0E54">
        <w:fldChar w:fldCharType="end"/>
      </w:r>
      <w:r w:rsidRPr="003D0E54">
        <w:t xml:space="preserve"> shows the assumed threshold prices. </w:t>
      </w:r>
      <w:r w:rsidR="007B5BDA" w:rsidRPr="003D0E54">
        <w:t xml:space="preserve">The assumed order of threshold prices </w:t>
      </w:r>
      <w:r w:rsidR="00071FAC" w:rsidRPr="003D0E54">
        <w:t xml:space="preserve">for different energy sources reflects one possible hierarchy </w:t>
      </w:r>
      <w:r w:rsidR="00A177B5" w:rsidRPr="003D0E54">
        <w:t xml:space="preserve">that </w:t>
      </w:r>
      <w:r w:rsidR="00071FAC" w:rsidRPr="003D0E54">
        <w:t>may not be indicative of future agreements</w:t>
      </w:r>
      <w:r w:rsidR="007B5BDA" w:rsidRPr="003D0E54">
        <w:t>.</w:t>
      </w:r>
      <w:r w:rsidR="00071FAC" w:rsidRPr="003D0E54">
        <w:t xml:space="preserve"> For example,</w:t>
      </w:r>
      <w:r w:rsidR="000179CA" w:rsidRPr="003D0E54">
        <w:t xml:space="preserve"> in the future</w:t>
      </w:r>
      <w:r w:rsidR="00A177B5" w:rsidRPr="003D0E54">
        <w:t>,</w:t>
      </w:r>
      <w:r w:rsidR="000179CA" w:rsidRPr="003D0E54">
        <w:t xml:space="preserve"> wind may be curtailed before local New England hydro</w:t>
      </w:r>
      <w:r w:rsidR="00A177B5" w:rsidRPr="003D0E54">
        <w:t>,</w:t>
      </w:r>
      <w:r w:rsidR="000179CA" w:rsidRPr="003D0E54">
        <w:t xml:space="preserve"> suggesting th</w:t>
      </w:r>
      <w:r w:rsidR="00A177B5" w:rsidRPr="003D0E54">
        <w:t>at</w:t>
      </w:r>
      <w:r w:rsidR="000179CA" w:rsidRPr="003D0E54">
        <w:t xml:space="preserve"> </w:t>
      </w:r>
      <w:r w:rsidR="00A177B5" w:rsidRPr="003D0E54">
        <w:t xml:space="preserve">resources with no </w:t>
      </w:r>
      <w:r w:rsidR="000179CA" w:rsidRPr="003D0E54">
        <w:t>production cost</w:t>
      </w:r>
      <w:r w:rsidR="00A177B5" w:rsidRPr="003D0E54">
        <w:t>s</w:t>
      </w:r>
      <w:r w:rsidR="000179CA" w:rsidRPr="003D0E54">
        <w:t xml:space="preserve"> would have different threshold prices</w:t>
      </w:r>
      <w:r w:rsidR="00860D3B" w:rsidRPr="003D0E54">
        <w:t xml:space="preserve">. </w:t>
      </w:r>
    </w:p>
    <w:p w:rsidR="003B0588" w:rsidRPr="0080348E" w:rsidRDefault="00C73A12" w:rsidP="00C73A12">
      <w:pPr>
        <w:pStyle w:val="Caption"/>
        <w:jc w:val="center"/>
      </w:pPr>
      <w:bookmarkStart w:id="171" w:name="_Ref480800494"/>
      <w:bookmarkStart w:id="172" w:name="_Toc520721028"/>
      <w:r w:rsidRPr="003D0E54">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13</w:t>
      </w:r>
      <w:r w:rsidR="00EA3757">
        <w:rPr>
          <w:noProof/>
        </w:rPr>
        <w:fldChar w:fldCharType="end"/>
      </w:r>
      <w:bookmarkEnd w:id="171"/>
      <w:r w:rsidR="003B0588" w:rsidRPr="003D0E54">
        <w:br/>
        <w:t>Assumed Threshold Prices for Price-Taking Resources</w:t>
      </w:r>
      <w:bookmarkEnd w:id="172"/>
    </w:p>
    <w:tbl>
      <w:tblPr>
        <w:tblW w:w="63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410"/>
        <w:gridCol w:w="1890"/>
      </w:tblGrid>
      <w:tr w:rsidR="00F605D3" w:rsidRPr="00F605D3" w:rsidTr="003D0E54">
        <w:trPr>
          <w:trHeight w:val="671"/>
          <w:jc w:val="center"/>
        </w:trPr>
        <w:tc>
          <w:tcPr>
            <w:tcW w:w="4410" w:type="dxa"/>
            <w:shd w:val="clear" w:color="auto" w:fill="1795D2" w:themeFill="accent1"/>
            <w:tcMar>
              <w:top w:w="15" w:type="dxa"/>
              <w:left w:w="108" w:type="dxa"/>
              <w:bottom w:w="0" w:type="dxa"/>
              <w:right w:w="108" w:type="dxa"/>
            </w:tcMar>
            <w:vAlign w:val="center"/>
            <w:hideMark/>
          </w:tcPr>
          <w:p w:rsidR="00684CB7" w:rsidRPr="003D0E54" w:rsidRDefault="00684CB7" w:rsidP="003D0E54">
            <w:pPr>
              <w:adjustRightInd/>
              <w:spacing w:before="40" w:after="40" w:line="240" w:lineRule="auto"/>
              <w:jc w:val="center"/>
              <w:textAlignment w:val="auto"/>
              <w:rPr>
                <w:rFonts w:ascii="Arial" w:hAnsi="Arial" w:cs="Arial"/>
                <w:color w:val="FFFFFF" w:themeColor="background1"/>
                <w:sz w:val="18"/>
                <w:szCs w:val="18"/>
              </w:rPr>
            </w:pPr>
            <w:r w:rsidRPr="003D0E54">
              <w:rPr>
                <w:rFonts w:ascii="Calibri" w:hAnsi="Calibri" w:cs="Arial"/>
                <w:b/>
                <w:bCs/>
                <w:color w:val="FFFFFF" w:themeColor="background1"/>
                <w:kern w:val="24"/>
                <w:sz w:val="18"/>
                <w:szCs w:val="18"/>
              </w:rPr>
              <w:t>Price-Taking Resource</w:t>
            </w:r>
          </w:p>
        </w:tc>
        <w:tc>
          <w:tcPr>
            <w:tcW w:w="1890" w:type="dxa"/>
            <w:shd w:val="clear" w:color="auto" w:fill="1795D2" w:themeFill="accent1"/>
            <w:tcMar>
              <w:top w:w="15" w:type="dxa"/>
              <w:left w:w="108" w:type="dxa"/>
              <w:bottom w:w="0" w:type="dxa"/>
              <w:right w:w="108" w:type="dxa"/>
            </w:tcMar>
            <w:vAlign w:val="center"/>
            <w:hideMark/>
          </w:tcPr>
          <w:p w:rsidR="00684CB7" w:rsidRPr="003D0E54" w:rsidRDefault="00684CB7" w:rsidP="003D0E54">
            <w:pPr>
              <w:adjustRightInd/>
              <w:spacing w:before="40" w:after="40" w:line="240" w:lineRule="auto"/>
              <w:jc w:val="center"/>
              <w:textAlignment w:val="auto"/>
              <w:rPr>
                <w:rFonts w:ascii="Arial" w:hAnsi="Arial" w:cs="Arial"/>
                <w:color w:val="FFFFFF" w:themeColor="background1"/>
                <w:sz w:val="18"/>
                <w:szCs w:val="18"/>
              </w:rPr>
            </w:pPr>
            <w:r w:rsidRPr="003D0E54">
              <w:rPr>
                <w:rFonts w:ascii="Calibri" w:hAnsi="Calibri" w:cs="Arial"/>
                <w:b/>
                <w:bCs/>
                <w:color w:val="FFFFFF" w:themeColor="background1"/>
                <w:kern w:val="24"/>
                <w:sz w:val="18"/>
                <w:szCs w:val="18"/>
              </w:rPr>
              <w:t>Threshold Price ($/MWh)</w:t>
            </w:r>
          </w:p>
        </w:tc>
      </w:tr>
      <w:tr w:rsidR="00684CB7" w:rsidRPr="00284D94" w:rsidTr="003D0E54">
        <w:trPr>
          <w:trHeight w:val="348"/>
          <w:jc w:val="center"/>
        </w:trPr>
        <w:tc>
          <w:tcPr>
            <w:tcW w:w="4410" w:type="dxa"/>
            <w:shd w:val="clear" w:color="auto" w:fill="auto"/>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Photovoltaics</w:t>
            </w:r>
          </w:p>
        </w:tc>
        <w:tc>
          <w:tcPr>
            <w:tcW w:w="1890" w:type="dxa"/>
            <w:shd w:val="clear" w:color="auto" w:fill="auto"/>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1.00</w:t>
            </w:r>
          </w:p>
        </w:tc>
      </w:tr>
      <w:tr w:rsidR="00684CB7" w:rsidRPr="00284D94" w:rsidTr="003D0E54">
        <w:trPr>
          <w:trHeight w:val="348"/>
          <w:jc w:val="center"/>
        </w:trPr>
        <w:tc>
          <w:tcPr>
            <w:tcW w:w="4410" w:type="dxa"/>
            <w:shd w:val="clear" w:color="auto" w:fill="CCEAF9" w:themeFill="accent1" w:themeFillTint="33"/>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Onshore and offshore wind</w:t>
            </w:r>
          </w:p>
        </w:tc>
        <w:tc>
          <w:tcPr>
            <w:tcW w:w="1890" w:type="dxa"/>
            <w:shd w:val="clear" w:color="auto" w:fill="CCEAF9" w:themeFill="accent1" w:themeFillTint="33"/>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4.00</w:t>
            </w:r>
          </w:p>
        </w:tc>
      </w:tr>
      <w:tr w:rsidR="00684CB7" w:rsidRPr="00284D94" w:rsidTr="003D0E54">
        <w:trPr>
          <w:trHeight w:val="348"/>
          <w:jc w:val="center"/>
        </w:trPr>
        <w:tc>
          <w:tcPr>
            <w:tcW w:w="4410" w:type="dxa"/>
            <w:shd w:val="clear" w:color="auto" w:fill="auto"/>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Local New England hydro</w:t>
            </w:r>
          </w:p>
        </w:tc>
        <w:tc>
          <w:tcPr>
            <w:tcW w:w="1890" w:type="dxa"/>
            <w:shd w:val="clear" w:color="auto" w:fill="auto"/>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4.50</w:t>
            </w:r>
          </w:p>
        </w:tc>
      </w:tr>
      <w:tr w:rsidR="00684CB7" w:rsidRPr="00284D94" w:rsidTr="003D0E54">
        <w:trPr>
          <w:trHeight w:val="348"/>
          <w:jc w:val="center"/>
        </w:trPr>
        <w:tc>
          <w:tcPr>
            <w:tcW w:w="4410" w:type="dxa"/>
            <w:shd w:val="clear" w:color="auto" w:fill="CCEAF9" w:themeFill="accent1" w:themeFillTint="33"/>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Imports from Québec over Highgate and Phase II ties</w:t>
            </w:r>
          </w:p>
        </w:tc>
        <w:tc>
          <w:tcPr>
            <w:tcW w:w="1890" w:type="dxa"/>
            <w:shd w:val="clear" w:color="auto" w:fill="CCEAF9" w:themeFill="accent1" w:themeFillTint="33"/>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5.00</w:t>
            </w:r>
          </w:p>
        </w:tc>
      </w:tr>
      <w:tr w:rsidR="00684CB7" w:rsidRPr="00284D94" w:rsidTr="003D0E54">
        <w:trPr>
          <w:trHeight w:val="348"/>
          <w:jc w:val="center"/>
        </w:trPr>
        <w:tc>
          <w:tcPr>
            <w:tcW w:w="4410" w:type="dxa"/>
            <w:shd w:val="clear" w:color="auto" w:fill="auto"/>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Imports from New Brunswick</w:t>
            </w:r>
          </w:p>
        </w:tc>
        <w:tc>
          <w:tcPr>
            <w:tcW w:w="1890" w:type="dxa"/>
            <w:shd w:val="clear" w:color="auto" w:fill="auto"/>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10.00</w:t>
            </w:r>
          </w:p>
        </w:tc>
      </w:tr>
      <w:tr w:rsidR="00684CB7" w:rsidRPr="00284D94" w:rsidTr="003D0E54">
        <w:trPr>
          <w:trHeight w:val="348"/>
          <w:jc w:val="center"/>
        </w:trPr>
        <w:tc>
          <w:tcPr>
            <w:tcW w:w="4410" w:type="dxa"/>
            <w:shd w:val="clear" w:color="auto" w:fill="CCEAF9" w:themeFill="accent1" w:themeFillTint="33"/>
            <w:tcMar>
              <w:top w:w="15" w:type="dxa"/>
              <w:left w:w="108" w:type="dxa"/>
              <w:bottom w:w="0" w:type="dxa"/>
              <w:right w:w="108" w:type="dxa"/>
            </w:tcMar>
            <w:vAlign w:val="center"/>
            <w:hideMark/>
          </w:tcPr>
          <w:p w:rsidR="00684CB7" w:rsidRPr="003D0E54" w:rsidRDefault="00684CB7" w:rsidP="003D0E54">
            <w:pPr>
              <w:adjustRightInd/>
              <w:spacing w:before="40" w:after="40" w:line="240" w:lineRule="auto"/>
              <w:textAlignment w:val="auto"/>
              <w:rPr>
                <w:rFonts w:ascii="Arial" w:hAnsi="Arial" w:cs="Arial"/>
                <w:sz w:val="18"/>
                <w:szCs w:val="18"/>
              </w:rPr>
            </w:pPr>
            <w:r w:rsidRPr="003D0E54">
              <w:rPr>
                <w:rFonts w:ascii="Calibri" w:hAnsi="Calibri" w:cs="Arial"/>
                <w:b/>
                <w:bCs/>
                <w:kern w:val="24"/>
                <w:sz w:val="18"/>
                <w:szCs w:val="18"/>
              </w:rPr>
              <w:t xml:space="preserve">Imports over the new ties modeled </w:t>
            </w:r>
          </w:p>
        </w:tc>
        <w:tc>
          <w:tcPr>
            <w:tcW w:w="1890" w:type="dxa"/>
            <w:shd w:val="clear" w:color="auto" w:fill="CCEAF9" w:themeFill="accent1" w:themeFillTint="33"/>
            <w:tcMar>
              <w:top w:w="15" w:type="dxa"/>
              <w:left w:w="115" w:type="dxa"/>
              <w:bottom w:w="0" w:type="dxa"/>
              <w:right w:w="720" w:type="dxa"/>
            </w:tcMar>
            <w:vAlign w:val="center"/>
            <w:hideMark/>
          </w:tcPr>
          <w:p w:rsidR="00684CB7" w:rsidRPr="003D0E54" w:rsidRDefault="00684CB7" w:rsidP="003D0E54">
            <w:pPr>
              <w:adjustRightInd/>
              <w:spacing w:before="40" w:after="40" w:line="240" w:lineRule="auto"/>
              <w:jc w:val="right"/>
              <w:textAlignment w:val="auto"/>
              <w:rPr>
                <w:rFonts w:ascii="Arial" w:hAnsi="Arial" w:cs="Arial"/>
                <w:sz w:val="18"/>
                <w:szCs w:val="18"/>
              </w:rPr>
            </w:pPr>
            <w:r w:rsidRPr="003D0E54">
              <w:rPr>
                <w:rFonts w:ascii="Calibri" w:hAnsi="Calibri" w:cs="Arial"/>
                <w:kern w:val="24"/>
                <w:sz w:val="18"/>
                <w:szCs w:val="18"/>
              </w:rPr>
              <w:t>10.50</w:t>
            </w:r>
          </w:p>
        </w:tc>
      </w:tr>
    </w:tbl>
    <w:p w:rsidR="003B0588" w:rsidRPr="0080348E" w:rsidRDefault="003B0588" w:rsidP="00CC0709"/>
    <w:p w:rsidR="009733F0" w:rsidRDefault="009733F0" w:rsidP="00B8270A">
      <w:pPr>
        <w:pStyle w:val="Heading2"/>
      </w:pPr>
      <w:bookmarkStart w:id="173" w:name="_Toc528571215"/>
      <w:r>
        <w:t>Environmental Emissions Allowance Assumptions</w:t>
      </w:r>
      <w:bookmarkEnd w:id="173"/>
    </w:p>
    <w:p w:rsidR="009733F0" w:rsidRDefault="00816C99" w:rsidP="009733F0">
      <w:r>
        <w:t>The study used a</w:t>
      </w:r>
      <w:r w:rsidR="009733F0">
        <w:t>ir emission allowance prices for nitrogen oxides, sulfur dioxide, and carbon dioxide</w:t>
      </w:r>
      <w:r>
        <w:t>, which</w:t>
      </w:r>
      <w:r w:rsidR="009733F0">
        <w:t xml:space="preserve"> </w:t>
      </w:r>
      <w:r w:rsidR="00B92F44">
        <w:t>affect the economic dispatch price for fossil-burning generation units</w:t>
      </w:r>
      <w:r w:rsidR="00B92F44" w:rsidRPr="00326ACC">
        <w:t xml:space="preserve">. </w:t>
      </w:r>
      <w:r w:rsidR="009733F0" w:rsidRPr="00326ACC">
        <w:fldChar w:fldCharType="begin"/>
      </w:r>
      <w:r w:rsidR="009733F0" w:rsidRPr="00326ACC">
        <w:instrText xml:space="preserve"> REF _Ref461546293 \h </w:instrText>
      </w:r>
      <w:r w:rsidR="00882B01" w:rsidRPr="00326ACC">
        <w:instrText xml:space="preserve"> \* MERGEFORMAT </w:instrText>
      </w:r>
      <w:r w:rsidR="009733F0" w:rsidRPr="00326ACC">
        <w:fldChar w:fldCharType="separate"/>
      </w:r>
      <w:r w:rsidR="00872A95" w:rsidRPr="003D0E54">
        <w:t xml:space="preserve">Table </w:t>
      </w:r>
      <w:r w:rsidR="00872A95">
        <w:rPr>
          <w:noProof/>
        </w:rPr>
        <w:t>5</w:t>
      </w:r>
      <w:r w:rsidR="00872A95">
        <w:rPr>
          <w:noProof/>
        </w:rPr>
        <w:noBreakHyphen/>
        <w:t>14</w:t>
      </w:r>
      <w:r w:rsidR="009733F0" w:rsidRPr="00326ACC">
        <w:fldChar w:fldCharType="end"/>
      </w:r>
      <w:r w:rsidR="009733F0" w:rsidRPr="00326ACC">
        <w:t xml:space="preserve"> shows</w:t>
      </w:r>
      <w:r w:rsidR="009733F0">
        <w:t xml:space="preserve"> the assumed air emission allowance prices for 2030 used in the study.</w:t>
      </w:r>
    </w:p>
    <w:p w:rsidR="009733F0" w:rsidRDefault="00C73A12" w:rsidP="00C73A12">
      <w:pPr>
        <w:pStyle w:val="Caption"/>
        <w:jc w:val="center"/>
      </w:pPr>
      <w:bookmarkStart w:id="174" w:name="_Ref486340651"/>
      <w:bookmarkStart w:id="175" w:name="_Ref461546293"/>
      <w:bookmarkStart w:id="176" w:name="_Toc520721029"/>
      <w:r w:rsidRPr="003D0E54">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14</w:t>
      </w:r>
      <w:r w:rsidR="00EA3757">
        <w:rPr>
          <w:noProof/>
        </w:rPr>
        <w:fldChar w:fldCharType="end"/>
      </w:r>
      <w:bookmarkEnd w:id="174"/>
      <w:bookmarkEnd w:id="175"/>
      <w:r w:rsidR="009733F0">
        <w:br/>
        <w:t>Air Emission Allowance Prices for 2030 ($/</w:t>
      </w:r>
      <w:r w:rsidR="000179CA">
        <w:t xml:space="preserve">short </w:t>
      </w:r>
      <w:r w:rsidR="009733F0">
        <w:t>ton)</w:t>
      </w:r>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882B01" w:rsidRPr="0059014F" w:rsidTr="0059014F">
        <w:trPr>
          <w:jc w:val="center"/>
        </w:trPr>
        <w:tc>
          <w:tcPr>
            <w:tcW w:w="2394" w:type="dxa"/>
            <w:shd w:val="clear" w:color="auto" w:fill="1795D2" w:themeFill="accent1"/>
          </w:tcPr>
          <w:p w:rsidR="00882B01" w:rsidRPr="00087581" w:rsidRDefault="00882B01"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Emission</w:t>
            </w:r>
          </w:p>
        </w:tc>
        <w:tc>
          <w:tcPr>
            <w:tcW w:w="2394" w:type="dxa"/>
            <w:shd w:val="clear" w:color="auto" w:fill="1795D2" w:themeFill="accent1"/>
          </w:tcPr>
          <w:p w:rsidR="00882B01" w:rsidRPr="00087581" w:rsidRDefault="00882B01"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2030</w:t>
            </w:r>
          </w:p>
        </w:tc>
      </w:tr>
      <w:tr w:rsidR="00882B01" w:rsidRPr="00AA0BC4" w:rsidTr="00466F9E">
        <w:trPr>
          <w:jc w:val="center"/>
        </w:trPr>
        <w:tc>
          <w:tcPr>
            <w:tcW w:w="2394" w:type="dxa"/>
            <w:shd w:val="clear" w:color="auto" w:fill="auto"/>
          </w:tcPr>
          <w:p w:rsidR="00882B01" w:rsidRPr="00AA0BC4" w:rsidRDefault="00882B01"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Nitrogen oxides</w:t>
            </w:r>
          </w:p>
        </w:tc>
        <w:tc>
          <w:tcPr>
            <w:tcW w:w="2394" w:type="dxa"/>
            <w:shd w:val="clear" w:color="auto" w:fill="auto"/>
          </w:tcPr>
          <w:p w:rsidR="00882B01" w:rsidRPr="00AA0BC4" w:rsidRDefault="00882B01"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882B01" w:rsidRPr="00AA0BC4" w:rsidTr="00087581">
        <w:trPr>
          <w:jc w:val="center"/>
        </w:trPr>
        <w:tc>
          <w:tcPr>
            <w:tcW w:w="2394" w:type="dxa"/>
            <w:shd w:val="clear" w:color="auto" w:fill="CCEAF9" w:themeFill="accent1" w:themeFillTint="33"/>
          </w:tcPr>
          <w:p w:rsidR="00882B01" w:rsidRPr="00AA0BC4" w:rsidRDefault="00882B01"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Sulfur dioxide</w:t>
            </w:r>
          </w:p>
        </w:tc>
        <w:tc>
          <w:tcPr>
            <w:tcW w:w="2394" w:type="dxa"/>
            <w:shd w:val="clear" w:color="auto" w:fill="CCEAF9" w:themeFill="accent1" w:themeFillTint="33"/>
          </w:tcPr>
          <w:p w:rsidR="00882B01" w:rsidRPr="00AA0BC4" w:rsidRDefault="00882B01"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882B01" w:rsidRPr="00AA0BC4" w:rsidTr="00466F9E">
        <w:trPr>
          <w:jc w:val="center"/>
        </w:trPr>
        <w:tc>
          <w:tcPr>
            <w:tcW w:w="2394" w:type="dxa"/>
            <w:shd w:val="clear" w:color="auto" w:fill="auto"/>
          </w:tcPr>
          <w:p w:rsidR="00882B01" w:rsidRPr="00AA0BC4" w:rsidRDefault="00882B01"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Carbon dioxide</w:t>
            </w:r>
          </w:p>
        </w:tc>
        <w:tc>
          <w:tcPr>
            <w:tcW w:w="2394" w:type="dxa"/>
            <w:shd w:val="clear" w:color="auto" w:fill="auto"/>
          </w:tcPr>
          <w:p w:rsidR="00882B01" w:rsidRPr="00AA0BC4" w:rsidRDefault="00882B01"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24.00</w:t>
            </w:r>
          </w:p>
        </w:tc>
      </w:tr>
    </w:tbl>
    <w:p w:rsidR="00816C99" w:rsidRDefault="00816C99" w:rsidP="007A5C1B">
      <w:pPr>
        <w:spacing w:after="0" w:line="240" w:lineRule="auto"/>
      </w:pPr>
    </w:p>
    <w:p w:rsidR="00230FBF" w:rsidRPr="00736314" w:rsidRDefault="00D53DCB">
      <w:r w:rsidRPr="00736314">
        <w:t xml:space="preserve">The </w:t>
      </w:r>
      <w:r w:rsidR="00EE5747" w:rsidRPr="00736314">
        <w:t xml:space="preserve">future </w:t>
      </w:r>
      <w:r w:rsidRPr="00736314">
        <w:t xml:space="preserve">emission allowance prices for nitrogen oxides and sulfur dioxide were based on </w:t>
      </w:r>
      <w:r w:rsidR="00EE5747" w:rsidRPr="00736314">
        <w:t>work by the New York ISO</w:t>
      </w:r>
      <w:r w:rsidR="00095197">
        <w:t xml:space="preserve"> (NYISO)</w:t>
      </w:r>
      <w:r w:rsidR="00EE5747" w:rsidRPr="00736314">
        <w:t>.</w:t>
      </w:r>
      <w:r w:rsidR="00736314" w:rsidRPr="00736314">
        <w:rPr>
          <w:rStyle w:val="FootnoteReference"/>
        </w:rPr>
        <w:footnoteReference w:id="46"/>
      </w:r>
      <w:r w:rsidR="00EE5747" w:rsidRPr="00736314">
        <w:t xml:space="preserve"> </w:t>
      </w:r>
      <w:r w:rsidR="0076114A" w:rsidRPr="00736314">
        <w:t>The CO</w:t>
      </w:r>
      <w:r w:rsidR="0076114A" w:rsidRPr="00736314">
        <w:rPr>
          <w:vertAlign w:val="subscript"/>
        </w:rPr>
        <w:t>2</w:t>
      </w:r>
      <w:r w:rsidR="0076114A" w:rsidRPr="00736314">
        <w:t xml:space="preserve"> prices were </w:t>
      </w:r>
      <w:r w:rsidR="00EE5747" w:rsidRPr="00736314">
        <w:t xml:space="preserve">also </w:t>
      </w:r>
      <w:r w:rsidR="0076114A" w:rsidRPr="00736314">
        <w:t xml:space="preserve">based on a </w:t>
      </w:r>
      <w:r w:rsidR="00095197">
        <w:t xml:space="preserve">NYISO </w:t>
      </w:r>
      <w:r w:rsidR="0076114A" w:rsidRPr="00736314">
        <w:t>study.</w:t>
      </w:r>
      <w:r w:rsidR="00736314" w:rsidRPr="00736314">
        <w:rPr>
          <w:rStyle w:val="FootnoteReference"/>
        </w:rPr>
        <w:footnoteReference w:id="47"/>
      </w:r>
      <w:r w:rsidR="0076114A" w:rsidRPr="00736314">
        <w:t xml:space="preserve"> </w:t>
      </w:r>
      <w:r w:rsidRPr="00736314">
        <w:t xml:space="preserve">Although carbon prices apply to generating units greater than 25 MW (in accordance with </w:t>
      </w:r>
      <w:r w:rsidR="00087581" w:rsidRPr="00736314">
        <w:t>RGGI</w:t>
      </w:r>
      <w:r w:rsidRPr="00736314">
        <w:t xml:space="preserve">), carbon allowance prices were assumed for all generating units consistent with discussions held with the PAC. </w:t>
      </w:r>
    </w:p>
    <w:p w:rsidR="00E66C3D" w:rsidRPr="00736314" w:rsidRDefault="00E66C3D" w:rsidP="00B8270A">
      <w:pPr>
        <w:pStyle w:val="Heading2"/>
      </w:pPr>
      <w:bookmarkStart w:id="177" w:name="_Ref476824574"/>
      <w:bookmarkStart w:id="178" w:name="_Toc528571216"/>
      <w:r w:rsidRPr="00736314">
        <w:t>Annual Carrying Charges</w:t>
      </w:r>
      <w:bookmarkEnd w:id="177"/>
      <w:bookmarkEnd w:id="178"/>
    </w:p>
    <w:p w:rsidR="00125170" w:rsidRPr="00736314" w:rsidRDefault="001C012A" w:rsidP="00125170">
      <w:r w:rsidRPr="00736314">
        <w:t>Annual carrying charges represent the annual revenue a facility must receive to cover its annual fixed costs and remain economically viable.</w:t>
      </w:r>
      <w:r w:rsidR="004845F2">
        <w:rPr>
          <w:rStyle w:val="FootnoteReference"/>
        </w:rPr>
        <w:footnoteReference w:id="48"/>
      </w:r>
      <w:r w:rsidRPr="00736314">
        <w:t xml:space="preserve"> </w:t>
      </w:r>
      <w:r w:rsidR="00D1362F" w:rsidRPr="00736314">
        <w:t>This study applied annual carrying charges for new resources and transmission expansion.</w:t>
      </w:r>
      <w:r w:rsidR="00D93F24" w:rsidRPr="00736314">
        <w:t xml:space="preserve"> The values presented reflect input from the PAC</w:t>
      </w:r>
      <w:r w:rsidR="00860D3B">
        <w:t xml:space="preserve">. </w:t>
      </w:r>
    </w:p>
    <w:p w:rsidR="009A2A6E" w:rsidRPr="00736314" w:rsidRDefault="009A2A6E" w:rsidP="00D27B9E">
      <w:pPr>
        <w:pStyle w:val="Heading3"/>
      </w:pPr>
      <w:bookmarkStart w:id="179" w:name="_Ref480804991"/>
      <w:bookmarkStart w:id="180" w:name="_Toc528571217"/>
      <w:r w:rsidRPr="00736314">
        <w:t>Annual Carrying Charges for New Resources</w:t>
      </w:r>
      <w:bookmarkEnd w:id="179"/>
      <w:bookmarkEnd w:id="180"/>
    </w:p>
    <w:p w:rsidR="001C012A" w:rsidRDefault="001C012A" w:rsidP="00201D25">
      <w:r w:rsidRPr="00736314">
        <w:t xml:space="preserve">Although </w:t>
      </w:r>
      <w:r w:rsidR="00D1362F" w:rsidRPr="00736314">
        <w:t xml:space="preserve">resource </w:t>
      </w:r>
      <w:r w:rsidRPr="00736314">
        <w:t xml:space="preserve">costs </w:t>
      </w:r>
      <w:r w:rsidR="00D1362F" w:rsidRPr="00736314">
        <w:t xml:space="preserve">can </w:t>
      </w:r>
      <w:r w:rsidRPr="00736314">
        <w:t>vary significantly, generic capital costs for new resources can illustrate the differences among the scenarios. Generic overnight capital costs, also called overnight construction costs, were assumed for new resources based on US Energy Information Administration information. The costs assume construction occurring at a single point in time and reflect several details, including materials, equipment</w:t>
      </w:r>
      <w:r w:rsidR="00DA3248">
        <w:t>,</w:t>
      </w:r>
      <w:r w:rsidRPr="00736314">
        <w:t xml:space="preserve"> and labor for all process facilities, fuel handling and storage, water intake structure and wastewater treatment, offices, maintenance shops, warehouses, and step-up transformer and transmission interconnection. While the estimates adjust for regional differences in costs, they do not include owners’ costs and interest expenses during construction (often referred to as </w:t>
      </w:r>
      <w:r w:rsidR="003369B6">
        <w:t>“a</w:t>
      </w:r>
      <w:r w:rsidRPr="00736314">
        <w:t xml:space="preserve">llowance for </w:t>
      </w:r>
      <w:r w:rsidR="003369B6">
        <w:t>f</w:t>
      </w:r>
      <w:r w:rsidRPr="00736314">
        <w:t xml:space="preserve">unds </w:t>
      </w:r>
      <w:r w:rsidR="003369B6">
        <w:t>u</w:t>
      </w:r>
      <w:r w:rsidRPr="00736314">
        <w:t xml:space="preserve">sed during </w:t>
      </w:r>
      <w:r w:rsidR="003369B6">
        <w:t>c</w:t>
      </w:r>
      <w:r w:rsidRPr="00736314">
        <w:t>onstruction</w:t>
      </w:r>
      <w:r w:rsidR="003369B6">
        <w:t xml:space="preserve">;” </w:t>
      </w:r>
      <w:r w:rsidRPr="00736314">
        <w:t>AFUDC).</w:t>
      </w:r>
      <w:r w:rsidRPr="001C012A">
        <w:t xml:space="preserve"> </w:t>
      </w:r>
      <w:r w:rsidR="00591F4E">
        <w:t xml:space="preserve">The total dollar costs </w:t>
      </w:r>
      <w:r w:rsidR="00012B34">
        <w:t>are</w:t>
      </w:r>
      <w:r w:rsidR="00591F4E">
        <w:t xml:space="preserve"> order</w:t>
      </w:r>
      <w:r w:rsidR="004F3BA8">
        <w:t>-</w:t>
      </w:r>
      <w:r w:rsidR="00591F4E">
        <w:t>of</w:t>
      </w:r>
      <w:r w:rsidR="004F3BA8">
        <w:t>-</w:t>
      </w:r>
      <w:r w:rsidR="00591F4E">
        <w:t>magnitude estimates</w:t>
      </w:r>
      <w:r w:rsidR="00012B34">
        <w:t xml:space="preserve"> in that </w:t>
      </w:r>
      <w:r w:rsidR="00591F4E">
        <w:t>the actual individual interconnection costs could vary widely from the values provided in this report.</w:t>
      </w:r>
    </w:p>
    <w:p w:rsidR="005615DE" w:rsidRDefault="001C012A" w:rsidP="00201D25">
      <w:r w:rsidRPr="00087581">
        <w:t xml:space="preserve">The annual carrying charge rate of 15% was applied to the generic overnight capital costs of new resources to determine the </w:t>
      </w:r>
      <w:r w:rsidR="004C3527">
        <w:t xml:space="preserve">new resources’ </w:t>
      </w:r>
      <w:r w:rsidRPr="00087581">
        <w:t>annual fixed costs.</w:t>
      </w:r>
      <w:r>
        <w:t xml:space="preserve"> </w:t>
      </w:r>
      <w:r w:rsidR="00A37A8D" w:rsidRPr="00326ACC">
        <w:fldChar w:fldCharType="begin"/>
      </w:r>
      <w:r w:rsidR="00A37A8D" w:rsidRPr="00326ACC">
        <w:instrText xml:space="preserve"> REF _Ref476756458 \h </w:instrText>
      </w:r>
      <w:r w:rsidR="00882B01" w:rsidRPr="00326ACC">
        <w:instrText xml:space="preserve"> \* MERGEFORMAT </w:instrText>
      </w:r>
      <w:r w:rsidR="00A37A8D" w:rsidRPr="00326ACC">
        <w:fldChar w:fldCharType="separate"/>
      </w:r>
      <w:r w:rsidR="00872A95" w:rsidRPr="003D0E54">
        <w:t xml:space="preserve">Table </w:t>
      </w:r>
      <w:r w:rsidR="00872A95">
        <w:rPr>
          <w:noProof/>
        </w:rPr>
        <w:t>5</w:t>
      </w:r>
      <w:r w:rsidR="00872A95">
        <w:rPr>
          <w:noProof/>
        </w:rPr>
        <w:noBreakHyphen/>
        <w:t>15</w:t>
      </w:r>
      <w:r w:rsidR="00A37A8D" w:rsidRPr="00326ACC">
        <w:fldChar w:fldCharType="end"/>
      </w:r>
      <w:r w:rsidR="009F6C91" w:rsidRPr="00326ACC">
        <w:t xml:space="preserve"> </w:t>
      </w:r>
      <w:r w:rsidR="005615DE" w:rsidRPr="00326ACC">
        <w:t>show</w:t>
      </w:r>
      <w:r w:rsidR="005615DE">
        <w:t xml:space="preserve">s the generic overnight capital costs and </w:t>
      </w:r>
      <w:r w:rsidR="005615DE" w:rsidRPr="00EC3A1C">
        <w:t xml:space="preserve">annual carrying charges </w:t>
      </w:r>
      <w:r w:rsidR="00D305B8" w:rsidRPr="00EC3A1C">
        <w:t>assumed</w:t>
      </w:r>
      <w:r w:rsidR="006F1DD9" w:rsidRPr="00EC3A1C">
        <w:t xml:space="preserve"> </w:t>
      </w:r>
      <w:r w:rsidR="005615DE" w:rsidRPr="00EC3A1C">
        <w:t>for new resources in New England.</w:t>
      </w:r>
      <w:r w:rsidR="00D26C86">
        <w:t xml:space="preserve"> </w:t>
      </w:r>
    </w:p>
    <w:p w:rsidR="009F4543" w:rsidRDefault="00C73A12" w:rsidP="00C73A12">
      <w:pPr>
        <w:pStyle w:val="Caption"/>
        <w:jc w:val="center"/>
      </w:pPr>
      <w:bookmarkStart w:id="181" w:name="_Ref476756458"/>
      <w:bookmarkStart w:id="182" w:name="_Toc520721030"/>
      <w:r w:rsidRPr="003D0E54">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15</w:t>
      </w:r>
      <w:r w:rsidR="00EA3757">
        <w:rPr>
          <w:noProof/>
        </w:rPr>
        <w:fldChar w:fldCharType="end"/>
      </w:r>
      <w:bookmarkEnd w:id="181"/>
      <w:r w:rsidR="009F4543">
        <w:br/>
      </w:r>
      <w:r w:rsidR="00D305B8" w:rsidRPr="00BE28CD">
        <w:t xml:space="preserve">Assumed </w:t>
      </w:r>
      <w:r w:rsidR="009F4543" w:rsidRPr="00BE28CD">
        <w:t>Total Overnight Generator Costs and Typical Annual Carrying Charges for New Resources</w:t>
      </w:r>
      <w:r w:rsidR="00FE3B14">
        <w:t xml:space="preserve"> (MW, $/kW)</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970"/>
        <w:gridCol w:w="1212"/>
        <w:gridCol w:w="2074"/>
        <w:gridCol w:w="1815"/>
        <w:gridCol w:w="2279"/>
      </w:tblGrid>
      <w:tr w:rsidR="004B3F6A" w:rsidRPr="004B3F6A" w:rsidTr="001239FB">
        <w:trPr>
          <w:jc w:val="center"/>
        </w:trPr>
        <w:tc>
          <w:tcPr>
            <w:tcW w:w="1970" w:type="dxa"/>
            <w:shd w:val="clear" w:color="auto" w:fill="1795D2"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Technology Type</w:t>
            </w:r>
          </w:p>
        </w:tc>
        <w:tc>
          <w:tcPr>
            <w:tcW w:w="1212" w:type="dxa"/>
            <w:shd w:val="clear" w:color="auto" w:fill="1795D2"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Plant Size (MW)</w:t>
            </w:r>
          </w:p>
        </w:tc>
        <w:tc>
          <w:tcPr>
            <w:tcW w:w="2074" w:type="dxa"/>
            <w:shd w:val="clear" w:color="auto" w:fill="1795D2" w:themeFill="accent1"/>
            <w:vAlign w:val="center"/>
          </w:tcPr>
          <w:p w:rsidR="005C2C9F" w:rsidRPr="00230FBF" w:rsidRDefault="005C2C9F" w:rsidP="001119E7">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Generic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1815" w:type="dxa"/>
            <w:shd w:val="clear" w:color="auto" w:fill="1795D2" w:themeFill="accent1"/>
            <w:vAlign w:val="center"/>
          </w:tcPr>
          <w:p w:rsidR="005C2C9F" w:rsidRPr="00230FBF" w:rsidRDefault="005C2C9F" w:rsidP="001119E7">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New England-Specific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2279" w:type="dxa"/>
            <w:shd w:val="clear" w:color="auto" w:fill="1795D2"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Annual Carrying Charge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for New</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England</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Specific Resource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using 15% ($/kW-year)</w:t>
            </w:r>
          </w:p>
        </w:tc>
      </w:tr>
      <w:tr w:rsidR="00F60979" w:rsidRPr="004B3F6A" w:rsidTr="001239FB">
        <w:trPr>
          <w:jc w:val="center"/>
        </w:trPr>
        <w:tc>
          <w:tcPr>
            <w:tcW w:w="1970"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 xml:space="preserve">Solar </w:t>
            </w:r>
            <w:r w:rsidR="004C3527">
              <w:rPr>
                <w:rFonts w:asciiTheme="minorHAnsi" w:hAnsiTheme="minorHAnsi"/>
                <w:b/>
                <w:sz w:val="18"/>
                <w:szCs w:val="18"/>
              </w:rPr>
              <w:t>p</w:t>
            </w:r>
            <w:r w:rsidRPr="00D93F24">
              <w:rPr>
                <w:rFonts w:asciiTheme="minorHAnsi" w:hAnsiTheme="minorHAnsi"/>
                <w:b/>
                <w:sz w:val="18"/>
                <w:szCs w:val="18"/>
              </w:rPr>
              <w:t>hotovoltaic</w:t>
            </w:r>
            <w:r w:rsidR="009F4543" w:rsidRPr="00D93F24">
              <w:rPr>
                <w:rFonts w:asciiTheme="minorHAnsi" w:hAnsiTheme="minorHAnsi"/>
                <w:b/>
                <w:sz w:val="18"/>
                <w:szCs w:val="18"/>
                <w:vertAlign w:val="superscript"/>
              </w:rPr>
              <w:t>(b)</w:t>
            </w:r>
          </w:p>
        </w:tc>
        <w:tc>
          <w:tcPr>
            <w:tcW w:w="1212"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150</w:t>
            </w:r>
          </w:p>
        </w:tc>
        <w:tc>
          <w:tcPr>
            <w:tcW w:w="2074"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2,362</w:t>
            </w:r>
          </w:p>
        </w:tc>
        <w:tc>
          <w:tcPr>
            <w:tcW w:w="1815"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2,559</w:t>
            </w:r>
          </w:p>
        </w:tc>
        <w:tc>
          <w:tcPr>
            <w:tcW w:w="2279"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384</w:t>
            </w:r>
          </w:p>
        </w:tc>
      </w:tr>
      <w:tr w:rsidR="00F60979" w:rsidRPr="004B3F6A" w:rsidTr="001239FB">
        <w:trPr>
          <w:jc w:val="center"/>
        </w:trPr>
        <w:tc>
          <w:tcPr>
            <w:tcW w:w="1970" w:type="dxa"/>
            <w:shd w:val="clear" w:color="auto" w:fill="CCEAF9" w:themeFill="accent1" w:themeFillTint="33"/>
            <w:vAlign w:val="center"/>
          </w:tcPr>
          <w:p w:rsidR="005C2C9F" w:rsidRPr="004C3527"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4C3527">
              <w:rPr>
                <w:rFonts w:asciiTheme="minorHAnsi" w:hAnsiTheme="minorHAnsi"/>
                <w:b/>
                <w:sz w:val="18"/>
                <w:szCs w:val="18"/>
              </w:rPr>
              <w:t xml:space="preserve">Conventional </w:t>
            </w:r>
            <w:r w:rsidR="004C3527" w:rsidRPr="003D0E54">
              <w:rPr>
                <w:rFonts w:asciiTheme="minorHAnsi" w:hAnsiTheme="minorHAnsi"/>
                <w:b/>
                <w:sz w:val="18"/>
                <w:szCs w:val="18"/>
              </w:rPr>
              <w:t>combined cycle (</w:t>
            </w:r>
            <w:r w:rsidRPr="004C3527">
              <w:rPr>
                <w:rFonts w:asciiTheme="minorHAnsi" w:hAnsiTheme="minorHAnsi"/>
                <w:b/>
                <w:sz w:val="18"/>
                <w:szCs w:val="18"/>
              </w:rPr>
              <w:t>CC</w:t>
            </w:r>
            <w:r w:rsidR="004C3527" w:rsidRPr="003D0E54">
              <w:rPr>
                <w:rFonts w:asciiTheme="minorHAnsi" w:hAnsiTheme="minorHAnsi"/>
                <w:b/>
                <w:sz w:val="18"/>
                <w:szCs w:val="18"/>
              </w:rPr>
              <w:t>)</w:t>
            </w:r>
          </w:p>
        </w:tc>
        <w:tc>
          <w:tcPr>
            <w:tcW w:w="1212" w:type="dxa"/>
            <w:shd w:val="clear" w:color="auto" w:fill="CCEAF9"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702</w:t>
            </w:r>
          </w:p>
        </w:tc>
        <w:tc>
          <w:tcPr>
            <w:tcW w:w="2074" w:type="dxa"/>
            <w:shd w:val="clear" w:color="auto" w:fill="CCEAF9"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911</w:t>
            </w:r>
          </w:p>
        </w:tc>
        <w:tc>
          <w:tcPr>
            <w:tcW w:w="1815" w:type="dxa"/>
            <w:shd w:val="clear" w:color="auto" w:fill="CCEAF9"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1,062</w:t>
            </w:r>
          </w:p>
        </w:tc>
        <w:tc>
          <w:tcPr>
            <w:tcW w:w="2279" w:type="dxa"/>
            <w:shd w:val="clear" w:color="auto" w:fill="CCEAF9"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159</w:t>
            </w:r>
          </w:p>
        </w:tc>
      </w:tr>
      <w:tr w:rsidR="00F60979" w:rsidRPr="004B3F6A" w:rsidTr="001239FB">
        <w:trPr>
          <w:jc w:val="center"/>
        </w:trPr>
        <w:tc>
          <w:tcPr>
            <w:tcW w:w="1970" w:type="dxa"/>
            <w:shd w:val="clear" w:color="auto" w:fill="auto"/>
            <w:vAlign w:val="center"/>
          </w:tcPr>
          <w:p w:rsidR="005C2C9F" w:rsidRPr="004C3527" w:rsidRDefault="005C2C9F" w:rsidP="00D03022">
            <w:pPr>
              <w:keepNext/>
              <w:keepLines/>
              <w:widowControl w:val="0"/>
              <w:adjustRightInd/>
              <w:spacing w:before="40" w:after="40" w:line="240" w:lineRule="auto"/>
              <w:textAlignment w:val="auto"/>
              <w:rPr>
                <w:rFonts w:asciiTheme="minorHAnsi" w:hAnsiTheme="minorHAnsi"/>
                <w:b/>
                <w:sz w:val="18"/>
                <w:szCs w:val="18"/>
              </w:rPr>
            </w:pPr>
            <w:r w:rsidRPr="004C3527">
              <w:rPr>
                <w:rFonts w:asciiTheme="minorHAnsi" w:hAnsiTheme="minorHAnsi"/>
                <w:b/>
                <w:sz w:val="18"/>
                <w:szCs w:val="18"/>
              </w:rPr>
              <w:t xml:space="preserve">Conventional </w:t>
            </w:r>
            <w:r w:rsidR="004C3527" w:rsidRPr="003D0E54">
              <w:rPr>
                <w:rFonts w:asciiTheme="minorHAnsi" w:hAnsiTheme="minorHAnsi"/>
                <w:b/>
                <w:sz w:val="18"/>
                <w:szCs w:val="18"/>
              </w:rPr>
              <w:t>combusti</w:t>
            </w:r>
            <w:r w:rsidR="00D03022">
              <w:rPr>
                <w:rFonts w:asciiTheme="minorHAnsi" w:hAnsiTheme="minorHAnsi"/>
                <w:b/>
                <w:sz w:val="18"/>
                <w:szCs w:val="18"/>
              </w:rPr>
              <w:t>o</w:t>
            </w:r>
            <w:r w:rsidR="004C3527" w:rsidRPr="003D0E54">
              <w:rPr>
                <w:rFonts w:asciiTheme="minorHAnsi" w:hAnsiTheme="minorHAnsi"/>
                <w:b/>
                <w:sz w:val="18"/>
                <w:szCs w:val="18"/>
              </w:rPr>
              <w:t>n turbine (</w:t>
            </w:r>
            <w:r w:rsidRPr="004C3527">
              <w:rPr>
                <w:rFonts w:asciiTheme="minorHAnsi" w:hAnsiTheme="minorHAnsi"/>
                <w:b/>
                <w:sz w:val="18"/>
                <w:szCs w:val="18"/>
              </w:rPr>
              <w:t>CT</w:t>
            </w:r>
            <w:r w:rsidR="004C3527" w:rsidRPr="003D0E54">
              <w:rPr>
                <w:rFonts w:asciiTheme="minorHAnsi" w:hAnsiTheme="minorHAnsi"/>
                <w:b/>
                <w:sz w:val="18"/>
                <w:szCs w:val="18"/>
              </w:rPr>
              <w:t>)</w:t>
            </w:r>
          </w:p>
        </w:tc>
        <w:tc>
          <w:tcPr>
            <w:tcW w:w="1212"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074"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1,026</w:t>
            </w:r>
          </w:p>
        </w:tc>
        <w:tc>
          <w:tcPr>
            <w:tcW w:w="1815"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1,119</w:t>
            </w:r>
          </w:p>
        </w:tc>
        <w:tc>
          <w:tcPr>
            <w:tcW w:w="2279"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168</w:t>
            </w:r>
          </w:p>
        </w:tc>
      </w:tr>
      <w:tr w:rsidR="00F60979" w:rsidRPr="004B3F6A" w:rsidTr="001239FB">
        <w:trPr>
          <w:jc w:val="center"/>
        </w:trPr>
        <w:tc>
          <w:tcPr>
            <w:tcW w:w="1970" w:type="dxa"/>
            <w:shd w:val="clear" w:color="auto" w:fill="CCEAF9" w:themeFill="accent1" w:themeFillTint="33"/>
            <w:vAlign w:val="center"/>
          </w:tcPr>
          <w:p w:rsidR="005C2C9F" w:rsidRPr="00D93F24" w:rsidRDefault="005C2C9F" w:rsidP="004C3527">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 xml:space="preserve">Offshore </w:t>
            </w:r>
            <w:r w:rsidR="004C3527">
              <w:rPr>
                <w:rFonts w:asciiTheme="minorHAnsi" w:hAnsiTheme="minorHAnsi"/>
                <w:b/>
                <w:sz w:val="18"/>
                <w:szCs w:val="18"/>
              </w:rPr>
              <w:t>w</w:t>
            </w:r>
            <w:r w:rsidRPr="00D93F24">
              <w:rPr>
                <w:rFonts w:asciiTheme="minorHAnsi" w:hAnsiTheme="minorHAnsi"/>
                <w:b/>
                <w:sz w:val="18"/>
                <w:szCs w:val="18"/>
              </w:rPr>
              <w:t>ind</w:t>
            </w:r>
            <w:r w:rsidR="00EE147B">
              <w:rPr>
                <w:rFonts w:asciiTheme="minorHAnsi" w:hAnsiTheme="minorHAnsi"/>
                <w:b/>
                <w:sz w:val="18"/>
                <w:szCs w:val="18"/>
                <w:vertAlign w:val="superscript"/>
              </w:rPr>
              <w:t>(c</w:t>
            </w:r>
            <w:r w:rsidR="00EE147B" w:rsidRPr="00D93F24">
              <w:rPr>
                <w:rFonts w:asciiTheme="minorHAnsi" w:hAnsiTheme="minorHAnsi"/>
                <w:b/>
                <w:sz w:val="18"/>
                <w:szCs w:val="18"/>
                <w:vertAlign w:val="superscript"/>
              </w:rPr>
              <w:t>)</w:t>
            </w:r>
          </w:p>
        </w:tc>
        <w:tc>
          <w:tcPr>
            <w:tcW w:w="1212" w:type="dxa"/>
            <w:shd w:val="clear" w:color="auto" w:fill="CCEAF9"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400</w:t>
            </w:r>
          </w:p>
        </w:tc>
        <w:tc>
          <w:tcPr>
            <w:tcW w:w="2074" w:type="dxa"/>
            <w:shd w:val="clear" w:color="auto" w:fill="CCEAF9"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4,605</w:t>
            </w:r>
          </w:p>
        </w:tc>
        <w:tc>
          <w:tcPr>
            <w:tcW w:w="1815" w:type="dxa"/>
            <w:shd w:val="clear" w:color="auto" w:fill="CCEAF9"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6,496</w:t>
            </w:r>
          </w:p>
        </w:tc>
        <w:tc>
          <w:tcPr>
            <w:tcW w:w="2279" w:type="dxa"/>
            <w:shd w:val="clear" w:color="auto" w:fill="CCEAF9"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974</w:t>
            </w:r>
          </w:p>
        </w:tc>
      </w:tr>
      <w:tr w:rsidR="00F60979" w:rsidRPr="004B3F6A" w:rsidTr="001239FB">
        <w:trPr>
          <w:jc w:val="center"/>
        </w:trPr>
        <w:tc>
          <w:tcPr>
            <w:tcW w:w="1970" w:type="dxa"/>
            <w:shd w:val="clear" w:color="auto" w:fill="auto"/>
            <w:vAlign w:val="center"/>
          </w:tcPr>
          <w:p w:rsidR="005C2C9F" w:rsidRPr="00D93F24" w:rsidRDefault="005C2C9F" w:rsidP="004C3527">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 xml:space="preserve">Onshore </w:t>
            </w:r>
            <w:r w:rsidR="004C3527">
              <w:rPr>
                <w:rFonts w:asciiTheme="minorHAnsi" w:hAnsiTheme="minorHAnsi"/>
                <w:b/>
                <w:sz w:val="18"/>
                <w:szCs w:val="18"/>
              </w:rPr>
              <w:t>w</w:t>
            </w:r>
            <w:r w:rsidRPr="00D93F24">
              <w:rPr>
                <w:rFonts w:asciiTheme="minorHAnsi" w:hAnsiTheme="minorHAnsi"/>
                <w:b/>
                <w:sz w:val="18"/>
                <w:szCs w:val="18"/>
              </w:rPr>
              <w:t>ind</w:t>
            </w:r>
          </w:p>
        </w:tc>
        <w:tc>
          <w:tcPr>
            <w:tcW w:w="1212"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074"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1,536</w:t>
            </w:r>
          </w:p>
        </w:tc>
        <w:tc>
          <w:tcPr>
            <w:tcW w:w="1815"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2,465</w:t>
            </w:r>
          </w:p>
        </w:tc>
        <w:tc>
          <w:tcPr>
            <w:tcW w:w="2279"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370</w:t>
            </w:r>
          </w:p>
        </w:tc>
      </w:tr>
    </w:tbl>
    <w:p w:rsidR="00EF75C6" w:rsidRPr="003A2CA8" w:rsidRDefault="009F4543" w:rsidP="004845F2">
      <w:pPr>
        <w:keepNext/>
        <w:keepLines/>
        <w:spacing w:before="120" w:after="80" w:line="240" w:lineRule="auto"/>
        <w:ind w:left="274" w:hanging="274"/>
        <w:rPr>
          <w:rFonts w:asciiTheme="minorHAnsi" w:hAnsiTheme="minorHAnsi"/>
          <w:sz w:val="16"/>
          <w:szCs w:val="16"/>
        </w:rPr>
      </w:pPr>
      <w:r w:rsidRPr="003A2CA8">
        <w:rPr>
          <w:rFonts w:asciiTheme="minorHAnsi" w:hAnsiTheme="minorHAnsi"/>
          <w:sz w:val="16"/>
          <w:szCs w:val="16"/>
        </w:rPr>
        <w:t>(a)</w:t>
      </w:r>
      <w:r w:rsidR="00EF75C6" w:rsidRPr="003A2CA8">
        <w:rPr>
          <w:rFonts w:asciiTheme="minorHAnsi" w:hAnsiTheme="minorHAnsi"/>
          <w:sz w:val="16"/>
          <w:szCs w:val="16"/>
        </w:rPr>
        <w:t xml:space="preserve"> </w:t>
      </w:r>
      <w:r w:rsidR="003A2CA8">
        <w:rPr>
          <w:rFonts w:asciiTheme="minorHAnsi" w:hAnsiTheme="minorHAnsi"/>
          <w:sz w:val="16"/>
          <w:szCs w:val="16"/>
        </w:rPr>
        <w:tab/>
      </w:r>
      <w:r w:rsidR="00EF75C6" w:rsidRPr="003A2CA8">
        <w:rPr>
          <w:rFonts w:asciiTheme="minorHAnsi" w:hAnsiTheme="minorHAnsi"/>
          <w:sz w:val="16"/>
          <w:szCs w:val="16"/>
        </w:rPr>
        <w:t xml:space="preserve">The lower cost is the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P</w:t>
      </w:r>
      <w:r w:rsidR="00EF75C6" w:rsidRPr="003A2CA8">
        <w:rPr>
          <w:rFonts w:asciiTheme="minorHAnsi" w:hAnsiTheme="minorHAnsi"/>
          <w:sz w:val="16"/>
          <w:szCs w:val="16"/>
        </w:rPr>
        <w:t xml:space="preserve">lant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D1362F" w:rsidRPr="003A2CA8">
        <w:rPr>
          <w:rFonts w:asciiTheme="minorHAnsi" w:hAnsiTheme="minorHAnsi"/>
          <w:sz w:val="16"/>
          <w:szCs w:val="16"/>
        </w:rPr>
        <w:t>, and t</w:t>
      </w:r>
      <w:r w:rsidR="00EF75C6" w:rsidRPr="003A2CA8">
        <w:rPr>
          <w:rFonts w:asciiTheme="minorHAnsi" w:hAnsiTheme="minorHAnsi"/>
          <w:sz w:val="16"/>
          <w:szCs w:val="16"/>
        </w:rPr>
        <w:t>he higher cost is the New</w:t>
      </w:r>
      <w:r w:rsidR="00C20444">
        <w:rPr>
          <w:rFonts w:asciiTheme="minorHAnsi" w:hAnsiTheme="minorHAnsi"/>
          <w:sz w:val="16"/>
          <w:szCs w:val="16"/>
        </w:rPr>
        <w:t>-</w:t>
      </w:r>
      <w:r w:rsidR="00EF75C6" w:rsidRPr="003A2CA8">
        <w:rPr>
          <w:rFonts w:asciiTheme="minorHAnsi" w:hAnsiTheme="minorHAnsi"/>
          <w:sz w:val="16"/>
          <w:szCs w:val="16"/>
        </w:rPr>
        <w:t>England-</w:t>
      </w:r>
      <w:r w:rsidR="00D1362F" w:rsidRPr="003A2CA8">
        <w:rPr>
          <w:rFonts w:asciiTheme="minorHAnsi" w:hAnsiTheme="minorHAnsi"/>
          <w:sz w:val="16"/>
          <w:szCs w:val="16"/>
        </w:rPr>
        <w:t>S</w:t>
      </w:r>
      <w:r w:rsidR="00EF75C6" w:rsidRPr="003A2CA8">
        <w:rPr>
          <w:rFonts w:asciiTheme="minorHAnsi" w:hAnsiTheme="minorHAnsi"/>
          <w:sz w:val="16"/>
          <w:szCs w:val="16"/>
        </w:rPr>
        <w:t xml:space="preserve">pecific </w:t>
      </w:r>
      <w:r w:rsidR="00D1362F" w:rsidRPr="003A2CA8">
        <w:rPr>
          <w:rFonts w:asciiTheme="minorHAnsi" w:hAnsiTheme="minorHAnsi"/>
          <w:sz w:val="16"/>
          <w:szCs w:val="16"/>
        </w:rPr>
        <w:t>T</w:t>
      </w:r>
      <w:r w:rsidR="00EF75C6" w:rsidRPr="003A2CA8">
        <w:rPr>
          <w:rFonts w:asciiTheme="minorHAnsi" w:hAnsiTheme="minorHAnsi"/>
          <w:sz w:val="16"/>
          <w:szCs w:val="16"/>
        </w:rPr>
        <w:t xml:space="preserve">otal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230FBF" w:rsidRPr="003A2CA8">
        <w:rPr>
          <w:rFonts w:asciiTheme="minorHAnsi" w:hAnsiTheme="minorHAnsi"/>
          <w:sz w:val="16"/>
          <w:szCs w:val="16"/>
        </w:rPr>
        <w:t>,</w:t>
      </w:r>
      <w:r w:rsidR="00EF75C6" w:rsidRPr="003A2CA8">
        <w:rPr>
          <w:rFonts w:asciiTheme="minorHAnsi" w:hAnsiTheme="minorHAnsi"/>
          <w:sz w:val="16"/>
          <w:szCs w:val="16"/>
        </w:rPr>
        <w:t xml:space="preserve"> which includes a project Contingency Factor</w:t>
      </w:r>
      <w:r w:rsidR="00D93F24" w:rsidRPr="003A2CA8">
        <w:rPr>
          <w:rFonts w:asciiTheme="minorHAnsi" w:hAnsiTheme="minorHAnsi"/>
          <w:sz w:val="16"/>
          <w:szCs w:val="16"/>
        </w:rPr>
        <w:t xml:space="preserve">, </w:t>
      </w:r>
      <w:r w:rsidR="00EF75C6" w:rsidRPr="003A2CA8">
        <w:rPr>
          <w:rFonts w:asciiTheme="minorHAnsi" w:hAnsiTheme="minorHAnsi"/>
          <w:sz w:val="16"/>
          <w:szCs w:val="16"/>
        </w:rPr>
        <w:t xml:space="preserve">a Technological Optimism Factor, and </w:t>
      </w:r>
      <w:r w:rsidR="008C4C8E" w:rsidRPr="003A2CA8">
        <w:rPr>
          <w:rFonts w:asciiTheme="minorHAnsi" w:hAnsiTheme="minorHAnsi"/>
          <w:sz w:val="16"/>
          <w:szCs w:val="16"/>
        </w:rPr>
        <w:t>l</w:t>
      </w:r>
      <w:r w:rsidR="00EF75C6" w:rsidRPr="003A2CA8">
        <w:rPr>
          <w:rFonts w:asciiTheme="minorHAnsi" w:hAnsiTheme="minorHAnsi"/>
          <w:sz w:val="16"/>
          <w:szCs w:val="16"/>
        </w:rPr>
        <w:t xml:space="preserve">ocational </w:t>
      </w:r>
      <w:r w:rsidR="00230FBF" w:rsidRPr="003A2CA8">
        <w:rPr>
          <w:rFonts w:asciiTheme="minorHAnsi" w:hAnsiTheme="minorHAnsi"/>
          <w:sz w:val="16"/>
          <w:szCs w:val="16"/>
        </w:rPr>
        <w:t>a</w:t>
      </w:r>
      <w:r w:rsidR="00EF75C6" w:rsidRPr="003A2CA8">
        <w:rPr>
          <w:rFonts w:asciiTheme="minorHAnsi" w:hAnsiTheme="minorHAnsi"/>
          <w:sz w:val="16"/>
          <w:szCs w:val="16"/>
        </w:rPr>
        <w:t>djustments</w:t>
      </w:r>
      <w:r w:rsidR="009E7B29" w:rsidRPr="003A2CA8">
        <w:rPr>
          <w:rFonts w:asciiTheme="minorHAnsi" w:hAnsiTheme="minorHAnsi"/>
          <w:sz w:val="16"/>
          <w:szCs w:val="16"/>
        </w:rPr>
        <w:t xml:space="preserve">. </w:t>
      </w:r>
      <w:r w:rsidR="00230FBF" w:rsidRPr="003A2CA8">
        <w:rPr>
          <w:rFonts w:asciiTheme="minorHAnsi" w:hAnsiTheme="minorHAnsi"/>
          <w:sz w:val="16"/>
          <w:szCs w:val="16"/>
        </w:rPr>
        <w:t>The American Association of Cost Engineers defines a</w:t>
      </w:r>
      <w:r w:rsidR="00EF75C6" w:rsidRPr="003A2CA8">
        <w:rPr>
          <w:rFonts w:asciiTheme="minorHAnsi" w:hAnsiTheme="minorHAnsi"/>
          <w:sz w:val="16"/>
          <w:szCs w:val="16"/>
        </w:rPr>
        <w:t xml:space="preserve"> Contingency Factor allowance as the specific provision for unforeseeable </w:t>
      </w:r>
      <w:r w:rsidR="008C4C8E" w:rsidRPr="003A2CA8">
        <w:rPr>
          <w:rFonts w:asciiTheme="minorHAnsi" w:hAnsiTheme="minorHAnsi"/>
          <w:sz w:val="16"/>
          <w:szCs w:val="16"/>
        </w:rPr>
        <w:t xml:space="preserve">cost </w:t>
      </w:r>
      <w:r w:rsidR="00EF75C6" w:rsidRPr="003A2CA8">
        <w:rPr>
          <w:rFonts w:asciiTheme="minorHAnsi" w:hAnsiTheme="minorHAnsi"/>
          <w:sz w:val="16"/>
          <w:szCs w:val="16"/>
        </w:rPr>
        <w:t>elements within a defined project scope</w:t>
      </w:r>
      <w:r w:rsidR="008C4C8E" w:rsidRPr="003A2CA8">
        <w:rPr>
          <w:rFonts w:asciiTheme="minorHAnsi" w:hAnsiTheme="minorHAnsi"/>
          <w:sz w:val="16"/>
          <w:szCs w:val="16"/>
        </w:rPr>
        <w:t xml:space="preserve">, </w:t>
      </w:r>
      <w:r w:rsidR="00EF75C6" w:rsidRPr="003A2CA8">
        <w:rPr>
          <w:rFonts w:asciiTheme="minorHAnsi" w:hAnsiTheme="minorHAnsi"/>
          <w:sz w:val="16"/>
          <w:szCs w:val="16"/>
        </w:rPr>
        <w:t>particularly important whe</w:t>
      </w:r>
      <w:r w:rsidR="008C4C8E" w:rsidRPr="003A2CA8">
        <w:rPr>
          <w:rFonts w:asciiTheme="minorHAnsi" w:hAnsiTheme="minorHAnsi"/>
          <w:sz w:val="16"/>
          <w:szCs w:val="16"/>
        </w:rPr>
        <w:t>n</w:t>
      </w:r>
      <w:r w:rsidR="00EF75C6" w:rsidRPr="003A2CA8">
        <w:rPr>
          <w:rFonts w:asciiTheme="minorHAnsi" w:hAnsiTheme="minorHAnsi"/>
          <w:sz w:val="16"/>
          <w:szCs w:val="16"/>
        </w:rPr>
        <w:t xml:space="preserve"> experience has shown</w:t>
      </w:r>
      <w:r w:rsidR="008C4C8E" w:rsidRPr="003A2CA8">
        <w:rPr>
          <w:rFonts w:asciiTheme="minorHAnsi" w:hAnsiTheme="minorHAnsi"/>
          <w:sz w:val="16"/>
          <w:szCs w:val="16"/>
        </w:rPr>
        <w:t xml:space="preserve"> the likelihood</w:t>
      </w:r>
      <w:r w:rsidR="00EF75C6" w:rsidRPr="003A2CA8">
        <w:rPr>
          <w:rFonts w:asciiTheme="minorHAnsi" w:hAnsiTheme="minorHAnsi"/>
          <w:sz w:val="16"/>
          <w:szCs w:val="16"/>
        </w:rPr>
        <w:t xml:space="preserve"> that unforeseeable events </w:t>
      </w:r>
      <w:r w:rsidR="00230FBF" w:rsidRPr="003A2CA8">
        <w:rPr>
          <w:rFonts w:asciiTheme="minorHAnsi" w:hAnsiTheme="minorHAnsi"/>
          <w:sz w:val="16"/>
          <w:szCs w:val="16"/>
        </w:rPr>
        <w:t>that</w:t>
      </w:r>
      <w:r w:rsidR="008C4C8E" w:rsidRPr="003A2CA8">
        <w:rPr>
          <w:rFonts w:asciiTheme="minorHAnsi" w:hAnsiTheme="minorHAnsi"/>
          <w:sz w:val="16"/>
          <w:szCs w:val="16"/>
        </w:rPr>
        <w:t xml:space="preserve"> </w:t>
      </w:r>
      <w:r w:rsidR="00EF75C6" w:rsidRPr="003A2CA8">
        <w:rPr>
          <w:rFonts w:asciiTheme="minorHAnsi" w:hAnsiTheme="minorHAnsi"/>
          <w:sz w:val="16"/>
          <w:szCs w:val="16"/>
        </w:rPr>
        <w:t xml:space="preserve">increase costs </w:t>
      </w:r>
      <w:r w:rsidR="008C4C8E" w:rsidRPr="003A2CA8">
        <w:rPr>
          <w:rFonts w:asciiTheme="minorHAnsi" w:hAnsiTheme="minorHAnsi"/>
          <w:sz w:val="16"/>
          <w:szCs w:val="16"/>
        </w:rPr>
        <w:t xml:space="preserve">will </w:t>
      </w:r>
      <w:r w:rsidR="00EF75C6" w:rsidRPr="003A2CA8">
        <w:rPr>
          <w:rFonts w:asciiTheme="minorHAnsi" w:hAnsiTheme="minorHAnsi"/>
          <w:sz w:val="16"/>
          <w:szCs w:val="16"/>
        </w:rPr>
        <w:t>occur. The Technological Optimism Factor is applied to the first four units of a new, unproven design</w:t>
      </w:r>
      <w:r w:rsidR="008C4C8E" w:rsidRPr="003A2CA8">
        <w:rPr>
          <w:rFonts w:asciiTheme="minorHAnsi" w:hAnsiTheme="minorHAnsi"/>
          <w:sz w:val="16"/>
          <w:szCs w:val="16"/>
        </w:rPr>
        <w:t xml:space="preserve">, </w:t>
      </w:r>
      <w:r w:rsidR="00EF75C6" w:rsidRPr="003A2CA8">
        <w:rPr>
          <w:rFonts w:asciiTheme="minorHAnsi" w:hAnsiTheme="minorHAnsi"/>
          <w:sz w:val="16"/>
          <w:szCs w:val="16"/>
        </w:rPr>
        <w:t>reflect</w:t>
      </w:r>
      <w:r w:rsidR="008C4C8E" w:rsidRPr="003A2CA8">
        <w:rPr>
          <w:rFonts w:asciiTheme="minorHAnsi" w:hAnsiTheme="minorHAnsi"/>
          <w:sz w:val="16"/>
          <w:szCs w:val="16"/>
        </w:rPr>
        <w:t>ing</w:t>
      </w:r>
      <w:r w:rsidR="00EF75C6" w:rsidRPr="003A2CA8">
        <w:rPr>
          <w:rFonts w:asciiTheme="minorHAnsi" w:hAnsiTheme="minorHAnsi"/>
          <w:sz w:val="16"/>
          <w:szCs w:val="16"/>
        </w:rPr>
        <w:t xml:space="preserve"> the demonstrated tendency to underestimate actual costs for a first-of-a-kind unit. These costs represent new projects initiated in 2015.</w:t>
      </w:r>
    </w:p>
    <w:p w:rsidR="005C2C9F" w:rsidRDefault="009F4543" w:rsidP="007D36A8">
      <w:pPr>
        <w:keepNext/>
        <w:keepLines/>
        <w:spacing w:after="80" w:line="240" w:lineRule="auto"/>
        <w:ind w:left="274" w:hanging="274"/>
        <w:rPr>
          <w:rFonts w:asciiTheme="minorHAnsi" w:hAnsiTheme="minorHAnsi"/>
          <w:sz w:val="16"/>
          <w:szCs w:val="16"/>
        </w:rPr>
      </w:pPr>
      <w:r w:rsidRPr="003A2CA8">
        <w:rPr>
          <w:rFonts w:asciiTheme="minorHAnsi" w:hAnsiTheme="minorHAnsi"/>
          <w:sz w:val="16"/>
          <w:szCs w:val="16"/>
        </w:rPr>
        <w:t>(b)</w:t>
      </w:r>
      <w:r w:rsidR="005C2C9F" w:rsidRPr="003A2CA8">
        <w:rPr>
          <w:rFonts w:asciiTheme="minorHAnsi" w:hAnsiTheme="minorHAnsi"/>
          <w:sz w:val="16"/>
          <w:szCs w:val="16"/>
        </w:rPr>
        <w:t xml:space="preserve"> </w:t>
      </w:r>
      <w:r w:rsidR="00583B44" w:rsidRPr="003A2CA8">
        <w:rPr>
          <w:rFonts w:asciiTheme="minorHAnsi" w:hAnsiTheme="minorHAnsi"/>
          <w:sz w:val="16"/>
          <w:szCs w:val="16"/>
        </w:rPr>
        <w:tab/>
      </w:r>
      <w:r w:rsidR="005C2C9F" w:rsidRPr="003A2CA8">
        <w:rPr>
          <w:rFonts w:asciiTheme="minorHAnsi" w:hAnsiTheme="minorHAnsi"/>
          <w:sz w:val="16"/>
          <w:szCs w:val="16"/>
        </w:rPr>
        <w:t>Net MWe AC Power.</w:t>
      </w:r>
    </w:p>
    <w:p w:rsidR="00EE147B" w:rsidRPr="003A2CA8" w:rsidRDefault="00EE147B" w:rsidP="00583B44">
      <w:pPr>
        <w:keepNext/>
        <w:keepLines/>
        <w:spacing w:line="240" w:lineRule="auto"/>
        <w:ind w:left="270" w:hanging="270"/>
        <w:rPr>
          <w:rFonts w:asciiTheme="minorHAnsi" w:hAnsiTheme="minorHAnsi"/>
          <w:sz w:val="16"/>
          <w:szCs w:val="16"/>
        </w:rPr>
      </w:pPr>
      <w:r w:rsidRPr="001C0DA1">
        <w:rPr>
          <w:rFonts w:asciiTheme="minorHAnsi" w:hAnsiTheme="minorHAnsi"/>
          <w:sz w:val="16"/>
          <w:szCs w:val="16"/>
        </w:rPr>
        <w:t xml:space="preserve">(c)   Although the costs to develop offshore wind resources may be less than the assumed overnight generator costs used in this study, “new technology costs” were used to capture </w:t>
      </w:r>
      <w:r w:rsidR="00874698" w:rsidRPr="001C0DA1">
        <w:rPr>
          <w:rFonts w:asciiTheme="minorHAnsi" w:hAnsiTheme="minorHAnsi"/>
          <w:sz w:val="16"/>
          <w:szCs w:val="16"/>
        </w:rPr>
        <w:t xml:space="preserve">the </w:t>
      </w:r>
      <w:r w:rsidRPr="001C0DA1">
        <w:rPr>
          <w:rFonts w:asciiTheme="minorHAnsi" w:hAnsiTheme="minorHAnsi"/>
          <w:sz w:val="16"/>
          <w:szCs w:val="16"/>
        </w:rPr>
        <w:t>additional costs associated with optimally interconnecting the offshore wind to Millstone, Montville, Brayton Point, Canal, and Pilgrim, which would eliminate the need for a congestion-relief system in SEMA/RI.</w:t>
      </w:r>
    </w:p>
    <w:p w:rsidR="0063670B" w:rsidRDefault="001616AA" w:rsidP="00201D25">
      <w:r>
        <w:t xml:space="preserve">In addition to the resources costs shown in </w:t>
      </w:r>
      <w:r w:rsidR="00A37A8D" w:rsidRPr="00326ACC">
        <w:fldChar w:fldCharType="begin"/>
      </w:r>
      <w:r w:rsidR="00A37A8D" w:rsidRPr="00326ACC">
        <w:instrText xml:space="preserve"> REF _Ref476756458 \h </w:instrText>
      </w:r>
      <w:r w:rsidR="00882B01" w:rsidRPr="00326ACC">
        <w:instrText xml:space="preserve"> \* MERGEFORMAT </w:instrText>
      </w:r>
      <w:r w:rsidR="00A37A8D" w:rsidRPr="00326ACC">
        <w:fldChar w:fldCharType="separate"/>
      </w:r>
      <w:r w:rsidR="00872A95" w:rsidRPr="003D0E54">
        <w:t xml:space="preserve">Table </w:t>
      </w:r>
      <w:r w:rsidR="00872A95">
        <w:rPr>
          <w:noProof/>
        </w:rPr>
        <w:t>5</w:t>
      </w:r>
      <w:r w:rsidR="00872A95">
        <w:rPr>
          <w:noProof/>
        </w:rPr>
        <w:noBreakHyphen/>
        <w:t>15</w:t>
      </w:r>
      <w:r w:rsidR="00A37A8D" w:rsidRPr="00326ACC">
        <w:fldChar w:fldCharType="end"/>
      </w:r>
      <w:r w:rsidRPr="004845F2">
        <w:t>,</w:t>
      </w:r>
      <w:r>
        <w:t xml:space="preserve"> </w:t>
      </w:r>
      <w:r w:rsidR="00D03022">
        <w:t>the assumptions for the Renew Plus s</w:t>
      </w:r>
      <w:r>
        <w:t>cenario</w:t>
      </w:r>
      <w:r w:rsidR="00D03022">
        <w:t xml:space="preserve"> and Scenarios </w:t>
      </w:r>
      <w:r w:rsidR="0063670B">
        <w:t>A and C</w:t>
      </w:r>
      <w:r>
        <w:t xml:space="preserve"> required the development of annual carrying charges for batteries. A </w:t>
      </w:r>
      <w:r w:rsidRPr="00BE28CD">
        <w:t>15% annual</w:t>
      </w:r>
      <w:r>
        <w:t xml:space="preserve"> charge rate was applied to assumed battery costs of $1,000/kW, or equivalently $150/kW-y</w:t>
      </w:r>
      <w:r w:rsidR="009A1929">
        <w:t>ea</w:t>
      </w:r>
      <w:r>
        <w:t>r</w:t>
      </w:r>
      <w:r w:rsidR="009E7B29">
        <w:t xml:space="preserve">. </w:t>
      </w:r>
    </w:p>
    <w:p w:rsidR="00395C44" w:rsidRPr="00E66C3D" w:rsidRDefault="0063670B" w:rsidP="00201D25">
      <w:r>
        <w:t>All scenarios considered the addition of energy</w:t>
      </w:r>
      <w:r w:rsidR="003B4DA7">
        <w:t>-</w:t>
      </w:r>
      <w:r>
        <w:t>efficiency resources</w:t>
      </w:r>
      <w:r w:rsidR="00860D3B">
        <w:t xml:space="preserve">. </w:t>
      </w:r>
      <w:r w:rsidR="00B85AF5">
        <w:t>The annual c</w:t>
      </w:r>
      <w:r w:rsidR="00B85AF5" w:rsidRPr="00B85AF5">
        <w:t>arryi</w:t>
      </w:r>
      <w:r w:rsidR="00B85AF5">
        <w:t>ng c</w:t>
      </w:r>
      <w:r w:rsidR="00B85AF5" w:rsidRPr="00B85AF5">
        <w:t>harges</w:t>
      </w:r>
      <w:r w:rsidR="00B85AF5">
        <w:t xml:space="preserve"> </w:t>
      </w:r>
      <w:r w:rsidR="009A1929">
        <w:t>for e</w:t>
      </w:r>
      <w:r w:rsidR="001616AA">
        <w:t xml:space="preserve">nergy efficiency were </w:t>
      </w:r>
      <w:r w:rsidR="00D945A4">
        <w:t xml:space="preserve">$431.64/kW-year </w:t>
      </w:r>
      <w:r w:rsidR="001616AA">
        <w:t>based on levelized capital costs provided by Concentric Energy Advisors</w:t>
      </w:r>
      <w:r w:rsidR="009A1929">
        <w:t>.</w:t>
      </w:r>
      <w:r w:rsidR="009A1929">
        <w:rPr>
          <w:rStyle w:val="FootnoteReference"/>
        </w:rPr>
        <w:footnoteReference w:id="49"/>
      </w:r>
      <w:r w:rsidR="001616AA">
        <w:t xml:space="preserve"> </w:t>
      </w:r>
    </w:p>
    <w:p w:rsidR="00995AFE" w:rsidRPr="004845F2" w:rsidRDefault="00E66C3D" w:rsidP="00D27B9E">
      <w:pPr>
        <w:pStyle w:val="Heading3"/>
      </w:pPr>
      <w:bookmarkStart w:id="183" w:name="_Toc528571218"/>
      <w:r w:rsidRPr="00F84306">
        <w:t xml:space="preserve">Transmission </w:t>
      </w:r>
      <w:r w:rsidR="008861C5" w:rsidRPr="00F84306">
        <w:t>Development</w:t>
      </w:r>
      <w:r w:rsidR="0031028D" w:rsidRPr="00F84306">
        <w:t xml:space="preserve"> </w:t>
      </w:r>
      <w:r w:rsidR="008861C5" w:rsidRPr="00F84306">
        <w:t>Costs</w:t>
      </w:r>
      <w:bookmarkEnd w:id="183"/>
    </w:p>
    <w:p w:rsidR="0074693B" w:rsidRDefault="001E499A" w:rsidP="0074693B">
      <w:r w:rsidRPr="00EC096F">
        <w:t xml:space="preserve">The ISO developed preliminary </w:t>
      </w:r>
      <w:r w:rsidR="00EC096F" w:rsidRPr="00EC096F">
        <w:t>high</w:t>
      </w:r>
      <w:r w:rsidR="00543810">
        <w:t>-</w:t>
      </w:r>
      <w:r w:rsidR="00EC096F" w:rsidRPr="00EC096F">
        <w:t xml:space="preserve">order-of-magnitude </w:t>
      </w:r>
      <w:r w:rsidR="00195218" w:rsidRPr="00EC096F">
        <w:t>transmission-development costs</w:t>
      </w:r>
      <w:r w:rsidR="00EC096F" w:rsidRPr="00EC096F">
        <w:t xml:space="preserve"> </w:t>
      </w:r>
      <w:r w:rsidRPr="00EC096F">
        <w:t xml:space="preserve">to integrate renewable resources in New England based on judgement and generic costs. </w:t>
      </w:r>
      <w:r w:rsidR="002966F9" w:rsidRPr="00EC096F">
        <w:t xml:space="preserve">The </w:t>
      </w:r>
      <w:r w:rsidR="002966F9" w:rsidRPr="00EC3A1C">
        <w:t>cost analysis d</w:t>
      </w:r>
      <w:r w:rsidR="00BF6BF5">
        <w:t>oes</w:t>
      </w:r>
      <w:r w:rsidR="002966F9" w:rsidRPr="00EC3A1C">
        <w:t xml:space="preserve"> not develop </w:t>
      </w:r>
      <w:r w:rsidR="001C514C" w:rsidRPr="00EC3A1C">
        <w:t xml:space="preserve">specific </w:t>
      </w:r>
      <w:r w:rsidR="002966F9" w:rsidRPr="00EC3A1C">
        <w:t>transmission</w:t>
      </w:r>
      <w:r w:rsidR="006F1DD9" w:rsidRPr="00EC3A1C">
        <w:t>-</w:t>
      </w:r>
      <w:r w:rsidR="002966F9" w:rsidRPr="00EC3A1C">
        <w:t>expansion plans but rather provides a means of com</w:t>
      </w:r>
      <w:r w:rsidR="002966F9">
        <w:t>paring the transmission</w:t>
      </w:r>
      <w:r w:rsidR="00C243FE">
        <w:t>-</w:t>
      </w:r>
      <w:r w:rsidR="002966F9">
        <w:t>development costs across scenarios.</w:t>
      </w:r>
      <w:r w:rsidR="0074693B" w:rsidRPr="0074693B">
        <w:t xml:space="preserve"> </w:t>
      </w:r>
    </w:p>
    <w:p w:rsidR="00833F13" w:rsidRPr="00DE7410" w:rsidRDefault="001E499A" w:rsidP="00833F13">
      <w:r w:rsidRPr="000F66DF">
        <w:t>The</w:t>
      </w:r>
      <w:r w:rsidR="00F451C9" w:rsidRPr="000F66DF">
        <w:t>se</w:t>
      </w:r>
      <w:r w:rsidRPr="000F66DF">
        <w:t xml:space="preserve"> </w:t>
      </w:r>
      <w:r w:rsidR="00702517" w:rsidRPr="000F66DF">
        <w:t xml:space="preserve">transmission development cost </w:t>
      </w:r>
      <w:r w:rsidRPr="000F66DF">
        <w:t>estimates include costs that would be incurred beyond</w:t>
      </w:r>
      <w:r w:rsidRPr="00833F13">
        <w:t xml:space="preserve"> individual plant</w:t>
      </w:r>
      <w:r w:rsidR="00C243FE" w:rsidRPr="00833F13">
        <w:t>-</w:t>
      </w:r>
      <w:r w:rsidR="00702517" w:rsidRPr="00DE7410">
        <w:t>development</w:t>
      </w:r>
      <w:r w:rsidRPr="00DE7410">
        <w:t xml:space="preserve"> </w:t>
      </w:r>
      <w:r w:rsidRPr="00F451C9">
        <w:t>costs</w:t>
      </w:r>
      <w:r w:rsidR="00702517" w:rsidRPr="00DE7410">
        <w:t>, which</w:t>
      </w:r>
      <w:r w:rsidR="00702517" w:rsidRPr="00F451C9">
        <w:t xml:space="preserve"> are assumed as part of the capital costs of generation development</w:t>
      </w:r>
      <w:r w:rsidR="00833F13" w:rsidRPr="00DE7410">
        <w:t xml:space="preserve"> </w:t>
      </w:r>
      <w:r w:rsidR="0099496F" w:rsidRPr="00DE7410">
        <w:t>(</w:t>
      </w:r>
      <w:r w:rsidR="00C243FE" w:rsidRPr="00DE7410">
        <w:t>s</w:t>
      </w:r>
      <w:r w:rsidR="00871CC9" w:rsidRPr="00DE7410">
        <w:t xml:space="preserve">ee </w:t>
      </w:r>
      <w:r w:rsidR="001325D0" w:rsidRPr="00DE7410">
        <w:t>Section </w:t>
      </w:r>
      <w:r w:rsidR="009B68F0" w:rsidRPr="00DE7410">
        <w:fldChar w:fldCharType="begin"/>
      </w:r>
      <w:r w:rsidR="009B68F0" w:rsidRPr="00DE7410">
        <w:instrText xml:space="preserve"> REF _Ref480804991 \r \h </w:instrText>
      </w:r>
      <w:r w:rsidR="0074693B" w:rsidRPr="00DE7410">
        <w:instrText xml:space="preserve"> \* MERGEFORMAT </w:instrText>
      </w:r>
      <w:r w:rsidR="009B68F0" w:rsidRPr="00DE7410">
        <w:fldChar w:fldCharType="separate"/>
      </w:r>
      <w:r w:rsidR="00872A95">
        <w:t>5.7.1</w:t>
      </w:r>
      <w:r w:rsidR="009B68F0" w:rsidRPr="00DE7410">
        <w:fldChar w:fldCharType="end"/>
      </w:r>
      <w:r w:rsidR="00871CC9" w:rsidRPr="00DE7410">
        <w:t>)</w:t>
      </w:r>
      <w:r w:rsidR="00C243FE" w:rsidRPr="00DE7410">
        <w:t>.</w:t>
      </w:r>
      <w:r w:rsidR="00871CC9" w:rsidRPr="00833F13">
        <w:t xml:space="preserve"> </w:t>
      </w:r>
      <w:r w:rsidR="00ED00A9">
        <w:t xml:space="preserve">They </w:t>
      </w:r>
      <w:r w:rsidR="00F451C9">
        <w:t xml:space="preserve">also </w:t>
      </w:r>
      <w:r w:rsidR="00ED00A9">
        <w:t>do not account for the costs to interconnect individual plants</w:t>
      </w:r>
      <w:r w:rsidR="00BB5F96">
        <w:t>—</w:t>
      </w:r>
      <w:r w:rsidR="00ED00A9">
        <w:t>also accounted for as part of the generation</w:t>
      </w:r>
      <w:r w:rsidR="00701C54">
        <w:t>-</w:t>
      </w:r>
      <w:r w:rsidR="00ED00A9">
        <w:t xml:space="preserve">development </w:t>
      </w:r>
      <w:r w:rsidR="00ED00A9" w:rsidRPr="0074693B">
        <w:t>costs</w:t>
      </w:r>
      <w:r w:rsidR="00BB5F96">
        <w:t>—</w:t>
      </w:r>
      <w:r w:rsidR="00611019">
        <w:t>or</w:t>
      </w:r>
      <w:r w:rsidR="00611019" w:rsidRPr="00611019">
        <w:t xml:space="preserve"> </w:t>
      </w:r>
      <w:r w:rsidR="00611019">
        <w:t xml:space="preserve">the costs associated with addressing operational issues caused by the development of large-scale inverter-based resources, especially during off-peak load </w:t>
      </w:r>
      <w:r w:rsidR="00611019" w:rsidRPr="00701C54">
        <w:t>periods</w:t>
      </w:r>
      <w:r w:rsidR="00611019" w:rsidRPr="006708F4">
        <w:t xml:space="preserve">. </w:t>
      </w:r>
      <w:r w:rsidR="00611019" w:rsidRPr="00701C54">
        <w:t>Transmission</w:t>
      </w:r>
      <w:r w:rsidR="00701C54">
        <w:t>-</w:t>
      </w:r>
      <w:r w:rsidR="00611019">
        <w:t xml:space="preserve">development costs </w:t>
      </w:r>
      <w:r w:rsidR="00701C54">
        <w:t xml:space="preserve">do </w:t>
      </w:r>
      <w:r w:rsidR="00020C5A">
        <w:t xml:space="preserve">not explicitly </w:t>
      </w:r>
      <w:r w:rsidR="00ED00A9">
        <w:t>inc</w:t>
      </w:r>
      <w:r w:rsidR="00833F13">
        <w:t xml:space="preserve">lude the costs </w:t>
      </w:r>
      <w:r w:rsidR="00833F13" w:rsidRPr="00833F13">
        <w:t>f</w:t>
      </w:r>
      <w:r w:rsidR="00833F13" w:rsidRPr="006708F4">
        <w:t xml:space="preserve">or some ancillary devices required to successfully integrate the </w:t>
      </w:r>
      <w:r w:rsidR="00833F13" w:rsidRPr="0075682B">
        <w:t>high penetration of converter-based resources, such</w:t>
      </w:r>
      <w:r w:rsidR="00833F13" w:rsidRPr="006708F4">
        <w:t xml:space="preserve"> as special controls on </w:t>
      </w:r>
      <w:r w:rsidR="00701C26">
        <w:t xml:space="preserve">the </w:t>
      </w:r>
      <w:r w:rsidR="00833F13" w:rsidRPr="006708F4">
        <w:t>bulk power system and HVDC power electronic devices and system protection upgrades</w:t>
      </w:r>
      <w:r w:rsidR="00833F13" w:rsidRPr="0075682B">
        <w:t>.</w:t>
      </w:r>
      <w:r w:rsidR="00833F13" w:rsidRPr="0075682B">
        <w:rPr>
          <w:rStyle w:val="FootnoteReference"/>
        </w:rPr>
        <w:footnoteReference w:id="50"/>
      </w:r>
      <w:r w:rsidR="00833F13" w:rsidRPr="0075682B">
        <w:t xml:space="preserve"> </w:t>
      </w:r>
      <w:r w:rsidR="00DA268A" w:rsidRPr="0075682B">
        <w:t>Total transmission</w:t>
      </w:r>
      <w:r w:rsidR="00C243FE" w:rsidRPr="0075682B">
        <w:t>-</w:t>
      </w:r>
      <w:r w:rsidR="00DA268A" w:rsidRPr="0075682B">
        <w:t>development costs</w:t>
      </w:r>
      <w:r w:rsidR="00020C5A" w:rsidRPr="0075682B">
        <w:t>, however,</w:t>
      </w:r>
      <w:r w:rsidR="00DA268A" w:rsidRPr="0075682B">
        <w:t xml:space="preserve"> include </w:t>
      </w:r>
      <w:r w:rsidR="0042479D" w:rsidRPr="0075682B">
        <w:t>some costs for high inertia</w:t>
      </w:r>
      <w:r w:rsidR="0042479D" w:rsidRPr="0042479D">
        <w:t xml:space="preserve"> synchronous condensers</w:t>
      </w:r>
      <w:r w:rsidR="0042479D">
        <w:t xml:space="preserve"> and </w:t>
      </w:r>
      <w:r w:rsidR="00DA268A" w:rsidRPr="00833F13">
        <w:t>a margin to</w:t>
      </w:r>
      <w:r w:rsidR="00DA268A">
        <w:t xml:space="preserve"> account for cost</w:t>
      </w:r>
      <w:r w:rsidR="00380B10">
        <w:t xml:space="preserve"> overruns</w:t>
      </w:r>
      <w:r w:rsidR="00020C5A">
        <w:t xml:space="preserve"> and other </w:t>
      </w:r>
      <w:r w:rsidR="00020C5A" w:rsidRPr="00DA7296">
        <w:t>unknown costs not specifically estimated</w:t>
      </w:r>
      <w:r w:rsidR="00611019" w:rsidRPr="00DE7410">
        <w:t>.</w:t>
      </w:r>
    </w:p>
    <w:p w:rsidR="001E499A" w:rsidRDefault="007C7EE5" w:rsidP="0012435C">
      <w:r w:rsidRPr="00DE7410">
        <w:fldChar w:fldCharType="begin"/>
      </w:r>
      <w:r w:rsidRPr="00DE7410">
        <w:instrText xml:space="preserve"> REF _Ref476826164 \h  \* MERGEFORMAT </w:instrText>
      </w:r>
      <w:r w:rsidRPr="00DE7410">
        <w:fldChar w:fldCharType="separate"/>
      </w:r>
      <w:r w:rsidR="00872A95" w:rsidRPr="006F4487">
        <w:t xml:space="preserve">Figure </w:t>
      </w:r>
      <w:r w:rsidR="00872A95">
        <w:rPr>
          <w:noProof/>
        </w:rPr>
        <w:t>5</w:t>
      </w:r>
      <w:r w:rsidR="00872A95" w:rsidRPr="006F4487">
        <w:rPr>
          <w:noProof/>
        </w:rPr>
        <w:noBreakHyphen/>
      </w:r>
      <w:r w:rsidR="00872A95">
        <w:rPr>
          <w:noProof/>
        </w:rPr>
        <w:t>7</w:t>
      </w:r>
      <w:r w:rsidRPr="00DE7410">
        <w:fldChar w:fldCharType="end"/>
      </w:r>
      <w:r w:rsidR="0012435C" w:rsidRPr="00DE7410">
        <w:t xml:space="preserve"> shows the </w:t>
      </w:r>
      <w:r w:rsidR="00576644" w:rsidRPr="00DE7410">
        <w:t xml:space="preserve">first two </w:t>
      </w:r>
      <w:r w:rsidR="0012435C" w:rsidRPr="00DE7410">
        <w:t xml:space="preserve">components of transmission upgrades needed to integrate renewable resources. </w:t>
      </w:r>
      <w:r w:rsidR="000F2557" w:rsidRPr="00DE7410">
        <w:fldChar w:fldCharType="begin"/>
      </w:r>
      <w:r w:rsidR="000F2557" w:rsidRPr="00DE7410">
        <w:instrText xml:space="preserve"> REF _Ref476826164 \h  \* MERGEFORMAT </w:instrText>
      </w:r>
      <w:r w:rsidR="000F2557" w:rsidRPr="00DE7410">
        <w:fldChar w:fldCharType="separate"/>
      </w:r>
      <w:r w:rsidR="00872A95" w:rsidRPr="006F4487">
        <w:t xml:space="preserve">Figure </w:t>
      </w:r>
      <w:r w:rsidR="00872A95">
        <w:rPr>
          <w:noProof/>
        </w:rPr>
        <w:t>5</w:t>
      </w:r>
      <w:r w:rsidR="00872A95" w:rsidRPr="006F4487">
        <w:rPr>
          <w:noProof/>
        </w:rPr>
        <w:noBreakHyphen/>
      </w:r>
      <w:r w:rsidR="00872A95">
        <w:rPr>
          <w:noProof/>
        </w:rPr>
        <w:t>7</w:t>
      </w:r>
      <w:r w:rsidR="000F2557" w:rsidRPr="00DE7410">
        <w:fldChar w:fldCharType="end"/>
      </w:r>
      <w:r w:rsidR="000F2557" w:rsidRPr="00DE7410">
        <w:t>A shows t</w:t>
      </w:r>
      <w:r w:rsidR="0012435C" w:rsidRPr="00DE7410">
        <w:t>he plant collector system</w:t>
      </w:r>
      <w:r w:rsidR="00871CC9" w:rsidRPr="00DE7410">
        <w:t>, which is accounted for as part of the plant</w:t>
      </w:r>
      <w:r w:rsidR="00C243FE" w:rsidRPr="00DE7410">
        <w:t>-</w:t>
      </w:r>
      <w:r w:rsidR="00871CC9" w:rsidRPr="00DE7410">
        <w:t>development costs</w:t>
      </w:r>
      <w:r w:rsidR="00DA7296" w:rsidRPr="000F66DF">
        <w:t xml:space="preserve"> and</w:t>
      </w:r>
      <w:r w:rsidR="00871CC9" w:rsidRPr="00DE7410">
        <w:t xml:space="preserve"> </w:t>
      </w:r>
      <w:r w:rsidR="0012435C" w:rsidRPr="00DE7410">
        <w:t xml:space="preserve">ties individual wind turbine generators or photovoltaic generators to the collector system station. These components may include generator step-up transformers, collector strings, collector substation, collector step-up transformer, and supplemental static and dynamic reactive devices. The interconnection system is the transmission system that ties the collector system station to the </w:t>
      </w:r>
      <w:r w:rsidR="00C243FE" w:rsidRPr="00DE7410">
        <w:t>p</w:t>
      </w:r>
      <w:r w:rsidR="0012435C" w:rsidRPr="00DE7410">
        <w:t xml:space="preserve">oint of </w:t>
      </w:r>
      <w:r w:rsidR="00C243FE" w:rsidRPr="00DE7410">
        <w:t>i</w:t>
      </w:r>
      <w:r w:rsidR="0012435C" w:rsidRPr="00DE7410">
        <w:t xml:space="preserve">nterconnection (POI). It may include </w:t>
      </w:r>
      <w:r w:rsidR="00576644" w:rsidRPr="00DE7410">
        <w:t xml:space="preserve">the </w:t>
      </w:r>
      <w:r w:rsidR="0012435C" w:rsidRPr="00DE7410">
        <w:t>high-voltage AC generator lead, high-voltage substation,</w:t>
      </w:r>
      <w:r w:rsidR="00576644" w:rsidRPr="00DE7410">
        <w:t xml:space="preserve"> and</w:t>
      </w:r>
      <w:r w:rsidR="00576644">
        <w:t xml:space="preserve"> supplemental static and</w:t>
      </w:r>
      <w:r w:rsidR="0012435C">
        <w:t xml:space="preserve"> dynamic reactive devices</w:t>
      </w:r>
      <w:r w:rsidR="009E7B29">
        <w:t xml:space="preserve">. </w:t>
      </w:r>
      <w:r w:rsidR="00B7513E">
        <w:t xml:space="preserve">Explicit </w:t>
      </w:r>
      <w:r w:rsidR="00380B10">
        <w:t>costs for</w:t>
      </w:r>
      <w:r w:rsidR="00576644">
        <w:t xml:space="preserve"> the interconnection system were not </w:t>
      </w:r>
      <w:r w:rsidR="004A3842">
        <w:t xml:space="preserve">developed because </w:t>
      </w:r>
      <w:r w:rsidR="00C243FE">
        <w:t>this</w:t>
      </w:r>
      <w:r w:rsidR="004A3842">
        <w:t xml:space="preserve"> would require detailed analysis of individual interconnections</w:t>
      </w:r>
      <w:r w:rsidR="009E7B29">
        <w:t xml:space="preserve">. </w:t>
      </w:r>
      <w:r w:rsidR="00483D07">
        <w:t xml:space="preserve">However, </w:t>
      </w:r>
      <w:r w:rsidR="002D3BAB">
        <w:t xml:space="preserve">some generic interconnection </w:t>
      </w:r>
      <w:r w:rsidR="00380B10">
        <w:t xml:space="preserve">costs </w:t>
      </w:r>
      <w:r w:rsidR="002D3BAB">
        <w:t>are included as part of the annual carrying charges for new resources. T</w:t>
      </w:r>
      <w:r w:rsidR="00380B10">
        <w:t xml:space="preserve">he transmission cost metric </w:t>
      </w:r>
      <w:r w:rsidR="002D3BAB">
        <w:t xml:space="preserve">thus </w:t>
      </w:r>
      <w:r w:rsidR="00380B10">
        <w:t>provides a metric suitable for comparing the various scenarios</w:t>
      </w:r>
      <w:r w:rsidR="00860D3B">
        <w:t xml:space="preserve">. </w:t>
      </w:r>
    </w:p>
    <w:tbl>
      <w:tblPr>
        <w:tblStyle w:val="TableGrid"/>
        <w:tblW w:w="0" w:type="auto"/>
        <w:tblLook w:val="04A0" w:firstRow="1" w:lastRow="0" w:firstColumn="1" w:lastColumn="0" w:noHBand="0" w:noVBand="1"/>
      </w:tblPr>
      <w:tblGrid>
        <w:gridCol w:w="4896"/>
        <w:gridCol w:w="4454"/>
      </w:tblGrid>
      <w:tr w:rsidR="00554F1D" w:rsidTr="00554F1D">
        <w:tc>
          <w:tcPr>
            <w:tcW w:w="4788" w:type="dxa"/>
          </w:tcPr>
          <w:p w:rsidR="00554F1D" w:rsidRPr="00EB06D0" w:rsidRDefault="002249FB" w:rsidP="006F4487">
            <w:pPr>
              <w:keepNext/>
              <w:keepLines/>
              <w:spacing w:after="0" w:line="240" w:lineRule="auto"/>
            </w:pPr>
            <w:r w:rsidRPr="00EB06D0">
              <w:rPr>
                <w:noProof/>
              </w:rPr>
              <w:drawing>
                <wp:inline distT="0" distB="0" distL="0" distR="0" wp14:anchorId="7D8ABB9D" wp14:editId="4E4C6AFF">
                  <wp:extent cx="2971800" cy="2450123"/>
                  <wp:effectExtent l="0" t="0" r="0" b="762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3350" cy="2451401"/>
                          </a:xfrm>
                          <a:prstGeom prst="rect">
                            <a:avLst/>
                          </a:prstGeom>
                          <a:noFill/>
                          <a:ln>
                            <a:noFill/>
                          </a:ln>
                        </pic:spPr>
                      </pic:pic>
                    </a:graphicData>
                  </a:graphic>
                </wp:inline>
              </w:drawing>
            </w:r>
            <w:r w:rsidR="007C7EE5" w:rsidRPr="00EB06D0">
              <w:rPr>
                <w:rFonts w:asciiTheme="minorHAnsi" w:hAnsiTheme="minorHAnsi"/>
                <w:b/>
                <w:szCs w:val="20"/>
              </w:rPr>
              <w:t xml:space="preserve">A. </w:t>
            </w:r>
            <w:r w:rsidR="00554F1D" w:rsidRPr="00EB06D0">
              <w:rPr>
                <w:rFonts w:asciiTheme="minorHAnsi" w:hAnsiTheme="minorHAnsi"/>
                <w:b/>
                <w:szCs w:val="20"/>
              </w:rPr>
              <w:t>The plant collector system and</w:t>
            </w:r>
            <w:r w:rsidR="00EB06D0">
              <w:rPr>
                <w:rFonts w:asciiTheme="minorHAnsi" w:hAnsiTheme="minorHAnsi"/>
                <w:b/>
                <w:szCs w:val="20"/>
              </w:rPr>
              <w:br/>
            </w:r>
            <w:r w:rsidR="00554F1D" w:rsidRPr="00EB06D0">
              <w:rPr>
                <w:rFonts w:asciiTheme="minorHAnsi" w:hAnsiTheme="minorHAnsi"/>
                <w:b/>
                <w:szCs w:val="20"/>
              </w:rPr>
              <w:t>the interconnection system</w:t>
            </w:r>
            <w:r w:rsidR="00D305B8" w:rsidRPr="00EB06D0">
              <w:rPr>
                <w:rFonts w:asciiTheme="minorHAnsi" w:hAnsiTheme="minorHAnsi"/>
                <w:b/>
                <w:szCs w:val="20"/>
              </w:rPr>
              <w:t>.</w:t>
            </w:r>
          </w:p>
        </w:tc>
        <w:tc>
          <w:tcPr>
            <w:tcW w:w="4788" w:type="dxa"/>
          </w:tcPr>
          <w:p w:rsidR="002249FB" w:rsidRPr="00EB06D0" w:rsidRDefault="00EB06D0" w:rsidP="006F4487">
            <w:pPr>
              <w:keepNext/>
              <w:keepLines/>
              <w:spacing w:after="0" w:line="240" w:lineRule="auto"/>
              <w:jc w:val="center"/>
            </w:pPr>
            <w:r w:rsidRPr="00EB06D0">
              <w:rPr>
                <w:noProof/>
              </w:rPr>
              <w:drawing>
                <wp:inline distT="0" distB="0" distL="0" distR="0" wp14:anchorId="64B1A74E" wp14:editId="0E6C400B">
                  <wp:extent cx="2682240" cy="2398160"/>
                  <wp:effectExtent l="0" t="0" r="3810" b="254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3895" cy="2408580"/>
                          </a:xfrm>
                          <a:prstGeom prst="rect">
                            <a:avLst/>
                          </a:prstGeom>
                          <a:noFill/>
                          <a:ln>
                            <a:noFill/>
                          </a:ln>
                        </pic:spPr>
                      </pic:pic>
                    </a:graphicData>
                  </a:graphic>
                </wp:inline>
              </w:drawing>
            </w:r>
          </w:p>
          <w:p w:rsidR="00DB2D24" w:rsidRDefault="00DB2D24" w:rsidP="006F4487">
            <w:pPr>
              <w:keepNext/>
              <w:keepLines/>
              <w:spacing w:after="0" w:line="240" w:lineRule="auto"/>
              <w:rPr>
                <w:rFonts w:asciiTheme="minorHAnsi" w:hAnsiTheme="minorHAnsi"/>
                <w:b/>
              </w:rPr>
            </w:pPr>
          </w:p>
          <w:p w:rsidR="00554F1D" w:rsidRDefault="007C7EE5" w:rsidP="006F4487">
            <w:pPr>
              <w:keepNext/>
              <w:keepLines/>
              <w:spacing w:after="0" w:line="240" w:lineRule="auto"/>
            </w:pPr>
            <w:r w:rsidRPr="00EB06D0">
              <w:rPr>
                <w:rFonts w:asciiTheme="minorHAnsi" w:hAnsiTheme="minorHAnsi"/>
                <w:b/>
              </w:rPr>
              <w:t>B.</w:t>
            </w:r>
            <w:r w:rsidR="006F1DD9" w:rsidRPr="00EB06D0">
              <w:rPr>
                <w:rFonts w:asciiTheme="minorHAnsi" w:hAnsiTheme="minorHAnsi"/>
                <w:b/>
              </w:rPr>
              <w:t xml:space="preserve"> </w:t>
            </w:r>
            <w:r w:rsidR="00554F1D" w:rsidRPr="00EB06D0">
              <w:rPr>
                <w:rFonts w:asciiTheme="minorHAnsi" w:hAnsiTheme="minorHAnsi"/>
                <w:b/>
              </w:rPr>
              <w:t xml:space="preserve">The </w:t>
            </w:r>
            <w:r w:rsidR="00D305B8" w:rsidRPr="00EB06D0">
              <w:rPr>
                <w:rFonts w:asciiTheme="minorHAnsi" w:hAnsiTheme="minorHAnsi"/>
                <w:b/>
              </w:rPr>
              <w:t>i</w:t>
            </w:r>
            <w:r w:rsidR="00554F1D" w:rsidRPr="00EB06D0">
              <w:rPr>
                <w:rFonts w:asciiTheme="minorHAnsi" w:hAnsiTheme="minorHAnsi"/>
                <w:b/>
              </w:rPr>
              <w:t xml:space="preserve">ntegrator </w:t>
            </w:r>
            <w:r w:rsidR="00D305B8" w:rsidRPr="00EB06D0">
              <w:rPr>
                <w:rFonts w:asciiTheme="minorHAnsi" w:hAnsiTheme="minorHAnsi"/>
                <w:b/>
              </w:rPr>
              <w:t>s</w:t>
            </w:r>
            <w:r w:rsidR="00554F1D" w:rsidRPr="00EB06D0">
              <w:rPr>
                <w:rFonts w:asciiTheme="minorHAnsi" w:hAnsiTheme="minorHAnsi"/>
                <w:b/>
              </w:rPr>
              <w:t>ystem</w:t>
            </w:r>
            <w:r w:rsidR="00D305B8" w:rsidRPr="00EB06D0">
              <w:rPr>
                <w:rFonts w:asciiTheme="minorHAnsi" w:hAnsiTheme="minorHAnsi"/>
                <w:b/>
              </w:rPr>
              <w:t>.</w:t>
            </w:r>
          </w:p>
        </w:tc>
      </w:tr>
    </w:tbl>
    <w:p w:rsidR="007C7EE5" w:rsidRDefault="007C7EE5" w:rsidP="00421AB8">
      <w:pPr>
        <w:pStyle w:val="Caption"/>
        <w:spacing w:before="120" w:after="80"/>
      </w:pPr>
      <w:bookmarkStart w:id="184" w:name="_Ref476826164"/>
      <w:bookmarkStart w:id="185" w:name="_Toc519511504"/>
      <w:r w:rsidRPr="006F4487">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rsidRPr="006F4487">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7</w:t>
      </w:r>
      <w:r w:rsidR="00E930AF">
        <w:rPr>
          <w:noProof/>
        </w:rPr>
        <w:fldChar w:fldCharType="end"/>
      </w:r>
      <w:bookmarkEnd w:id="184"/>
      <w:r w:rsidRPr="006F4487">
        <w:t xml:space="preserve"> (A and B): T</w:t>
      </w:r>
      <w:r w:rsidR="00F80B1E" w:rsidRPr="006F4487">
        <w:t xml:space="preserve">he </w:t>
      </w:r>
      <w:r w:rsidRPr="006F4487">
        <w:t>first</w:t>
      </w:r>
      <w:r w:rsidR="00F80B1E" w:rsidRPr="006F4487">
        <w:t xml:space="preserve"> two components of transmission upgrades potentially needed to integrate</w:t>
      </w:r>
      <w:r w:rsidR="00F80B1E" w:rsidRPr="00EC3A1C">
        <w:t xml:space="preserve"> renewable resources</w:t>
      </w:r>
      <w:r w:rsidRPr="00EC3A1C">
        <w:t>.</w:t>
      </w:r>
      <w:bookmarkEnd w:id="185"/>
    </w:p>
    <w:p w:rsidR="00F80B1E" w:rsidRPr="003A2CA8" w:rsidRDefault="007C7EE5" w:rsidP="00B609FC">
      <w:pPr>
        <w:pStyle w:val="Caption"/>
        <w:spacing w:after="240"/>
        <w:rPr>
          <w:sz w:val="16"/>
          <w:szCs w:val="16"/>
        </w:rPr>
      </w:pPr>
      <w:r w:rsidRPr="003A2CA8">
        <w:rPr>
          <w:sz w:val="16"/>
          <w:szCs w:val="16"/>
        </w:rPr>
        <w:t>Notes:</w:t>
      </w:r>
      <w:r w:rsidRPr="003A2CA8">
        <w:rPr>
          <w:b w:val="0"/>
          <w:sz w:val="16"/>
          <w:szCs w:val="16"/>
        </w:rPr>
        <w:t xml:space="preserve"> A (on the left) </w:t>
      </w:r>
      <w:r w:rsidR="00B7513E" w:rsidRPr="003A2CA8">
        <w:rPr>
          <w:b w:val="0"/>
          <w:sz w:val="16"/>
          <w:szCs w:val="16"/>
        </w:rPr>
        <w:t xml:space="preserve">shows the </w:t>
      </w:r>
      <w:r w:rsidR="007564B9" w:rsidRPr="003A2CA8">
        <w:rPr>
          <w:b w:val="0"/>
          <w:sz w:val="16"/>
          <w:szCs w:val="16"/>
        </w:rPr>
        <w:t>plant collector system</w:t>
      </w:r>
      <w:r w:rsidR="00854C6C" w:rsidRPr="003A2CA8">
        <w:rPr>
          <w:b w:val="0"/>
          <w:sz w:val="16"/>
          <w:szCs w:val="16"/>
        </w:rPr>
        <w:t xml:space="preserve"> and the interconnection system. Their order</w:t>
      </w:r>
      <w:r w:rsidR="005F7454" w:rsidRPr="003A2CA8">
        <w:rPr>
          <w:b w:val="0"/>
          <w:sz w:val="16"/>
          <w:szCs w:val="16"/>
        </w:rPr>
        <w:t>-</w:t>
      </w:r>
      <w:r w:rsidR="00854C6C" w:rsidRPr="003A2CA8">
        <w:rPr>
          <w:b w:val="0"/>
          <w:sz w:val="16"/>
          <w:szCs w:val="16"/>
        </w:rPr>
        <w:t>of</w:t>
      </w:r>
      <w:r w:rsidR="005F7454" w:rsidRPr="003A2CA8">
        <w:rPr>
          <w:b w:val="0"/>
          <w:sz w:val="16"/>
          <w:szCs w:val="16"/>
        </w:rPr>
        <w:t>-</w:t>
      </w:r>
      <w:r w:rsidR="00854C6C" w:rsidRPr="003A2CA8">
        <w:rPr>
          <w:b w:val="0"/>
          <w:sz w:val="16"/>
          <w:szCs w:val="16"/>
        </w:rPr>
        <w:t>magnitude cost estimates are inc</w:t>
      </w:r>
      <w:r w:rsidR="00D83AE7" w:rsidRPr="003A2CA8">
        <w:rPr>
          <w:b w:val="0"/>
          <w:sz w:val="16"/>
          <w:szCs w:val="16"/>
        </w:rPr>
        <w:t>l</w:t>
      </w:r>
      <w:r w:rsidR="00854C6C" w:rsidRPr="003A2CA8">
        <w:rPr>
          <w:b w:val="0"/>
          <w:sz w:val="16"/>
          <w:szCs w:val="16"/>
        </w:rPr>
        <w:t xml:space="preserve">uded as part of the plant-development costs. </w:t>
      </w:r>
      <w:r w:rsidR="00B7513E" w:rsidRPr="003A2CA8">
        <w:rPr>
          <w:b w:val="0"/>
          <w:sz w:val="16"/>
          <w:szCs w:val="16"/>
        </w:rPr>
        <w:t xml:space="preserve">B (on the right) </w:t>
      </w:r>
      <w:r w:rsidR="00F80B1E" w:rsidRPr="003A2CA8">
        <w:rPr>
          <w:b w:val="0"/>
          <w:sz w:val="16"/>
          <w:szCs w:val="16"/>
        </w:rPr>
        <w:t>shows the integrator system</w:t>
      </w:r>
      <w:r w:rsidR="00854C6C" w:rsidRPr="003A2CA8">
        <w:rPr>
          <w:b w:val="0"/>
          <w:sz w:val="16"/>
          <w:szCs w:val="16"/>
        </w:rPr>
        <w:t>. The integrator system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costs are included as part of the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transmission costs summarized in this section</w:t>
      </w:r>
      <w:r w:rsidR="00B7513E" w:rsidRPr="003A2CA8">
        <w:rPr>
          <w:b w:val="0"/>
          <w:sz w:val="16"/>
          <w:szCs w:val="16"/>
        </w:rPr>
        <w:t>.</w:t>
      </w:r>
    </w:p>
    <w:p w:rsidR="002520BF" w:rsidRDefault="000F2557" w:rsidP="002520BF">
      <w:r w:rsidRPr="00BB5F96">
        <w:fldChar w:fldCharType="begin"/>
      </w:r>
      <w:r w:rsidRPr="00BB5F96">
        <w:instrText xml:space="preserve"> REF _Ref476826164 \h  \* MERGEFORMAT </w:instrText>
      </w:r>
      <w:r w:rsidRPr="00BB5F96">
        <w:fldChar w:fldCharType="separate"/>
      </w:r>
      <w:r w:rsidR="00872A95" w:rsidRPr="006F4487">
        <w:t xml:space="preserve">Figure </w:t>
      </w:r>
      <w:r w:rsidR="00872A95">
        <w:rPr>
          <w:noProof/>
        </w:rPr>
        <w:t>5</w:t>
      </w:r>
      <w:r w:rsidR="00872A95" w:rsidRPr="006F4487">
        <w:rPr>
          <w:noProof/>
        </w:rPr>
        <w:noBreakHyphen/>
      </w:r>
      <w:r w:rsidR="00872A95">
        <w:rPr>
          <w:noProof/>
        </w:rPr>
        <w:t>7</w:t>
      </w:r>
      <w:r w:rsidRPr="00BB5F96">
        <w:fldChar w:fldCharType="end"/>
      </w:r>
      <w:r w:rsidRPr="00BB5F96">
        <w:t>-B shows the</w:t>
      </w:r>
      <w:r w:rsidR="004A3842" w:rsidRPr="00BB5F96">
        <w:t xml:space="preserve"> integrator system</w:t>
      </w:r>
      <w:r w:rsidR="005F7454" w:rsidRPr="00BB5F96">
        <w:t xml:space="preserve"> </w:t>
      </w:r>
      <w:r w:rsidRPr="00BB5F96">
        <w:t>that</w:t>
      </w:r>
      <w:r w:rsidR="004A3842" w:rsidRPr="00BB5F96">
        <w:t xml:space="preserve"> ties the </w:t>
      </w:r>
      <w:r w:rsidR="00B7513E" w:rsidRPr="00BB5F96">
        <w:t xml:space="preserve">POIs </w:t>
      </w:r>
      <w:r w:rsidR="004A3842" w:rsidRPr="00BB5F96">
        <w:t xml:space="preserve">to the </w:t>
      </w:r>
      <w:r w:rsidR="00060728" w:rsidRPr="00BB5F96">
        <w:t xml:space="preserve">main portion of the </w:t>
      </w:r>
      <w:r w:rsidR="004A3842" w:rsidRPr="00BB5F96">
        <w:t>bulk power</w:t>
      </w:r>
      <w:r w:rsidR="004A3842" w:rsidRPr="005F7454">
        <w:t xml:space="preserve"> system</w:t>
      </w:r>
      <w:r w:rsidR="00060728" w:rsidRPr="005F7454">
        <w:t xml:space="preserve">. It can </w:t>
      </w:r>
      <w:r w:rsidR="00D629D4" w:rsidRPr="005F7454">
        <w:t>be</w:t>
      </w:r>
      <w:r w:rsidR="00D629D4">
        <w:t xml:space="preserve"> </w:t>
      </w:r>
      <w:r w:rsidR="00060728">
        <w:t>thought of as a means of clustering several interconnections, which can facilitate the ability of renewable resources to interconnect to the system.</w:t>
      </w:r>
      <w:r w:rsidR="00B7513E">
        <w:rPr>
          <w:rStyle w:val="FootnoteReference"/>
        </w:rPr>
        <w:footnoteReference w:id="51"/>
      </w:r>
      <w:r w:rsidR="00060728">
        <w:t xml:space="preserve"> The integrator system may</w:t>
      </w:r>
      <w:r w:rsidR="004A3842">
        <w:t xml:space="preserve"> include new high-voltage AC or DC lines and converter stations and supplemental static and dynamic reactive devices</w:t>
      </w:r>
      <w:r w:rsidR="00060728">
        <w:t xml:space="preserve">. </w:t>
      </w:r>
      <w:r w:rsidR="00ED0A73">
        <w:t xml:space="preserve">When technically possible, the benefit of </w:t>
      </w:r>
      <w:r w:rsidR="00BD0B41">
        <w:t>having an</w:t>
      </w:r>
      <w:r w:rsidR="00ED0A73">
        <w:t xml:space="preserve"> integrator system is that, by tying the new renewable resources to the</w:t>
      </w:r>
      <w:r w:rsidR="00C358A9">
        <w:t xml:space="preserve"> existing</w:t>
      </w:r>
      <w:r w:rsidR="00ED0A73">
        <w:t xml:space="preserve"> bulk power system, the new resources can make use of any marginal capability on the existing bulk power system. </w:t>
      </w:r>
      <w:r w:rsidR="00FD4AC8">
        <w:t xml:space="preserve">Consistent with the way resources are interconnected to the system under the New England minimum interconnection process, the </w:t>
      </w:r>
      <w:r w:rsidR="0097100D">
        <w:t xml:space="preserve">sizing of the </w:t>
      </w:r>
      <w:r w:rsidR="00FD4AC8">
        <w:t xml:space="preserve">integrator is based on the nameplate amount of </w:t>
      </w:r>
      <w:r w:rsidR="00B7513E">
        <w:t>megawatts</w:t>
      </w:r>
      <w:r w:rsidR="00FD4AC8">
        <w:t xml:space="preserve"> being “integrated</w:t>
      </w:r>
      <w:r w:rsidR="00B7513E">
        <w:t>.</w:t>
      </w:r>
      <w:r w:rsidR="00FD4AC8">
        <w:t>”</w:t>
      </w:r>
      <w:r w:rsidR="009E7B29">
        <w:t xml:space="preserve"> </w:t>
      </w:r>
    </w:p>
    <w:p w:rsidR="006F4487" w:rsidRDefault="00ED0A73" w:rsidP="002520BF">
      <w:r w:rsidRPr="00197AB7">
        <w:t>However, under scenarios with extremely large additions of renewab</w:t>
      </w:r>
      <w:r w:rsidR="0020459D" w:rsidRPr="00197AB7">
        <w:t>le resources</w:t>
      </w:r>
      <w:r w:rsidRPr="00197AB7">
        <w:t xml:space="preserve">, an integrator system </w:t>
      </w:r>
      <w:r w:rsidR="00197AB7" w:rsidRPr="00712F7A">
        <w:t xml:space="preserve">most likely </w:t>
      </w:r>
      <w:r w:rsidR="00BD0B41" w:rsidRPr="00197AB7">
        <w:t xml:space="preserve">would be </w:t>
      </w:r>
      <w:r w:rsidR="00197AB7" w:rsidRPr="00712F7A">
        <w:t>in</w:t>
      </w:r>
      <w:r w:rsidR="00BD0B41" w:rsidRPr="00197AB7">
        <w:t xml:space="preserve">sufficient </w:t>
      </w:r>
      <w:r w:rsidR="0097100D" w:rsidRPr="00197AB7">
        <w:t>for</w:t>
      </w:r>
      <w:r w:rsidR="0020459D" w:rsidRPr="00197AB7">
        <w:t xml:space="preserve"> integrat</w:t>
      </w:r>
      <w:r w:rsidR="0097100D" w:rsidRPr="00197AB7">
        <w:t>ing</w:t>
      </w:r>
      <w:r w:rsidR="00BD0B41" w:rsidRPr="00197AB7">
        <w:t xml:space="preserve"> all the additional </w:t>
      </w:r>
      <w:r w:rsidR="0097100D" w:rsidRPr="00197AB7">
        <w:t>megawatt</w:t>
      </w:r>
      <w:r w:rsidR="0020459D" w:rsidRPr="00197AB7">
        <w:t>s</w:t>
      </w:r>
      <w:r w:rsidRPr="00197AB7">
        <w:t xml:space="preserve"> to the bulk power system</w:t>
      </w:r>
      <w:r w:rsidR="0020459D" w:rsidRPr="00197AB7">
        <w:t xml:space="preserve"> without large amounts of transmission upgrades on the existing bulk power system</w:t>
      </w:r>
      <w:r w:rsidR="00BD0B41" w:rsidRPr="006F4487">
        <w:t xml:space="preserve">. </w:t>
      </w:r>
      <w:r w:rsidR="0020459D" w:rsidRPr="006F4487">
        <w:t xml:space="preserve">In such cases, </w:t>
      </w:r>
      <w:r w:rsidR="00BD0B41" w:rsidRPr="006F4487">
        <w:t>bypassing the integrator system and relying exclusively on the congestion</w:t>
      </w:r>
      <w:r w:rsidR="005E4798" w:rsidRPr="006F4487">
        <w:t>-</w:t>
      </w:r>
      <w:r w:rsidR="00BD0B41" w:rsidRPr="006F4487">
        <w:t>relief system w</w:t>
      </w:r>
      <w:r w:rsidR="00197AB7" w:rsidRPr="006F4487">
        <w:t xml:space="preserve">as assumed to </w:t>
      </w:r>
      <w:r w:rsidR="00BD0B41" w:rsidRPr="006F4487">
        <w:t>be the most cost</w:t>
      </w:r>
      <w:r w:rsidR="005E4798" w:rsidRPr="006F4487">
        <w:t>-</w:t>
      </w:r>
      <w:r w:rsidR="00BD0B41" w:rsidRPr="006F4487">
        <w:t>effective</w:t>
      </w:r>
      <w:r w:rsidRPr="006F4487">
        <w:t xml:space="preserve"> </w:t>
      </w:r>
      <w:r w:rsidR="00BD0B41" w:rsidRPr="006F4487">
        <w:t xml:space="preserve">way </w:t>
      </w:r>
      <w:r w:rsidR="00197AB7" w:rsidRPr="006F4487">
        <w:t>to</w:t>
      </w:r>
      <w:r w:rsidR="00BD0B41" w:rsidRPr="006F4487">
        <w:t xml:space="preserve"> integrat</w:t>
      </w:r>
      <w:r w:rsidR="00197AB7" w:rsidRPr="006F4487">
        <w:t>e</w:t>
      </w:r>
      <w:r w:rsidR="00BD0B41" w:rsidRPr="006F4487">
        <w:t xml:space="preserve"> extremely large additions of r</w:t>
      </w:r>
      <w:r w:rsidR="0020459D" w:rsidRPr="006F4487">
        <w:t>enewable resources</w:t>
      </w:r>
      <w:r w:rsidRPr="006F4487">
        <w:t>.</w:t>
      </w:r>
      <w:r w:rsidR="00142F6B">
        <w:t xml:space="preserve"> </w:t>
      </w:r>
      <w:r w:rsidR="0020459D">
        <w:t xml:space="preserve">For </w:t>
      </w:r>
      <w:r w:rsidR="00197AB7">
        <w:t xml:space="preserve">the </w:t>
      </w:r>
      <w:r w:rsidR="0020459D">
        <w:t xml:space="preserve">scenarios </w:t>
      </w:r>
      <w:r w:rsidR="00197AB7">
        <w:t xml:space="preserve">that </w:t>
      </w:r>
      <w:r w:rsidR="0020459D" w:rsidRPr="001B4057">
        <w:t>considered</w:t>
      </w:r>
      <w:r w:rsidR="00197AB7" w:rsidRPr="001B4057">
        <w:t xml:space="preserve"> an integrator system</w:t>
      </w:r>
      <w:r w:rsidR="0020459D" w:rsidRPr="001B4057">
        <w:t xml:space="preserve">, </w:t>
      </w:r>
      <w:r w:rsidR="00197AB7" w:rsidRPr="001B4057">
        <w:t xml:space="preserve">the </w:t>
      </w:r>
      <w:r w:rsidR="0020459D" w:rsidRPr="001B4057">
        <w:t>c</w:t>
      </w:r>
      <w:r w:rsidR="00C358A9" w:rsidRPr="001B4057">
        <w:t>ost estimates</w:t>
      </w:r>
      <w:r w:rsidR="0020459D" w:rsidRPr="001B4057">
        <w:t xml:space="preserve"> for the system</w:t>
      </w:r>
      <w:r w:rsidR="00C358A9" w:rsidRPr="001B4057">
        <w:t xml:space="preserve"> were based on engineering judgment</w:t>
      </w:r>
      <w:r w:rsidR="00197AB7" w:rsidRPr="001B4057">
        <w:t>,</w:t>
      </w:r>
      <w:r w:rsidR="00C358A9" w:rsidRPr="001B4057">
        <w:t xml:space="preserve"> accounting for the general locations of wind plants.</w:t>
      </w:r>
      <w:r w:rsidR="00197AB7" w:rsidRPr="001B4057">
        <w:t xml:space="preserve"> </w:t>
      </w:r>
    </w:p>
    <w:p w:rsidR="007D36A8" w:rsidRDefault="001239FB" w:rsidP="001239FB">
      <w:r>
        <w:fldChar w:fldCharType="begin"/>
      </w:r>
      <w:r>
        <w:instrText xml:space="preserve"> REF _Ref518646402 \h </w:instrText>
      </w:r>
      <w:r>
        <w:fldChar w:fldCharType="separate"/>
      </w:r>
      <w:r w:rsidR="00872A95" w:rsidRPr="00F84306">
        <w:t xml:space="preserve">Table </w:t>
      </w:r>
      <w:r w:rsidR="00872A95">
        <w:rPr>
          <w:noProof/>
        </w:rPr>
        <w:t>5</w:t>
      </w:r>
      <w:r w:rsidR="00872A95">
        <w:noBreakHyphen/>
      </w:r>
      <w:r w:rsidR="00872A95">
        <w:rPr>
          <w:noProof/>
        </w:rPr>
        <w:t>16</w:t>
      </w:r>
      <w:r>
        <w:fldChar w:fldCharType="end"/>
      </w:r>
      <w:r w:rsidR="00197AB7" w:rsidRPr="00326ACC">
        <w:t xml:space="preserve"> shows</w:t>
      </w:r>
      <w:r w:rsidR="00197AB7" w:rsidRPr="001B4057">
        <w:t xml:space="preserve"> the assumptions for the integrator systems</w:t>
      </w:r>
      <w:r w:rsidR="004C75D5">
        <w:t xml:space="preserve"> of onshore wind development</w:t>
      </w:r>
      <w:r w:rsidR="0053349B" w:rsidRPr="001B4057">
        <w:t>.</w:t>
      </w:r>
      <w:r w:rsidR="0043788D" w:rsidRPr="001B4057">
        <w:t xml:space="preserve"> </w:t>
      </w:r>
      <w:r w:rsidR="005753DB">
        <w:t xml:space="preserve">The integrator systems were assumed </w:t>
      </w:r>
      <w:r w:rsidR="000979E7">
        <w:t xml:space="preserve">to be </w:t>
      </w:r>
      <w:r w:rsidR="005753DB">
        <w:t>in</w:t>
      </w:r>
      <w:r w:rsidR="000979E7">
        <w:t xml:space="preserve"> </w:t>
      </w:r>
      <w:r w:rsidR="005753DB">
        <w:t xml:space="preserve">service in anticipation of the assumed amounts of </w:t>
      </w:r>
      <w:r w:rsidR="004C75D5">
        <w:t xml:space="preserve">onshore </w:t>
      </w:r>
      <w:r w:rsidR="005753DB">
        <w:t>wind resources for 2030</w:t>
      </w:r>
      <w:r w:rsidR="005753DB" w:rsidRPr="00DE7410">
        <w:t xml:space="preserve">. </w:t>
      </w:r>
      <w:r w:rsidR="00BE57B4" w:rsidRPr="000F66DF">
        <w:t xml:space="preserve">In the Onshore Less EE/PV and </w:t>
      </w:r>
      <w:r w:rsidR="00AF6389">
        <w:t>Wind Less Nuclear</w:t>
      </w:r>
      <w:r w:rsidR="00BE57B4" w:rsidRPr="000F66DF">
        <w:t xml:space="preserve"> scenarios, the integrator system is bypassed. </w:t>
      </w:r>
      <w:bookmarkStart w:id="186" w:name="_Ref476829600"/>
    </w:p>
    <w:p w:rsidR="00924C94" w:rsidRDefault="00C73A12" w:rsidP="007D36A8">
      <w:pPr>
        <w:pStyle w:val="Caption"/>
        <w:keepNext w:val="0"/>
        <w:keepLines w:val="0"/>
        <w:jc w:val="center"/>
        <w:rPr>
          <w:noProof/>
        </w:rPr>
      </w:pPr>
      <w:bookmarkStart w:id="187" w:name="_Ref518646402"/>
      <w:bookmarkStart w:id="188" w:name="_Toc520721031"/>
      <w:r w:rsidRPr="00F84306">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16</w:t>
      </w:r>
      <w:r w:rsidR="00EA3757">
        <w:rPr>
          <w:noProof/>
        </w:rPr>
        <w:fldChar w:fldCharType="end"/>
      </w:r>
      <w:bookmarkEnd w:id="186"/>
      <w:bookmarkEnd w:id="187"/>
      <w:r w:rsidR="001768DA">
        <w:br/>
      </w:r>
      <w:r w:rsidR="00924C94">
        <w:rPr>
          <w:noProof/>
        </w:rPr>
        <w:t>Integrator System Assumptions</w:t>
      </w:r>
      <w:bookmarkEnd w:id="188"/>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46"/>
        <w:gridCol w:w="1856"/>
        <w:gridCol w:w="1776"/>
        <w:gridCol w:w="1838"/>
        <w:gridCol w:w="1838"/>
      </w:tblGrid>
      <w:tr w:rsidR="00005F52" w:rsidRPr="00005F52" w:rsidTr="005D493A">
        <w:trPr>
          <w:trHeight w:val="605"/>
          <w:jc w:val="center"/>
        </w:trPr>
        <w:tc>
          <w:tcPr>
            <w:tcW w:w="2046" w:type="dxa"/>
            <w:shd w:val="clear" w:color="auto" w:fill="1795D2" w:themeFill="accent1"/>
            <w:vAlign w:val="center"/>
            <w:hideMark/>
          </w:tcPr>
          <w:p w:rsidR="00005F52" w:rsidRPr="00005F52" w:rsidRDefault="00005F52" w:rsidP="00005F52">
            <w:pPr>
              <w:spacing w:before="40" w:after="40" w:line="240" w:lineRule="auto"/>
              <w:jc w:val="center"/>
              <w:rPr>
                <w:rFonts w:asciiTheme="majorHAnsi" w:hAnsiTheme="majorHAnsi"/>
                <w:color w:val="FFFFFF" w:themeColor="background1"/>
                <w:sz w:val="18"/>
                <w:szCs w:val="18"/>
              </w:rPr>
            </w:pPr>
          </w:p>
        </w:tc>
        <w:tc>
          <w:tcPr>
            <w:tcW w:w="1856" w:type="dxa"/>
            <w:shd w:val="clear" w:color="auto" w:fill="1795D2" w:themeFill="accent1"/>
            <w:vAlign w:val="center"/>
            <w:hideMark/>
          </w:tcPr>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Reference</w:t>
            </w:r>
          </w:p>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Renewables Plus</w:t>
            </w:r>
          </w:p>
        </w:tc>
        <w:tc>
          <w:tcPr>
            <w:tcW w:w="1776" w:type="dxa"/>
            <w:shd w:val="clear" w:color="auto" w:fill="1795D2" w:themeFill="accent1"/>
            <w:vAlign w:val="center"/>
            <w:hideMark/>
          </w:tcPr>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Scenario A</w:t>
            </w:r>
          </w:p>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EE + Offshore</w:t>
            </w:r>
          </w:p>
        </w:tc>
        <w:tc>
          <w:tcPr>
            <w:tcW w:w="1838" w:type="dxa"/>
            <w:shd w:val="clear" w:color="auto" w:fill="1795D2" w:themeFill="accent1"/>
            <w:vAlign w:val="center"/>
            <w:hideMark/>
          </w:tcPr>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Scenario B</w:t>
            </w:r>
          </w:p>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Onshore Less EE/PV</w:t>
            </w:r>
          </w:p>
        </w:tc>
        <w:tc>
          <w:tcPr>
            <w:tcW w:w="1838" w:type="dxa"/>
            <w:shd w:val="clear" w:color="auto" w:fill="1795D2" w:themeFill="accent1"/>
            <w:vAlign w:val="center"/>
            <w:hideMark/>
          </w:tcPr>
          <w:p w:rsidR="00005F52" w:rsidRPr="00005F52" w:rsidRDefault="00005F52" w:rsidP="00005F52">
            <w:pPr>
              <w:spacing w:before="40" w:after="40" w:line="240" w:lineRule="auto"/>
              <w:jc w:val="center"/>
              <w:rPr>
                <w:rFonts w:asciiTheme="majorHAnsi" w:hAnsiTheme="majorHAnsi"/>
                <w:b/>
                <w:bCs/>
                <w:color w:val="FFFFFF" w:themeColor="background1"/>
                <w:sz w:val="18"/>
                <w:szCs w:val="18"/>
              </w:rPr>
            </w:pPr>
            <w:r w:rsidRPr="00005F52">
              <w:rPr>
                <w:rFonts w:asciiTheme="majorHAnsi" w:hAnsiTheme="majorHAnsi"/>
                <w:b/>
                <w:bCs/>
                <w:color w:val="FFFFFF" w:themeColor="background1"/>
                <w:sz w:val="18"/>
                <w:szCs w:val="18"/>
              </w:rPr>
              <w:t>Scenario C</w:t>
            </w:r>
          </w:p>
          <w:p w:rsidR="00005F52" w:rsidRPr="00005F52" w:rsidRDefault="00AF6389" w:rsidP="00005F52">
            <w:pPr>
              <w:spacing w:before="40" w:after="40" w:line="240" w:lineRule="auto"/>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Wind Less Nuclear</w:t>
            </w:r>
          </w:p>
        </w:tc>
      </w:tr>
      <w:tr w:rsidR="00005F52" w:rsidRPr="00005F52" w:rsidTr="005D493A">
        <w:trPr>
          <w:trHeight w:val="615"/>
          <w:jc w:val="center"/>
        </w:trPr>
        <w:tc>
          <w:tcPr>
            <w:tcW w:w="2046" w:type="dxa"/>
            <w:vAlign w:val="center"/>
            <w:hideMark/>
          </w:tcPr>
          <w:p w:rsidR="00005F52" w:rsidRPr="00005F52" w:rsidRDefault="00005F52" w:rsidP="00005F52">
            <w:pPr>
              <w:spacing w:before="40" w:after="40" w:line="240" w:lineRule="auto"/>
              <w:rPr>
                <w:rFonts w:asciiTheme="majorHAnsi" w:hAnsiTheme="majorHAnsi"/>
                <w:b/>
                <w:bCs/>
                <w:sz w:val="18"/>
                <w:szCs w:val="18"/>
              </w:rPr>
            </w:pPr>
            <w:r w:rsidRPr="00005F52">
              <w:rPr>
                <w:rFonts w:asciiTheme="majorHAnsi" w:hAnsiTheme="majorHAnsi"/>
                <w:b/>
                <w:bCs/>
                <w:sz w:val="18"/>
                <w:szCs w:val="18"/>
              </w:rPr>
              <w:t>2030 Maine nameplate wind injection (MW)</w:t>
            </w:r>
          </w:p>
        </w:tc>
        <w:tc>
          <w:tcPr>
            <w:tcW w:w="1856"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sidRPr="00005F52">
              <w:rPr>
                <w:rFonts w:asciiTheme="majorHAnsi" w:hAnsiTheme="majorHAnsi"/>
                <w:sz w:val="18"/>
                <w:szCs w:val="18"/>
              </w:rPr>
              <w:t>3,652</w:t>
            </w:r>
          </w:p>
        </w:tc>
        <w:tc>
          <w:tcPr>
            <w:tcW w:w="1776"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sidRPr="00005F52">
              <w:rPr>
                <w:rFonts w:asciiTheme="majorHAnsi" w:hAnsiTheme="majorHAnsi"/>
                <w:sz w:val="18"/>
                <w:szCs w:val="18"/>
              </w:rPr>
              <w:t>926</w:t>
            </w:r>
          </w:p>
        </w:tc>
        <w:tc>
          <w:tcPr>
            <w:tcW w:w="1838"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sidRPr="00005F52">
              <w:rPr>
                <w:rFonts w:asciiTheme="majorHAnsi" w:hAnsiTheme="majorHAnsi"/>
                <w:sz w:val="18"/>
                <w:szCs w:val="18"/>
              </w:rPr>
              <w:t>5,743</w:t>
            </w:r>
          </w:p>
        </w:tc>
        <w:tc>
          <w:tcPr>
            <w:tcW w:w="1838"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sidRPr="00005F52">
              <w:rPr>
                <w:rFonts w:asciiTheme="majorHAnsi" w:hAnsiTheme="majorHAnsi"/>
                <w:sz w:val="18"/>
                <w:szCs w:val="18"/>
              </w:rPr>
              <w:t>7,579</w:t>
            </w:r>
          </w:p>
        </w:tc>
      </w:tr>
      <w:tr w:rsidR="00005F52" w:rsidRPr="00005F52" w:rsidTr="005D493A">
        <w:trPr>
          <w:trHeight w:val="730"/>
          <w:jc w:val="center"/>
        </w:trPr>
        <w:tc>
          <w:tcPr>
            <w:tcW w:w="2046" w:type="dxa"/>
            <w:shd w:val="clear" w:color="auto" w:fill="CCEAF9" w:themeFill="accent1" w:themeFillTint="33"/>
            <w:vAlign w:val="center"/>
            <w:hideMark/>
          </w:tcPr>
          <w:p w:rsidR="00005F52" w:rsidRPr="00005F52" w:rsidRDefault="00005F52" w:rsidP="00005F52">
            <w:pPr>
              <w:spacing w:before="40" w:after="40" w:line="240" w:lineRule="auto"/>
              <w:rPr>
                <w:rFonts w:asciiTheme="majorHAnsi" w:hAnsiTheme="majorHAnsi"/>
                <w:b/>
                <w:bCs/>
                <w:sz w:val="18"/>
                <w:szCs w:val="18"/>
              </w:rPr>
            </w:pPr>
            <w:r w:rsidRPr="00005F52">
              <w:rPr>
                <w:rFonts w:asciiTheme="majorHAnsi" w:hAnsiTheme="majorHAnsi"/>
                <w:b/>
                <w:bCs/>
                <w:sz w:val="18"/>
                <w:szCs w:val="18"/>
              </w:rPr>
              <w:t>Integrator system (description)</w:t>
            </w:r>
          </w:p>
        </w:tc>
        <w:tc>
          <w:tcPr>
            <w:tcW w:w="1856" w:type="dxa"/>
            <w:shd w:val="clear" w:color="auto" w:fill="CCEAF9" w:themeFill="accent1" w:themeFillTint="33"/>
            <w:vAlign w:val="center"/>
            <w:hideMark/>
          </w:tcPr>
          <w:p w:rsidR="00005F52" w:rsidRPr="00005F52" w:rsidRDefault="00005F52" w:rsidP="009230A2">
            <w:pPr>
              <w:spacing w:before="40" w:after="40" w:line="240" w:lineRule="auto"/>
              <w:rPr>
                <w:rFonts w:asciiTheme="majorHAnsi" w:hAnsiTheme="majorHAnsi"/>
                <w:sz w:val="18"/>
                <w:szCs w:val="18"/>
              </w:rPr>
            </w:pPr>
            <w:r w:rsidRPr="000F66DF">
              <w:rPr>
                <w:rFonts w:asciiTheme="majorHAnsi" w:hAnsiTheme="majorHAnsi"/>
                <w:sz w:val="18"/>
                <w:szCs w:val="18"/>
              </w:rPr>
              <w:t>1 or 2 AC-parallel 345 kV paths</w:t>
            </w:r>
          </w:p>
        </w:tc>
        <w:tc>
          <w:tcPr>
            <w:tcW w:w="1776" w:type="dxa"/>
            <w:shd w:val="clear" w:color="auto" w:fill="CCEAF9" w:themeFill="accent1" w:themeFillTint="33"/>
            <w:vAlign w:val="center"/>
            <w:hideMark/>
          </w:tcPr>
          <w:p w:rsidR="00005F52" w:rsidRPr="00005F52" w:rsidRDefault="00005F52" w:rsidP="00005F52">
            <w:pPr>
              <w:spacing w:before="40" w:after="40" w:line="240" w:lineRule="auto"/>
              <w:rPr>
                <w:rFonts w:asciiTheme="majorHAnsi" w:hAnsiTheme="majorHAnsi"/>
                <w:sz w:val="18"/>
                <w:szCs w:val="18"/>
              </w:rPr>
            </w:pPr>
            <w:r w:rsidRPr="00005F52">
              <w:rPr>
                <w:rFonts w:asciiTheme="majorHAnsi" w:hAnsiTheme="majorHAnsi"/>
                <w:sz w:val="18"/>
                <w:szCs w:val="18"/>
              </w:rPr>
              <w:t>1 AC</w:t>
            </w:r>
            <w:r w:rsidR="00D856A4">
              <w:rPr>
                <w:rFonts w:asciiTheme="majorHAnsi" w:hAnsiTheme="majorHAnsi"/>
                <w:sz w:val="18"/>
                <w:szCs w:val="18"/>
              </w:rPr>
              <w:t xml:space="preserve"> </w:t>
            </w:r>
            <w:r w:rsidR="00BB124F">
              <w:rPr>
                <w:rFonts w:asciiTheme="majorHAnsi" w:hAnsiTheme="majorHAnsi"/>
                <w:sz w:val="18"/>
                <w:szCs w:val="18"/>
              </w:rPr>
              <w:t>or 2 AC</w:t>
            </w:r>
            <w:r>
              <w:rPr>
                <w:rFonts w:asciiTheme="majorHAnsi" w:hAnsiTheme="majorHAnsi"/>
                <w:sz w:val="18"/>
                <w:szCs w:val="18"/>
              </w:rPr>
              <w:t>-</w:t>
            </w:r>
            <w:r w:rsidRPr="00005F52">
              <w:rPr>
                <w:rFonts w:asciiTheme="majorHAnsi" w:hAnsiTheme="majorHAnsi"/>
                <w:sz w:val="18"/>
                <w:szCs w:val="18"/>
              </w:rPr>
              <w:t>parallel 345 kV path</w:t>
            </w:r>
            <w:r w:rsidR="00BB124F">
              <w:rPr>
                <w:rFonts w:asciiTheme="majorHAnsi" w:hAnsiTheme="majorHAnsi"/>
                <w:sz w:val="18"/>
                <w:szCs w:val="18"/>
              </w:rPr>
              <w:t>s</w:t>
            </w:r>
          </w:p>
        </w:tc>
        <w:tc>
          <w:tcPr>
            <w:tcW w:w="1838" w:type="dxa"/>
            <w:shd w:val="clear" w:color="auto" w:fill="CCEAF9" w:themeFill="accent1" w:themeFillTint="33"/>
            <w:vAlign w:val="center"/>
            <w:hideMark/>
          </w:tcPr>
          <w:p w:rsidR="00005F52" w:rsidRPr="00005F52" w:rsidRDefault="00005F52" w:rsidP="00005F52">
            <w:pPr>
              <w:spacing w:before="40" w:after="40" w:line="240" w:lineRule="auto"/>
              <w:rPr>
                <w:rFonts w:asciiTheme="majorHAnsi" w:hAnsiTheme="majorHAnsi"/>
                <w:sz w:val="18"/>
                <w:szCs w:val="18"/>
              </w:rPr>
            </w:pPr>
            <w:r w:rsidRPr="00005F52">
              <w:rPr>
                <w:rFonts w:asciiTheme="majorHAnsi" w:hAnsiTheme="majorHAnsi"/>
                <w:sz w:val="18"/>
                <w:szCs w:val="18"/>
              </w:rPr>
              <w:t>Bypassed—assumed exclusive reliance on congestion</w:t>
            </w:r>
            <w:r>
              <w:rPr>
                <w:rFonts w:asciiTheme="majorHAnsi" w:hAnsiTheme="majorHAnsi"/>
                <w:sz w:val="18"/>
                <w:szCs w:val="18"/>
              </w:rPr>
              <w:t>-</w:t>
            </w:r>
            <w:r w:rsidRPr="00005F52">
              <w:rPr>
                <w:rFonts w:asciiTheme="majorHAnsi" w:hAnsiTheme="majorHAnsi"/>
                <w:sz w:val="18"/>
                <w:szCs w:val="18"/>
              </w:rPr>
              <w:t>relief system</w:t>
            </w:r>
          </w:p>
        </w:tc>
        <w:tc>
          <w:tcPr>
            <w:tcW w:w="1838" w:type="dxa"/>
            <w:shd w:val="clear" w:color="auto" w:fill="CCEAF9" w:themeFill="accent1" w:themeFillTint="33"/>
            <w:vAlign w:val="center"/>
            <w:hideMark/>
          </w:tcPr>
          <w:p w:rsidR="00005F52" w:rsidRPr="00005F52" w:rsidRDefault="00005F52" w:rsidP="00005F52">
            <w:pPr>
              <w:spacing w:before="40" w:after="40" w:line="240" w:lineRule="auto"/>
              <w:rPr>
                <w:rFonts w:asciiTheme="majorHAnsi" w:hAnsiTheme="majorHAnsi"/>
                <w:sz w:val="18"/>
                <w:szCs w:val="18"/>
              </w:rPr>
            </w:pPr>
            <w:r w:rsidRPr="00005F52">
              <w:rPr>
                <w:rFonts w:asciiTheme="majorHAnsi" w:hAnsiTheme="majorHAnsi"/>
                <w:sz w:val="18"/>
                <w:szCs w:val="18"/>
              </w:rPr>
              <w:t>Bypassed—assumed exclusive reliance on congestion</w:t>
            </w:r>
            <w:r>
              <w:rPr>
                <w:rFonts w:asciiTheme="majorHAnsi" w:hAnsiTheme="majorHAnsi"/>
                <w:sz w:val="18"/>
                <w:szCs w:val="18"/>
              </w:rPr>
              <w:t>-</w:t>
            </w:r>
            <w:r w:rsidRPr="00005F52">
              <w:rPr>
                <w:rFonts w:asciiTheme="majorHAnsi" w:hAnsiTheme="majorHAnsi"/>
                <w:sz w:val="18"/>
                <w:szCs w:val="18"/>
              </w:rPr>
              <w:t>relief system</w:t>
            </w:r>
          </w:p>
        </w:tc>
      </w:tr>
      <w:tr w:rsidR="00005F52" w:rsidRPr="00005F52" w:rsidTr="004931FC">
        <w:trPr>
          <w:trHeight w:val="598"/>
          <w:jc w:val="center"/>
        </w:trPr>
        <w:tc>
          <w:tcPr>
            <w:tcW w:w="2046" w:type="dxa"/>
            <w:vAlign w:val="center"/>
            <w:hideMark/>
          </w:tcPr>
          <w:p w:rsidR="00005F52" w:rsidRPr="00005F52" w:rsidRDefault="00005F52" w:rsidP="00005F52">
            <w:pPr>
              <w:spacing w:before="40" w:after="40" w:line="240" w:lineRule="auto"/>
              <w:rPr>
                <w:rFonts w:asciiTheme="majorHAnsi" w:hAnsiTheme="majorHAnsi"/>
                <w:b/>
                <w:bCs/>
                <w:sz w:val="18"/>
                <w:szCs w:val="18"/>
              </w:rPr>
            </w:pPr>
            <w:r w:rsidRPr="00005F52">
              <w:rPr>
                <w:rFonts w:asciiTheme="majorHAnsi" w:hAnsiTheme="majorHAnsi"/>
                <w:b/>
                <w:bCs/>
                <w:sz w:val="18"/>
                <w:szCs w:val="18"/>
              </w:rPr>
              <w:t>Integrator system cost ($ billion)</w:t>
            </w:r>
          </w:p>
        </w:tc>
        <w:tc>
          <w:tcPr>
            <w:tcW w:w="1856" w:type="dxa"/>
            <w:vAlign w:val="center"/>
            <w:hideMark/>
          </w:tcPr>
          <w:p w:rsidR="00005F52" w:rsidRPr="00005F52" w:rsidRDefault="00005F52" w:rsidP="000944C5">
            <w:pPr>
              <w:spacing w:before="40" w:after="40" w:line="240" w:lineRule="auto"/>
              <w:jc w:val="center"/>
              <w:rPr>
                <w:rFonts w:asciiTheme="majorHAnsi" w:hAnsiTheme="majorHAnsi"/>
                <w:sz w:val="18"/>
                <w:szCs w:val="18"/>
              </w:rPr>
            </w:pPr>
            <w:r w:rsidRPr="00005F52">
              <w:rPr>
                <w:rFonts w:asciiTheme="majorHAnsi" w:hAnsiTheme="majorHAnsi"/>
                <w:sz w:val="18"/>
                <w:szCs w:val="18"/>
              </w:rPr>
              <w:t>1.5 to 3.0</w:t>
            </w:r>
          </w:p>
        </w:tc>
        <w:tc>
          <w:tcPr>
            <w:tcW w:w="1776" w:type="dxa"/>
            <w:vAlign w:val="center"/>
            <w:hideMark/>
          </w:tcPr>
          <w:p w:rsidR="00005F52" w:rsidRPr="00005F52" w:rsidRDefault="00005F52" w:rsidP="000944C5">
            <w:pPr>
              <w:spacing w:before="40" w:after="40" w:line="240" w:lineRule="auto"/>
              <w:jc w:val="center"/>
              <w:rPr>
                <w:rFonts w:asciiTheme="majorHAnsi" w:hAnsiTheme="majorHAnsi"/>
                <w:sz w:val="18"/>
                <w:szCs w:val="18"/>
              </w:rPr>
            </w:pPr>
            <w:r w:rsidRPr="00005F52">
              <w:rPr>
                <w:rFonts w:asciiTheme="majorHAnsi" w:hAnsiTheme="majorHAnsi"/>
                <w:sz w:val="18"/>
                <w:szCs w:val="18"/>
              </w:rPr>
              <w:t>1.5 to 3.0</w:t>
            </w:r>
          </w:p>
        </w:tc>
        <w:tc>
          <w:tcPr>
            <w:tcW w:w="1838"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38" w:type="dxa"/>
            <w:vAlign w:val="center"/>
            <w:hideMark/>
          </w:tcPr>
          <w:p w:rsidR="00005F52" w:rsidRPr="00005F52" w:rsidRDefault="00005F52" w:rsidP="00005F52">
            <w:pPr>
              <w:spacing w:before="40" w:after="40" w:line="240" w:lineRule="auto"/>
              <w:jc w:val="center"/>
              <w:rPr>
                <w:rFonts w:asciiTheme="majorHAnsi" w:hAnsiTheme="majorHAnsi"/>
                <w:sz w:val="18"/>
                <w:szCs w:val="18"/>
              </w:rPr>
            </w:pPr>
            <w:r>
              <w:rPr>
                <w:rFonts w:asciiTheme="majorHAnsi" w:hAnsiTheme="majorHAnsi"/>
                <w:sz w:val="18"/>
                <w:szCs w:val="18"/>
              </w:rPr>
              <w:t>—</w:t>
            </w:r>
          </w:p>
        </w:tc>
      </w:tr>
      <w:tr w:rsidR="00005F52" w:rsidRPr="00005F52" w:rsidTr="004931FC">
        <w:trPr>
          <w:trHeight w:val="824"/>
          <w:jc w:val="center"/>
        </w:trPr>
        <w:tc>
          <w:tcPr>
            <w:tcW w:w="2046" w:type="dxa"/>
            <w:shd w:val="clear" w:color="auto" w:fill="CCEAF9" w:themeFill="accent1" w:themeFillTint="33"/>
            <w:vAlign w:val="center"/>
            <w:hideMark/>
          </w:tcPr>
          <w:p w:rsidR="00005F52" w:rsidRPr="00005F52" w:rsidRDefault="00005F52" w:rsidP="00E86DD3">
            <w:pPr>
              <w:spacing w:before="40" w:after="40" w:line="240" w:lineRule="auto"/>
              <w:rPr>
                <w:rFonts w:asciiTheme="majorHAnsi" w:hAnsiTheme="majorHAnsi"/>
                <w:b/>
                <w:bCs/>
                <w:sz w:val="18"/>
                <w:szCs w:val="18"/>
              </w:rPr>
            </w:pPr>
            <w:r w:rsidRPr="00005F52">
              <w:rPr>
                <w:rFonts w:asciiTheme="majorHAnsi" w:hAnsiTheme="majorHAnsi"/>
                <w:b/>
                <w:bCs/>
                <w:sz w:val="18"/>
                <w:szCs w:val="18"/>
              </w:rPr>
              <w:t xml:space="preserve">Integrator system cost </w:t>
            </w:r>
            <w:r w:rsidR="00E86DD3">
              <w:rPr>
                <w:rFonts w:asciiTheme="majorHAnsi" w:hAnsiTheme="majorHAnsi"/>
                <w:b/>
                <w:bCs/>
                <w:sz w:val="18"/>
                <w:szCs w:val="18"/>
              </w:rPr>
              <w:t>plus</w:t>
            </w:r>
            <w:r w:rsidRPr="00005F52">
              <w:rPr>
                <w:rFonts w:asciiTheme="majorHAnsi" w:hAnsiTheme="majorHAnsi"/>
                <w:b/>
                <w:bCs/>
                <w:sz w:val="18"/>
                <w:szCs w:val="18"/>
              </w:rPr>
              <w:t xml:space="preserve"> 50% margin</w:t>
            </w:r>
            <w:r w:rsidR="00E86DD3">
              <w:rPr>
                <w:rFonts w:asciiTheme="majorHAnsi" w:hAnsiTheme="majorHAnsi"/>
                <w:b/>
                <w:bCs/>
                <w:sz w:val="18"/>
                <w:szCs w:val="18"/>
              </w:rPr>
              <w:br/>
            </w:r>
            <w:r w:rsidRPr="00005F52">
              <w:rPr>
                <w:rFonts w:asciiTheme="majorHAnsi" w:hAnsiTheme="majorHAnsi"/>
                <w:b/>
                <w:bCs/>
                <w:sz w:val="18"/>
                <w:szCs w:val="18"/>
              </w:rPr>
              <w:t>($ billion)</w:t>
            </w:r>
            <w:r w:rsidR="00E86DD3" w:rsidRPr="000F66DF">
              <w:rPr>
                <w:rFonts w:asciiTheme="majorHAnsi" w:hAnsiTheme="majorHAnsi"/>
                <w:b/>
                <w:bCs/>
                <w:sz w:val="18"/>
                <w:szCs w:val="18"/>
                <w:vertAlign w:val="superscript"/>
              </w:rPr>
              <w:t>(a)</w:t>
            </w:r>
          </w:p>
        </w:tc>
        <w:tc>
          <w:tcPr>
            <w:tcW w:w="1856" w:type="dxa"/>
            <w:shd w:val="clear" w:color="auto" w:fill="CCEAF9" w:themeFill="accent1" w:themeFillTint="33"/>
            <w:vAlign w:val="center"/>
            <w:hideMark/>
          </w:tcPr>
          <w:p w:rsidR="00005F52" w:rsidRPr="00005F52" w:rsidRDefault="00005F52" w:rsidP="000944C5">
            <w:pPr>
              <w:spacing w:before="40" w:after="40" w:line="240" w:lineRule="auto"/>
              <w:jc w:val="center"/>
              <w:rPr>
                <w:rFonts w:asciiTheme="majorHAnsi" w:hAnsiTheme="majorHAnsi"/>
                <w:sz w:val="18"/>
                <w:szCs w:val="18"/>
              </w:rPr>
            </w:pPr>
            <w:r w:rsidRPr="00005F52">
              <w:rPr>
                <w:rFonts w:asciiTheme="majorHAnsi" w:hAnsiTheme="majorHAnsi"/>
                <w:sz w:val="18"/>
                <w:szCs w:val="18"/>
              </w:rPr>
              <w:t>2.25 to 4.5</w:t>
            </w:r>
          </w:p>
        </w:tc>
        <w:tc>
          <w:tcPr>
            <w:tcW w:w="1776" w:type="dxa"/>
            <w:shd w:val="clear" w:color="auto" w:fill="CCEAF9" w:themeFill="accent1" w:themeFillTint="33"/>
            <w:vAlign w:val="center"/>
            <w:hideMark/>
          </w:tcPr>
          <w:p w:rsidR="00005F52" w:rsidRPr="00005F52" w:rsidRDefault="00005F52" w:rsidP="000944C5">
            <w:pPr>
              <w:spacing w:before="40" w:after="40" w:line="240" w:lineRule="auto"/>
              <w:jc w:val="center"/>
              <w:rPr>
                <w:rFonts w:asciiTheme="majorHAnsi" w:hAnsiTheme="majorHAnsi"/>
                <w:sz w:val="18"/>
                <w:szCs w:val="18"/>
              </w:rPr>
            </w:pPr>
            <w:r w:rsidRPr="00005F52">
              <w:rPr>
                <w:rFonts w:asciiTheme="majorHAnsi" w:hAnsiTheme="majorHAnsi"/>
                <w:sz w:val="18"/>
                <w:szCs w:val="18"/>
              </w:rPr>
              <w:t>2.25 to 4.5</w:t>
            </w:r>
          </w:p>
        </w:tc>
        <w:tc>
          <w:tcPr>
            <w:tcW w:w="1838" w:type="dxa"/>
            <w:shd w:val="clear" w:color="auto" w:fill="CCEAF9" w:themeFill="accent1" w:themeFillTint="33"/>
            <w:vAlign w:val="center"/>
            <w:hideMark/>
          </w:tcPr>
          <w:p w:rsidR="00005F52" w:rsidRPr="00005F52" w:rsidRDefault="00005F52" w:rsidP="00005F52">
            <w:pPr>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38" w:type="dxa"/>
            <w:shd w:val="clear" w:color="auto" w:fill="CCEAF9" w:themeFill="accent1" w:themeFillTint="33"/>
            <w:vAlign w:val="center"/>
            <w:hideMark/>
          </w:tcPr>
          <w:p w:rsidR="00005F52" w:rsidRPr="00005F52" w:rsidRDefault="00005F52" w:rsidP="00005F52">
            <w:pPr>
              <w:spacing w:before="40" w:after="40" w:line="240" w:lineRule="auto"/>
              <w:jc w:val="center"/>
              <w:rPr>
                <w:rFonts w:asciiTheme="majorHAnsi" w:hAnsiTheme="majorHAnsi"/>
                <w:sz w:val="18"/>
                <w:szCs w:val="18"/>
              </w:rPr>
            </w:pPr>
            <w:r>
              <w:rPr>
                <w:rFonts w:asciiTheme="majorHAnsi" w:hAnsiTheme="majorHAnsi"/>
                <w:sz w:val="18"/>
                <w:szCs w:val="18"/>
              </w:rPr>
              <w:t>—</w:t>
            </w:r>
          </w:p>
        </w:tc>
      </w:tr>
    </w:tbl>
    <w:p w:rsidR="00060728" w:rsidRPr="000F66DF" w:rsidRDefault="00E86DD3" w:rsidP="001768DA">
      <w:pPr>
        <w:pStyle w:val="Caption"/>
        <w:keepNext w:val="0"/>
        <w:keepLines w:val="0"/>
        <w:spacing w:before="120" w:after="240"/>
        <w:rPr>
          <w:rFonts w:asciiTheme="minorHAnsi" w:hAnsiTheme="minorHAnsi"/>
          <w:b w:val="0"/>
          <w:sz w:val="16"/>
          <w:szCs w:val="16"/>
        </w:rPr>
      </w:pPr>
      <w:r w:rsidRPr="000F66DF">
        <w:rPr>
          <w:rFonts w:asciiTheme="minorHAnsi" w:hAnsiTheme="minorHAnsi"/>
          <w:b w:val="0"/>
          <w:sz w:val="16"/>
          <w:szCs w:val="16"/>
        </w:rPr>
        <w:t>(a)</w:t>
      </w:r>
      <w:r w:rsidRPr="000F66DF">
        <w:rPr>
          <w:rFonts w:asciiTheme="minorHAnsi" w:hAnsiTheme="minorHAnsi"/>
          <w:sz w:val="16"/>
          <w:szCs w:val="16"/>
        </w:rPr>
        <w:t xml:space="preserve"> </w:t>
      </w:r>
      <w:r w:rsidRPr="000F66DF">
        <w:rPr>
          <w:rFonts w:asciiTheme="minorHAnsi" w:hAnsiTheme="minorHAnsi"/>
          <w:b w:val="0"/>
          <w:sz w:val="16"/>
          <w:szCs w:val="16"/>
        </w:rPr>
        <w:t>T</w:t>
      </w:r>
      <w:r w:rsidR="004D4153" w:rsidRPr="000F66DF">
        <w:rPr>
          <w:rFonts w:asciiTheme="minorHAnsi" w:hAnsiTheme="minorHAnsi"/>
          <w:b w:val="0"/>
          <w:sz w:val="16"/>
          <w:szCs w:val="16"/>
        </w:rPr>
        <w:t xml:space="preserve">he </w:t>
      </w:r>
      <w:r w:rsidR="0053349B" w:rsidRPr="000F66DF">
        <w:rPr>
          <w:rFonts w:asciiTheme="minorHAnsi" w:hAnsiTheme="minorHAnsi"/>
          <w:b w:val="0"/>
          <w:sz w:val="16"/>
          <w:szCs w:val="16"/>
        </w:rPr>
        <w:t>high</w:t>
      </w:r>
      <w:r w:rsidR="00512719" w:rsidRPr="000F66DF">
        <w:rPr>
          <w:rFonts w:asciiTheme="minorHAnsi" w:hAnsiTheme="minorHAnsi"/>
          <w:b w:val="0"/>
          <w:sz w:val="16"/>
          <w:szCs w:val="16"/>
        </w:rPr>
        <w:t>-</w:t>
      </w:r>
      <w:r w:rsidR="0053349B" w:rsidRPr="000F66DF">
        <w:rPr>
          <w:rFonts w:asciiTheme="minorHAnsi" w:hAnsiTheme="minorHAnsi"/>
          <w:b w:val="0"/>
          <w:sz w:val="16"/>
          <w:szCs w:val="16"/>
        </w:rPr>
        <w:t>order</w:t>
      </w:r>
      <w:r w:rsidR="00D83AE7" w:rsidRPr="000F66DF">
        <w:rPr>
          <w:rFonts w:asciiTheme="minorHAnsi" w:hAnsiTheme="minorHAnsi"/>
          <w:b w:val="0"/>
          <w:sz w:val="16"/>
          <w:szCs w:val="16"/>
        </w:rPr>
        <w:t>-</w:t>
      </w:r>
      <w:r w:rsidR="0053349B" w:rsidRPr="000F66DF">
        <w:rPr>
          <w:rFonts w:asciiTheme="minorHAnsi" w:hAnsiTheme="minorHAnsi"/>
          <w:b w:val="0"/>
          <w:sz w:val="16"/>
          <w:szCs w:val="16"/>
        </w:rPr>
        <w:t>of</w:t>
      </w:r>
      <w:r w:rsidR="00D83AE7" w:rsidRPr="000F66DF">
        <w:rPr>
          <w:rFonts w:asciiTheme="minorHAnsi" w:hAnsiTheme="minorHAnsi"/>
          <w:b w:val="0"/>
          <w:sz w:val="16"/>
          <w:szCs w:val="16"/>
        </w:rPr>
        <w:t>-</w:t>
      </w:r>
      <w:r w:rsidR="0053349B" w:rsidRPr="000F66DF">
        <w:rPr>
          <w:rFonts w:asciiTheme="minorHAnsi" w:hAnsiTheme="minorHAnsi"/>
          <w:b w:val="0"/>
          <w:sz w:val="16"/>
          <w:szCs w:val="16"/>
        </w:rPr>
        <w:t xml:space="preserve">magnitude </w:t>
      </w:r>
      <w:r w:rsidR="004D4153" w:rsidRPr="000F66DF">
        <w:rPr>
          <w:rFonts w:asciiTheme="minorHAnsi" w:hAnsiTheme="minorHAnsi"/>
          <w:b w:val="0"/>
          <w:sz w:val="16"/>
          <w:szCs w:val="16"/>
        </w:rPr>
        <w:t xml:space="preserve">costs </w:t>
      </w:r>
      <w:r w:rsidRPr="000F66DF">
        <w:rPr>
          <w:rFonts w:asciiTheme="minorHAnsi" w:hAnsiTheme="minorHAnsi"/>
          <w:b w:val="0"/>
          <w:sz w:val="16"/>
          <w:szCs w:val="16"/>
        </w:rPr>
        <w:t xml:space="preserve">for an integrator system for </w:t>
      </w:r>
      <w:r w:rsidR="00005F52" w:rsidRPr="000F66DF">
        <w:rPr>
          <w:rFonts w:asciiTheme="minorHAnsi" w:hAnsiTheme="minorHAnsi"/>
          <w:b w:val="0"/>
          <w:sz w:val="16"/>
          <w:szCs w:val="16"/>
        </w:rPr>
        <w:t>the Renewables Plus reference s</w:t>
      </w:r>
      <w:r w:rsidR="004D4153" w:rsidRPr="000F66DF">
        <w:rPr>
          <w:rFonts w:asciiTheme="minorHAnsi" w:hAnsiTheme="minorHAnsi"/>
          <w:b w:val="0"/>
          <w:sz w:val="16"/>
          <w:szCs w:val="16"/>
        </w:rPr>
        <w:t xml:space="preserve">cenario and </w:t>
      </w:r>
      <w:r w:rsidR="00005F52" w:rsidRPr="000F66DF">
        <w:rPr>
          <w:rFonts w:asciiTheme="minorHAnsi" w:hAnsiTheme="minorHAnsi"/>
          <w:b w:val="0"/>
          <w:sz w:val="16"/>
          <w:szCs w:val="16"/>
        </w:rPr>
        <w:t xml:space="preserve">the EE + </w:t>
      </w:r>
      <w:r w:rsidR="00BB124F" w:rsidRPr="000F66DF">
        <w:rPr>
          <w:rFonts w:asciiTheme="minorHAnsi" w:hAnsiTheme="minorHAnsi"/>
          <w:b w:val="0"/>
          <w:sz w:val="16"/>
          <w:szCs w:val="16"/>
        </w:rPr>
        <w:t>Off</w:t>
      </w:r>
      <w:r w:rsidR="00005F52" w:rsidRPr="000F66DF">
        <w:rPr>
          <w:rFonts w:asciiTheme="minorHAnsi" w:hAnsiTheme="minorHAnsi"/>
          <w:b w:val="0"/>
          <w:sz w:val="16"/>
          <w:szCs w:val="16"/>
        </w:rPr>
        <w:t>shore scenario (</w:t>
      </w:r>
      <w:r w:rsidR="004C75D5" w:rsidRPr="000F66DF">
        <w:rPr>
          <w:rFonts w:asciiTheme="minorHAnsi" w:hAnsiTheme="minorHAnsi"/>
          <w:b w:val="0"/>
          <w:sz w:val="16"/>
          <w:szCs w:val="16"/>
        </w:rPr>
        <w:t>A</w:t>
      </w:r>
      <w:r w:rsidR="00005F52" w:rsidRPr="000F66DF">
        <w:rPr>
          <w:rFonts w:asciiTheme="minorHAnsi" w:hAnsiTheme="minorHAnsi"/>
          <w:b w:val="0"/>
          <w:sz w:val="16"/>
          <w:szCs w:val="16"/>
        </w:rPr>
        <w:t>)</w:t>
      </w:r>
      <w:r w:rsidR="004D4153" w:rsidRPr="000F66DF">
        <w:rPr>
          <w:rFonts w:asciiTheme="minorHAnsi" w:hAnsiTheme="minorHAnsi"/>
          <w:b w:val="0"/>
          <w:sz w:val="16"/>
          <w:szCs w:val="16"/>
        </w:rPr>
        <w:t xml:space="preserve"> may </w:t>
      </w:r>
      <w:r w:rsidRPr="000F66DF">
        <w:rPr>
          <w:rFonts w:asciiTheme="minorHAnsi" w:hAnsiTheme="minorHAnsi"/>
          <w:b w:val="0"/>
          <w:sz w:val="16"/>
          <w:szCs w:val="16"/>
        </w:rPr>
        <w:t>be similar</w:t>
      </w:r>
      <w:r w:rsidR="000F66DF" w:rsidRPr="000F66DF">
        <w:rPr>
          <w:rFonts w:asciiTheme="minorHAnsi" w:hAnsiTheme="minorHAnsi"/>
          <w:b w:val="0"/>
          <w:sz w:val="16"/>
          <w:szCs w:val="16"/>
        </w:rPr>
        <w:t xml:space="preserve"> </w:t>
      </w:r>
      <w:r w:rsidR="004C75D5" w:rsidRPr="000F66DF">
        <w:rPr>
          <w:rFonts w:asciiTheme="minorHAnsi" w:hAnsiTheme="minorHAnsi"/>
          <w:b w:val="0"/>
          <w:sz w:val="16"/>
          <w:szCs w:val="16"/>
        </w:rPr>
        <w:t xml:space="preserve">because </w:t>
      </w:r>
      <w:r w:rsidR="009663DD" w:rsidRPr="000F66DF">
        <w:rPr>
          <w:rFonts w:asciiTheme="minorHAnsi" w:hAnsiTheme="minorHAnsi"/>
          <w:b w:val="0"/>
          <w:sz w:val="16"/>
          <w:szCs w:val="16"/>
        </w:rPr>
        <w:t>the necessary transmission development could be similar</w:t>
      </w:r>
      <w:r w:rsidR="0053349B" w:rsidRPr="000F66DF">
        <w:rPr>
          <w:rFonts w:asciiTheme="minorHAnsi" w:hAnsiTheme="minorHAnsi"/>
          <w:b w:val="0"/>
          <w:sz w:val="16"/>
          <w:szCs w:val="16"/>
        </w:rPr>
        <w:t>. More detailed transmission planning and design studies would be required to further refine these cost estimates.</w:t>
      </w:r>
    </w:p>
    <w:p w:rsidR="00BE4824" w:rsidRPr="0080348E" w:rsidRDefault="000F2557" w:rsidP="001C4B4C">
      <w:r>
        <w:fldChar w:fldCharType="begin"/>
      </w:r>
      <w:r>
        <w:instrText xml:space="preserve"> REF _Ref485891390 \h </w:instrText>
      </w:r>
      <w:r>
        <w:fldChar w:fldCharType="separate"/>
      </w:r>
      <w:r w:rsidR="00872A95" w:rsidRPr="00EC3A1C">
        <w:t xml:space="preserve">Figure </w:t>
      </w:r>
      <w:r w:rsidR="00872A95">
        <w:rPr>
          <w:noProof/>
        </w:rPr>
        <w:t>5</w:t>
      </w:r>
      <w:r w:rsidR="00872A95">
        <w:noBreakHyphen/>
      </w:r>
      <w:r w:rsidR="00872A95">
        <w:rPr>
          <w:noProof/>
        </w:rPr>
        <w:t>8</w:t>
      </w:r>
      <w:r>
        <w:fldChar w:fldCharType="end"/>
      </w:r>
      <w:r>
        <w:t xml:space="preserve"> </w:t>
      </w:r>
      <w:r w:rsidR="00F66E4B" w:rsidRPr="00F66E4B">
        <w:t xml:space="preserve">shows the </w:t>
      </w:r>
      <w:r w:rsidR="00C90CC0">
        <w:t>c</w:t>
      </w:r>
      <w:r w:rsidR="00D44E21">
        <w:t>ongestion</w:t>
      </w:r>
      <w:r w:rsidR="00ED2944">
        <w:t>-</w:t>
      </w:r>
      <w:r w:rsidR="00D44E21">
        <w:t>relief system</w:t>
      </w:r>
      <w:r w:rsidR="00F66E4B">
        <w:t>s</w:t>
      </w:r>
      <w:r w:rsidR="00C90CC0">
        <w:t xml:space="preserve"> </w:t>
      </w:r>
      <w:r w:rsidR="00072923">
        <w:t>for wind development in M</w:t>
      </w:r>
      <w:r w:rsidR="00517118">
        <w:t>aine</w:t>
      </w:r>
      <w:r w:rsidR="00F66E4B">
        <w:t>. The congestion</w:t>
      </w:r>
      <w:r w:rsidR="001325D0">
        <w:t>-</w:t>
      </w:r>
      <w:r w:rsidR="00F66E4B">
        <w:t xml:space="preserve">relief systems </w:t>
      </w:r>
      <w:r w:rsidR="00D44E21">
        <w:t>remov</w:t>
      </w:r>
      <w:r w:rsidR="00C90CC0">
        <w:t xml:space="preserve">e </w:t>
      </w:r>
      <w:r w:rsidR="00D44E21">
        <w:t>100%</w:t>
      </w:r>
      <w:r w:rsidR="00C90CC0">
        <w:t xml:space="preserve"> of the transmission congestion</w:t>
      </w:r>
      <w:r w:rsidR="00D44E21">
        <w:t xml:space="preserve"> that </w:t>
      </w:r>
      <w:r w:rsidR="00C90CC0">
        <w:t xml:space="preserve">otherwise would </w:t>
      </w:r>
      <w:r w:rsidR="00D44E21">
        <w:t>prevent full energy production from the renewable resources</w:t>
      </w:r>
      <w:r w:rsidR="002B059C">
        <w:t xml:space="preserve"> during the summer and the winter peak</w:t>
      </w:r>
      <w:r w:rsidR="00F97A89">
        <w:t xml:space="preserve"> hours</w:t>
      </w:r>
      <w:r w:rsidR="00C90CC0">
        <w:t xml:space="preserve">. </w:t>
      </w:r>
      <w:r w:rsidR="002B059C">
        <w:t xml:space="preserve">It also removes </w:t>
      </w:r>
      <w:r w:rsidR="00ED2944">
        <w:t xml:space="preserve">most </w:t>
      </w:r>
      <w:r w:rsidR="00F97A89">
        <w:t xml:space="preserve">of the congestion at all hours of </w:t>
      </w:r>
      <w:r w:rsidR="00C13314">
        <w:t>the year</w:t>
      </w:r>
      <w:r w:rsidR="00F97A89">
        <w:t xml:space="preserve">. </w:t>
      </w:r>
      <w:r w:rsidR="00C90CC0">
        <w:t xml:space="preserve">The basis for developing </w:t>
      </w:r>
      <w:r w:rsidR="00ED2944" w:rsidRPr="00712F7A">
        <w:t>high</w:t>
      </w:r>
      <w:r w:rsidR="00512719">
        <w:t>-</w:t>
      </w:r>
      <w:r w:rsidR="00C90CC0" w:rsidRPr="00712F7A">
        <w:t>order</w:t>
      </w:r>
      <w:r w:rsidR="00ED2944" w:rsidRPr="00712F7A">
        <w:t>-</w:t>
      </w:r>
      <w:r w:rsidR="00C90CC0" w:rsidRPr="00712F7A">
        <w:t>of</w:t>
      </w:r>
      <w:r w:rsidR="00ED2944" w:rsidRPr="00712F7A">
        <w:t>-</w:t>
      </w:r>
      <w:r w:rsidR="00C90CC0" w:rsidRPr="00712F7A">
        <w:t>magnitude costs assumes</w:t>
      </w:r>
      <w:r w:rsidR="00840448" w:rsidRPr="00712F7A">
        <w:t xml:space="preserve"> </w:t>
      </w:r>
      <w:r w:rsidR="00ED2944" w:rsidRPr="00712F7A">
        <w:t>high-voltage direct-current (</w:t>
      </w:r>
      <w:r w:rsidR="00840448" w:rsidRPr="00712F7A">
        <w:t>HVDC</w:t>
      </w:r>
      <w:r w:rsidR="00ED2944" w:rsidRPr="00712F7A">
        <w:t>)</w:t>
      </w:r>
      <w:r w:rsidR="00840448" w:rsidRPr="00712F7A">
        <w:t xml:space="preserve"> facilities </w:t>
      </w:r>
      <w:r w:rsidR="00D44E21" w:rsidRPr="00712F7A">
        <w:t>tying the integrator</w:t>
      </w:r>
      <w:r w:rsidR="00D44E21">
        <w:t xml:space="preserve"> </w:t>
      </w:r>
      <w:r w:rsidR="00D44E21" w:rsidRPr="001C4B4C">
        <w:t xml:space="preserve">system to </w:t>
      </w:r>
      <w:r w:rsidR="00BE4824" w:rsidRPr="001C4B4C">
        <w:t>Mil</w:t>
      </w:r>
      <w:r w:rsidR="00A2112A">
        <w:t>l</w:t>
      </w:r>
      <w:r w:rsidR="00BE4824" w:rsidRPr="001C4B4C">
        <w:t>bury, MA</w:t>
      </w:r>
      <w:r w:rsidR="00BF6BF5" w:rsidRPr="001C4B4C">
        <w:t>. This is</w:t>
      </w:r>
      <w:r w:rsidR="00BF6BF5">
        <w:t xml:space="preserve"> equivalent to connecting</w:t>
      </w:r>
      <w:r w:rsidR="00272FB5">
        <w:t xml:space="preserve"> </w:t>
      </w:r>
      <w:r w:rsidR="00C13314">
        <w:t xml:space="preserve">renewable plants directly to the </w:t>
      </w:r>
      <w:r w:rsidR="001127B8">
        <w:t>H</w:t>
      </w:r>
      <w:r w:rsidR="00C13314">
        <w:t>ub for scenarios with extremely large additions of renewable resources</w:t>
      </w:r>
      <w:r w:rsidR="00C90CC0">
        <w:t xml:space="preserve">. </w:t>
      </w:r>
    </w:p>
    <w:p w:rsidR="00BE4824" w:rsidRPr="0080348E" w:rsidRDefault="00BE4824" w:rsidP="000F66DF">
      <w:pPr>
        <w:spacing w:after="0" w:line="240" w:lineRule="auto"/>
        <w:jc w:val="center"/>
      </w:pPr>
      <w:r>
        <w:rPr>
          <w:noProof/>
        </w:rPr>
        <w:drawing>
          <wp:inline distT="0" distB="0" distL="0" distR="0" wp14:anchorId="69E19E44" wp14:editId="47F3C2DB">
            <wp:extent cx="2407647" cy="3271520"/>
            <wp:effectExtent l="19050" t="19050" r="1206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7647" cy="3271520"/>
                    </a:xfrm>
                    <a:prstGeom prst="rect">
                      <a:avLst/>
                    </a:prstGeom>
                    <a:noFill/>
                    <a:ln w="3175">
                      <a:solidFill>
                        <a:sysClr val="windowText" lastClr="000000"/>
                      </a:solidFill>
                    </a:ln>
                  </pic:spPr>
                </pic:pic>
              </a:graphicData>
            </a:graphic>
          </wp:inline>
        </w:drawing>
      </w:r>
      <w:r w:rsidRPr="0099141F">
        <w:rPr>
          <w:noProof/>
        </w:rPr>
        <w:drawing>
          <wp:inline distT="0" distB="0" distL="0" distR="0" wp14:anchorId="7625DAE1" wp14:editId="254ACFF1">
            <wp:extent cx="2743200" cy="3285256"/>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6592" cy="3289318"/>
                    </a:xfrm>
                    <a:prstGeom prst="rect">
                      <a:avLst/>
                    </a:prstGeom>
                    <a:noFill/>
                    <a:ln w="3175">
                      <a:solidFill>
                        <a:sysClr val="windowText" lastClr="000000"/>
                      </a:solidFill>
                    </a:ln>
                  </pic:spPr>
                </pic:pic>
              </a:graphicData>
            </a:graphic>
          </wp:inline>
        </w:drawing>
      </w:r>
    </w:p>
    <w:p w:rsidR="00BE4824" w:rsidRDefault="00BE4824" w:rsidP="000F66DF">
      <w:pPr>
        <w:pStyle w:val="Caption"/>
        <w:spacing w:before="120" w:after="240"/>
        <w:ind w:left="630"/>
      </w:pPr>
      <w:bookmarkStart w:id="189" w:name="_Ref485891390"/>
      <w:bookmarkStart w:id="190" w:name="_Toc519511505"/>
      <w:r w:rsidRPr="00EC3A1C">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5</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8</w:t>
      </w:r>
      <w:r w:rsidR="00E930AF">
        <w:rPr>
          <w:noProof/>
        </w:rPr>
        <w:fldChar w:fldCharType="end"/>
      </w:r>
      <w:bookmarkEnd w:id="189"/>
      <w:r w:rsidRPr="00EC3A1C">
        <w:t>: The congestion-relief system.</w:t>
      </w:r>
      <w:bookmarkEnd w:id="190"/>
      <w:r w:rsidRPr="0099141F">
        <w:t xml:space="preserve"> </w:t>
      </w:r>
    </w:p>
    <w:p w:rsidR="002B059C" w:rsidRDefault="004C1096" w:rsidP="00995AFE">
      <w:r w:rsidRPr="001C4B4C">
        <w:t>In each scenario, t</w:t>
      </w:r>
      <w:r w:rsidR="00C72ECA" w:rsidRPr="001C4B4C">
        <w:t>he congestion</w:t>
      </w:r>
      <w:r w:rsidR="00ED2944" w:rsidRPr="001C4B4C">
        <w:t>-</w:t>
      </w:r>
      <w:r w:rsidR="00C72ECA" w:rsidRPr="001C4B4C">
        <w:t>relief need</w:t>
      </w:r>
      <w:r w:rsidR="00517118" w:rsidRPr="001C4B4C">
        <w:t>ed</w:t>
      </w:r>
      <w:r w:rsidR="00C72ECA" w:rsidRPr="001C4B4C">
        <w:t xml:space="preserve"> </w:t>
      </w:r>
      <w:r w:rsidR="00072923" w:rsidRPr="001C4B4C">
        <w:t>for wind development in M</w:t>
      </w:r>
      <w:r w:rsidR="00517118" w:rsidRPr="001C4B4C">
        <w:t>aine</w:t>
      </w:r>
      <w:r w:rsidR="00072923" w:rsidRPr="001C4B4C">
        <w:t xml:space="preserve"> </w:t>
      </w:r>
      <w:r w:rsidR="00D325C0" w:rsidRPr="001C4B4C">
        <w:t xml:space="preserve">was </w:t>
      </w:r>
      <w:r w:rsidR="000465A9" w:rsidRPr="001C4B4C">
        <w:t xml:space="preserve">first </w:t>
      </w:r>
      <w:r w:rsidR="00D325C0" w:rsidRPr="001C4B4C">
        <w:t>based on</w:t>
      </w:r>
      <w:r w:rsidR="002B059C" w:rsidRPr="001C4B4C">
        <w:t xml:space="preserve"> the difference in simultaneous interface flows between the constrained and unconstrained scenarios</w:t>
      </w:r>
      <w:r w:rsidR="000465A9" w:rsidRPr="001C4B4C">
        <w:t xml:space="preserve"> during the </w:t>
      </w:r>
      <w:r w:rsidR="002B059C" w:rsidRPr="001C4B4C">
        <w:t>summer and winter peak hours</w:t>
      </w:r>
      <w:r w:rsidR="000465A9" w:rsidRPr="001C4B4C">
        <w:t>.</w:t>
      </w:r>
      <w:r w:rsidR="00F52EC3">
        <w:t xml:space="preserve"> </w:t>
      </w:r>
      <w:r w:rsidR="000465A9" w:rsidRPr="001C4B4C">
        <w:t>The ISO then examined t</w:t>
      </w:r>
      <w:r w:rsidR="002B059C" w:rsidRPr="001C4B4C">
        <w:t>he highest simultaneous</w:t>
      </w:r>
      <w:r w:rsidR="00C72ECA" w:rsidRPr="001C4B4C">
        <w:t xml:space="preserve"> congestion</w:t>
      </w:r>
      <w:r w:rsidR="00ED2944" w:rsidRPr="001C4B4C">
        <w:t>-</w:t>
      </w:r>
      <w:r w:rsidR="00C72ECA" w:rsidRPr="001C4B4C">
        <w:t>relief</w:t>
      </w:r>
      <w:r w:rsidR="002B059C" w:rsidRPr="001C4B4C">
        <w:t xml:space="preserve"> need across all northern interface</w:t>
      </w:r>
      <w:r w:rsidR="00C72ECA" w:rsidRPr="001C4B4C">
        <w:t>s</w:t>
      </w:r>
      <w:r w:rsidR="002B059C" w:rsidRPr="001C4B4C">
        <w:t xml:space="preserve"> </w:t>
      </w:r>
      <w:r w:rsidR="000465A9" w:rsidRPr="001C4B4C">
        <w:t xml:space="preserve">and </w:t>
      </w:r>
      <w:r w:rsidR="002B059C" w:rsidRPr="001C4B4C">
        <w:t xml:space="preserve">used </w:t>
      </w:r>
      <w:r w:rsidR="000465A9" w:rsidRPr="001C4B4C">
        <w:t xml:space="preserve">it </w:t>
      </w:r>
      <w:r w:rsidR="002B059C" w:rsidRPr="001C4B4C">
        <w:t xml:space="preserve">to </w:t>
      </w:r>
      <w:r w:rsidR="00C72ECA" w:rsidRPr="001C4B4C">
        <w:t>size</w:t>
      </w:r>
      <w:r w:rsidR="002B059C" w:rsidRPr="001C4B4C">
        <w:t xml:space="preserve"> the congestion</w:t>
      </w:r>
      <w:r w:rsidR="00ED2944" w:rsidRPr="001C4B4C">
        <w:t>-</w:t>
      </w:r>
      <w:r w:rsidR="002B059C" w:rsidRPr="001C4B4C">
        <w:t>relief system.</w:t>
      </w:r>
      <w:r w:rsidR="002B059C">
        <w:t xml:space="preserve"> </w:t>
      </w:r>
      <w:r w:rsidR="000465A9">
        <w:t>Finally,</w:t>
      </w:r>
      <w:r w:rsidR="002B059C">
        <w:t xml:space="preserve"> </w:t>
      </w:r>
      <w:r w:rsidR="000465A9">
        <w:t xml:space="preserve">the </w:t>
      </w:r>
      <w:r>
        <w:t>congestion</w:t>
      </w:r>
      <w:r w:rsidR="00ED2944">
        <w:t>-</w:t>
      </w:r>
      <w:r>
        <w:t xml:space="preserve">relief need </w:t>
      </w:r>
      <w:r w:rsidR="002B059C">
        <w:t xml:space="preserve">was </w:t>
      </w:r>
      <w:r>
        <w:t xml:space="preserve">compared </w:t>
      </w:r>
      <w:r w:rsidR="00ED2944">
        <w:t>with</w:t>
      </w:r>
      <w:r>
        <w:t xml:space="preserve"> the highest flow</w:t>
      </w:r>
      <w:r w:rsidR="002B059C">
        <w:t xml:space="preserve"> on each </w:t>
      </w:r>
      <w:r>
        <w:t xml:space="preserve">individual </w:t>
      </w:r>
      <w:r w:rsidR="002B059C">
        <w:t>interface</w:t>
      </w:r>
      <w:r>
        <w:t xml:space="preserve"> (nonsimultaneous flow)</w:t>
      </w:r>
      <w:r w:rsidR="002B059C">
        <w:t xml:space="preserve"> </w:t>
      </w:r>
      <w:r>
        <w:t>over all hours of the year</w:t>
      </w:r>
      <w:r w:rsidR="002B059C">
        <w:t xml:space="preserve"> to ensure that the congestion</w:t>
      </w:r>
      <w:r w:rsidR="00ED2944">
        <w:t>-</w:t>
      </w:r>
      <w:r w:rsidR="002B059C">
        <w:t xml:space="preserve">relief system would be adequate over most hours of the </w:t>
      </w:r>
      <w:r w:rsidR="002B059C" w:rsidRPr="002C5910">
        <w:t>year.</w:t>
      </w:r>
      <w:r w:rsidR="00ED2944" w:rsidRPr="002C5910">
        <w:t xml:space="preserve"> </w:t>
      </w:r>
      <w:r w:rsidR="001239FB" w:rsidRPr="002C5910">
        <w:fldChar w:fldCharType="begin"/>
      </w:r>
      <w:r w:rsidR="001239FB" w:rsidRPr="002C5910">
        <w:instrText xml:space="preserve"> REF _Ref476831138 \h  \* MERGEFORMAT </w:instrText>
      </w:r>
      <w:r w:rsidR="001239FB" w:rsidRPr="002C5910">
        <w:fldChar w:fldCharType="separate"/>
      </w:r>
      <w:r w:rsidR="00872A95">
        <w:t xml:space="preserve">Table </w:t>
      </w:r>
      <w:r w:rsidR="00872A95">
        <w:rPr>
          <w:noProof/>
        </w:rPr>
        <w:t>5</w:t>
      </w:r>
      <w:r w:rsidR="00872A95">
        <w:rPr>
          <w:noProof/>
        </w:rPr>
        <w:noBreakHyphen/>
        <w:t>17</w:t>
      </w:r>
      <w:r w:rsidR="001239FB" w:rsidRPr="002C5910">
        <w:fldChar w:fldCharType="end"/>
      </w:r>
      <w:r w:rsidR="00ED2944" w:rsidRPr="002C5910">
        <w:t xml:space="preserve"> shows the congestion</w:t>
      </w:r>
      <w:r w:rsidR="00012B34" w:rsidRPr="002C5910">
        <w:t>-</w:t>
      </w:r>
      <w:r w:rsidR="00ED2944" w:rsidRPr="002C5910">
        <w:t xml:space="preserve">relief </w:t>
      </w:r>
      <w:r w:rsidR="00CF0963" w:rsidRPr="002C5910">
        <w:t xml:space="preserve">transmission </w:t>
      </w:r>
      <w:r w:rsidR="00706385" w:rsidRPr="002C5910">
        <w:t xml:space="preserve">capacity </w:t>
      </w:r>
      <w:r w:rsidR="00ED2944" w:rsidRPr="002C5910">
        <w:t>assumed for the scenarios.</w:t>
      </w:r>
      <w:r w:rsidR="00832706" w:rsidRPr="002C5910">
        <w:t xml:space="preserve"> </w:t>
      </w:r>
      <w:r w:rsidR="005753DB" w:rsidRPr="002C5910">
        <w:t>For t</w:t>
      </w:r>
      <w:r w:rsidR="005753DB">
        <w:t>he unconstrained cases</w:t>
      </w:r>
      <w:r w:rsidR="00F87FCA">
        <w:t>,</w:t>
      </w:r>
      <w:r w:rsidR="005753DB">
        <w:t xml:space="preserve"> the congestion-relief</w:t>
      </w:r>
      <w:r w:rsidR="005753DB" w:rsidRPr="005753DB">
        <w:t xml:space="preserve"> systems were assumed in</w:t>
      </w:r>
      <w:r w:rsidR="00F87FCA">
        <w:t xml:space="preserve"> </w:t>
      </w:r>
      <w:r w:rsidR="005753DB" w:rsidRPr="005753DB">
        <w:t xml:space="preserve">service by </w:t>
      </w:r>
      <w:r w:rsidR="00924C94">
        <w:t>2030</w:t>
      </w:r>
      <w:r w:rsidR="005753DB" w:rsidRPr="005753DB">
        <w:t xml:space="preserve"> in anticipation of the assumed amounts of wind resources.</w:t>
      </w:r>
    </w:p>
    <w:p w:rsidR="002B059C" w:rsidRDefault="00C73A12" w:rsidP="00C73A12">
      <w:pPr>
        <w:pStyle w:val="Caption"/>
        <w:jc w:val="center"/>
        <w:rPr>
          <w:color w:val="0D1011"/>
        </w:rPr>
      </w:pPr>
      <w:bookmarkStart w:id="191" w:name="_Ref476831138"/>
      <w:bookmarkStart w:id="192" w:name="_Toc520721032"/>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17</w:t>
      </w:r>
      <w:r w:rsidR="00EA3757">
        <w:rPr>
          <w:noProof/>
        </w:rPr>
        <w:fldChar w:fldCharType="end"/>
      </w:r>
      <w:bookmarkEnd w:id="191"/>
      <w:r w:rsidR="00ED2944" w:rsidRPr="008B3883">
        <w:rPr>
          <w:color w:val="62777F" w:themeColor="text1"/>
        </w:rPr>
        <w:br/>
      </w:r>
      <w:r w:rsidR="00ED2944" w:rsidRPr="00F84306">
        <w:rPr>
          <w:color w:val="0D1011"/>
        </w:rPr>
        <w:t>C</w:t>
      </w:r>
      <w:r w:rsidR="002B059C" w:rsidRPr="00F84306">
        <w:rPr>
          <w:color w:val="0D1011"/>
        </w:rPr>
        <w:t>ongestion</w:t>
      </w:r>
      <w:r w:rsidR="00012B34" w:rsidRPr="00F84306">
        <w:rPr>
          <w:color w:val="0D1011"/>
        </w:rPr>
        <w:t>-</w:t>
      </w:r>
      <w:r w:rsidR="00ED2944" w:rsidRPr="00F84306">
        <w:rPr>
          <w:color w:val="0D1011"/>
        </w:rPr>
        <w:t>R</w:t>
      </w:r>
      <w:r w:rsidR="002B059C" w:rsidRPr="00F84306">
        <w:rPr>
          <w:color w:val="0D1011"/>
        </w:rPr>
        <w:t xml:space="preserve">elief </w:t>
      </w:r>
      <w:r w:rsidR="00CF0963" w:rsidRPr="00F84306">
        <w:rPr>
          <w:color w:val="0D1011"/>
        </w:rPr>
        <w:t xml:space="preserve">Transmission </w:t>
      </w:r>
      <w:r w:rsidR="00012B34" w:rsidRPr="00F84306">
        <w:rPr>
          <w:color w:val="0D1011"/>
        </w:rPr>
        <w:t xml:space="preserve">Capacity </w:t>
      </w:r>
      <w:r w:rsidR="00ED2944" w:rsidRPr="00F84306">
        <w:rPr>
          <w:color w:val="0D1011"/>
        </w:rPr>
        <w:t>Assumed for the Scenarios (MW)</w:t>
      </w:r>
      <w:bookmarkEnd w:id="192"/>
    </w:p>
    <w:tbl>
      <w:tblPr>
        <w:tblStyle w:val="TableGrid"/>
        <w:tblW w:w="9355" w:type="dxa"/>
        <w:jc w:val="center"/>
        <w:shd w:val="clear" w:color="auto" w:fill="1795D2" w:themeFill="accent1"/>
        <w:tblLook w:val="04A0" w:firstRow="1" w:lastRow="0" w:firstColumn="1" w:lastColumn="0" w:noHBand="0" w:noVBand="1"/>
      </w:tblPr>
      <w:tblGrid>
        <w:gridCol w:w="2785"/>
        <w:gridCol w:w="1621"/>
        <w:gridCol w:w="1619"/>
        <w:gridCol w:w="1800"/>
        <w:gridCol w:w="1530"/>
      </w:tblGrid>
      <w:tr w:rsidR="002C5910" w:rsidRPr="00E86DD3" w:rsidTr="000F66DF">
        <w:trPr>
          <w:trHeight w:val="659"/>
          <w:jc w:val="center"/>
        </w:trPr>
        <w:tc>
          <w:tcPr>
            <w:tcW w:w="2785" w:type="dxa"/>
            <w:shd w:val="clear" w:color="auto" w:fill="1795D2" w:themeFill="accent1"/>
            <w:tcMar>
              <w:left w:w="115" w:type="dxa"/>
              <w:right w:w="115" w:type="dxa"/>
            </w:tcMar>
            <w:vAlign w:val="center"/>
            <w:hideMark/>
          </w:tcPr>
          <w:p w:rsidR="00E86DD3" w:rsidRPr="00E86DD3" w:rsidRDefault="00E86DD3" w:rsidP="00E86DD3">
            <w:pPr>
              <w:adjustRightInd/>
              <w:spacing w:before="40" w:after="40" w:line="240" w:lineRule="auto"/>
              <w:ind w:firstLineChars="100" w:firstLine="200"/>
              <w:textAlignment w:val="auto"/>
              <w:rPr>
                <w:rFonts w:ascii="Times New Roman" w:hAnsi="Times New Roman"/>
                <w:color w:val="000000"/>
                <w:szCs w:val="20"/>
              </w:rPr>
            </w:pPr>
            <w:r w:rsidRPr="00E86DD3">
              <w:rPr>
                <w:rFonts w:ascii="Times New Roman" w:hAnsi="Times New Roman"/>
                <w:color w:val="000000"/>
                <w:szCs w:val="20"/>
              </w:rPr>
              <w:t> </w:t>
            </w:r>
          </w:p>
        </w:tc>
        <w:tc>
          <w:tcPr>
            <w:tcW w:w="1621" w:type="dxa"/>
            <w:shd w:val="clear" w:color="auto" w:fill="1795D2" w:themeFill="accent1"/>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b/>
                <w:bCs/>
                <w:color w:val="FFFFFF"/>
                <w:sz w:val="18"/>
                <w:szCs w:val="18"/>
              </w:rPr>
            </w:pPr>
            <w:r w:rsidRPr="00E86DD3">
              <w:rPr>
                <w:rFonts w:ascii="Calibri" w:hAnsi="Calibri"/>
                <w:b/>
                <w:bCs/>
                <w:color w:val="FFFFFF"/>
                <w:sz w:val="18"/>
                <w:szCs w:val="18"/>
              </w:rPr>
              <w:t>Reference</w:t>
            </w:r>
          </w:p>
          <w:p w:rsidR="00E86DD3" w:rsidRPr="00E86DD3" w:rsidRDefault="00E86DD3" w:rsidP="00E86DD3">
            <w:pPr>
              <w:spacing w:before="40" w:after="40" w:line="240" w:lineRule="auto"/>
              <w:jc w:val="center"/>
              <w:rPr>
                <w:rFonts w:ascii="Calibri" w:hAnsi="Calibri"/>
                <w:b/>
                <w:bCs/>
                <w:color w:val="FFFFFF"/>
                <w:sz w:val="18"/>
                <w:szCs w:val="18"/>
              </w:rPr>
            </w:pPr>
            <w:r w:rsidRPr="00E86DD3">
              <w:rPr>
                <w:rFonts w:ascii="Calibri" w:hAnsi="Calibri"/>
                <w:b/>
                <w:bCs/>
                <w:color w:val="FFFFFF"/>
                <w:sz w:val="18"/>
                <w:szCs w:val="18"/>
              </w:rPr>
              <w:t>Renewables Plus</w:t>
            </w:r>
          </w:p>
        </w:tc>
        <w:tc>
          <w:tcPr>
            <w:tcW w:w="1619" w:type="dxa"/>
            <w:shd w:val="clear" w:color="auto" w:fill="1795D2" w:themeFill="accent1"/>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b/>
                <w:bCs/>
                <w:color w:val="FFFFFF"/>
                <w:sz w:val="18"/>
                <w:szCs w:val="18"/>
              </w:rPr>
            </w:pPr>
            <w:r w:rsidRPr="00E86DD3">
              <w:rPr>
                <w:rFonts w:ascii="Calibri" w:hAnsi="Calibri"/>
                <w:b/>
                <w:bCs/>
                <w:color w:val="FFFFFF"/>
                <w:sz w:val="18"/>
                <w:szCs w:val="18"/>
              </w:rPr>
              <w:t>Scenario A</w:t>
            </w:r>
          </w:p>
          <w:p w:rsidR="00E86DD3" w:rsidRPr="00E86DD3" w:rsidRDefault="00E86DD3" w:rsidP="00E86DD3">
            <w:pPr>
              <w:spacing w:before="40" w:after="40" w:line="240" w:lineRule="auto"/>
              <w:jc w:val="center"/>
              <w:rPr>
                <w:rFonts w:ascii="Calibri" w:hAnsi="Calibri"/>
                <w:b/>
                <w:bCs/>
                <w:color w:val="FFFFFF"/>
                <w:sz w:val="18"/>
                <w:szCs w:val="18"/>
              </w:rPr>
            </w:pPr>
            <w:r w:rsidRPr="00E86DD3">
              <w:rPr>
                <w:rFonts w:ascii="Calibri" w:hAnsi="Calibri"/>
                <w:b/>
                <w:bCs/>
                <w:color w:val="FFFFFF"/>
                <w:sz w:val="18"/>
                <w:szCs w:val="18"/>
              </w:rPr>
              <w:t>EE + Offshore</w:t>
            </w:r>
          </w:p>
        </w:tc>
        <w:tc>
          <w:tcPr>
            <w:tcW w:w="1800" w:type="dxa"/>
            <w:shd w:val="clear" w:color="auto" w:fill="1795D2" w:themeFill="accent1"/>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b/>
                <w:bCs/>
                <w:color w:val="FFFFFF"/>
                <w:sz w:val="18"/>
                <w:szCs w:val="18"/>
              </w:rPr>
            </w:pPr>
            <w:r w:rsidRPr="00E86DD3">
              <w:rPr>
                <w:rFonts w:ascii="Calibri" w:hAnsi="Calibri"/>
                <w:b/>
                <w:bCs/>
                <w:color w:val="FFFFFF"/>
                <w:sz w:val="18"/>
                <w:szCs w:val="18"/>
              </w:rPr>
              <w:t>Scenario B</w:t>
            </w:r>
          </w:p>
          <w:p w:rsidR="00E86DD3" w:rsidRPr="00E86DD3" w:rsidRDefault="00E86DD3" w:rsidP="00E86DD3">
            <w:pPr>
              <w:spacing w:before="40" w:after="40" w:line="240" w:lineRule="auto"/>
              <w:jc w:val="center"/>
              <w:rPr>
                <w:rFonts w:ascii="Calibri" w:hAnsi="Calibri"/>
                <w:b/>
                <w:bCs/>
                <w:color w:val="FFFFFF"/>
                <w:sz w:val="18"/>
                <w:szCs w:val="18"/>
              </w:rPr>
            </w:pPr>
            <w:r w:rsidRPr="00E86DD3">
              <w:rPr>
                <w:rFonts w:ascii="Calibri" w:hAnsi="Calibri"/>
                <w:b/>
                <w:bCs/>
                <w:color w:val="FFFFFF"/>
                <w:sz w:val="18"/>
                <w:szCs w:val="18"/>
              </w:rPr>
              <w:t>Onshore Less EE/PV</w:t>
            </w:r>
          </w:p>
        </w:tc>
        <w:tc>
          <w:tcPr>
            <w:tcW w:w="1530" w:type="dxa"/>
            <w:shd w:val="clear" w:color="auto" w:fill="1795D2" w:themeFill="accent1"/>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b/>
                <w:bCs/>
                <w:color w:val="FFFFFF"/>
                <w:sz w:val="18"/>
                <w:szCs w:val="18"/>
              </w:rPr>
            </w:pPr>
            <w:r w:rsidRPr="00E86DD3">
              <w:rPr>
                <w:rFonts w:ascii="Calibri" w:hAnsi="Calibri"/>
                <w:b/>
                <w:bCs/>
                <w:color w:val="FFFFFF"/>
                <w:sz w:val="18"/>
                <w:szCs w:val="18"/>
              </w:rPr>
              <w:t>Scenario C</w:t>
            </w:r>
          </w:p>
          <w:p w:rsidR="00E86DD3" w:rsidRPr="00E86DD3" w:rsidRDefault="00AF6389" w:rsidP="00E86DD3">
            <w:pPr>
              <w:spacing w:before="40" w:after="40" w:line="240" w:lineRule="auto"/>
              <w:jc w:val="center"/>
              <w:rPr>
                <w:rFonts w:ascii="Calibri" w:hAnsi="Calibri"/>
                <w:b/>
                <w:bCs/>
                <w:color w:val="FFFFFF"/>
                <w:sz w:val="18"/>
                <w:szCs w:val="18"/>
              </w:rPr>
            </w:pPr>
            <w:r>
              <w:rPr>
                <w:rFonts w:ascii="Calibri" w:hAnsi="Calibri"/>
                <w:b/>
                <w:bCs/>
                <w:color w:val="FFFFFF"/>
                <w:sz w:val="18"/>
                <w:szCs w:val="18"/>
              </w:rPr>
              <w:t>Wind Less Nuclear</w:t>
            </w:r>
          </w:p>
        </w:tc>
      </w:tr>
      <w:tr w:rsidR="002C5910" w:rsidRPr="00E86DD3" w:rsidTr="000F66DF">
        <w:trPr>
          <w:trHeight w:val="490"/>
          <w:jc w:val="center"/>
        </w:trPr>
        <w:tc>
          <w:tcPr>
            <w:tcW w:w="2785" w:type="dxa"/>
            <w:shd w:val="clear" w:color="auto" w:fill="auto"/>
            <w:tcMar>
              <w:left w:w="115" w:type="dxa"/>
              <w:right w:w="115" w:type="dxa"/>
            </w:tcMar>
            <w:vAlign w:val="center"/>
            <w:hideMark/>
          </w:tcPr>
          <w:p w:rsidR="00E86DD3" w:rsidRPr="00E86DD3" w:rsidRDefault="00E86DD3" w:rsidP="000F66DF">
            <w:pPr>
              <w:adjustRightInd/>
              <w:spacing w:before="40" w:after="40" w:line="240" w:lineRule="auto"/>
              <w:textAlignment w:val="auto"/>
              <w:rPr>
                <w:rFonts w:ascii="Calibri" w:hAnsi="Calibri"/>
                <w:b/>
                <w:bCs/>
                <w:color w:val="000000"/>
                <w:sz w:val="18"/>
                <w:szCs w:val="18"/>
              </w:rPr>
            </w:pPr>
            <w:r w:rsidRPr="00E86DD3">
              <w:rPr>
                <w:rFonts w:ascii="Calibri" w:hAnsi="Calibri"/>
                <w:b/>
                <w:bCs/>
                <w:color w:val="000000"/>
                <w:sz w:val="18"/>
                <w:szCs w:val="18"/>
              </w:rPr>
              <w:t>2030 Maine nameplate wind injection</w:t>
            </w:r>
          </w:p>
        </w:tc>
        <w:tc>
          <w:tcPr>
            <w:tcW w:w="1621" w:type="dxa"/>
            <w:shd w:val="clear" w:color="auto" w:fill="auto"/>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3,652</w:t>
            </w:r>
          </w:p>
        </w:tc>
        <w:tc>
          <w:tcPr>
            <w:tcW w:w="1619" w:type="dxa"/>
            <w:shd w:val="clear" w:color="auto" w:fill="auto"/>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926</w:t>
            </w:r>
          </w:p>
        </w:tc>
        <w:tc>
          <w:tcPr>
            <w:tcW w:w="1800" w:type="dxa"/>
            <w:shd w:val="clear" w:color="auto" w:fill="auto"/>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5,743</w:t>
            </w:r>
          </w:p>
        </w:tc>
        <w:tc>
          <w:tcPr>
            <w:tcW w:w="1530" w:type="dxa"/>
            <w:shd w:val="clear" w:color="auto" w:fill="auto"/>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7,579</w:t>
            </w:r>
          </w:p>
        </w:tc>
      </w:tr>
      <w:tr w:rsidR="002C5910" w:rsidRPr="00E86DD3" w:rsidTr="000F66DF">
        <w:trPr>
          <w:trHeight w:val="490"/>
          <w:jc w:val="center"/>
        </w:trPr>
        <w:tc>
          <w:tcPr>
            <w:tcW w:w="2785" w:type="dxa"/>
            <w:shd w:val="clear" w:color="auto" w:fill="CCEAF9" w:themeFill="accent1" w:themeFillTint="33"/>
            <w:tcMar>
              <w:left w:w="115" w:type="dxa"/>
              <w:right w:w="115" w:type="dxa"/>
            </w:tcMar>
            <w:vAlign w:val="center"/>
            <w:hideMark/>
          </w:tcPr>
          <w:p w:rsidR="00E86DD3" w:rsidRPr="00E86DD3" w:rsidRDefault="00E86DD3" w:rsidP="000F66DF">
            <w:pPr>
              <w:adjustRightInd/>
              <w:spacing w:before="40" w:after="40" w:line="240" w:lineRule="auto"/>
              <w:textAlignment w:val="auto"/>
              <w:rPr>
                <w:rFonts w:ascii="Calibri" w:hAnsi="Calibri"/>
                <w:b/>
                <w:bCs/>
                <w:color w:val="000000"/>
                <w:sz w:val="18"/>
                <w:szCs w:val="18"/>
              </w:rPr>
            </w:pPr>
            <w:r w:rsidRPr="00E86DD3">
              <w:rPr>
                <w:rFonts w:ascii="Calibri" w:hAnsi="Calibri"/>
                <w:b/>
                <w:bCs/>
                <w:color w:val="000000"/>
                <w:sz w:val="18"/>
                <w:szCs w:val="18"/>
              </w:rPr>
              <w:t>Needed congestion-relief capacity</w:t>
            </w:r>
          </w:p>
        </w:tc>
        <w:tc>
          <w:tcPr>
            <w:tcW w:w="1621" w:type="dxa"/>
            <w:shd w:val="clear" w:color="auto" w:fill="CCEAF9" w:themeFill="accent1" w:themeFillTint="33"/>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1,839</w:t>
            </w:r>
          </w:p>
        </w:tc>
        <w:tc>
          <w:tcPr>
            <w:tcW w:w="1619" w:type="dxa"/>
            <w:shd w:val="clear" w:color="auto" w:fill="CCEAF9" w:themeFill="accent1" w:themeFillTint="33"/>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None</w:t>
            </w:r>
          </w:p>
        </w:tc>
        <w:tc>
          <w:tcPr>
            <w:tcW w:w="1800" w:type="dxa"/>
            <w:shd w:val="clear" w:color="auto" w:fill="CCEAF9" w:themeFill="accent1" w:themeFillTint="33"/>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3,524</w:t>
            </w:r>
          </w:p>
        </w:tc>
        <w:tc>
          <w:tcPr>
            <w:tcW w:w="1530" w:type="dxa"/>
            <w:shd w:val="clear" w:color="auto" w:fill="CCEAF9" w:themeFill="accent1" w:themeFillTint="33"/>
            <w:tcMar>
              <w:left w:w="115" w:type="dxa"/>
              <w:right w:w="115" w:type="dxa"/>
            </w:tcMar>
            <w:vAlign w:val="center"/>
            <w:hideMark/>
          </w:tcPr>
          <w:p w:rsidR="00E86DD3" w:rsidRPr="00E86DD3" w:rsidRDefault="00E86DD3" w:rsidP="00E86DD3">
            <w:pPr>
              <w:adjustRightInd/>
              <w:spacing w:before="40" w:after="40" w:line="240" w:lineRule="auto"/>
              <w:jc w:val="center"/>
              <w:textAlignment w:val="auto"/>
              <w:rPr>
                <w:rFonts w:ascii="Calibri" w:hAnsi="Calibri"/>
                <w:color w:val="000000"/>
                <w:sz w:val="18"/>
                <w:szCs w:val="18"/>
              </w:rPr>
            </w:pPr>
            <w:r w:rsidRPr="00E86DD3">
              <w:rPr>
                <w:rFonts w:ascii="Calibri" w:hAnsi="Calibri"/>
                <w:color w:val="000000"/>
                <w:sz w:val="18"/>
                <w:szCs w:val="18"/>
              </w:rPr>
              <w:t>4,870</w:t>
            </w:r>
          </w:p>
        </w:tc>
      </w:tr>
    </w:tbl>
    <w:p w:rsidR="000F66DF" w:rsidRDefault="000F66DF" w:rsidP="00995AFE"/>
    <w:p w:rsidR="00E029DC" w:rsidRDefault="00924C94" w:rsidP="00995AFE">
      <w:r>
        <w:t xml:space="preserve">A </w:t>
      </w:r>
      <w:r w:rsidR="000D1CBE">
        <w:t>number of</w:t>
      </w:r>
      <w:r w:rsidR="004C1096">
        <w:t xml:space="preserve"> high-level </w:t>
      </w:r>
      <w:r w:rsidR="000D1CBE">
        <w:t>assumptions were made with regard to the design and cost of the congestion</w:t>
      </w:r>
      <w:r w:rsidR="00832706">
        <w:t>-</w:t>
      </w:r>
      <w:r w:rsidR="000D1CBE">
        <w:t>relief system.</w:t>
      </w:r>
      <w:r w:rsidR="00867C2D">
        <w:t xml:space="preserve"> </w:t>
      </w:r>
      <w:r w:rsidR="00832706">
        <w:t>T</w:t>
      </w:r>
      <w:r w:rsidR="00867C2D">
        <w:t>he system w</w:t>
      </w:r>
      <w:r w:rsidR="00832706">
        <w:t xml:space="preserve">as assumed to </w:t>
      </w:r>
      <w:r w:rsidR="00867C2D">
        <w:t>be</w:t>
      </w:r>
      <w:r w:rsidR="00832706">
        <w:t xml:space="preserve"> </w:t>
      </w:r>
      <w:r w:rsidR="00867C2D">
        <w:t xml:space="preserve">composed </w:t>
      </w:r>
      <w:r w:rsidR="004C0361">
        <w:t xml:space="preserve">primarily </w:t>
      </w:r>
      <w:r w:rsidR="00867C2D">
        <w:t>of a</w:t>
      </w:r>
      <w:r w:rsidR="004C0361">
        <w:t>n HV</w:t>
      </w:r>
      <w:r w:rsidR="00867C2D">
        <w:t xml:space="preserve">DC portion (parallel HVDC ties) and </w:t>
      </w:r>
      <w:r w:rsidR="004C0361">
        <w:t>also include</w:t>
      </w:r>
      <w:r w:rsidR="00867C2D">
        <w:t xml:space="preserve"> AC ancillary upgrades</w:t>
      </w:r>
      <w:r w:rsidR="00867C2D" w:rsidRPr="00326ACC">
        <w:t xml:space="preserve">. </w:t>
      </w:r>
      <w:r w:rsidR="002F2390" w:rsidRPr="00326ACC">
        <w:fldChar w:fldCharType="begin"/>
      </w:r>
      <w:r w:rsidR="002F2390" w:rsidRPr="00326ACC">
        <w:instrText xml:space="preserve"> REF _Ref480807975 \h </w:instrText>
      </w:r>
      <w:r w:rsidR="00CC7F61" w:rsidRPr="00326ACC">
        <w:instrText xml:space="preserve"> \* MERGEFORMAT </w:instrText>
      </w:r>
      <w:r w:rsidR="002F2390" w:rsidRPr="00326ACC">
        <w:fldChar w:fldCharType="separate"/>
      </w:r>
      <w:r w:rsidR="00872A95">
        <w:t xml:space="preserve">Table </w:t>
      </w:r>
      <w:r w:rsidR="00872A95">
        <w:rPr>
          <w:noProof/>
        </w:rPr>
        <w:t>5</w:t>
      </w:r>
      <w:r w:rsidR="00872A95">
        <w:rPr>
          <w:noProof/>
        </w:rPr>
        <w:noBreakHyphen/>
        <w:t>18</w:t>
      </w:r>
      <w:r w:rsidR="002F2390" w:rsidRPr="00326ACC">
        <w:fldChar w:fldCharType="end"/>
      </w:r>
      <w:r w:rsidR="002F2390">
        <w:t xml:space="preserve"> shows t</w:t>
      </w:r>
      <w:r w:rsidR="003A1309">
        <w:t>he detailed components of the main DC portion and AC anci</w:t>
      </w:r>
      <w:r w:rsidR="004C1096">
        <w:t>llary upgrades</w:t>
      </w:r>
      <w:r w:rsidR="002F2390">
        <w:t>,</w:t>
      </w:r>
      <w:r w:rsidR="004C1096">
        <w:t xml:space="preserve"> </w:t>
      </w:r>
      <w:r w:rsidR="004D4E9C">
        <w:t>the</w:t>
      </w:r>
      <w:r w:rsidR="004C1096">
        <w:t xml:space="preserve"> assumed cost of each component</w:t>
      </w:r>
      <w:r w:rsidR="002F2390">
        <w:t xml:space="preserve">, </w:t>
      </w:r>
      <w:r w:rsidR="004C1096">
        <w:t>and the aggregated totals in each scenario.</w:t>
      </w:r>
    </w:p>
    <w:p w:rsidR="008C70BA" w:rsidRDefault="008C70BA" w:rsidP="00995AFE"/>
    <w:p w:rsidR="00F84306" w:rsidRDefault="00F84306" w:rsidP="00995AFE">
      <w:pPr>
        <w:sectPr w:rsidR="00F84306" w:rsidSect="00C40A1D">
          <w:footerReference w:type="default" r:id="rId42"/>
          <w:pgSz w:w="12240" w:h="15840" w:code="1"/>
          <w:pgMar w:top="1440" w:right="1440" w:bottom="1440" w:left="1440" w:header="720" w:footer="720" w:gutter="0"/>
          <w:cols w:space="720"/>
          <w:docGrid w:linePitch="360"/>
        </w:sectPr>
      </w:pPr>
    </w:p>
    <w:p w:rsidR="002C5910" w:rsidRDefault="00C73A12" w:rsidP="002C5910">
      <w:pPr>
        <w:pStyle w:val="Caption"/>
        <w:jc w:val="center"/>
      </w:pPr>
      <w:bookmarkStart w:id="193" w:name="_Ref480807975"/>
      <w:bookmarkStart w:id="194" w:name="_Toc520721033"/>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18</w:t>
      </w:r>
      <w:r w:rsidR="00EA3757">
        <w:rPr>
          <w:noProof/>
        </w:rPr>
        <w:fldChar w:fldCharType="end"/>
      </w:r>
      <w:bookmarkEnd w:id="193"/>
      <w:r w:rsidR="00832706" w:rsidRPr="009D20B2">
        <w:rPr>
          <w:color w:val="62777F" w:themeColor="text1"/>
        </w:rPr>
        <w:br/>
      </w:r>
      <w:r w:rsidR="00832706" w:rsidRPr="00C5396D">
        <w:t>D</w:t>
      </w:r>
      <w:r w:rsidR="004D4E9C" w:rsidRPr="00C5396D">
        <w:t xml:space="preserve">etailed </w:t>
      </w:r>
      <w:r w:rsidR="00832706" w:rsidRPr="00C5396D">
        <w:t>C</w:t>
      </w:r>
      <w:r w:rsidR="004D4E9C" w:rsidRPr="00C5396D">
        <w:t>ongestion</w:t>
      </w:r>
      <w:r w:rsidR="00832706" w:rsidRPr="00C5396D">
        <w:t>-R</w:t>
      </w:r>
      <w:r w:rsidR="004D4E9C" w:rsidRPr="00C5396D">
        <w:t xml:space="preserve">elief </w:t>
      </w:r>
      <w:r w:rsidR="004B7348" w:rsidRPr="00C5396D">
        <w:t xml:space="preserve">System </w:t>
      </w:r>
      <w:r w:rsidR="00832706" w:rsidRPr="00C5396D">
        <w:t>C</w:t>
      </w:r>
      <w:r w:rsidR="004D4E9C" w:rsidRPr="00C5396D">
        <w:t xml:space="preserve">omponents and </w:t>
      </w:r>
      <w:r w:rsidR="00832706" w:rsidRPr="00C5396D">
        <w:t>T</w:t>
      </w:r>
      <w:r w:rsidR="004D4E9C" w:rsidRPr="00C5396D">
        <w:t xml:space="preserve">heir </w:t>
      </w:r>
      <w:r w:rsidR="00832706" w:rsidRPr="00C5396D">
        <w:t>A</w:t>
      </w:r>
      <w:r w:rsidR="004D4E9C" w:rsidRPr="00C5396D">
        <w:t xml:space="preserve">ssumed </w:t>
      </w:r>
      <w:r w:rsidR="00832706" w:rsidRPr="00C5396D">
        <w:t>C</w:t>
      </w:r>
      <w:r w:rsidR="004D4E9C" w:rsidRPr="00C5396D">
        <w:t>osts</w:t>
      </w:r>
      <w:r w:rsidR="00DB64CB" w:rsidRPr="00C5396D">
        <w:t xml:space="preserve"> for </w:t>
      </w:r>
      <w:r w:rsidR="008D3905" w:rsidRPr="00C5396D">
        <w:t xml:space="preserve">the Renew Plus, Onshore Less EE/PV, and </w:t>
      </w:r>
      <w:r w:rsidR="00AF6389">
        <w:t>Wind Less Nuclear</w:t>
      </w:r>
      <w:r w:rsidR="008D3905" w:rsidRPr="00C5396D">
        <w:t xml:space="preserve"> </w:t>
      </w:r>
      <w:r w:rsidR="00832706" w:rsidRPr="00C5396D">
        <w:t>S</w:t>
      </w:r>
      <w:r w:rsidR="00DB64CB" w:rsidRPr="00C5396D">
        <w:t>cenarios</w:t>
      </w:r>
      <w:r w:rsidR="006B0A3B" w:rsidRPr="00C5396D">
        <w:rPr>
          <w:vertAlign w:val="superscript"/>
        </w:rPr>
        <w:t>(a)</w:t>
      </w:r>
      <w:bookmarkEnd w:id="194"/>
    </w:p>
    <w:tbl>
      <w:tblPr>
        <w:tblW w:w="139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27"/>
        <w:gridCol w:w="2250"/>
        <w:gridCol w:w="1713"/>
        <w:gridCol w:w="1440"/>
        <w:gridCol w:w="1710"/>
        <w:gridCol w:w="1440"/>
        <w:gridCol w:w="1620"/>
        <w:gridCol w:w="1350"/>
      </w:tblGrid>
      <w:tr w:rsidR="0067732D" w:rsidRPr="00D26E28" w:rsidTr="00C5396D">
        <w:trPr>
          <w:trHeight w:val="490"/>
          <w:jc w:val="center"/>
        </w:trPr>
        <w:tc>
          <w:tcPr>
            <w:tcW w:w="4677" w:type="dxa"/>
            <w:gridSpan w:val="2"/>
            <w:shd w:val="clear" w:color="auto" w:fill="1795D2" w:themeFill="accent1"/>
            <w:tcMar>
              <w:left w:w="58" w:type="dxa"/>
              <w:right w:w="58" w:type="dxa"/>
            </w:tcMar>
            <w:vAlign w:val="center"/>
          </w:tcPr>
          <w:p w:rsidR="0055500F" w:rsidRPr="00D26E28" w:rsidRDefault="0055500F"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Congestion-Relief System</w:t>
            </w:r>
          </w:p>
        </w:tc>
        <w:tc>
          <w:tcPr>
            <w:tcW w:w="3153" w:type="dxa"/>
            <w:gridSpan w:val="2"/>
            <w:shd w:val="clear" w:color="auto" w:fill="1795D2" w:themeFill="accent1"/>
            <w:tcMar>
              <w:left w:w="58" w:type="dxa"/>
              <w:right w:w="58" w:type="dxa"/>
            </w:tcMar>
            <w:vAlign w:val="center"/>
          </w:tcPr>
          <w:p w:rsidR="0055500F" w:rsidRPr="00D26E28" w:rsidRDefault="0055500F"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Reference—Renewables Plus</w:t>
            </w:r>
            <w:r w:rsidR="00D26E28">
              <w:rPr>
                <w:rFonts w:asciiTheme="majorHAnsi" w:hAnsiTheme="majorHAnsi"/>
                <w:b/>
                <w:bCs/>
                <w:color w:val="FFFFFF"/>
                <w:sz w:val="18"/>
                <w:szCs w:val="18"/>
              </w:rPr>
              <w:br/>
            </w:r>
            <w:r w:rsidRPr="00D26E28">
              <w:rPr>
                <w:rFonts w:asciiTheme="majorHAnsi" w:hAnsiTheme="majorHAnsi"/>
                <w:b/>
                <w:bCs/>
                <w:color w:val="FFFFFF"/>
                <w:sz w:val="18"/>
                <w:szCs w:val="18"/>
              </w:rPr>
              <w:t>1,839 MW (2 HVDC Ties)</w:t>
            </w:r>
          </w:p>
        </w:tc>
        <w:tc>
          <w:tcPr>
            <w:tcW w:w="3150" w:type="dxa"/>
            <w:gridSpan w:val="2"/>
            <w:shd w:val="clear" w:color="auto" w:fill="1795D2" w:themeFill="accent1"/>
            <w:tcMar>
              <w:left w:w="58" w:type="dxa"/>
              <w:right w:w="58" w:type="dxa"/>
            </w:tcMar>
            <w:vAlign w:val="center"/>
          </w:tcPr>
          <w:p w:rsidR="0055500F" w:rsidRPr="00D26E28" w:rsidRDefault="0055500F"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Scenario B—Onshore Less EE/PV</w:t>
            </w:r>
            <w:r w:rsidR="00D26E28">
              <w:rPr>
                <w:rFonts w:asciiTheme="majorHAnsi" w:hAnsiTheme="majorHAnsi"/>
                <w:b/>
                <w:bCs/>
                <w:color w:val="FFFFFF"/>
                <w:sz w:val="18"/>
                <w:szCs w:val="18"/>
              </w:rPr>
              <w:br/>
            </w:r>
            <w:r w:rsidRPr="00D26E28">
              <w:rPr>
                <w:rFonts w:asciiTheme="majorHAnsi" w:hAnsiTheme="majorHAnsi"/>
                <w:b/>
                <w:bCs/>
                <w:color w:val="FFFFFF"/>
                <w:sz w:val="18"/>
                <w:szCs w:val="18"/>
              </w:rPr>
              <w:t>3,524 MW (3 HVDC Ties)</w:t>
            </w:r>
          </w:p>
        </w:tc>
        <w:tc>
          <w:tcPr>
            <w:tcW w:w="2970" w:type="dxa"/>
            <w:gridSpan w:val="2"/>
            <w:shd w:val="clear" w:color="auto" w:fill="1795D2" w:themeFill="accent1"/>
            <w:tcMar>
              <w:left w:w="58" w:type="dxa"/>
              <w:right w:w="58" w:type="dxa"/>
            </w:tcMar>
            <w:vAlign w:val="center"/>
          </w:tcPr>
          <w:p w:rsidR="0055500F" w:rsidRPr="00D26E28" w:rsidRDefault="0055500F"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Scenario C—</w:t>
            </w:r>
            <w:r w:rsidR="00AF6389">
              <w:rPr>
                <w:rFonts w:asciiTheme="majorHAnsi" w:hAnsiTheme="majorHAnsi"/>
                <w:b/>
                <w:bCs/>
                <w:color w:val="FFFFFF"/>
                <w:sz w:val="18"/>
                <w:szCs w:val="18"/>
              </w:rPr>
              <w:t>Wind Less Nuclear</w:t>
            </w:r>
            <w:r w:rsidR="00D26E28">
              <w:rPr>
                <w:rFonts w:asciiTheme="majorHAnsi" w:hAnsiTheme="majorHAnsi"/>
                <w:b/>
                <w:bCs/>
                <w:color w:val="FFFFFF"/>
                <w:sz w:val="18"/>
                <w:szCs w:val="18"/>
              </w:rPr>
              <w:br/>
            </w:r>
            <w:r w:rsidRPr="00D26E28">
              <w:rPr>
                <w:rFonts w:asciiTheme="majorHAnsi" w:hAnsiTheme="majorHAnsi"/>
                <w:b/>
                <w:bCs/>
                <w:color w:val="FFFFFF"/>
                <w:sz w:val="18"/>
                <w:szCs w:val="18"/>
              </w:rPr>
              <w:t>4,870 MW (4 HVDC Ties)</w:t>
            </w:r>
          </w:p>
        </w:tc>
      </w:tr>
      <w:tr w:rsidR="00DB7C8F" w:rsidRPr="00D26E28" w:rsidTr="00C5396D">
        <w:trPr>
          <w:trHeight w:val="396"/>
          <w:jc w:val="center"/>
        </w:trPr>
        <w:tc>
          <w:tcPr>
            <w:tcW w:w="2427" w:type="dxa"/>
            <w:shd w:val="clear" w:color="auto" w:fill="1795D2" w:themeFill="accent1"/>
            <w:tcMar>
              <w:left w:w="58" w:type="dxa"/>
              <w:right w:w="58" w:type="dxa"/>
            </w:tcMar>
            <w:vAlign w:val="center"/>
            <w:hideMark/>
          </w:tcPr>
          <w:p w:rsidR="00E029DC" w:rsidRPr="00D26E28" w:rsidRDefault="00E029DC"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Equipment</w:t>
            </w:r>
          </w:p>
        </w:tc>
        <w:tc>
          <w:tcPr>
            <w:tcW w:w="2250" w:type="dxa"/>
            <w:shd w:val="clear" w:color="auto" w:fill="1795D2" w:themeFill="accent1"/>
            <w:tcMar>
              <w:left w:w="58" w:type="dxa"/>
              <w:right w:w="58" w:type="dxa"/>
            </w:tcMar>
            <w:vAlign w:val="center"/>
            <w:hideMark/>
          </w:tcPr>
          <w:p w:rsidR="00E029DC" w:rsidRPr="00D26E28" w:rsidRDefault="00E029DC"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per unit</w:t>
            </w:r>
          </w:p>
        </w:tc>
        <w:tc>
          <w:tcPr>
            <w:tcW w:w="1713" w:type="dxa"/>
            <w:shd w:val="clear" w:color="auto" w:fill="1795D2" w:themeFill="accent1"/>
            <w:tcMar>
              <w:left w:w="58" w:type="dxa"/>
              <w:right w:w="58" w:type="dxa"/>
            </w:tcMar>
            <w:vAlign w:val="center"/>
            <w:hideMark/>
          </w:tcPr>
          <w:p w:rsidR="00E029DC" w:rsidRPr="00D26E28" w:rsidRDefault="00E029DC"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Quantities</w:t>
            </w:r>
          </w:p>
        </w:tc>
        <w:tc>
          <w:tcPr>
            <w:tcW w:w="1440" w:type="dxa"/>
            <w:shd w:val="clear" w:color="auto" w:fill="1795D2" w:themeFill="accent1"/>
            <w:tcMar>
              <w:left w:w="58" w:type="dxa"/>
              <w:right w:w="58" w:type="dxa"/>
            </w:tcMar>
            <w:vAlign w:val="center"/>
            <w:hideMark/>
          </w:tcPr>
          <w:p w:rsidR="00E029DC" w:rsidRPr="00D26E28" w:rsidRDefault="00E029DC"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Total $</w:t>
            </w:r>
            <w:r w:rsidR="0067732D">
              <w:rPr>
                <w:rFonts w:asciiTheme="majorHAnsi" w:hAnsiTheme="majorHAnsi"/>
                <w:b/>
                <w:bCs/>
                <w:color w:val="FFFFFF"/>
                <w:sz w:val="18"/>
                <w:szCs w:val="18"/>
              </w:rPr>
              <w:t xml:space="preserve"> </w:t>
            </w:r>
            <w:r w:rsidRPr="00D26E28">
              <w:rPr>
                <w:rFonts w:asciiTheme="majorHAnsi" w:hAnsiTheme="majorHAnsi"/>
                <w:b/>
                <w:bCs/>
                <w:color w:val="FFFFFF"/>
                <w:sz w:val="18"/>
                <w:szCs w:val="18"/>
              </w:rPr>
              <w:t>(billions)</w:t>
            </w:r>
          </w:p>
        </w:tc>
        <w:tc>
          <w:tcPr>
            <w:tcW w:w="1710" w:type="dxa"/>
            <w:shd w:val="clear" w:color="auto" w:fill="1795D2" w:themeFill="accent1"/>
            <w:tcMar>
              <w:left w:w="58" w:type="dxa"/>
              <w:right w:w="58" w:type="dxa"/>
            </w:tcMar>
            <w:vAlign w:val="center"/>
            <w:hideMark/>
          </w:tcPr>
          <w:p w:rsidR="00E029DC" w:rsidRPr="00D26E28" w:rsidRDefault="00E029DC"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Quantities</w:t>
            </w:r>
          </w:p>
        </w:tc>
        <w:tc>
          <w:tcPr>
            <w:tcW w:w="1440" w:type="dxa"/>
            <w:shd w:val="clear" w:color="auto" w:fill="1795D2" w:themeFill="accent1"/>
            <w:tcMar>
              <w:left w:w="58" w:type="dxa"/>
              <w:right w:w="58" w:type="dxa"/>
            </w:tcMar>
            <w:vAlign w:val="center"/>
            <w:hideMark/>
          </w:tcPr>
          <w:p w:rsidR="00E029DC" w:rsidRPr="00D26E28" w:rsidRDefault="00E029DC"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Total $</w:t>
            </w:r>
            <w:r w:rsidR="0067732D">
              <w:rPr>
                <w:rFonts w:asciiTheme="majorHAnsi" w:hAnsiTheme="majorHAnsi"/>
                <w:b/>
                <w:bCs/>
                <w:color w:val="FFFFFF"/>
                <w:sz w:val="18"/>
                <w:szCs w:val="18"/>
              </w:rPr>
              <w:t xml:space="preserve"> </w:t>
            </w:r>
            <w:r w:rsidRPr="00D26E28">
              <w:rPr>
                <w:rFonts w:asciiTheme="majorHAnsi" w:hAnsiTheme="majorHAnsi"/>
                <w:b/>
                <w:bCs/>
                <w:color w:val="FFFFFF"/>
                <w:sz w:val="18"/>
                <w:szCs w:val="18"/>
              </w:rPr>
              <w:t>(billions)</w:t>
            </w:r>
          </w:p>
        </w:tc>
        <w:tc>
          <w:tcPr>
            <w:tcW w:w="1620" w:type="dxa"/>
            <w:shd w:val="clear" w:color="auto" w:fill="1795D2" w:themeFill="accent1"/>
            <w:tcMar>
              <w:left w:w="58" w:type="dxa"/>
              <w:right w:w="58" w:type="dxa"/>
            </w:tcMar>
            <w:vAlign w:val="center"/>
            <w:hideMark/>
          </w:tcPr>
          <w:p w:rsidR="00E029DC" w:rsidRPr="00D26E28" w:rsidRDefault="00E029DC"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Quantities</w:t>
            </w:r>
          </w:p>
        </w:tc>
        <w:tc>
          <w:tcPr>
            <w:tcW w:w="1350" w:type="dxa"/>
            <w:shd w:val="clear" w:color="auto" w:fill="1795D2" w:themeFill="accent1"/>
            <w:tcMar>
              <w:left w:w="58" w:type="dxa"/>
              <w:right w:w="58" w:type="dxa"/>
            </w:tcMar>
            <w:vAlign w:val="center"/>
            <w:hideMark/>
          </w:tcPr>
          <w:p w:rsidR="00E029DC" w:rsidRPr="00D26E28" w:rsidRDefault="00E029DC" w:rsidP="0067732D">
            <w:pPr>
              <w:spacing w:before="20" w:after="20" w:line="240" w:lineRule="auto"/>
              <w:jc w:val="center"/>
              <w:rPr>
                <w:rFonts w:asciiTheme="majorHAnsi" w:hAnsiTheme="majorHAnsi"/>
                <w:b/>
                <w:bCs/>
                <w:color w:val="FFFFFF"/>
                <w:sz w:val="18"/>
                <w:szCs w:val="18"/>
              </w:rPr>
            </w:pPr>
            <w:r w:rsidRPr="00D26E28">
              <w:rPr>
                <w:rFonts w:asciiTheme="majorHAnsi" w:hAnsiTheme="majorHAnsi"/>
                <w:b/>
                <w:bCs/>
                <w:color w:val="FFFFFF"/>
                <w:sz w:val="18"/>
                <w:szCs w:val="18"/>
              </w:rPr>
              <w:t>Total $</w:t>
            </w:r>
            <w:r w:rsidR="0067732D">
              <w:rPr>
                <w:rFonts w:asciiTheme="majorHAnsi" w:hAnsiTheme="majorHAnsi"/>
                <w:b/>
                <w:bCs/>
                <w:color w:val="FFFFFF"/>
                <w:sz w:val="18"/>
                <w:szCs w:val="18"/>
              </w:rPr>
              <w:t xml:space="preserve"> </w:t>
            </w:r>
            <w:r w:rsidRPr="00D26E28">
              <w:rPr>
                <w:rFonts w:asciiTheme="majorHAnsi" w:hAnsiTheme="majorHAnsi"/>
                <w:b/>
                <w:bCs/>
                <w:color w:val="FFFFFF"/>
                <w:sz w:val="18"/>
                <w:szCs w:val="18"/>
              </w:rPr>
              <w:t>(billions)</w:t>
            </w:r>
          </w:p>
        </w:tc>
      </w:tr>
      <w:tr w:rsidR="00D26E28" w:rsidRPr="00D26E28" w:rsidTr="00C5396D">
        <w:trPr>
          <w:trHeight w:val="144"/>
          <w:jc w:val="center"/>
        </w:trPr>
        <w:tc>
          <w:tcPr>
            <w:tcW w:w="13950" w:type="dxa"/>
            <w:gridSpan w:val="8"/>
            <w:shd w:val="clear" w:color="auto" w:fill="9AD6F4" w:themeFill="accent1" w:themeFillTint="66"/>
            <w:tcMar>
              <w:left w:w="58" w:type="dxa"/>
              <w:right w:w="58" w:type="dxa"/>
            </w:tcMar>
            <w:vAlign w:val="center"/>
            <w:hideMark/>
          </w:tcPr>
          <w:p w:rsidR="00E029DC" w:rsidRPr="00D26E28" w:rsidRDefault="00E029DC"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DC portion</w:t>
            </w:r>
          </w:p>
        </w:tc>
      </w:tr>
      <w:tr w:rsidR="00DB7C8F" w:rsidRPr="00D26E28" w:rsidTr="00C5396D">
        <w:trPr>
          <w:trHeight w:val="499"/>
          <w:jc w:val="center"/>
        </w:trPr>
        <w:tc>
          <w:tcPr>
            <w:tcW w:w="2427"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HVDC overhead lines</w:t>
            </w:r>
          </w:p>
        </w:tc>
        <w:tc>
          <w:tcPr>
            <w:tcW w:w="225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$3.5 million/mi</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2 × 200 = 400 mi.</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$1.40 </w:t>
            </w:r>
          </w:p>
        </w:tc>
        <w:tc>
          <w:tcPr>
            <w:tcW w:w="171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 xml:space="preserve">(2 × 400) + </w:t>
            </w:r>
            <w:r w:rsidR="0067732D">
              <w:rPr>
                <w:rFonts w:asciiTheme="majorHAnsi" w:hAnsiTheme="majorHAnsi"/>
                <w:color w:val="000000"/>
                <w:sz w:val="18"/>
                <w:szCs w:val="18"/>
              </w:rPr>
              <w:br/>
            </w:r>
            <w:r w:rsidRPr="00D26E28">
              <w:rPr>
                <w:rFonts w:asciiTheme="majorHAnsi" w:hAnsiTheme="majorHAnsi"/>
                <w:color w:val="000000"/>
                <w:sz w:val="18"/>
                <w:szCs w:val="18"/>
              </w:rPr>
              <w:t>( 1 × 300) = 1,100 mi.</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$3.85 </w:t>
            </w:r>
          </w:p>
        </w:tc>
        <w:tc>
          <w:tcPr>
            <w:tcW w:w="162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(2 × 400) + ( 2 × 300) = 1,400 mi.</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$4.90 </w:t>
            </w:r>
          </w:p>
        </w:tc>
      </w:tr>
      <w:tr w:rsidR="00DB7C8F" w:rsidRPr="00D26E28" w:rsidTr="002D3A86">
        <w:trPr>
          <w:trHeight w:val="265"/>
          <w:jc w:val="center"/>
        </w:trPr>
        <w:tc>
          <w:tcPr>
            <w:tcW w:w="2427"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Converters</w:t>
            </w:r>
          </w:p>
        </w:tc>
        <w:tc>
          <w:tcPr>
            <w:tcW w:w="225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$300 million/converter</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4</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$1.20 </w:t>
            </w:r>
          </w:p>
        </w:tc>
        <w:tc>
          <w:tcPr>
            <w:tcW w:w="171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6</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$1.80 </w:t>
            </w:r>
          </w:p>
        </w:tc>
        <w:tc>
          <w:tcPr>
            <w:tcW w:w="162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8</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$2.40 </w:t>
            </w:r>
          </w:p>
        </w:tc>
      </w:tr>
      <w:tr w:rsidR="00DB7C8F" w:rsidRPr="00D26E28" w:rsidTr="002D3A86">
        <w:trPr>
          <w:trHeight w:val="355"/>
          <w:jc w:val="center"/>
        </w:trPr>
        <w:tc>
          <w:tcPr>
            <w:tcW w:w="2427"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Misc. DC additional equipment</w:t>
            </w:r>
          </w:p>
        </w:tc>
        <w:tc>
          <w:tcPr>
            <w:tcW w:w="225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$200 million/tie</w:t>
            </w:r>
          </w:p>
        </w:tc>
        <w:tc>
          <w:tcPr>
            <w:tcW w:w="1713"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2</w:t>
            </w:r>
          </w:p>
        </w:tc>
        <w:tc>
          <w:tcPr>
            <w:tcW w:w="144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$0.40 </w:t>
            </w:r>
          </w:p>
        </w:tc>
        <w:tc>
          <w:tcPr>
            <w:tcW w:w="171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3</w:t>
            </w:r>
          </w:p>
        </w:tc>
        <w:tc>
          <w:tcPr>
            <w:tcW w:w="144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$0.60 </w:t>
            </w:r>
          </w:p>
        </w:tc>
        <w:tc>
          <w:tcPr>
            <w:tcW w:w="162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4</w:t>
            </w:r>
          </w:p>
        </w:tc>
        <w:tc>
          <w:tcPr>
            <w:tcW w:w="135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$0.80 </w:t>
            </w:r>
          </w:p>
        </w:tc>
      </w:tr>
      <w:tr w:rsidR="00C5396D" w:rsidRPr="00D26E28" w:rsidTr="002D3A86">
        <w:trPr>
          <w:trHeight w:val="229"/>
          <w:jc w:val="center"/>
        </w:trPr>
        <w:tc>
          <w:tcPr>
            <w:tcW w:w="2427"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Total DC portion</w:t>
            </w:r>
          </w:p>
        </w:tc>
        <w:tc>
          <w:tcPr>
            <w:tcW w:w="225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713"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$3.00 </w:t>
            </w:r>
          </w:p>
        </w:tc>
        <w:tc>
          <w:tcPr>
            <w:tcW w:w="171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$6.25 </w:t>
            </w:r>
          </w:p>
        </w:tc>
        <w:tc>
          <w:tcPr>
            <w:tcW w:w="162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35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$8.10 </w:t>
            </w:r>
          </w:p>
        </w:tc>
      </w:tr>
      <w:tr w:rsidR="00DB7C8F" w:rsidRPr="00D26E28" w:rsidTr="00C5396D">
        <w:trPr>
          <w:trHeight w:val="144"/>
          <w:jc w:val="center"/>
        </w:trPr>
        <w:tc>
          <w:tcPr>
            <w:tcW w:w="13950" w:type="dxa"/>
            <w:gridSpan w:val="8"/>
            <w:shd w:val="clear" w:color="auto" w:fill="9AD6F4" w:themeFill="accent1" w:themeFillTint="66"/>
            <w:tcMar>
              <w:left w:w="58" w:type="dxa"/>
              <w:right w:w="58" w:type="dxa"/>
            </w:tcMar>
            <w:vAlign w:val="center"/>
            <w:hideMark/>
          </w:tcPr>
          <w:p w:rsidR="00E029DC" w:rsidRPr="00D26E28" w:rsidRDefault="00E029DC"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AC portion</w:t>
            </w:r>
          </w:p>
        </w:tc>
      </w:tr>
      <w:tr w:rsidR="00DB7C8F" w:rsidRPr="00D26E28" w:rsidTr="00C5396D">
        <w:trPr>
          <w:trHeight w:val="659"/>
          <w:jc w:val="center"/>
        </w:trPr>
        <w:tc>
          <w:tcPr>
            <w:tcW w:w="2427" w:type="dxa"/>
            <w:shd w:val="clear" w:color="auto" w:fill="auto"/>
            <w:tcMar>
              <w:left w:w="58" w:type="dxa"/>
              <w:right w:w="58" w:type="dxa"/>
            </w:tcMar>
            <w:vAlign w:val="center"/>
            <w:hideMark/>
          </w:tcPr>
          <w:p w:rsidR="00D26E28" w:rsidRPr="00D26E28" w:rsidRDefault="00D26E28" w:rsidP="00C5396D">
            <w:pPr>
              <w:spacing w:before="20" w:after="20" w:line="240" w:lineRule="auto"/>
              <w:rPr>
                <w:rFonts w:asciiTheme="majorHAnsi" w:hAnsiTheme="majorHAnsi"/>
                <w:b/>
                <w:bCs/>
                <w:color w:val="000000"/>
                <w:sz w:val="18"/>
                <w:szCs w:val="18"/>
              </w:rPr>
            </w:pPr>
            <w:r w:rsidRPr="00D26E28">
              <w:rPr>
                <w:rFonts w:asciiTheme="majorHAnsi" w:hAnsiTheme="majorHAnsi"/>
                <w:b/>
                <w:bCs/>
                <w:color w:val="000000"/>
                <w:sz w:val="18"/>
                <w:szCs w:val="18"/>
              </w:rPr>
              <w:t>Sending end—reactive devices</w:t>
            </w:r>
          </w:p>
        </w:tc>
        <w:tc>
          <w:tcPr>
            <w:tcW w:w="22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$0.25 million/MVAR</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(included in integrator system)</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71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Approx. 1/3 × 3,600 = 1,200 MVAR</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$0.30 </w:t>
            </w:r>
          </w:p>
        </w:tc>
        <w:tc>
          <w:tcPr>
            <w:tcW w:w="162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Approx. 1/3 × 4,800 = 1,600 MVAR</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$0.40 </w:t>
            </w:r>
          </w:p>
        </w:tc>
      </w:tr>
      <w:tr w:rsidR="00DB7C8F" w:rsidRPr="00D26E28" w:rsidTr="00C5396D">
        <w:trPr>
          <w:trHeight w:val="787"/>
          <w:jc w:val="center"/>
        </w:trPr>
        <w:tc>
          <w:tcPr>
            <w:tcW w:w="2427" w:type="dxa"/>
            <w:shd w:val="clear" w:color="auto" w:fill="auto"/>
            <w:tcMar>
              <w:left w:w="58" w:type="dxa"/>
              <w:right w:w="58" w:type="dxa"/>
            </w:tcMar>
            <w:vAlign w:val="center"/>
            <w:hideMark/>
          </w:tcPr>
          <w:p w:rsidR="00D26E28" w:rsidRPr="00D26E28" w:rsidRDefault="00D26E28" w:rsidP="00C5396D">
            <w:pPr>
              <w:spacing w:before="20" w:after="20" w:line="240" w:lineRule="auto"/>
              <w:rPr>
                <w:rFonts w:asciiTheme="majorHAnsi" w:hAnsiTheme="majorHAnsi"/>
                <w:b/>
                <w:bCs/>
                <w:color w:val="000000"/>
                <w:sz w:val="18"/>
                <w:szCs w:val="18"/>
              </w:rPr>
            </w:pPr>
            <w:r w:rsidRPr="00D26E28">
              <w:rPr>
                <w:rFonts w:asciiTheme="majorHAnsi" w:hAnsiTheme="majorHAnsi"/>
                <w:b/>
                <w:bCs/>
                <w:color w:val="000000"/>
                <w:sz w:val="18"/>
                <w:szCs w:val="18"/>
              </w:rPr>
              <w:t>Sending end—</w:t>
            </w:r>
            <w:r w:rsidR="002D3A86">
              <w:rPr>
                <w:rFonts w:asciiTheme="majorHAnsi" w:hAnsiTheme="majorHAnsi"/>
                <w:b/>
                <w:bCs/>
                <w:color w:val="000000"/>
                <w:sz w:val="18"/>
                <w:szCs w:val="18"/>
              </w:rPr>
              <w:br/>
            </w:r>
            <w:r w:rsidRPr="00D26E28">
              <w:rPr>
                <w:rFonts w:asciiTheme="majorHAnsi" w:hAnsiTheme="majorHAnsi"/>
                <w:b/>
                <w:bCs/>
                <w:color w:val="000000"/>
                <w:sz w:val="18"/>
                <w:szCs w:val="18"/>
              </w:rPr>
              <w:t>AC terminations</w:t>
            </w:r>
            <w:r w:rsidRPr="00D26E28">
              <w:rPr>
                <w:rFonts w:asciiTheme="majorHAnsi" w:hAnsiTheme="majorHAnsi"/>
                <w:color w:val="000000"/>
                <w:sz w:val="18"/>
                <w:szCs w:val="18"/>
              </w:rPr>
              <w:t> </w:t>
            </w:r>
          </w:p>
        </w:tc>
        <w:tc>
          <w:tcPr>
            <w:tcW w:w="225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$10 million/terminal expansion</w:t>
            </w:r>
            <w:r w:rsidR="0067732D">
              <w:rPr>
                <w:rFonts w:asciiTheme="majorHAnsi" w:hAnsiTheme="majorHAnsi"/>
                <w:color w:val="000000"/>
                <w:sz w:val="18"/>
                <w:szCs w:val="18"/>
              </w:rPr>
              <w:t xml:space="preserve"> </w:t>
            </w:r>
            <w:r w:rsidRPr="00D26E28">
              <w:rPr>
                <w:rFonts w:asciiTheme="majorHAnsi" w:hAnsiTheme="majorHAnsi"/>
                <w:color w:val="000000"/>
                <w:sz w:val="18"/>
                <w:szCs w:val="18"/>
              </w:rPr>
              <w:t>(assumed two terminal expansions per tie)</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2 x 2 = 4</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$0.04 </w:t>
            </w:r>
          </w:p>
        </w:tc>
        <w:tc>
          <w:tcPr>
            <w:tcW w:w="171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62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r>
      <w:tr w:rsidR="00DB7C8F" w:rsidRPr="00D26E28" w:rsidTr="00C5396D">
        <w:trPr>
          <w:trHeight w:val="823"/>
          <w:jc w:val="center"/>
        </w:trPr>
        <w:tc>
          <w:tcPr>
            <w:tcW w:w="2427" w:type="dxa"/>
            <w:shd w:val="clear" w:color="auto" w:fill="auto"/>
            <w:tcMar>
              <w:left w:w="58" w:type="dxa"/>
              <w:right w:w="58" w:type="dxa"/>
            </w:tcMar>
            <w:vAlign w:val="center"/>
            <w:hideMark/>
          </w:tcPr>
          <w:p w:rsidR="00D26E28" w:rsidRPr="00D26E28" w:rsidRDefault="00D26E28" w:rsidP="00C5396D">
            <w:pPr>
              <w:spacing w:before="20" w:after="20" w:line="240" w:lineRule="auto"/>
              <w:rPr>
                <w:rFonts w:asciiTheme="majorHAnsi" w:hAnsiTheme="majorHAnsi"/>
                <w:b/>
                <w:bCs/>
                <w:color w:val="000000"/>
                <w:sz w:val="18"/>
                <w:szCs w:val="18"/>
              </w:rPr>
            </w:pPr>
            <w:r w:rsidRPr="00D26E28">
              <w:rPr>
                <w:rFonts w:asciiTheme="majorHAnsi" w:hAnsiTheme="majorHAnsi"/>
                <w:b/>
                <w:bCs/>
                <w:color w:val="000000"/>
                <w:sz w:val="18"/>
                <w:szCs w:val="18"/>
              </w:rPr>
              <w:t>Sending end—</w:t>
            </w:r>
            <w:r w:rsidR="002D3A86">
              <w:rPr>
                <w:rFonts w:asciiTheme="majorHAnsi" w:hAnsiTheme="majorHAnsi"/>
                <w:b/>
                <w:bCs/>
                <w:color w:val="000000"/>
                <w:sz w:val="18"/>
                <w:szCs w:val="18"/>
              </w:rPr>
              <w:br/>
            </w:r>
            <w:r w:rsidRPr="00D26E28">
              <w:rPr>
                <w:rFonts w:asciiTheme="majorHAnsi" w:hAnsiTheme="majorHAnsi"/>
                <w:b/>
                <w:bCs/>
                <w:color w:val="000000"/>
                <w:sz w:val="18"/>
                <w:szCs w:val="18"/>
              </w:rPr>
              <w:t>New AC substations</w:t>
            </w:r>
          </w:p>
        </w:tc>
        <w:tc>
          <w:tcPr>
            <w:tcW w:w="22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$40 million/</w:t>
            </w:r>
            <w:r w:rsidR="0067732D">
              <w:rPr>
                <w:rFonts w:asciiTheme="majorHAnsi" w:hAnsiTheme="majorHAnsi"/>
                <w:color w:val="000000"/>
                <w:sz w:val="18"/>
                <w:szCs w:val="18"/>
              </w:rPr>
              <w:br/>
            </w:r>
            <w:r w:rsidRPr="00D26E28">
              <w:rPr>
                <w:rFonts w:asciiTheme="majorHAnsi" w:hAnsiTheme="majorHAnsi"/>
                <w:color w:val="000000"/>
                <w:sz w:val="18"/>
                <w:szCs w:val="18"/>
              </w:rPr>
              <w:t>AC substation</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(included in integrator system)</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71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3 (to connect POI to converter station at each tie)</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$0.12 </w:t>
            </w:r>
          </w:p>
        </w:tc>
        <w:tc>
          <w:tcPr>
            <w:tcW w:w="162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4 (to connect POI to converter station at each tie)</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$0.16 </w:t>
            </w:r>
          </w:p>
        </w:tc>
      </w:tr>
      <w:tr w:rsidR="00DB7C8F" w:rsidRPr="00D26E28" w:rsidTr="00C5396D">
        <w:trPr>
          <w:trHeight w:val="607"/>
          <w:jc w:val="center"/>
        </w:trPr>
        <w:tc>
          <w:tcPr>
            <w:tcW w:w="2427" w:type="dxa"/>
            <w:shd w:val="clear" w:color="auto" w:fill="auto"/>
            <w:tcMar>
              <w:left w:w="58" w:type="dxa"/>
              <w:right w:w="58" w:type="dxa"/>
            </w:tcMar>
            <w:vAlign w:val="center"/>
            <w:hideMark/>
          </w:tcPr>
          <w:p w:rsidR="00D26E28" w:rsidRPr="00D26E28" w:rsidRDefault="00D26E28" w:rsidP="00C5396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Receiving end—</w:t>
            </w:r>
            <w:r w:rsidR="002D3A86">
              <w:rPr>
                <w:rFonts w:asciiTheme="majorHAnsi" w:hAnsiTheme="majorHAnsi"/>
                <w:b/>
                <w:bCs/>
                <w:color w:val="000000"/>
                <w:sz w:val="18"/>
                <w:szCs w:val="18"/>
              </w:rPr>
              <w:br/>
            </w:r>
            <w:r w:rsidRPr="00D26E28">
              <w:rPr>
                <w:rFonts w:asciiTheme="majorHAnsi" w:hAnsiTheme="majorHAnsi"/>
                <w:b/>
                <w:bCs/>
                <w:color w:val="000000"/>
                <w:sz w:val="18"/>
                <w:szCs w:val="18"/>
              </w:rPr>
              <w:t>reactive devices</w:t>
            </w:r>
          </w:p>
        </w:tc>
        <w:tc>
          <w:tcPr>
            <w:tcW w:w="22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$0.25 million/MVAR</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Approx. 1/3 × 1,800 = 600 MVAR</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$0.15 </w:t>
            </w:r>
          </w:p>
        </w:tc>
        <w:tc>
          <w:tcPr>
            <w:tcW w:w="171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Approx. 1/3 × 3,600 = 1,200 MVAR</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$0.30 </w:t>
            </w:r>
          </w:p>
        </w:tc>
        <w:tc>
          <w:tcPr>
            <w:tcW w:w="162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Approx. 1/3 × 4,800 = 1,600 MVAR</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$0.40 </w:t>
            </w:r>
          </w:p>
        </w:tc>
      </w:tr>
      <w:tr w:rsidR="00DB7C8F" w:rsidRPr="00D26E28" w:rsidTr="00C5396D">
        <w:trPr>
          <w:trHeight w:val="985"/>
          <w:jc w:val="center"/>
        </w:trPr>
        <w:tc>
          <w:tcPr>
            <w:tcW w:w="2427" w:type="dxa"/>
            <w:shd w:val="clear" w:color="auto" w:fill="auto"/>
            <w:tcMar>
              <w:left w:w="58" w:type="dxa"/>
              <w:right w:w="58" w:type="dxa"/>
            </w:tcMar>
            <w:vAlign w:val="center"/>
            <w:hideMark/>
          </w:tcPr>
          <w:p w:rsidR="00D26E28" w:rsidRPr="00D26E28" w:rsidRDefault="00D26E28" w:rsidP="00C5396D">
            <w:pPr>
              <w:spacing w:before="20" w:after="20" w:line="240" w:lineRule="auto"/>
              <w:rPr>
                <w:rFonts w:asciiTheme="majorHAnsi" w:hAnsiTheme="majorHAnsi"/>
                <w:b/>
                <w:bCs/>
                <w:color w:val="000000"/>
                <w:sz w:val="18"/>
                <w:szCs w:val="18"/>
              </w:rPr>
            </w:pPr>
            <w:r w:rsidRPr="00D26E28">
              <w:rPr>
                <w:rFonts w:asciiTheme="majorHAnsi" w:hAnsiTheme="majorHAnsi"/>
                <w:b/>
                <w:bCs/>
                <w:color w:val="000000"/>
                <w:sz w:val="18"/>
                <w:szCs w:val="18"/>
              </w:rPr>
              <w:t>Receiving end—</w:t>
            </w:r>
            <w:r w:rsidR="002D3A86">
              <w:rPr>
                <w:rFonts w:asciiTheme="majorHAnsi" w:hAnsiTheme="majorHAnsi"/>
                <w:b/>
                <w:bCs/>
                <w:color w:val="000000"/>
                <w:sz w:val="18"/>
                <w:szCs w:val="18"/>
              </w:rPr>
              <w:br/>
            </w:r>
            <w:r w:rsidRPr="00D26E28">
              <w:rPr>
                <w:rFonts w:asciiTheme="majorHAnsi" w:hAnsiTheme="majorHAnsi"/>
                <w:b/>
                <w:bCs/>
                <w:color w:val="000000"/>
                <w:sz w:val="18"/>
                <w:szCs w:val="18"/>
              </w:rPr>
              <w:t>AC terminations</w:t>
            </w:r>
            <w:r w:rsidRPr="00D26E28">
              <w:rPr>
                <w:rFonts w:asciiTheme="majorHAnsi" w:hAnsiTheme="majorHAnsi"/>
                <w:color w:val="000000"/>
                <w:sz w:val="18"/>
                <w:szCs w:val="18"/>
              </w:rPr>
              <w:t> </w:t>
            </w:r>
          </w:p>
        </w:tc>
        <w:tc>
          <w:tcPr>
            <w:tcW w:w="2250" w:type="dxa"/>
            <w:shd w:val="clear" w:color="auto" w:fill="auto"/>
            <w:tcMar>
              <w:left w:w="58" w:type="dxa"/>
              <w:right w:w="58" w:type="dxa"/>
            </w:tcMar>
            <w:vAlign w:val="center"/>
            <w:hideMark/>
          </w:tcPr>
          <w:p w:rsidR="00D26E28" w:rsidRPr="00D26E28" w:rsidRDefault="00D26E28" w:rsidP="0067732D">
            <w:pPr>
              <w:spacing w:before="20" w:after="20" w:line="240" w:lineRule="auto"/>
              <w:jc w:val="center"/>
              <w:rPr>
                <w:rFonts w:asciiTheme="majorHAnsi" w:hAnsiTheme="majorHAnsi"/>
                <w:color w:val="000000"/>
                <w:sz w:val="18"/>
                <w:szCs w:val="18"/>
              </w:rPr>
            </w:pPr>
            <w:r w:rsidRPr="00D26E28">
              <w:rPr>
                <w:rFonts w:asciiTheme="majorHAnsi" w:hAnsiTheme="majorHAnsi"/>
                <w:color w:val="000000"/>
                <w:sz w:val="18"/>
                <w:szCs w:val="18"/>
              </w:rPr>
              <w:t>$10 million/</w:t>
            </w:r>
            <w:r>
              <w:rPr>
                <w:rFonts w:asciiTheme="majorHAnsi" w:hAnsiTheme="majorHAnsi"/>
                <w:color w:val="000000"/>
                <w:sz w:val="18"/>
                <w:szCs w:val="18"/>
              </w:rPr>
              <w:t>t</w:t>
            </w:r>
            <w:r w:rsidRPr="00D26E28">
              <w:rPr>
                <w:rFonts w:asciiTheme="majorHAnsi" w:hAnsiTheme="majorHAnsi"/>
                <w:color w:val="000000"/>
                <w:sz w:val="18"/>
                <w:szCs w:val="18"/>
              </w:rPr>
              <w:t>erminal expansion</w:t>
            </w:r>
            <w:r>
              <w:rPr>
                <w:rFonts w:asciiTheme="majorHAnsi" w:hAnsiTheme="majorHAnsi"/>
                <w:color w:val="000000"/>
                <w:sz w:val="18"/>
                <w:szCs w:val="18"/>
              </w:rPr>
              <w:br/>
            </w:r>
            <w:r w:rsidRPr="00D26E28">
              <w:rPr>
                <w:rFonts w:asciiTheme="majorHAnsi" w:hAnsiTheme="majorHAnsi"/>
                <w:color w:val="000000"/>
                <w:sz w:val="18"/>
                <w:szCs w:val="18"/>
              </w:rPr>
              <w:t>(assumed two terminal expansions per tie)</w:t>
            </w:r>
          </w:p>
        </w:tc>
        <w:tc>
          <w:tcPr>
            <w:tcW w:w="1713"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2 × 2 = 4</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$0.04 </w:t>
            </w:r>
          </w:p>
        </w:tc>
        <w:tc>
          <w:tcPr>
            <w:tcW w:w="171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3 x 2 = 6</w:t>
            </w:r>
          </w:p>
        </w:tc>
        <w:tc>
          <w:tcPr>
            <w:tcW w:w="144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$0.06 </w:t>
            </w:r>
          </w:p>
        </w:tc>
        <w:tc>
          <w:tcPr>
            <w:tcW w:w="162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4 x 2 = 8</w:t>
            </w:r>
          </w:p>
        </w:tc>
        <w:tc>
          <w:tcPr>
            <w:tcW w:w="1350" w:type="dxa"/>
            <w:shd w:val="clear" w:color="auto" w:fill="auto"/>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$0.08 </w:t>
            </w:r>
          </w:p>
        </w:tc>
      </w:tr>
      <w:tr w:rsidR="00C5396D" w:rsidRPr="00D26E28" w:rsidTr="00C5396D">
        <w:trPr>
          <w:trHeight w:val="144"/>
          <w:jc w:val="center"/>
        </w:trPr>
        <w:tc>
          <w:tcPr>
            <w:tcW w:w="2427"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Receiving end—additional upgrades on AC network</w:t>
            </w:r>
          </w:p>
        </w:tc>
        <w:tc>
          <w:tcPr>
            <w:tcW w:w="225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Assumed generic cost for each scenario</w:t>
            </w:r>
          </w:p>
        </w:tc>
        <w:tc>
          <w:tcPr>
            <w:tcW w:w="1713"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44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$0.50 </w:t>
            </w:r>
          </w:p>
        </w:tc>
        <w:tc>
          <w:tcPr>
            <w:tcW w:w="171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44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$1.00 </w:t>
            </w:r>
          </w:p>
        </w:tc>
        <w:tc>
          <w:tcPr>
            <w:tcW w:w="162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w:t>
            </w:r>
          </w:p>
        </w:tc>
        <w:tc>
          <w:tcPr>
            <w:tcW w:w="1350" w:type="dxa"/>
            <w:shd w:val="clear" w:color="auto" w:fill="auto"/>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$1.00 </w:t>
            </w:r>
          </w:p>
        </w:tc>
      </w:tr>
      <w:tr w:rsidR="00DB7C8F" w:rsidRPr="00D26E28" w:rsidTr="00C5396D">
        <w:trPr>
          <w:trHeight w:val="144"/>
          <w:jc w:val="center"/>
        </w:trPr>
        <w:tc>
          <w:tcPr>
            <w:tcW w:w="2427"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Total AC portion</w:t>
            </w:r>
          </w:p>
        </w:tc>
        <w:tc>
          <w:tcPr>
            <w:tcW w:w="225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713"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$0.73 </w:t>
            </w:r>
          </w:p>
        </w:tc>
        <w:tc>
          <w:tcPr>
            <w:tcW w:w="171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$1.78 </w:t>
            </w:r>
          </w:p>
        </w:tc>
        <w:tc>
          <w:tcPr>
            <w:tcW w:w="162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350" w:type="dxa"/>
            <w:shd w:val="clear" w:color="auto" w:fill="CCEAF9" w:themeFill="accent1" w:themeFillTint="33"/>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color w:val="000000"/>
                <w:sz w:val="18"/>
                <w:szCs w:val="18"/>
              </w:rPr>
            </w:pPr>
            <w:r w:rsidRPr="00D26E28">
              <w:rPr>
                <w:rFonts w:asciiTheme="majorHAnsi" w:hAnsiTheme="majorHAnsi"/>
                <w:color w:val="000000"/>
                <w:sz w:val="18"/>
                <w:szCs w:val="18"/>
              </w:rPr>
              <w:t xml:space="preserve">$2.04 </w:t>
            </w:r>
          </w:p>
        </w:tc>
      </w:tr>
      <w:tr w:rsidR="00D26E28" w:rsidRPr="00D26E28" w:rsidTr="00C5396D">
        <w:trPr>
          <w:trHeight w:val="144"/>
          <w:jc w:val="center"/>
        </w:trPr>
        <w:tc>
          <w:tcPr>
            <w:tcW w:w="13950" w:type="dxa"/>
            <w:gridSpan w:val="8"/>
            <w:shd w:val="clear" w:color="auto" w:fill="9AD6F4" w:themeFill="accent1" w:themeFillTint="66"/>
            <w:tcMar>
              <w:left w:w="58" w:type="dxa"/>
              <w:right w:w="58" w:type="dxa"/>
            </w:tcMar>
            <w:vAlign w:val="center"/>
            <w:hideMark/>
          </w:tcPr>
          <w:p w:rsidR="00E029DC" w:rsidRPr="00D26E28" w:rsidRDefault="00E029DC" w:rsidP="0067732D">
            <w:pPr>
              <w:adjustRightInd/>
              <w:spacing w:before="20" w:after="20" w:line="240" w:lineRule="auto"/>
              <w:textAlignment w:val="auto"/>
              <w:rPr>
                <w:rFonts w:asciiTheme="majorHAnsi" w:hAnsiTheme="majorHAnsi"/>
                <w:b/>
                <w:bCs/>
                <w:color w:val="000000"/>
                <w:sz w:val="18"/>
                <w:szCs w:val="18"/>
              </w:rPr>
            </w:pPr>
            <w:r w:rsidRPr="00D26E28">
              <w:rPr>
                <w:rFonts w:asciiTheme="majorHAnsi" w:hAnsiTheme="majorHAnsi"/>
                <w:b/>
                <w:bCs/>
                <w:color w:val="000000"/>
                <w:sz w:val="18"/>
                <w:szCs w:val="18"/>
              </w:rPr>
              <w:t>AC and DC portions: $B</w:t>
            </w:r>
          </w:p>
        </w:tc>
      </w:tr>
      <w:tr w:rsidR="00DB7C8F" w:rsidRPr="00D26E28" w:rsidTr="00C5396D">
        <w:trPr>
          <w:trHeight w:val="373"/>
          <w:jc w:val="center"/>
        </w:trPr>
        <w:tc>
          <w:tcPr>
            <w:tcW w:w="2427" w:type="dxa"/>
            <w:shd w:val="clear" w:color="auto" w:fill="1795D2" w:themeFill="accent1"/>
            <w:tcMar>
              <w:left w:w="58" w:type="dxa"/>
              <w:right w:w="58" w:type="dxa"/>
            </w:tcMar>
            <w:vAlign w:val="center"/>
            <w:hideMark/>
          </w:tcPr>
          <w:p w:rsidR="00D26E28" w:rsidRPr="00D26E28" w:rsidRDefault="00D26E28" w:rsidP="00C5396D">
            <w:pPr>
              <w:spacing w:before="20" w:after="20" w:line="240" w:lineRule="auto"/>
              <w:rPr>
                <w:rFonts w:asciiTheme="majorHAnsi" w:hAnsiTheme="majorHAnsi"/>
                <w:b/>
                <w:bCs/>
                <w:color w:val="FFFFFF"/>
                <w:sz w:val="18"/>
                <w:szCs w:val="18"/>
              </w:rPr>
            </w:pPr>
            <w:r w:rsidRPr="00D26E28">
              <w:rPr>
                <w:rFonts w:asciiTheme="majorHAnsi" w:hAnsiTheme="majorHAnsi"/>
                <w:b/>
                <w:bCs/>
                <w:color w:val="FFFFFF"/>
                <w:sz w:val="18"/>
                <w:szCs w:val="18"/>
              </w:rPr>
              <w:t>Total—Congestion-Relief</w:t>
            </w:r>
            <w:r w:rsidR="00C5396D">
              <w:rPr>
                <w:rFonts w:asciiTheme="majorHAnsi" w:hAnsiTheme="majorHAnsi"/>
                <w:b/>
                <w:bCs/>
                <w:color w:val="FFFFFF"/>
                <w:sz w:val="18"/>
                <w:szCs w:val="18"/>
              </w:rPr>
              <w:t xml:space="preserve"> </w:t>
            </w:r>
            <w:r w:rsidRPr="00D26E28">
              <w:rPr>
                <w:rFonts w:asciiTheme="majorHAnsi" w:hAnsiTheme="majorHAnsi"/>
                <w:b/>
                <w:bCs/>
                <w:color w:val="FFFFFF"/>
                <w:sz w:val="18"/>
                <w:szCs w:val="18"/>
              </w:rPr>
              <w:t>System</w:t>
            </w:r>
          </w:p>
        </w:tc>
        <w:tc>
          <w:tcPr>
            <w:tcW w:w="225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w:t>
            </w:r>
          </w:p>
        </w:tc>
        <w:tc>
          <w:tcPr>
            <w:tcW w:w="1713"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$3.73 </w:t>
            </w:r>
          </w:p>
        </w:tc>
        <w:tc>
          <w:tcPr>
            <w:tcW w:w="171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44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$8.03 </w:t>
            </w:r>
          </w:p>
        </w:tc>
        <w:tc>
          <w:tcPr>
            <w:tcW w:w="162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textAlignment w:val="auto"/>
              <w:rPr>
                <w:rFonts w:asciiTheme="majorHAnsi" w:hAnsiTheme="majorHAnsi"/>
                <w:color w:val="000000"/>
                <w:sz w:val="18"/>
                <w:szCs w:val="18"/>
              </w:rPr>
            </w:pPr>
            <w:r w:rsidRPr="00D26E28">
              <w:rPr>
                <w:rFonts w:asciiTheme="majorHAnsi" w:hAnsiTheme="majorHAnsi"/>
                <w:color w:val="000000"/>
                <w:sz w:val="18"/>
                <w:szCs w:val="18"/>
              </w:rPr>
              <w:t> </w:t>
            </w:r>
          </w:p>
        </w:tc>
        <w:tc>
          <w:tcPr>
            <w:tcW w:w="1350" w:type="dxa"/>
            <w:shd w:val="clear" w:color="auto" w:fill="1795D2" w:themeFill="accent1"/>
            <w:tcMar>
              <w:left w:w="58" w:type="dxa"/>
              <w:right w:w="58" w:type="dxa"/>
            </w:tcMar>
            <w:vAlign w:val="center"/>
            <w:hideMark/>
          </w:tcPr>
          <w:p w:rsidR="00D26E28" w:rsidRPr="00D26E28" w:rsidRDefault="00D26E28"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$10.14 </w:t>
            </w:r>
          </w:p>
        </w:tc>
      </w:tr>
      <w:tr w:rsidR="00DB7C8F" w:rsidRPr="00D26E28" w:rsidTr="00C5396D">
        <w:trPr>
          <w:trHeight w:val="144"/>
          <w:jc w:val="center"/>
        </w:trPr>
        <w:tc>
          <w:tcPr>
            <w:tcW w:w="2427"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textAlignment w:val="auto"/>
              <w:rPr>
                <w:rFonts w:asciiTheme="majorHAnsi" w:hAnsiTheme="majorHAnsi"/>
                <w:b/>
                <w:bCs/>
                <w:color w:val="FFFFFF"/>
                <w:sz w:val="18"/>
                <w:szCs w:val="18"/>
              </w:rPr>
            </w:pPr>
            <w:r w:rsidRPr="00D26E28">
              <w:rPr>
                <w:rFonts w:asciiTheme="majorHAnsi" w:hAnsiTheme="majorHAnsi"/>
                <w:b/>
                <w:bCs/>
                <w:color w:val="FFFFFF"/>
                <w:sz w:val="18"/>
                <w:szCs w:val="18"/>
              </w:rPr>
              <w:t>Total cost + 50% margin</w:t>
            </w:r>
          </w:p>
        </w:tc>
        <w:tc>
          <w:tcPr>
            <w:tcW w:w="225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w:t>
            </w:r>
          </w:p>
        </w:tc>
        <w:tc>
          <w:tcPr>
            <w:tcW w:w="1713"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w:t>
            </w:r>
          </w:p>
        </w:tc>
        <w:tc>
          <w:tcPr>
            <w:tcW w:w="144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$5.60 </w:t>
            </w:r>
          </w:p>
        </w:tc>
        <w:tc>
          <w:tcPr>
            <w:tcW w:w="171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w:t>
            </w:r>
          </w:p>
        </w:tc>
        <w:tc>
          <w:tcPr>
            <w:tcW w:w="144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$12.05 </w:t>
            </w:r>
          </w:p>
        </w:tc>
        <w:tc>
          <w:tcPr>
            <w:tcW w:w="162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w:t>
            </w:r>
          </w:p>
        </w:tc>
        <w:tc>
          <w:tcPr>
            <w:tcW w:w="1350" w:type="dxa"/>
            <w:shd w:val="clear" w:color="auto" w:fill="1795D2" w:themeFill="accent1"/>
            <w:tcMar>
              <w:left w:w="58" w:type="dxa"/>
              <w:right w:w="58" w:type="dxa"/>
            </w:tcMar>
            <w:vAlign w:val="center"/>
            <w:hideMark/>
          </w:tcPr>
          <w:p w:rsidR="003B181E" w:rsidRPr="00D26E28" w:rsidRDefault="003B181E" w:rsidP="0067732D">
            <w:pPr>
              <w:adjustRightInd/>
              <w:spacing w:before="20" w:after="20" w:line="240" w:lineRule="auto"/>
              <w:jc w:val="center"/>
              <w:textAlignment w:val="auto"/>
              <w:rPr>
                <w:rFonts w:asciiTheme="majorHAnsi" w:hAnsiTheme="majorHAnsi"/>
                <w:b/>
                <w:bCs/>
                <w:color w:val="FFFFFF"/>
                <w:sz w:val="18"/>
                <w:szCs w:val="18"/>
              </w:rPr>
            </w:pPr>
            <w:r w:rsidRPr="00D26E28">
              <w:rPr>
                <w:rFonts w:asciiTheme="majorHAnsi" w:hAnsiTheme="majorHAnsi"/>
                <w:b/>
                <w:bCs/>
                <w:color w:val="FFFFFF"/>
                <w:sz w:val="18"/>
                <w:szCs w:val="18"/>
              </w:rPr>
              <w:t xml:space="preserve">$15.21 </w:t>
            </w:r>
          </w:p>
        </w:tc>
      </w:tr>
    </w:tbl>
    <w:p w:rsidR="006B0A3B" w:rsidRPr="00C5396D" w:rsidRDefault="006B0A3B" w:rsidP="002D3A86">
      <w:pPr>
        <w:pStyle w:val="ListParagraph"/>
        <w:numPr>
          <w:ilvl w:val="0"/>
          <w:numId w:val="84"/>
        </w:numPr>
        <w:spacing w:before="120" w:after="20" w:line="240" w:lineRule="auto"/>
        <w:ind w:left="-172" w:right="-446" w:hanging="274"/>
        <w:rPr>
          <w:sz w:val="16"/>
        </w:rPr>
      </w:pPr>
      <w:r w:rsidRPr="00C5396D">
        <w:rPr>
          <w:sz w:val="16"/>
        </w:rPr>
        <w:t>Costs described here are preliminary high-level order-of-magnitude costs based on judgement. Also, they do not account for individual plants, collector strings, collector substations, or collector step-up transformers. The EE + Offshore Scenario (A) did not require a congestion-relief system.</w:t>
      </w:r>
    </w:p>
    <w:p w:rsidR="00CB0E65" w:rsidRDefault="00CB0E65" w:rsidP="004C75D5"/>
    <w:p w:rsidR="0039417B" w:rsidRPr="004C75D5" w:rsidRDefault="0039417B" w:rsidP="004C75D5">
      <w:pPr>
        <w:sectPr w:rsidR="0039417B" w:rsidRPr="004C75D5" w:rsidSect="00C5396D">
          <w:footerReference w:type="default" r:id="rId43"/>
          <w:pgSz w:w="15840" w:h="12240" w:orient="landscape" w:code="1"/>
          <w:pgMar w:top="630" w:right="1440" w:bottom="1170" w:left="1440" w:header="360" w:footer="720" w:gutter="0"/>
          <w:cols w:space="720"/>
          <w:docGrid w:linePitch="360"/>
        </w:sectPr>
      </w:pPr>
    </w:p>
    <w:p w:rsidR="00207EA9" w:rsidRPr="006F4487" w:rsidRDefault="00207EA9" w:rsidP="00D27B9E">
      <w:pPr>
        <w:pStyle w:val="Heading3"/>
      </w:pPr>
      <w:bookmarkStart w:id="195" w:name="_Ref483556968"/>
      <w:bookmarkStart w:id="196" w:name="_Ref483557546"/>
      <w:bookmarkStart w:id="197" w:name="_Toc528571219"/>
      <w:r w:rsidRPr="006F4487">
        <w:t>High</w:t>
      </w:r>
      <w:r w:rsidR="00363C4E" w:rsidRPr="006F4487">
        <w:t>-</w:t>
      </w:r>
      <w:r w:rsidRPr="006F4487">
        <w:t>Order-of-Magnitude Cost Estimates for Integrating Renewable Resources</w:t>
      </w:r>
      <w:bookmarkEnd w:id="195"/>
      <w:bookmarkEnd w:id="196"/>
      <w:bookmarkEnd w:id="197"/>
    </w:p>
    <w:p w:rsidR="00E72FF2" w:rsidRDefault="00207EA9" w:rsidP="00363C4E">
      <w:r>
        <w:t>H</w:t>
      </w:r>
      <w:r w:rsidR="00C67302" w:rsidRPr="00712F7A">
        <w:t>igh</w:t>
      </w:r>
      <w:r w:rsidR="00454980">
        <w:t>-</w:t>
      </w:r>
      <w:r w:rsidR="00006124" w:rsidRPr="00712F7A">
        <w:t>order</w:t>
      </w:r>
      <w:r w:rsidR="00C67302" w:rsidRPr="00712F7A">
        <w:t>-</w:t>
      </w:r>
      <w:r w:rsidR="00006124" w:rsidRPr="00712F7A">
        <w:t>of</w:t>
      </w:r>
      <w:r w:rsidR="00C67302" w:rsidRPr="00712F7A">
        <w:t>-</w:t>
      </w:r>
      <w:r w:rsidR="00006124" w:rsidRPr="00712F7A">
        <w:t>magnitude cost estimates</w:t>
      </w:r>
      <w:r w:rsidR="00454980" w:rsidRPr="00454980">
        <w:t xml:space="preserve"> </w:t>
      </w:r>
      <w:r w:rsidR="00454980">
        <w:t xml:space="preserve">for integrator and congestion-relief </w:t>
      </w:r>
      <w:r w:rsidR="00454980" w:rsidRPr="00712F7A">
        <w:t>system</w:t>
      </w:r>
      <w:r w:rsidR="00454980">
        <w:t>s</w:t>
      </w:r>
      <w:r>
        <w:t xml:space="preserve"> formed the basis of the </w:t>
      </w:r>
      <w:r w:rsidRPr="004F4AD2">
        <w:t>transmission-development costs</w:t>
      </w:r>
      <w:r w:rsidR="00B80D48" w:rsidRPr="004F4AD2">
        <w:t xml:space="preserve"> </w:t>
      </w:r>
      <w:r w:rsidRPr="004F4AD2">
        <w:t xml:space="preserve">for </w:t>
      </w:r>
      <w:r w:rsidR="00B80D48" w:rsidRPr="004F4AD2">
        <w:t xml:space="preserve">each </w:t>
      </w:r>
      <w:r w:rsidRPr="004F4AD2">
        <w:t>scenario</w:t>
      </w:r>
      <w:r w:rsidR="00006124" w:rsidRPr="004F4AD2">
        <w:t>.</w:t>
      </w:r>
      <w:r w:rsidR="006F4487" w:rsidRPr="004F4AD2">
        <w:t xml:space="preserve"> </w:t>
      </w:r>
      <w:r w:rsidR="00006124" w:rsidRPr="004F4AD2">
        <w:t xml:space="preserve">Because the costs are not </w:t>
      </w:r>
      <w:r w:rsidR="00B80D48" w:rsidRPr="004F4AD2">
        <w:t xml:space="preserve">based on specific </w:t>
      </w:r>
      <w:r w:rsidR="00006124" w:rsidRPr="004F4AD2">
        <w:t xml:space="preserve">transmission plans, </w:t>
      </w:r>
      <w:r w:rsidR="00C67302" w:rsidRPr="004F4AD2">
        <w:t xml:space="preserve">and the cost estimates are rough, </w:t>
      </w:r>
      <w:r w:rsidR="00006124" w:rsidRPr="004F4AD2">
        <w:t>margins were then applied to account for</w:t>
      </w:r>
      <w:r w:rsidR="00006124">
        <w:t xml:space="preserve"> additional costs</w:t>
      </w:r>
      <w:r w:rsidR="00C67302">
        <w:t xml:space="preserve">, </w:t>
      </w:r>
      <w:r w:rsidR="00006124">
        <w:t>recognizing that actual costs would likely be considerably higher</w:t>
      </w:r>
      <w:r w:rsidR="00B047B6">
        <w:t>.</w:t>
      </w:r>
      <w:r w:rsidR="00006124">
        <w:t xml:space="preserve"> </w:t>
      </w:r>
      <w:r w:rsidR="00B047B6">
        <w:t xml:space="preserve">Also, the margin represents costs of </w:t>
      </w:r>
      <w:r w:rsidR="00006124">
        <w:t xml:space="preserve">actual </w:t>
      </w:r>
      <w:r w:rsidR="00B047B6">
        <w:t xml:space="preserve">transmission </w:t>
      </w:r>
      <w:r w:rsidR="00006124">
        <w:t xml:space="preserve">plans </w:t>
      </w:r>
      <w:r w:rsidR="00B047B6">
        <w:t xml:space="preserve">that </w:t>
      </w:r>
      <w:r w:rsidR="00006124">
        <w:t>would likely require several additional transmission system improvements</w:t>
      </w:r>
      <w:r w:rsidR="009E7B29">
        <w:t xml:space="preserve">. </w:t>
      </w:r>
      <w:r w:rsidR="00990239">
        <w:t xml:space="preserve">Finally, an annual carrying </w:t>
      </w:r>
      <w:r w:rsidR="00990239" w:rsidRPr="00712F7A">
        <w:t xml:space="preserve">charge rate of 15% was applied to all </w:t>
      </w:r>
      <w:r>
        <w:t xml:space="preserve">the </w:t>
      </w:r>
      <w:r w:rsidR="00990239" w:rsidRPr="00712F7A">
        <w:t>high</w:t>
      </w:r>
      <w:r w:rsidR="004B7348" w:rsidRPr="00712F7A">
        <w:t>-</w:t>
      </w:r>
      <w:r w:rsidR="00990239" w:rsidRPr="00712F7A">
        <w:t>order</w:t>
      </w:r>
      <w:r w:rsidR="00C67302" w:rsidRPr="00712F7A">
        <w:t>-</w:t>
      </w:r>
      <w:r w:rsidR="00990239" w:rsidRPr="00712F7A">
        <w:t>of</w:t>
      </w:r>
      <w:r w:rsidR="00C67302" w:rsidRPr="00712F7A">
        <w:t>-</w:t>
      </w:r>
      <w:r w:rsidR="00990239" w:rsidRPr="00712F7A">
        <w:t>magnitude transmission</w:t>
      </w:r>
      <w:r w:rsidR="00C67302" w:rsidRPr="00712F7A">
        <w:t>-</w:t>
      </w:r>
      <w:r w:rsidR="00990239" w:rsidRPr="00712F7A">
        <w:t xml:space="preserve">development costs </w:t>
      </w:r>
      <w:r w:rsidR="00BE7EA9">
        <w:t>for</w:t>
      </w:r>
      <w:r w:rsidR="00990239" w:rsidRPr="00990239">
        <w:t xml:space="preserve"> integrat</w:t>
      </w:r>
      <w:r w:rsidR="00BE7EA9">
        <w:t>ing</w:t>
      </w:r>
      <w:r w:rsidR="00990239" w:rsidRPr="00990239">
        <w:t xml:space="preserve"> renewable resources</w:t>
      </w:r>
      <w:r w:rsidR="009E7B29">
        <w:t>.</w:t>
      </w:r>
      <w:r w:rsidR="00A4282A">
        <w:t xml:space="preserve"> </w:t>
      </w:r>
    </w:p>
    <w:p w:rsidR="00CA2FE9" w:rsidRDefault="00363C4E" w:rsidP="00427F9F">
      <w:pPr>
        <w:spacing w:after="120"/>
      </w:pPr>
      <w:r w:rsidRPr="00326ACC">
        <w:fldChar w:fldCharType="begin"/>
      </w:r>
      <w:r w:rsidRPr="00326ACC">
        <w:instrText xml:space="preserve"> REF _Ref483496696 \h  \* MERGEFORMAT </w:instrText>
      </w:r>
      <w:r w:rsidRPr="00326ACC">
        <w:fldChar w:fldCharType="separate"/>
      </w:r>
      <w:r w:rsidR="00872A95">
        <w:t xml:space="preserve">Table </w:t>
      </w:r>
      <w:r w:rsidR="00872A95">
        <w:rPr>
          <w:noProof/>
        </w:rPr>
        <w:t>5</w:t>
      </w:r>
      <w:r w:rsidR="00872A95">
        <w:rPr>
          <w:noProof/>
        </w:rPr>
        <w:noBreakHyphen/>
        <w:t>19</w:t>
      </w:r>
      <w:r w:rsidRPr="00326ACC">
        <w:fldChar w:fldCharType="end"/>
      </w:r>
      <w:r w:rsidRPr="00363C4E">
        <w:t xml:space="preserve"> summarizes </w:t>
      </w:r>
      <w:r w:rsidR="00BC4C0D" w:rsidRPr="00363C4E">
        <w:t xml:space="preserve">the high-order-of-magnitude </w:t>
      </w:r>
      <w:r w:rsidR="00942EC3" w:rsidRPr="00363C4E">
        <w:t>transmission</w:t>
      </w:r>
      <w:r w:rsidRPr="00363C4E">
        <w:t>-</w:t>
      </w:r>
      <w:r w:rsidR="00942EC3" w:rsidRPr="00363C4E">
        <w:t xml:space="preserve">development </w:t>
      </w:r>
      <w:r w:rsidR="00BC4C0D" w:rsidRPr="00363C4E">
        <w:t>costs assumed for integrating renewable resources under all scenarios</w:t>
      </w:r>
      <w:r w:rsidR="00454980" w:rsidRPr="00363C4E">
        <w:t>.</w:t>
      </w:r>
      <w:r w:rsidR="00BC4C0D">
        <w:t xml:space="preserve"> </w:t>
      </w:r>
      <w:r w:rsidR="00E72FF2">
        <w:t xml:space="preserve">The costs summarized in </w:t>
      </w:r>
      <w:r>
        <w:t xml:space="preserve">the table </w:t>
      </w:r>
      <w:r w:rsidR="00E72FF2">
        <w:t>could be off by several billion dollars</w:t>
      </w:r>
      <w:r w:rsidR="002B05F3">
        <w:t>, but they provide a framework for stakeholder discussions</w:t>
      </w:r>
      <w:r w:rsidR="00E72FF2">
        <w:t xml:space="preserve">. </w:t>
      </w:r>
      <w:r w:rsidR="002B05F3">
        <w:t>T</w:t>
      </w:r>
      <w:r w:rsidR="00E72FF2">
        <w:t>hey show the relatively high transmission costs associated with the large</w:t>
      </w:r>
      <w:r w:rsidR="002F2390">
        <w:t>-</w:t>
      </w:r>
      <w:r w:rsidR="00E72FF2">
        <w:t>scale development of onshore wind resources in M</w:t>
      </w:r>
      <w:r w:rsidR="002F2390">
        <w:t>aine</w:t>
      </w:r>
      <w:r w:rsidR="00E72FF2">
        <w:t xml:space="preserve"> compared </w:t>
      </w:r>
      <w:r w:rsidR="00E72FF2" w:rsidRPr="00DE7410">
        <w:t xml:space="preserve">with other scenarios. </w:t>
      </w:r>
      <w:r w:rsidR="002B05F3" w:rsidRPr="00DE7410">
        <w:t>The low</w:t>
      </w:r>
      <w:r w:rsidRPr="00DE7410">
        <w:t>-</w:t>
      </w:r>
      <w:r w:rsidR="00072923" w:rsidRPr="00DE7410">
        <w:t>order</w:t>
      </w:r>
      <w:r w:rsidR="002F2390" w:rsidRPr="00DE7410">
        <w:t>-</w:t>
      </w:r>
      <w:r w:rsidR="00072923" w:rsidRPr="00DE7410">
        <w:t>of</w:t>
      </w:r>
      <w:r w:rsidR="002F2390" w:rsidRPr="00DE7410">
        <w:t>-</w:t>
      </w:r>
      <w:r w:rsidR="00072923" w:rsidRPr="00DE7410">
        <w:t>magnitude transmission costs for the o</w:t>
      </w:r>
      <w:r w:rsidR="00E72FF2" w:rsidRPr="00DE7410">
        <w:t xml:space="preserve">ffshore wind development </w:t>
      </w:r>
      <w:r w:rsidR="00072923" w:rsidRPr="00DE7410">
        <w:t>assumed carefully planned points of interconnection split among Connecticut, Rhode Island</w:t>
      </w:r>
      <w:r w:rsidR="002F2390" w:rsidRPr="00DE7410">
        <w:t>,</w:t>
      </w:r>
      <w:r w:rsidR="00072923" w:rsidRPr="00DE7410">
        <w:t xml:space="preserve"> and </w:t>
      </w:r>
      <w:r w:rsidR="002F2390" w:rsidRPr="00DE7410">
        <w:t>s</w:t>
      </w:r>
      <w:r w:rsidR="00072923" w:rsidRPr="00DE7410">
        <w:t>outheast</w:t>
      </w:r>
      <w:r w:rsidR="002F2390" w:rsidRPr="00DE7410">
        <w:t>ern</w:t>
      </w:r>
      <w:r w:rsidR="00072923" w:rsidRPr="00DE7410">
        <w:t xml:space="preserve"> Massachusetts that would eliminate the need for any integrator or congestion</w:t>
      </w:r>
      <w:r w:rsidR="002F2390" w:rsidRPr="00DE7410">
        <w:t>-</w:t>
      </w:r>
      <w:r w:rsidR="00072923" w:rsidRPr="00DE7410">
        <w:t xml:space="preserve">relief systems. These points of interconnection are assumed as part of the offshore wind total overnight generator </w:t>
      </w:r>
      <w:r w:rsidR="00072923" w:rsidRPr="00731662">
        <w:t xml:space="preserve">costs and </w:t>
      </w:r>
      <w:r w:rsidR="002F2390" w:rsidRPr="00731662">
        <w:t>a</w:t>
      </w:r>
      <w:r w:rsidR="00072923" w:rsidRPr="00731662">
        <w:t xml:space="preserve">nnual </w:t>
      </w:r>
      <w:r w:rsidR="002F2390" w:rsidRPr="00BD2B3A">
        <w:t>c</w:t>
      </w:r>
      <w:r w:rsidR="00072923" w:rsidRPr="00904178">
        <w:t xml:space="preserve">arrying </w:t>
      </w:r>
      <w:r w:rsidR="002F2390" w:rsidRPr="004931FC">
        <w:t>c</w:t>
      </w:r>
      <w:r w:rsidR="00072923" w:rsidRPr="004931FC">
        <w:t>harges</w:t>
      </w:r>
      <w:r w:rsidR="0036149C" w:rsidRPr="004931FC">
        <w:t xml:space="preserve"> </w:t>
      </w:r>
      <w:r w:rsidR="00E576D0" w:rsidRPr="004931FC">
        <w:t>(</w:t>
      </w:r>
      <w:r w:rsidR="004A52FA" w:rsidRPr="004931FC">
        <w:t>s</w:t>
      </w:r>
      <w:r w:rsidR="00E576D0" w:rsidRPr="004931FC">
        <w:t>ee</w:t>
      </w:r>
      <w:r w:rsidR="0036149C" w:rsidRPr="004931FC">
        <w:t xml:space="preserve"> </w:t>
      </w:r>
      <w:r w:rsidR="001C0DA1" w:rsidRPr="00731662">
        <w:fldChar w:fldCharType="begin"/>
      </w:r>
      <w:r w:rsidR="001C0DA1" w:rsidRPr="004931FC">
        <w:instrText xml:space="preserve"> REF _Ref476756458 \h </w:instrText>
      </w:r>
      <w:r w:rsidR="00651F44" w:rsidRPr="004931FC">
        <w:instrText xml:space="preserve"> \* MERGEFORMAT </w:instrText>
      </w:r>
      <w:r w:rsidR="001C0DA1" w:rsidRPr="00731662">
        <w:fldChar w:fldCharType="separate"/>
      </w:r>
      <w:r w:rsidR="00872A95" w:rsidRPr="003D0E54">
        <w:t xml:space="preserve">Table </w:t>
      </w:r>
      <w:r w:rsidR="00872A95">
        <w:rPr>
          <w:noProof/>
        </w:rPr>
        <w:t>5</w:t>
      </w:r>
      <w:r w:rsidR="00872A95">
        <w:rPr>
          <w:noProof/>
        </w:rPr>
        <w:noBreakHyphen/>
        <w:t>15</w:t>
      </w:r>
      <w:r w:rsidR="001C0DA1" w:rsidRPr="00731662">
        <w:fldChar w:fldCharType="end"/>
      </w:r>
      <w:r w:rsidR="00E576D0" w:rsidRPr="00731662">
        <w:t>)</w:t>
      </w:r>
      <w:r w:rsidR="00072923" w:rsidRPr="00731662">
        <w:t>.</w:t>
      </w:r>
      <w:r w:rsidR="002B05F3" w:rsidRPr="00731662">
        <w:t xml:space="preserve"> </w:t>
      </w:r>
      <w:r w:rsidR="00CA2FE9" w:rsidRPr="00731662">
        <w:fldChar w:fldCharType="begin"/>
      </w:r>
      <w:r w:rsidR="00CA2FE9" w:rsidRPr="005D493A">
        <w:instrText xml:space="preserve"> REF _Ref526501341 \h  \* MERGEFORMAT </w:instrText>
      </w:r>
      <w:r w:rsidR="00CA2FE9" w:rsidRPr="00731662">
        <w:fldChar w:fldCharType="separate"/>
      </w:r>
      <w:r w:rsidR="00872A95" w:rsidRPr="00586925">
        <w:t xml:space="preserve">Table </w:t>
      </w:r>
      <w:r w:rsidR="00872A95">
        <w:rPr>
          <w:noProof/>
        </w:rPr>
        <w:t>5</w:t>
      </w:r>
      <w:r w:rsidR="00872A95">
        <w:rPr>
          <w:noProof/>
        </w:rPr>
        <w:noBreakHyphen/>
        <w:t>20</w:t>
      </w:r>
      <w:r w:rsidR="00CA2FE9" w:rsidRPr="00731662">
        <w:fldChar w:fldCharType="end"/>
      </w:r>
      <w:r w:rsidR="00CA2FE9" w:rsidRPr="00731662">
        <w:t xml:space="preserve"> </w:t>
      </w:r>
      <w:r w:rsidR="00CA2FE9" w:rsidRPr="005D493A">
        <w:t>lists</w:t>
      </w:r>
      <w:r w:rsidR="00CA2FE9" w:rsidRPr="00731662">
        <w:t xml:space="preserve"> the assumptions for </w:t>
      </w:r>
      <w:r w:rsidR="00CA2FE9" w:rsidRPr="005D493A">
        <w:t xml:space="preserve">the </w:t>
      </w:r>
      <w:r w:rsidR="00CA2FE9" w:rsidRPr="00731662">
        <w:t xml:space="preserve">interconnection </w:t>
      </w:r>
      <w:r w:rsidR="0036398C" w:rsidRPr="005D493A">
        <w:t xml:space="preserve">of </w:t>
      </w:r>
      <w:r w:rsidR="00CA2FE9" w:rsidRPr="00731662">
        <w:t>offshore wind resources.</w:t>
      </w:r>
    </w:p>
    <w:p w:rsidR="0060381C" w:rsidRDefault="00C73A12" w:rsidP="00427F9F">
      <w:pPr>
        <w:pStyle w:val="Caption"/>
        <w:spacing w:after="80"/>
        <w:jc w:val="center"/>
      </w:pPr>
      <w:bookmarkStart w:id="198" w:name="_Ref483496696"/>
      <w:bookmarkStart w:id="199" w:name="_Toc520721034"/>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19</w:t>
      </w:r>
      <w:r w:rsidR="00EA3757">
        <w:rPr>
          <w:noProof/>
        </w:rPr>
        <w:fldChar w:fldCharType="end"/>
      </w:r>
      <w:bookmarkEnd w:id="198"/>
      <w:r w:rsidR="00C67302" w:rsidRPr="00CE5CA4">
        <w:rPr>
          <w:color w:val="62777F" w:themeColor="text1"/>
        </w:rPr>
        <w:br/>
      </w:r>
      <w:r w:rsidR="00C67302" w:rsidRPr="00B828FA">
        <w:t>Summary of High</w:t>
      </w:r>
      <w:r w:rsidR="00B02621" w:rsidRPr="00B828FA">
        <w:t>-</w:t>
      </w:r>
      <w:r w:rsidR="00C67302" w:rsidRPr="00B828FA">
        <w:t xml:space="preserve">Order-of-Magnitude Costs to Integrate Renewable Resources </w:t>
      </w:r>
      <w:r w:rsidR="00D81D4A" w:rsidRPr="00B828FA">
        <w:t>u</w:t>
      </w:r>
      <w:r w:rsidR="00C67302" w:rsidRPr="00B828FA">
        <w:t>nder All</w:t>
      </w:r>
      <w:r w:rsidR="00CB0E65" w:rsidRPr="00B828FA">
        <w:t xml:space="preserve"> Scenarios</w:t>
      </w:r>
      <w:bookmarkEnd w:id="199"/>
      <w:r w:rsidR="00C67302" w:rsidRPr="00B828FA">
        <w:t xml:space="preserve"> </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4"/>
        <w:gridCol w:w="1744"/>
        <w:gridCol w:w="1746"/>
        <w:gridCol w:w="1745"/>
        <w:gridCol w:w="1745"/>
      </w:tblGrid>
      <w:tr w:rsidR="00B828FA" w:rsidRPr="00B828FA" w:rsidTr="001259D9">
        <w:trPr>
          <w:trHeight w:val="670"/>
          <w:jc w:val="center"/>
        </w:trPr>
        <w:tc>
          <w:tcPr>
            <w:tcW w:w="2430" w:type="dxa"/>
            <w:shd w:val="clear" w:color="auto" w:fill="1795D2" w:themeFill="accent1"/>
            <w:tcMar>
              <w:left w:w="58" w:type="dxa"/>
              <w:right w:w="58" w:type="dxa"/>
            </w:tcMar>
            <w:vAlign w:val="center"/>
            <w:hideMark/>
          </w:tcPr>
          <w:p w:rsidR="00B828FA" w:rsidRPr="00066B08" w:rsidRDefault="00066B08" w:rsidP="0010154E">
            <w:pPr>
              <w:keepNext/>
              <w:keepLines/>
              <w:tabs>
                <w:tab w:val="left" w:pos="1260"/>
              </w:tabs>
              <w:spacing w:before="40" w:after="40" w:line="240" w:lineRule="auto"/>
              <w:jc w:val="center"/>
              <w:rPr>
                <w:rFonts w:asciiTheme="majorHAnsi" w:hAnsiTheme="majorHAnsi"/>
                <w:b/>
                <w:color w:val="FFFFFF" w:themeColor="background1"/>
                <w:sz w:val="18"/>
                <w:szCs w:val="18"/>
              </w:rPr>
            </w:pPr>
            <w:r w:rsidRPr="0010154E">
              <w:rPr>
                <w:rFonts w:asciiTheme="majorHAnsi" w:hAnsiTheme="majorHAnsi"/>
                <w:b/>
                <w:color w:val="FFFFFF" w:themeColor="background1"/>
                <w:sz w:val="18"/>
                <w:szCs w:val="18"/>
              </w:rPr>
              <w:t>Variable</w:t>
            </w:r>
          </w:p>
        </w:tc>
        <w:tc>
          <w:tcPr>
            <w:tcW w:w="1776" w:type="dxa"/>
            <w:shd w:val="clear" w:color="auto" w:fill="1795D2" w:themeFill="accent1"/>
            <w:tcMar>
              <w:left w:w="58" w:type="dxa"/>
              <w:right w:w="58" w:type="dxa"/>
            </w:tcMar>
            <w:vAlign w:val="center"/>
            <w:hideMark/>
          </w:tcPr>
          <w:p w:rsidR="00B828FA" w:rsidRPr="008702A1" w:rsidRDefault="00B828FA" w:rsidP="0010154E">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702A1">
              <w:rPr>
                <w:rFonts w:asciiTheme="majorHAnsi" w:hAnsiTheme="majorHAnsi"/>
                <w:b/>
                <w:bCs/>
                <w:color w:val="FFFFFF" w:themeColor="background1"/>
                <w:sz w:val="18"/>
                <w:szCs w:val="18"/>
              </w:rPr>
              <w:t>Reference</w:t>
            </w:r>
            <w:r w:rsidR="008D1D0F">
              <w:rPr>
                <w:rFonts w:asciiTheme="majorHAnsi" w:hAnsiTheme="majorHAnsi"/>
                <w:b/>
                <w:bCs/>
                <w:color w:val="FFFFFF" w:themeColor="background1"/>
                <w:sz w:val="18"/>
                <w:szCs w:val="18"/>
              </w:rPr>
              <w:br/>
            </w:r>
            <w:r w:rsidRPr="008702A1">
              <w:rPr>
                <w:rFonts w:asciiTheme="majorHAnsi" w:hAnsiTheme="majorHAnsi"/>
                <w:b/>
                <w:bCs/>
                <w:color w:val="FFFFFF" w:themeColor="background1"/>
                <w:sz w:val="18"/>
                <w:szCs w:val="18"/>
              </w:rPr>
              <w:t>Renewables Plus</w:t>
            </w:r>
          </w:p>
        </w:tc>
        <w:tc>
          <w:tcPr>
            <w:tcW w:w="1777" w:type="dxa"/>
            <w:shd w:val="clear" w:color="auto" w:fill="1795D2" w:themeFill="accent1"/>
            <w:tcMar>
              <w:left w:w="58" w:type="dxa"/>
              <w:right w:w="58" w:type="dxa"/>
            </w:tcMar>
            <w:vAlign w:val="center"/>
            <w:hideMark/>
          </w:tcPr>
          <w:p w:rsidR="00B828FA" w:rsidRPr="008702A1" w:rsidRDefault="00B828FA" w:rsidP="0010154E">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702A1">
              <w:rPr>
                <w:rFonts w:asciiTheme="majorHAnsi" w:hAnsiTheme="majorHAnsi"/>
                <w:b/>
                <w:bCs/>
                <w:color w:val="FFFFFF" w:themeColor="background1"/>
                <w:sz w:val="18"/>
                <w:szCs w:val="18"/>
              </w:rPr>
              <w:t>Scenario A</w:t>
            </w:r>
            <w:r w:rsidR="00F446BC">
              <w:rPr>
                <w:rFonts w:asciiTheme="majorHAnsi" w:hAnsiTheme="majorHAnsi"/>
                <w:b/>
                <w:bCs/>
                <w:color w:val="FFFFFF" w:themeColor="background1"/>
                <w:sz w:val="18"/>
                <w:szCs w:val="18"/>
              </w:rPr>
              <w:br/>
            </w:r>
            <w:r w:rsidRPr="008702A1">
              <w:rPr>
                <w:rFonts w:asciiTheme="majorHAnsi" w:hAnsiTheme="majorHAnsi"/>
                <w:b/>
                <w:bCs/>
                <w:color w:val="FFFFFF" w:themeColor="background1"/>
                <w:sz w:val="18"/>
                <w:szCs w:val="18"/>
              </w:rPr>
              <w:t>EE + Offshore</w:t>
            </w:r>
            <w:r w:rsidR="0039110A" w:rsidRPr="0039110A">
              <w:rPr>
                <w:rFonts w:asciiTheme="majorHAnsi" w:hAnsiTheme="majorHAnsi"/>
                <w:b/>
                <w:bCs/>
                <w:color w:val="FFFFFF" w:themeColor="background1"/>
                <w:sz w:val="18"/>
                <w:szCs w:val="18"/>
                <w:vertAlign w:val="superscript"/>
              </w:rPr>
              <w:t>(a)</w:t>
            </w:r>
          </w:p>
        </w:tc>
        <w:tc>
          <w:tcPr>
            <w:tcW w:w="1777" w:type="dxa"/>
            <w:shd w:val="clear" w:color="auto" w:fill="1795D2" w:themeFill="accent1"/>
            <w:tcMar>
              <w:left w:w="58" w:type="dxa"/>
              <w:right w:w="58" w:type="dxa"/>
            </w:tcMar>
            <w:vAlign w:val="center"/>
            <w:hideMark/>
          </w:tcPr>
          <w:p w:rsidR="00B828FA" w:rsidRPr="008702A1" w:rsidRDefault="00B828FA" w:rsidP="0010154E">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702A1">
              <w:rPr>
                <w:rFonts w:asciiTheme="majorHAnsi" w:hAnsiTheme="majorHAnsi"/>
                <w:b/>
                <w:bCs/>
                <w:color w:val="FFFFFF" w:themeColor="background1"/>
                <w:sz w:val="18"/>
                <w:szCs w:val="18"/>
              </w:rPr>
              <w:t>Scenario B</w:t>
            </w:r>
            <w:r w:rsidR="00F446BC">
              <w:rPr>
                <w:rFonts w:asciiTheme="majorHAnsi" w:hAnsiTheme="majorHAnsi"/>
                <w:b/>
                <w:bCs/>
                <w:color w:val="FFFFFF" w:themeColor="background1"/>
                <w:sz w:val="18"/>
                <w:szCs w:val="18"/>
              </w:rPr>
              <w:br/>
            </w:r>
            <w:r w:rsidRPr="008702A1">
              <w:rPr>
                <w:rFonts w:asciiTheme="majorHAnsi" w:hAnsiTheme="majorHAnsi"/>
                <w:b/>
                <w:bCs/>
                <w:color w:val="FFFFFF" w:themeColor="background1"/>
                <w:sz w:val="18"/>
                <w:szCs w:val="18"/>
              </w:rPr>
              <w:t>Onshore Less EE/PV</w:t>
            </w:r>
            <w:r w:rsidR="0039110A" w:rsidRPr="0039110A">
              <w:rPr>
                <w:rFonts w:asciiTheme="majorHAnsi" w:hAnsiTheme="majorHAnsi"/>
                <w:b/>
                <w:bCs/>
                <w:color w:val="FFFFFF" w:themeColor="background1"/>
                <w:sz w:val="18"/>
                <w:szCs w:val="18"/>
                <w:vertAlign w:val="superscript"/>
              </w:rPr>
              <w:t>(b)</w:t>
            </w:r>
          </w:p>
        </w:tc>
        <w:tc>
          <w:tcPr>
            <w:tcW w:w="1777" w:type="dxa"/>
            <w:shd w:val="clear" w:color="auto" w:fill="1795D2" w:themeFill="accent1"/>
            <w:tcMar>
              <w:left w:w="58" w:type="dxa"/>
              <w:right w:w="58" w:type="dxa"/>
            </w:tcMar>
            <w:vAlign w:val="center"/>
            <w:hideMark/>
          </w:tcPr>
          <w:p w:rsidR="00B828FA" w:rsidRPr="008702A1" w:rsidRDefault="00B828FA" w:rsidP="0010154E">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702A1">
              <w:rPr>
                <w:rFonts w:asciiTheme="majorHAnsi" w:hAnsiTheme="majorHAnsi"/>
                <w:b/>
                <w:bCs/>
                <w:color w:val="FFFFFF" w:themeColor="background1"/>
                <w:sz w:val="18"/>
                <w:szCs w:val="18"/>
              </w:rPr>
              <w:t>Scenario C</w:t>
            </w:r>
            <w:r w:rsidR="00066B08">
              <w:rPr>
                <w:rFonts w:asciiTheme="majorHAnsi" w:hAnsiTheme="majorHAnsi"/>
                <w:b/>
                <w:bCs/>
                <w:color w:val="FFFFFF" w:themeColor="background1"/>
                <w:sz w:val="18"/>
                <w:szCs w:val="18"/>
              </w:rPr>
              <w:br/>
            </w:r>
            <w:r w:rsidR="00AF6389">
              <w:rPr>
                <w:rFonts w:asciiTheme="majorHAnsi" w:hAnsiTheme="majorHAnsi"/>
                <w:b/>
                <w:bCs/>
                <w:color w:val="FFFFFF" w:themeColor="background1"/>
                <w:sz w:val="18"/>
                <w:szCs w:val="18"/>
              </w:rPr>
              <w:t>Wind Less Nuclear</w:t>
            </w:r>
            <w:r w:rsidR="0039110A" w:rsidRPr="008A0F5F">
              <w:rPr>
                <w:rFonts w:asciiTheme="majorHAnsi" w:hAnsiTheme="majorHAnsi"/>
                <w:b/>
                <w:bCs/>
                <w:color w:val="FFFFFF" w:themeColor="background1"/>
                <w:sz w:val="18"/>
                <w:szCs w:val="18"/>
                <w:vertAlign w:val="superscript"/>
              </w:rPr>
              <w:t>(b)</w:t>
            </w:r>
          </w:p>
        </w:tc>
      </w:tr>
      <w:tr w:rsidR="00B828FA" w:rsidRPr="00B828FA" w:rsidTr="001259D9">
        <w:trPr>
          <w:trHeight w:val="490"/>
          <w:jc w:val="center"/>
        </w:trPr>
        <w:tc>
          <w:tcPr>
            <w:tcW w:w="2430" w:type="dxa"/>
            <w:vAlign w:val="center"/>
            <w:hideMark/>
          </w:tcPr>
          <w:p w:rsidR="0060381C" w:rsidRPr="008702A1" w:rsidRDefault="0060381C" w:rsidP="0039110A">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2030 Maine nameplate wind injection (MW)</w:t>
            </w:r>
          </w:p>
        </w:tc>
        <w:tc>
          <w:tcPr>
            <w:tcW w:w="1776" w:type="dxa"/>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3,652</w:t>
            </w:r>
          </w:p>
        </w:tc>
        <w:tc>
          <w:tcPr>
            <w:tcW w:w="1777" w:type="dxa"/>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926</w:t>
            </w:r>
          </w:p>
        </w:tc>
        <w:tc>
          <w:tcPr>
            <w:tcW w:w="1777" w:type="dxa"/>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5,743</w:t>
            </w:r>
          </w:p>
        </w:tc>
        <w:tc>
          <w:tcPr>
            <w:tcW w:w="1777" w:type="dxa"/>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7,579</w:t>
            </w:r>
          </w:p>
        </w:tc>
      </w:tr>
      <w:tr w:rsidR="00B828FA" w:rsidRPr="00B828FA" w:rsidTr="001259D9">
        <w:trPr>
          <w:trHeight w:val="490"/>
          <w:jc w:val="center"/>
        </w:trPr>
        <w:tc>
          <w:tcPr>
            <w:tcW w:w="2430"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Needed congestion-relief capacity (MW)</w:t>
            </w:r>
          </w:p>
        </w:tc>
        <w:tc>
          <w:tcPr>
            <w:tcW w:w="1776"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1,839</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3,524</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4,870</w:t>
            </w:r>
          </w:p>
        </w:tc>
      </w:tr>
      <w:tr w:rsidR="00B828FA" w:rsidRPr="00B828FA" w:rsidTr="001259D9">
        <w:trPr>
          <w:trHeight w:val="490"/>
          <w:jc w:val="center"/>
        </w:trPr>
        <w:tc>
          <w:tcPr>
            <w:tcW w:w="2430" w:type="dxa"/>
            <w:vAlign w:val="center"/>
            <w:hideMark/>
          </w:tcPr>
          <w:p w:rsidR="0060381C" w:rsidRPr="00586925" w:rsidRDefault="0060381C" w:rsidP="00D33A3F">
            <w:pPr>
              <w:keepNext/>
              <w:keepLines/>
              <w:tabs>
                <w:tab w:val="left" w:pos="1260"/>
              </w:tabs>
              <w:spacing w:before="40" w:after="40" w:line="240" w:lineRule="auto"/>
              <w:rPr>
                <w:rFonts w:asciiTheme="majorHAnsi" w:hAnsiTheme="majorHAnsi"/>
                <w:b/>
                <w:bCs/>
                <w:sz w:val="18"/>
                <w:szCs w:val="18"/>
              </w:rPr>
            </w:pPr>
            <w:r w:rsidRPr="00586925">
              <w:rPr>
                <w:rFonts w:asciiTheme="majorHAnsi" w:hAnsiTheme="majorHAnsi"/>
                <w:b/>
                <w:bCs/>
                <w:sz w:val="18"/>
                <w:szCs w:val="18"/>
              </w:rPr>
              <w:t>Integrator system (description)</w:t>
            </w:r>
          </w:p>
        </w:tc>
        <w:tc>
          <w:tcPr>
            <w:tcW w:w="1776" w:type="dxa"/>
            <w:vAlign w:val="center"/>
            <w:hideMark/>
          </w:tcPr>
          <w:p w:rsidR="0060381C" w:rsidRPr="00D33A3F" w:rsidRDefault="00E22A94"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 xml:space="preserve">1 or </w:t>
            </w:r>
            <w:r w:rsidR="0060381C" w:rsidRPr="0010154E">
              <w:rPr>
                <w:rFonts w:asciiTheme="majorHAnsi" w:hAnsiTheme="majorHAnsi"/>
                <w:sz w:val="18"/>
                <w:szCs w:val="18"/>
              </w:rPr>
              <w:t>2 AC</w:t>
            </w:r>
            <w:r w:rsidR="0039110A">
              <w:rPr>
                <w:rFonts w:asciiTheme="majorHAnsi" w:hAnsiTheme="majorHAnsi"/>
                <w:sz w:val="18"/>
                <w:szCs w:val="18"/>
              </w:rPr>
              <w:t>-</w:t>
            </w:r>
            <w:r w:rsidR="0060381C" w:rsidRPr="0010154E">
              <w:rPr>
                <w:rFonts w:asciiTheme="majorHAnsi" w:hAnsiTheme="majorHAnsi"/>
                <w:sz w:val="18"/>
                <w:szCs w:val="18"/>
              </w:rPr>
              <w:t>parallel</w:t>
            </w:r>
            <w:r w:rsidR="008D1D0F" w:rsidRPr="0010154E">
              <w:rPr>
                <w:rFonts w:asciiTheme="majorHAnsi" w:hAnsiTheme="majorHAnsi"/>
                <w:sz w:val="18"/>
                <w:szCs w:val="18"/>
              </w:rPr>
              <w:br/>
            </w:r>
            <w:r w:rsidR="0060381C" w:rsidRPr="0010154E">
              <w:rPr>
                <w:rFonts w:asciiTheme="majorHAnsi" w:hAnsiTheme="majorHAnsi"/>
                <w:sz w:val="18"/>
                <w:szCs w:val="18"/>
              </w:rPr>
              <w:t>345 kV paths</w:t>
            </w:r>
          </w:p>
        </w:tc>
        <w:tc>
          <w:tcPr>
            <w:tcW w:w="1777" w:type="dxa"/>
            <w:vAlign w:val="center"/>
            <w:hideMark/>
          </w:tcPr>
          <w:p w:rsidR="0060381C" w:rsidRPr="00D33A3F" w:rsidRDefault="0060381C" w:rsidP="0039110A">
            <w:pPr>
              <w:keepNext/>
              <w:keepLines/>
              <w:tabs>
                <w:tab w:val="left" w:pos="1260"/>
              </w:tabs>
              <w:spacing w:before="40" w:after="40" w:line="240" w:lineRule="auto"/>
              <w:jc w:val="center"/>
              <w:rPr>
                <w:rFonts w:asciiTheme="majorHAnsi" w:hAnsiTheme="majorHAnsi"/>
                <w:sz w:val="18"/>
                <w:szCs w:val="18"/>
              </w:rPr>
            </w:pPr>
            <w:r w:rsidRPr="00D33A3F">
              <w:rPr>
                <w:rFonts w:asciiTheme="majorHAnsi" w:hAnsiTheme="majorHAnsi"/>
                <w:sz w:val="18"/>
                <w:szCs w:val="18"/>
              </w:rPr>
              <w:t xml:space="preserve">1 </w:t>
            </w:r>
            <w:r w:rsidR="00E22A94">
              <w:rPr>
                <w:rFonts w:asciiTheme="majorHAnsi" w:hAnsiTheme="majorHAnsi"/>
                <w:sz w:val="18"/>
                <w:szCs w:val="18"/>
              </w:rPr>
              <w:t>or 2</w:t>
            </w:r>
            <w:r w:rsidRPr="00D33A3F">
              <w:rPr>
                <w:rFonts w:asciiTheme="majorHAnsi" w:hAnsiTheme="majorHAnsi"/>
                <w:sz w:val="18"/>
                <w:szCs w:val="18"/>
              </w:rPr>
              <w:t xml:space="preserve"> </w:t>
            </w:r>
            <w:r w:rsidR="0039110A">
              <w:rPr>
                <w:rFonts w:asciiTheme="majorHAnsi" w:hAnsiTheme="majorHAnsi"/>
                <w:sz w:val="18"/>
                <w:szCs w:val="18"/>
              </w:rPr>
              <w:t>AC-</w:t>
            </w:r>
            <w:r w:rsidRPr="00D33A3F">
              <w:rPr>
                <w:rFonts w:asciiTheme="majorHAnsi" w:hAnsiTheme="majorHAnsi"/>
                <w:sz w:val="18"/>
                <w:szCs w:val="18"/>
              </w:rPr>
              <w:t>parallel</w:t>
            </w:r>
            <w:r w:rsidR="008D1D0F" w:rsidRPr="00D33A3F">
              <w:rPr>
                <w:rFonts w:asciiTheme="majorHAnsi" w:hAnsiTheme="majorHAnsi"/>
                <w:sz w:val="18"/>
                <w:szCs w:val="18"/>
              </w:rPr>
              <w:br/>
            </w:r>
            <w:r w:rsidRPr="00D33A3F">
              <w:rPr>
                <w:rFonts w:asciiTheme="majorHAnsi" w:hAnsiTheme="majorHAnsi"/>
                <w:sz w:val="18"/>
                <w:szCs w:val="18"/>
              </w:rPr>
              <w:t>345 kV path</w:t>
            </w:r>
            <w:r w:rsidR="00E22A94">
              <w:rPr>
                <w:rFonts w:asciiTheme="majorHAnsi" w:hAnsiTheme="majorHAnsi"/>
                <w:sz w:val="18"/>
                <w:szCs w:val="18"/>
              </w:rPr>
              <w:t>s</w:t>
            </w:r>
          </w:p>
        </w:tc>
        <w:tc>
          <w:tcPr>
            <w:tcW w:w="1777" w:type="dxa"/>
            <w:vAlign w:val="center"/>
            <w:hideMark/>
          </w:tcPr>
          <w:p w:rsidR="0060381C" w:rsidRPr="00586925" w:rsidRDefault="008D1D0F" w:rsidP="00D33A3F">
            <w:pPr>
              <w:keepNext/>
              <w:keepLines/>
              <w:tabs>
                <w:tab w:val="left" w:pos="1260"/>
              </w:tabs>
              <w:spacing w:before="40" w:after="40" w:line="240" w:lineRule="auto"/>
              <w:jc w:val="center"/>
              <w:rPr>
                <w:rFonts w:asciiTheme="majorHAnsi" w:hAnsiTheme="majorHAnsi"/>
                <w:sz w:val="18"/>
                <w:szCs w:val="18"/>
              </w:rPr>
            </w:pPr>
            <w:r w:rsidRPr="00586925">
              <w:rPr>
                <w:rFonts w:asciiTheme="majorHAnsi" w:hAnsiTheme="majorHAnsi"/>
                <w:sz w:val="18"/>
                <w:szCs w:val="18"/>
              </w:rPr>
              <w:t>—</w:t>
            </w:r>
          </w:p>
        </w:tc>
        <w:tc>
          <w:tcPr>
            <w:tcW w:w="1777" w:type="dxa"/>
            <w:vAlign w:val="center"/>
            <w:hideMark/>
          </w:tcPr>
          <w:p w:rsidR="0060381C" w:rsidRPr="008702A1" w:rsidRDefault="008D1D0F" w:rsidP="00D33A3F">
            <w:pPr>
              <w:keepNext/>
              <w:keepLines/>
              <w:tabs>
                <w:tab w:val="left" w:pos="1260"/>
              </w:tabs>
              <w:spacing w:before="40" w:after="40" w:line="240" w:lineRule="auto"/>
              <w:jc w:val="center"/>
              <w:rPr>
                <w:rFonts w:asciiTheme="majorHAnsi" w:hAnsiTheme="majorHAnsi"/>
                <w:sz w:val="18"/>
                <w:szCs w:val="18"/>
              </w:rPr>
            </w:pPr>
            <w:r w:rsidRPr="00586925">
              <w:rPr>
                <w:rFonts w:asciiTheme="majorHAnsi" w:hAnsiTheme="majorHAnsi"/>
                <w:sz w:val="18"/>
                <w:szCs w:val="18"/>
              </w:rPr>
              <w:t>—</w:t>
            </w:r>
          </w:p>
        </w:tc>
      </w:tr>
      <w:tr w:rsidR="00B828FA" w:rsidRPr="00B828FA" w:rsidTr="001259D9">
        <w:trPr>
          <w:trHeight w:val="490"/>
          <w:jc w:val="center"/>
        </w:trPr>
        <w:tc>
          <w:tcPr>
            <w:tcW w:w="2430" w:type="dxa"/>
            <w:shd w:val="clear" w:color="auto" w:fill="CCEAF9" w:themeFill="accent1" w:themeFillTint="33"/>
            <w:vAlign w:val="center"/>
            <w:hideMark/>
          </w:tcPr>
          <w:p w:rsidR="0060381C" w:rsidRPr="008702A1" w:rsidRDefault="0060381C" w:rsidP="001259D9">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Integrator system cost</w:t>
            </w:r>
            <w:r w:rsidR="001259D9">
              <w:rPr>
                <w:rFonts w:asciiTheme="majorHAnsi" w:hAnsiTheme="majorHAnsi"/>
                <w:b/>
                <w:bCs/>
                <w:sz w:val="18"/>
                <w:szCs w:val="18"/>
              </w:rPr>
              <w:br/>
            </w:r>
            <w:r w:rsidRPr="008702A1">
              <w:rPr>
                <w:rFonts w:asciiTheme="majorHAnsi" w:hAnsiTheme="majorHAnsi"/>
                <w:b/>
                <w:bCs/>
                <w:sz w:val="18"/>
                <w:szCs w:val="18"/>
              </w:rPr>
              <w:t>($ billion)</w:t>
            </w:r>
          </w:p>
        </w:tc>
        <w:tc>
          <w:tcPr>
            <w:tcW w:w="1776"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$1.50 to $3.00</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$1.50 to $3.00</w:t>
            </w:r>
          </w:p>
        </w:tc>
        <w:tc>
          <w:tcPr>
            <w:tcW w:w="1777" w:type="dxa"/>
            <w:shd w:val="clear" w:color="auto" w:fill="CCEAF9" w:themeFill="accent1" w:themeFillTint="33"/>
            <w:vAlign w:val="center"/>
            <w:hideMark/>
          </w:tcPr>
          <w:p w:rsidR="0060381C"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777" w:type="dxa"/>
            <w:shd w:val="clear" w:color="auto" w:fill="CCEAF9" w:themeFill="accent1" w:themeFillTint="33"/>
            <w:vAlign w:val="center"/>
            <w:hideMark/>
          </w:tcPr>
          <w:p w:rsidR="0060381C"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tc>
      </w:tr>
      <w:tr w:rsidR="008702A1" w:rsidRPr="00B828FA" w:rsidTr="001259D9">
        <w:trPr>
          <w:trHeight w:val="576"/>
          <w:jc w:val="center"/>
        </w:trPr>
        <w:tc>
          <w:tcPr>
            <w:tcW w:w="2430" w:type="dxa"/>
            <w:vAlign w:val="center"/>
            <w:hideMark/>
          </w:tcPr>
          <w:p w:rsidR="008702A1" w:rsidRPr="008702A1" w:rsidRDefault="008702A1" w:rsidP="001259D9">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Integrator system cost + 50% margin</w:t>
            </w:r>
            <w:r w:rsidR="001259D9">
              <w:rPr>
                <w:rFonts w:asciiTheme="majorHAnsi" w:hAnsiTheme="majorHAnsi"/>
                <w:b/>
                <w:bCs/>
                <w:sz w:val="18"/>
                <w:szCs w:val="18"/>
              </w:rPr>
              <w:t xml:space="preserve"> </w:t>
            </w:r>
            <w:r w:rsidRPr="008702A1">
              <w:rPr>
                <w:rFonts w:asciiTheme="majorHAnsi" w:hAnsiTheme="majorHAnsi"/>
                <w:b/>
                <w:bCs/>
                <w:sz w:val="18"/>
                <w:szCs w:val="18"/>
              </w:rPr>
              <w:t>($ billion)</w:t>
            </w:r>
          </w:p>
        </w:tc>
        <w:tc>
          <w:tcPr>
            <w:tcW w:w="1776" w:type="dxa"/>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$2.25 to $4.50</w:t>
            </w:r>
          </w:p>
        </w:tc>
        <w:tc>
          <w:tcPr>
            <w:tcW w:w="1777" w:type="dxa"/>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$2.25 to $4.50</w:t>
            </w:r>
          </w:p>
        </w:tc>
        <w:tc>
          <w:tcPr>
            <w:tcW w:w="1777" w:type="dxa"/>
            <w:vAlign w:val="center"/>
            <w:hideMark/>
          </w:tcPr>
          <w:p w:rsidR="008702A1"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777" w:type="dxa"/>
            <w:vAlign w:val="center"/>
            <w:hideMark/>
          </w:tcPr>
          <w:p w:rsidR="008702A1"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tc>
      </w:tr>
      <w:tr w:rsidR="00B828FA" w:rsidRPr="00B828FA" w:rsidTr="001259D9">
        <w:trPr>
          <w:trHeight w:val="490"/>
          <w:jc w:val="center"/>
        </w:trPr>
        <w:tc>
          <w:tcPr>
            <w:tcW w:w="2430"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Congestion-relief system (description)</w:t>
            </w:r>
          </w:p>
        </w:tc>
        <w:tc>
          <w:tcPr>
            <w:tcW w:w="1776"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Connecting Larrabee 345 kV to the Hub</w:t>
            </w:r>
          </w:p>
        </w:tc>
        <w:tc>
          <w:tcPr>
            <w:tcW w:w="1777" w:type="dxa"/>
            <w:shd w:val="clear" w:color="auto" w:fill="CCEAF9" w:themeFill="accent1" w:themeFillTint="33"/>
            <w:vAlign w:val="center"/>
            <w:hideMark/>
          </w:tcPr>
          <w:p w:rsidR="0060381C" w:rsidRPr="008702A1" w:rsidRDefault="0039110A"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(No congestion-relief system)</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Connecting POIs directly to the Hub</w:t>
            </w:r>
          </w:p>
        </w:tc>
        <w:tc>
          <w:tcPr>
            <w:tcW w:w="1777" w:type="dxa"/>
            <w:shd w:val="clear" w:color="auto" w:fill="CCEAF9" w:themeFill="accent1" w:themeFillTint="33"/>
            <w:vAlign w:val="center"/>
            <w:hideMark/>
          </w:tcPr>
          <w:p w:rsidR="0060381C" w:rsidRPr="008702A1" w:rsidRDefault="0060381C"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Connecting POIs directly to the Hub</w:t>
            </w:r>
          </w:p>
        </w:tc>
      </w:tr>
      <w:tr w:rsidR="008702A1" w:rsidRPr="00B828FA" w:rsidTr="001259D9">
        <w:trPr>
          <w:trHeight w:val="576"/>
          <w:jc w:val="center"/>
        </w:trPr>
        <w:tc>
          <w:tcPr>
            <w:tcW w:w="2430" w:type="dxa"/>
            <w:vAlign w:val="center"/>
            <w:hideMark/>
          </w:tcPr>
          <w:p w:rsidR="008702A1" w:rsidRPr="008702A1" w:rsidRDefault="008702A1" w:rsidP="0039110A">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Congestion-relief system cost</w:t>
            </w:r>
            <w:r>
              <w:rPr>
                <w:rFonts w:asciiTheme="majorHAnsi" w:hAnsiTheme="majorHAnsi"/>
                <w:b/>
                <w:bCs/>
                <w:sz w:val="18"/>
                <w:szCs w:val="18"/>
              </w:rPr>
              <w:t xml:space="preserve"> </w:t>
            </w:r>
            <w:r w:rsidRPr="008702A1">
              <w:rPr>
                <w:rFonts w:asciiTheme="majorHAnsi" w:hAnsiTheme="majorHAnsi"/>
                <w:b/>
                <w:bCs/>
                <w:sz w:val="18"/>
                <w:szCs w:val="18"/>
              </w:rPr>
              <w:t>($ billion)</w:t>
            </w:r>
          </w:p>
        </w:tc>
        <w:tc>
          <w:tcPr>
            <w:tcW w:w="1776" w:type="dxa"/>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$3.73</w:t>
            </w:r>
          </w:p>
        </w:tc>
        <w:tc>
          <w:tcPr>
            <w:tcW w:w="1777" w:type="dxa"/>
            <w:vAlign w:val="center"/>
            <w:hideMark/>
          </w:tcPr>
          <w:p w:rsidR="008702A1"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777" w:type="dxa"/>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$8.03</w:t>
            </w:r>
          </w:p>
        </w:tc>
        <w:tc>
          <w:tcPr>
            <w:tcW w:w="1777" w:type="dxa"/>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$10.14</w:t>
            </w:r>
          </w:p>
        </w:tc>
      </w:tr>
      <w:tr w:rsidR="008702A1" w:rsidRPr="00B828FA" w:rsidTr="001259D9">
        <w:trPr>
          <w:trHeight w:val="553"/>
          <w:jc w:val="center"/>
        </w:trPr>
        <w:tc>
          <w:tcPr>
            <w:tcW w:w="2430" w:type="dxa"/>
            <w:shd w:val="clear" w:color="auto" w:fill="CCEAF9" w:themeFill="accent1" w:themeFillTint="33"/>
            <w:vAlign w:val="center"/>
            <w:hideMark/>
          </w:tcPr>
          <w:p w:rsidR="008702A1" w:rsidRPr="008702A1" w:rsidRDefault="008702A1" w:rsidP="0039110A">
            <w:pPr>
              <w:keepNext/>
              <w:keepLines/>
              <w:tabs>
                <w:tab w:val="left" w:pos="1260"/>
              </w:tabs>
              <w:spacing w:before="40" w:after="40" w:line="240" w:lineRule="auto"/>
              <w:rPr>
                <w:rFonts w:asciiTheme="majorHAnsi" w:hAnsiTheme="majorHAnsi"/>
                <w:b/>
                <w:bCs/>
                <w:sz w:val="18"/>
                <w:szCs w:val="18"/>
              </w:rPr>
            </w:pPr>
            <w:r w:rsidRPr="008702A1">
              <w:rPr>
                <w:rFonts w:asciiTheme="majorHAnsi" w:hAnsiTheme="majorHAnsi"/>
                <w:b/>
                <w:bCs/>
                <w:sz w:val="18"/>
                <w:szCs w:val="18"/>
              </w:rPr>
              <w:t>Congestion-relief system cost + 50% margin</w:t>
            </w:r>
            <w:r>
              <w:rPr>
                <w:rFonts w:asciiTheme="majorHAnsi" w:hAnsiTheme="majorHAnsi"/>
                <w:b/>
                <w:bCs/>
                <w:sz w:val="18"/>
                <w:szCs w:val="18"/>
              </w:rPr>
              <w:t xml:space="preserve"> </w:t>
            </w:r>
            <w:r w:rsidRPr="008702A1">
              <w:rPr>
                <w:rFonts w:asciiTheme="majorHAnsi" w:hAnsiTheme="majorHAnsi"/>
                <w:b/>
                <w:bCs/>
                <w:sz w:val="18"/>
                <w:szCs w:val="18"/>
              </w:rPr>
              <w:t>($ billion)</w:t>
            </w:r>
          </w:p>
        </w:tc>
        <w:tc>
          <w:tcPr>
            <w:tcW w:w="1776" w:type="dxa"/>
            <w:shd w:val="clear" w:color="auto" w:fill="CCEAF9" w:themeFill="accent1" w:themeFillTint="33"/>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$5.60</w:t>
            </w:r>
          </w:p>
        </w:tc>
        <w:tc>
          <w:tcPr>
            <w:tcW w:w="1777" w:type="dxa"/>
            <w:shd w:val="clear" w:color="auto" w:fill="CCEAF9" w:themeFill="accent1" w:themeFillTint="33"/>
            <w:vAlign w:val="center"/>
            <w:hideMark/>
          </w:tcPr>
          <w:p w:rsidR="008702A1" w:rsidRPr="008702A1" w:rsidRDefault="008D1D0F" w:rsidP="0039110A">
            <w:pPr>
              <w:keepNext/>
              <w:keepLines/>
              <w:tabs>
                <w:tab w:val="left" w:pos="1260"/>
              </w:tabs>
              <w:spacing w:before="40" w:after="40" w:line="240" w:lineRule="auto"/>
              <w:jc w:val="center"/>
              <w:rPr>
                <w:rFonts w:asciiTheme="majorHAnsi" w:hAnsiTheme="majorHAnsi"/>
                <w:sz w:val="18"/>
                <w:szCs w:val="18"/>
              </w:rPr>
            </w:pPr>
            <w:r>
              <w:rPr>
                <w:rFonts w:asciiTheme="majorHAnsi" w:hAnsiTheme="majorHAnsi"/>
                <w:sz w:val="18"/>
                <w:szCs w:val="18"/>
              </w:rPr>
              <w:t>—</w:t>
            </w:r>
          </w:p>
          <w:p w:rsidR="008702A1" w:rsidRPr="008702A1" w:rsidRDefault="008702A1" w:rsidP="0039110A">
            <w:pPr>
              <w:keepNext/>
              <w:keepLines/>
              <w:tabs>
                <w:tab w:val="left" w:pos="1260"/>
              </w:tabs>
              <w:spacing w:before="40" w:after="40" w:line="240" w:lineRule="auto"/>
              <w:rPr>
                <w:rFonts w:asciiTheme="majorHAnsi" w:hAnsiTheme="majorHAnsi"/>
                <w:sz w:val="18"/>
                <w:szCs w:val="18"/>
              </w:rPr>
            </w:pPr>
            <w:r w:rsidRPr="008702A1">
              <w:rPr>
                <w:rFonts w:asciiTheme="majorHAnsi" w:hAnsiTheme="majorHAnsi"/>
                <w:sz w:val="18"/>
                <w:szCs w:val="18"/>
              </w:rPr>
              <w:t> </w:t>
            </w:r>
          </w:p>
        </w:tc>
        <w:tc>
          <w:tcPr>
            <w:tcW w:w="1777" w:type="dxa"/>
            <w:shd w:val="clear" w:color="auto" w:fill="CCEAF9" w:themeFill="accent1" w:themeFillTint="33"/>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$12.05</w:t>
            </w:r>
          </w:p>
        </w:tc>
        <w:tc>
          <w:tcPr>
            <w:tcW w:w="1777" w:type="dxa"/>
            <w:shd w:val="clear" w:color="auto" w:fill="CCEAF9" w:themeFill="accent1" w:themeFillTint="33"/>
            <w:vAlign w:val="center"/>
            <w:hideMark/>
          </w:tcPr>
          <w:p w:rsidR="008702A1" w:rsidRPr="008702A1" w:rsidRDefault="008702A1" w:rsidP="0039110A">
            <w:pPr>
              <w:keepNext/>
              <w:keepLines/>
              <w:tabs>
                <w:tab w:val="left" w:pos="1260"/>
              </w:tabs>
              <w:spacing w:before="40" w:after="40" w:line="240" w:lineRule="auto"/>
              <w:jc w:val="center"/>
              <w:rPr>
                <w:rFonts w:asciiTheme="majorHAnsi" w:hAnsiTheme="majorHAnsi"/>
                <w:sz w:val="18"/>
                <w:szCs w:val="18"/>
              </w:rPr>
            </w:pPr>
            <w:r w:rsidRPr="008702A1">
              <w:rPr>
                <w:rFonts w:asciiTheme="majorHAnsi" w:hAnsiTheme="majorHAnsi"/>
                <w:sz w:val="18"/>
                <w:szCs w:val="18"/>
              </w:rPr>
              <w:t>$15.21</w:t>
            </w:r>
          </w:p>
        </w:tc>
      </w:tr>
      <w:tr w:rsidR="008D1D0F" w:rsidRPr="008D1D0F" w:rsidTr="001259D9">
        <w:trPr>
          <w:trHeight w:val="625"/>
          <w:jc w:val="center"/>
        </w:trPr>
        <w:tc>
          <w:tcPr>
            <w:tcW w:w="2430" w:type="dxa"/>
            <w:shd w:val="clear" w:color="auto" w:fill="1795D2" w:themeFill="accent1"/>
            <w:vAlign w:val="center"/>
            <w:hideMark/>
          </w:tcPr>
          <w:p w:rsidR="008702A1" w:rsidRPr="008D1D0F" w:rsidRDefault="008702A1" w:rsidP="001259D9">
            <w:pPr>
              <w:keepNext/>
              <w:keepLines/>
              <w:tabs>
                <w:tab w:val="left" w:pos="1260"/>
              </w:tabs>
              <w:spacing w:before="40" w:after="40" w:line="240" w:lineRule="auto"/>
              <w:rPr>
                <w:rFonts w:asciiTheme="majorHAnsi" w:hAnsiTheme="majorHAnsi"/>
                <w:b/>
                <w:bCs/>
                <w:color w:val="FFFFFF" w:themeColor="background1"/>
                <w:sz w:val="18"/>
                <w:szCs w:val="18"/>
              </w:rPr>
            </w:pPr>
            <w:r w:rsidRPr="008D1D0F">
              <w:rPr>
                <w:rFonts w:asciiTheme="majorHAnsi" w:hAnsiTheme="majorHAnsi"/>
                <w:b/>
                <w:bCs/>
                <w:color w:val="FFFFFF" w:themeColor="background1"/>
                <w:sz w:val="18"/>
                <w:szCs w:val="18"/>
              </w:rPr>
              <w:t>Total cost + 50% margin</w:t>
            </w:r>
            <w:r w:rsidR="001259D9">
              <w:rPr>
                <w:rFonts w:asciiTheme="majorHAnsi" w:hAnsiTheme="majorHAnsi"/>
                <w:b/>
                <w:bCs/>
                <w:color w:val="FFFFFF" w:themeColor="background1"/>
                <w:sz w:val="18"/>
                <w:szCs w:val="18"/>
              </w:rPr>
              <w:br/>
            </w:r>
            <w:r w:rsidRPr="008D1D0F">
              <w:rPr>
                <w:rFonts w:asciiTheme="majorHAnsi" w:hAnsiTheme="majorHAnsi"/>
                <w:b/>
                <w:bCs/>
                <w:color w:val="FFFFFF" w:themeColor="background1"/>
                <w:sz w:val="18"/>
                <w:szCs w:val="18"/>
              </w:rPr>
              <w:t>($ billions)</w:t>
            </w:r>
          </w:p>
        </w:tc>
        <w:tc>
          <w:tcPr>
            <w:tcW w:w="1776" w:type="dxa"/>
            <w:shd w:val="clear" w:color="auto" w:fill="1795D2" w:themeFill="accent1"/>
            <w:vAlign w:val="center"/>
            <w:hideMark/>
          </w:tcPr>
          <w:p w:rsidR="008702A1" w:rsidRPr="008D1D0F" w:rsidRDefault="008702A1" w:rsidP="0039110A">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D1D0F">
              <w:rPr>
                <w:rFonts w:asciiTheme="majorHAnsi" w:hAnsiTheme="majorHAnsi"/>
                <w:b/>
                <w:bCs/>
                <w:color w:val="FFFFFF" w:themeColor="background1"/>
                <w:sz w:val="18"/>
                <w:szCs w:val="18"/>
              </w:rPr>
              <w:t>$7.85 to $10.10</w:t>
            </w:r>
          </w:p>
        </w:tc>
        <w:tc>
          <w:tcPr>
            <w:tcW w:w="1777" w:type="dxa"/>
            <w:shd w:val="clear" w:color="auto" w:fill="1795D2" w:themeFill="accent1"/>
            <w:vAlign w:val="center"/>
            <w:hideMark/>
          </w:tcPr>
          <w:p w:rsidR="008702A1" w:rsidRPr="008D1D0F" w:rsidRDefault="008702A1" w:rsidP="0039110A">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D1D0F">
              <w:rPr>
                <w:rFonts w:asciiTheme="majorHAnsi" w:hAnsiTheme="majorHAnsi"/>
                <w:b/>
                <w:bCs/>
                <w:color w:val="FFFFFF" w:themeColor="background1"/>
                <w:sz w:val="18"/>
                <w:szCs w:val="18"/>
              </w:rPr>
              <w:t>$2.25 to $4.50</w:t>
            </w:r>
          </w:p>
        </w:tc>
        <w:tc>
          <w:tcPr>
            <w:tcW w:w="1777" w:type="dxa"/>
            <w:shd w:val="clear" w:color="auto" w:fill="1795D2" w:themeFill="accent1"/>
            <w:vAlign w:val="center"/>
            <w:hideMark/>
          </w:tcPr>
          <w:p w:rsidR="008702A1" w:rsidRPr="008D1D0F" w:rsidRDefault="008702A1" w:rsidP="0039110A">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D1D0F">
              <w:rPr>
                <w:rFonts w:asciiTheme="majorHAnsi" w:hAnsiTheme="majorHAnsi"/>
                <w:b/>
                <w:bCs/>
                <w:color w:val="FFFFFF" w:themeColor="background1"/>
                <w:sz w:val="18"/>
                <w:szCs w:val="18"/>
              </w:rPr>
              <w:t>$12.05</w:t>
            </w:r>
          </w:p>
        </w:tc>
        <w:tc>
          <w:tcPr>
            <w:tcW w:w="1777" w:type="dxa"/>
            <w:shd w:val="clear" w:color="auto" w:fill="1795D2" w:themeFill="accent1"/>
            <w:vAlign w:val="center"/>
            <w:hideMark/>
          </w:tcPr>
          <w:p w:rsidR="008702A1" w:rsidRPr="008D1D0F" w:rsidRDefault="008702A1" w:rsidP="0039110A">
            <w:pPr>
              <w:keepNext/>
              <w:keepLines/>
              <w:tabs>
                <w:tab w:val="left" w:pos="1260"/>
              </w:tabs>
              <w:spacing w:before="40" w:after="40" w:line="240" w:lineRule="auto"/>
              <w:jc w:val="center"/>
              <w:rPr>
                <w:rFonts w:asciiTheme="majorHAnsi" w:hAnsiTheme="majorHAnsi"/>
                <w:b/>
                <w:bCs/>
                <w:color w:val="FFFFFF" w:themeColor="background1"/>
                <w:sz w:val="18"/>
                <w:szCs w:val="18"/>
              </w:rPr>
            </w:pPr>
            <w:r w:rsidRPr="008D1D0F">
              <w:rPr>
                <w:rFonts w:asciiTheme="majorHAnsi" w:hAnsiTheme="majorHAnsi"/>
                <w:b/>
                <w:bCs/>
                <w:color w:val="FFFFFF" w:themeColor="background1"/>
                <w:sz w:val="18"/>
                <w:szCs w:val="18"/>
              </w:rPr>
              <w:t>$15.21</w:t>
            </w:r>
          </w:p>
        </w:tc>
      </w:tr>
    </w:tbl>
    <w:p w:rsidR="0039110A" w:rsidRDefault="0039110A" w:rsidP="00427F9F">
      <w:pPr>
        <w:pStyle w:val="ListParagraph"/>
        <w:keepNext/>
        <w:keepLines/>
        <w:spacing w:before="80" w:after="80" w:line="240" w:lineRule="auto"/>
        <w:ind w:left="274" w:hanging="274"/>
        <w:rPr>
          <w:rFonts w:asciiTheme="minorHAnsi" w:hAnsiTheme="minorHAnsi"/>
          <w:sz w:val="16"/>
          <w:szCs w:val="16"/>
        </w:rPr>
      </w:pPr>
      <w:r w:rsidRPr="00B02621">
        <w:rPr>
          <w:rFonts w:asciiTheme="minorHAnsi" w:hAnsiTheme="minorHAnsi"/>
          <w:sz w:val="16"/>
          <w:szCs w:val="16"/>
        </w:rPr>
        <w:t>(</w:t>
      </w:r>
      <w:r>
        <w:rPr>
          <w:rFonts w:asciiTheme="minorHAnsi" w:hAnsiTheme="minorHAnsi"/>
          <w:sz w:val="16"/>
          <w:szCs w:val="16"/>
        </w:rPr>
        <w:t>a</w:t>
      </w:r>
      <w:r w:rsidRPr="00B02621">
        <w:rPr>
          <w:rFonts w:asciiTheme="minorHAnsi" w:hAnsiTheme="minorHAnsi"/>
          <w:sz w:val="16"/>
          <w:szCs w:val="16"/>
        </w:rPr>
        <w:t>)  Interconnection points for the SEMA/RI offshore wind additions would avoid the need for associated congestion-relief transmission upgrades but could require the addition of long POI HVDC interconnections, the cost of which was assumed as part of the offshore wind annual carrying charges.</w:t>
      </w:r>
      <w:r>
        <w:rPr>
          <w:rFonts w:asciiTheme="minorHAnsi" w:hAnsiTheme="minorHAnsi"/>
          <w:sz w:val="16"/>
          <w:szCs w:val="16"/>
        </w:rPr>
        <w:t xml:space="preserve"> </w:t>
      </w:r>
    </w:p>
    <w:p w:rsidR="008702A1" w:rsidRDefault="0039110A" w:rsidP="00427F9F">
      <w:pPr>
        <w:pStyle w:val="ListParagraph"/>
        <w:spacing w:after="0" w:line="240" w:lineRule="auto"/>
        <w:ind w:left="274" w:hanging="274"/>
        <w:rPr>
          <w:rFonts w:asciiTheme="minorHAnsi" w:hAnsiTheme="minorHAnsi"/>
          <w:sz w:val="16"/>
          <w:szCs w:val="16"/>
        </w:rPr>
      </w:pPr>
      <w:r w:rsidRPr="00B02621">
        <w:rPr>
          <w:rFonts w:asciiTheme="minorHAnsi" w:hAnsiTheme="minorHAnsi"/>
          <w:sz w:val="16"/>
          <w:szCs w:val="16"/>
        </w:rPr>
        <w:t xml:space="preserve"> </w:t>
      </w:r>
      <w:r w:rsidR="008702A1" w:rsidRPr="00B02621">
        <w:rPr>
          <w:rFonts w:asciiTheme="minorHAnsi" w:hAnsiTheme="minorHAnsi"/>
          <w:sz w:val="16"/>
          <w:szCs w:val="16"/>
        </w:rPr>
        <w:t>(</w:t>
      </w:r>
      <w:r>
        <w:rPr>
          <w:rFonts w:asciiTheme="minorHAnsi" w:hAnsiTheme="minorHAnsi"/>
          <w:sz w:val="16"/>
          <w:szCs w:val="16"/>
        </w:rPr>
        <w:t>b</w:t>
      </w:r>
      <w:r w:rsidR="008702A1" w:rsidRPr="00B02621">
        <w:rPr>
          <w:rFonts w:asciiTheme="minorHAnsi" w:hAnsiTheme="minorHAnsi"/>
          <w:sz w:val="16"/>
          <w:szCs w:val="16"/>
        </w:rPr>
        <w:t xml:space="preserve">) </w:t>
      </w:r>
      <w:r w:rsidR="008702A1" w:rsidRPr="00B02621">
        <w:rPr>
          <w:rFonts w:asciiTheme="minorHAnsi" w:hAnsiTheme="minorHAnsi"/>
          <w:sz w:val="16"/>
          <w:szCs w:val="16"/>
        </w:rPr>
        <w:tab/>
      </w:r>
      <w:r w:rsidR="008702A1" w:rsidRPr="00037407">
        <w:rPr>
          <w:rFonts w:asciiTheme="minorHAnsi" w:hAnsiTheme="minorHAnsi"/>
          <w:sz w:val="16"/>
          <w:szCs w:val="16"/>
        </w:rPr>
        <w:t xml:space="preserve">Because of the absence of an integrator system </w:t>
      </w:r>
      <w:r w:rsidR="008702A1">
        <w:rPr>
          <w:rFonts w:asciiTheme="minorHAnsi" w:hAnsiTheme="minorHAnsi"/>
          <w:sz w:val="16"/>
          <w:szCs w:val="16"/>
        </w:rPr>
        <w:t xml:space="preserve">for wind development in Maine for </w:t>
      </w:r>
      <w:r w:rsidR="008702A1" w:rsidRPr="00037407">
        <w:rPr>
          <w:rFonts w:asciiTheme="minorHAnsi" w:hAnsiTheme="minorHAnsi"/>
          <w:sz w:val="16"/>
          <w:szCs w:val="16"/>
        </w:rPr>
        <w:t xml:space="preserve">Scenarios </w:t>
      </w:r>
      <w:r w:rsidR="008702A1">
        <w:rPr>
          <w:rFonts w:asciiTheme="minorHAnsi" w:hAnsiTheme="minorHAnsi"/>
          <w:sz w:val="16"/>
          <w:szCs w:val="16"/>
        </w:rPr>
        <w:t>B</w:t>
      </w:r>
      <w:r w:rsidR="008702A1" w:rsidRPr="00037407">
        <w:rPr>
          <w:rFonts w:asciiTheme="minorHAnsi" w:hAnsiTheme="minorHAnsi"/>
          <w:sz w:val="16"/>
          <w:szCs w:val="16"/>
        </w:rPr>
        <w:t xml:space="preserve"> and </w:t>
      </w:r>
      <w:r w:rsidR="008702A1">
        <w:rPr>
          <w:rFonts w:asciiTheme="minorHAnsi" w:hAnsiTheme="minorHAnsi"/>
          <w:sz w:val="16"/>
          <w:szCs w:val="16"/>
        </w:rPr>
        <w:t>C</w:t>
      </w:r>
      <w:r w:rsidR="008702A1" w:rsidRPr="00037407">
        <w:rPr>
          <w:rFonts w:asciiTheme="minorHAnsi" w:hAnsiTheme="minorHAnsi"/>
          <w:sz w:val="16"/>
          <w:szCs w:val="16"/>
        </w:rPr>
        <w:t>, the method used to size of the congestion-relief system may have resulted in a slightly undersized system (</w:t>
      </w:r>
      <w:r w:rsidR="008702A1">
        <w:rPr>
          <w:rFonts w:asciiTheme="minorHAnsi" w:hAnsiTheme="minorHAnsi"/>
          <w:sz w:val="16"/>
          <w:szCs w:val="16"/>
        </w:rPr>
        <w:t xml:space="preserve">i.e., </w:t>
      </w:r>
      <w:r w:rsidR="008702A1" w:rsidRPr="00037407">
        <w:rPr>
          <w:rFonts w:asciiTheme="minorHAnsi" w:hAnsiTheme="minorHAnsi"/>
          <w:sz w:val="16"/>
          <w:szCs w:val="16"/>
        </w:rPr>
        <w:t xml:space="preserve">the method </w:t>
      </w:r>
      <w:r w:rsidR="008702A1" w:rsidRPr="00B02621">
        <w:rPr>
          <w:rFonts w:asciiTheme="minorHAnsi" w:hAnsiTheme="minorHAnsi"/>
          <w:sz w:val="16"/>
          <w:szCs w:val="16"/>
        </w:rPr>
        <w:t xml:space="preserve">assumed the </w:t>
      </w:r>
      <w:r w:rsidR="008702A1" w:rsidRPr="00037407">
        <w:rPr>
          <w:rFonts w:asciiTheme="minorHAnsi" w:hAnsiTheme="minorHAnsi"/>
          <w:sz w:val="16"/>
          <w:szCs w:val="16"/>
        </w:rPr>
        <w:t>full use of the existing system transmission capability, which may not be possible without an integrator system). The resulting estimates for Scenarios</w:t>
      </w:r>
      <w:r w:rsidR="008702A1">
        <w:rPr>
          <w:rFonts w:asciiTheme="minorHAnsi" w:hAnsiTheme="minorHAnsi"/>
          <w:sz w:val="16"/>
          <w:szCs w:val="16"/>
        </w:rPr>
        <w:t xml:space="preserve"> B</w:t>
      </w:r>
      <w:r w:rsidR="008702A1" w:rsidRPr="00037407">
        <w:rPr>
          <w:rFonts w:asciiTheme="minorHAnsi" w:hAnsiTheme="minorHAnsi"/>
          <w:sz w:val="16"/>
          <w:szCs w:val="16"/>
        </w:rPr>
        <w:t xml:space="preserve"> and </w:t>
      </w:r>
      <w:r w:rsidR="008702A1">
        <w:rPr>
          <w:rFonts w:asciiTheme="minorHAnsi" w:hAnsiTheme="minorHAnsi"/>
          <w:sz w:val="16"/>
          <w:szCs w:val="16"/>
        </w:rPr>
        <w:t>C</w:t>
      </w:r>
      <w:r w:rsidR="008702A1" w:rsidRPr="00037407">
        <w:rPr>
          <w:rFonts w:asciiTheme="minorHAnsi" w:hAnsiTheme="minorHAnsi"/>
          <w:sz w:val="16"/>
          <w:szCs w:val="16"/>
        </w:rPr>
        <w:t xml:space="preserve"> may be slightly </w:t>
      </w:r>
      <w:r w:rsidR="008702A1">
        <w:rPr>
          <w:rFonts w:asciiTheme="minorHAnsi" w:hAnsiTheme="minorHAnsi"/>
          <w:sz w:val="16"/>
          <w:szCs w:val="16"/>
        </w:rPr>
        <w:t xml:space="preserve">low </w:t>
      </w:r>
      <w:r w:rsidR="008702A1" w:rsidRPr="00B02621">
        <w:rPr>
          <w:rFonts w:asciiTheme="minorHAnsi" w:hAnsiTheme="minorHAnsi"/>
          <w:sz w:val="16"/>
          <w:szCs w:val="16"/>
        </w:rPr>
        <w:t xml:space="preserve">compared with </w:t>
      </w:r>
      <w:r w:rsidR="008702A1" w:rsidRPr="00037407">
        <w:rPr>
          <w:rFonts w:asciiTheme="minorHAnsi" w:hAnsiTheme="minorHAnsi"/>
          <w:sz w:val="16"/>
          <w:szCs w:val="16"/>
        </w:rPr>
        <w:t xml:space="preserve">those for Scenarios </w:t>
      </w:r>
      <w:r w:rsidR="008702A1">
        <w:rPr>
          <w:rFonts w:asciiTheme="minorHAnsi" w:hAnsiTheme="minorHAnsi"/>
          <w:sz w:val="16"/>
          <w:szCs w:val="16"/>
        </w:rPr>
        <w:t>3</w:t>
      </w:r>
      <w:r w:rsidR="008702A1" w:rsidRPr="00037407">
        <w:rPr>
          <w:rFonts w:asciiTheme="minorHAnsi" w:hAnsiTheme="minorHAnsi"/>
          <w:sz w:val="16"/>
          <w:szCs w:val="16"/>
        </w:rPr>
        <w:t xml:space="preserve"> and </w:t>
      </w:r>
      <w:r w:rsidR="008702A1">
        <w:rPr>
          <w:rFonts w:asciiTheme="minorHAnsi" w:hAnsiTheme="minorHAnsi"/>
          <w:sz w:val="16"/>
          <w:szCs w:val="16"/>
        </w:rPr>
        <w:t>the Reference scenario</w:t>
      </w:r>
      <w:r w:rsidR="008702A1" w:rsidRPr="00037407">
        <w:rPr>
          <w:rFonts w:asciiTheme="minorHAnsi" w:hAnsiTheme="minorHAnsi"/>
          <w:sz w:val="16"/>
          <w:szCs w:val="16"/>
        </w:rPr>
        <w:t xml:space="preserve">. </w:t>
      </w:r>
    </w:p>
    <w:p w:rsidR="0036149C" w:rsidRDefault="0036149C" w:rsidP="00654C47">
      <w:pPr>
        <w:pStyle w:val="Caption"/>
        <w:keepNext w:val="0"/>
        <w:keepLines w:val="0"/>
        <w:jc w:val="center"/>
      </w:pPr>
      <w:bookmarkStart w:id="200" w:name="_Ref526501341"/>
      <w:bookmarkStart w:id="201" w:name="_Toc520721035"/>
      <w:r w:rsidRPr="00586925">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5</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20</w:t>
      </w:r>
      <w:r w:rsidR="00EA3757">
        <w:rPr>
          <w:noProof/>
        </w:rPr>
        <w:fldChar w:fldCharType="end"/>
      </w:r>
      <w:bookmarkEnd w:id="200"/>
      <w:r w:rsidRPr="00586925">
        <w:br/>
      </w:r>
      <w:r w:rsidRPr="00D33A3F">
        <w:t>Assumptions for Interconnecting Offshore Wind Resources</w:t>
      </w:r>
      <w:bookmarkEnd w:id="201"/>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4"/>
        <w:gridCol w:w="1881"/>
        <w:gridCol w:w="1941"/>
        <w:gridCol w:w="2277"/>
      </w:tblGrid>
      <w:tr w:rsidR="00066B08" w:rsidRPr="00066B08" w:rsidTr="00D33A3F">
        <w:trPr>
          <w:trHeight w:val="919"/>
          <w:jc w:val="center"/>
        </w:trPr>
        <w:tc>
          <w:tcPr>
            <w:tcW w:w="3164" w:type="dxa"/>
            <w:shd w:val="clear" w:color="auto" w:fill="1795D2" w:themeFill="accent1"/>
            <w:vAlign w:val="center"/>
            <w:hideMark/>
          </w:tcPr>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r w:rsidRPr="00D33A3F">
              <w:rPr>
                <w:rFonts w:asciiTheme="minorHAnsi" w:hAnsiTheme="minorHAnsi"/>
                <w:b/>
                <w:bCs/>
                <w:color w:val="FFFFFF" w:themeColor="background1"/>
                <w:sz w:val="18"/>
                <w:szCs w:val="18"/>
              </w:rPr>
              <w:t>Suggested POI for Offshore Resources</w:t>
            </w:r>
          </w:p>
        </w:tc>
        <w:tc>
          <w:tcPr>
            <w:tcW w:w="1881" w:type="dxa"/>
            <w:shd w:val="clear" w:color="auto" w:fill="1795D2" w:themeFill="accent1"/>
            <w:vAlign w:val="center"/>
            <w:hideMark/>
          </w:tcPr>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p>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r w:rsidRPr="00D33A3F">
              <w:rPr>
                <w:rFonts w:asciiTheme="minorHAnsi" w:hAnsiTheme="minorHAnsi"/>
                <w:b/>
                <w:bCs/>
                <w:color w:val="FFFFFF" w:themeColor="background1"/>
                <w:sz w:val="18"/>
                <w:szCs w:val="18"/>
              </w:rPr>
              <w:t>Location</w:t>
            </w:r>
          </w:p>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p>
        </w:tc>
        <w:tc>
          <w:tcPr>
            <w:tcW w:w="1941" w:type="dxa"/>
            <w:shd w:val="clear" w:color="auto" w:fill="1795D2" w:themeFill="accent1"/>
            <w:vAlign w:val="center"/>
            <w:hideMark/>
          </w:tcPr>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r w:rsidRPr="00D33A3F">
              <w:rPr>
                <w:rFonts w:asciiTheme="minorHAnsi" w:hAnsiTheme="minorHAnsi"/>
                <w:b/>
                <w:bCs/>
                <w:color w:val="FFFFFF" w:themeColor="background1"/>
                <w:sz w:val="18"/>
                <w:szCs w:val="18"/>
              </w:rPr>
              <w:t>Amount of Assumed Retired Generation at the POI (MW)</w:t>
            </w:r>
          </w:p>
        </w:tc>
        <w:tc>
          <w:tcPr>
            <w:tcW w:w="2277" w:type="dxa"/>
            <w:shd w:val="clear" w:color="auto" w:fill="1795D2" w:themeFill="accent1"/>
            <w:vAlign w:val="center"/>
            <w:hideMark/>
          </w:tcPr>
          <w:p w:rsidR="00066B08" w:rsidRPr="00D33A3F" w:rsidRDefault="00066B08" w:rsidP="00D33A3F">
            <w:pPr>
              <w:spacing w:before="40" w:after="40" w:line="240" w:lineRule="auto"/>
              <w:jc w:val="center"/>
              <w:rPr>
                <w:rFonts w:asciiTheme="minorHAnsi" w:hAnsiTheme="minorHAnsi"/>
                <w:b/>
                <w:bCs/>
                <w:color w:val="FFFFFF" w:themeColor="background1"/>
                <w:sz w:val="18"/>
                <w:szCs w:val="18"/>
              </w:rPr>
            </w:pPr>
            <w:r w:rsidRPr="00D33A3F">
              <w:rPr>
                <w:rFonts w:asciiTheme="minorHAnsi" w:hAnsiTheme="minorHAnsi"/>
                <w:b/>
                <w:bCs/>
                <w:color w:val="FFFFFF" w:themeColor="background1"/>
                <w:sz w:val="18"/>
                <w:szCs w:val="18"/>
              </w:rPr>
              <w:t>Example of Possible Nameplate Interconnections (MW)</w:t>
            </w:r>
          </w:p>
        </w:tc>
      </w:tr>
      <w:tr w:rsidR="0060381C" w:rsidRPr="00965CFA" w:rsidTr="00BA4C1B">
        <w:trPr>
          <w:trHeight w:val="408"/>
          <w:jc w:val="center"/>
        </w:trPr>
        <w:tc>
          <w:tcPr>
            <w:tcW w:w="3164" w:type="dxa"/>
            <w:noWrap/>
            <w:vAlign w:val="center"/>
            <w:hideMark/>
          </w:tcPr>
          <w:p w:rsidR="0060381C" w:rsidRPr="00D33A3F" w:rsidRDefault="0060381C" w:rsidP="00D33A3F">
            <w:pPr>
              <w:spacing w:before="40" w:after="40" w:line="240" w:lineRule="auto"/>
              <w:rPr>
                <w:rFonts w:asciiTheme="minorHAnsi" w:hAnsiTheme="minorHAnsi"/>
                <w:b/>
                <w:bCs/>
                <w:sz w:val="18"/>
                <w:szCs w:val="18"/>
              </w:rPr>
            </w:pPr>
            <w:r w:rsidRPr="00D33A3F">
              <w:rPr>
                <w:rFonts w:asciiTheme="minorHAnsi" w:hAnsiTheme="minorHAnsi"/>
                <w:b/>
                <w:bCs/>
                <w:sz w:val="18"/>
                <w:szCs w:val="18"/>
              </w:rPr>
              <w:t>Milstone/Montville 345 kV</w:t>
            </w:r>
          </w:p>
        </w:tc>
        <w:tc>
          <w:tcPr>
            <w:tcW w:w="1881"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Connecticut</w:t>
            </w:r>
          </w:p>
        </w:tc>
        <w:tc>
          <w:tcPr>
            <w:tcW w:w="1941"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1,127</w:t>
            </w:r>
          </w:p>
        </w:tc>
        <w:tc>
          <w:tcPr>
            <w:tcW w:w="2277"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1,400</w:t>
            </w:r>
          </w:p>
        </w:tc>
      </w:tr>
      <w:tr w:rsidR="0060381C" w:rsidRPr="00965CFA" w:rsidTr="00BA4C1B">
        <w:trPr>
          <w:trHeight w:val="408"/>
          <w:jc w:val="center"/>
        </w:trPr>
        <w:tc>
          <w:tcPr>
            <w:tcW w:w="3164" w:type="dxa"/>
            <w:shd w:val="clear" w:color="auto" w:fill="CCEAF9" w:themeFill="accent1" w:themeFillTint="33"/>
            <w:noWrap/>
            <w:vAlign w:val="center"/>
            <w:hideMark/>
          </w:tcPr>
          <w:p w:rsidR="0060381C" w:rsidRPr="00D33A3F" w:rsidRDefault="0060381C" w:rsidP="00D33A3F">
            <w:pPr>
              <w:spacing w:before="40" w:after="40" w:line="240" w:lineRule="auto"/>
              <w:rPr>
                <w:rFonts w:asciiTheme="minorHAnsi" w:hAnsiTheme="minorHAnsi"/>
                <w:b/>
                <w:bCs/>
                <w:sz w:val="18"/>
                <w:szCs w:val="18"/>
              </w:rPr>
            </w:pPr>
            <w:r w:rsidRPr="00D33A3F">
              <w:rPr>
                <w:rFonts w:asciiTheme="minorHAnsi" w:hAnsiTheme="minorHAnsi"/>
                <w:b/>
                <w:bCs/>
                <w:sz w:val="18"/>
                <w:szCs w:val="18"/>
              </w:rPr>
              <w:t>Kent County 345 kV</w:t>
            </w:r>
          </w:p>
        </w:tc>
        <w:tc>
          <w:tcPr>
            <w:tcW w:w="1881" w:type="dxa"/>
            <w:shd w:val="clear" w:color="auto" w:fill="CCEAF9" w:themeFill="accent1" w:themeFillTint="33"/>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SEMA/RI</w:t>
            </w:r>
          </w:p>
        </w:tc>
        <w:tc>
          <w:tcPr>
            <w:tcW w:w="1941" w:type="dxa"/>
            <w:shd w:val="clear" w:color="auto" w:fill="CCEAF9" w:themeFill="accent1" w:themeFillTint="33"/>
            <w:noWrap/>
            <w:vAlign w:val="center"/>
            <w:hideMark/>
          </w:tcPr>
          <w:p w:rsidR="0060381C" w:rsidRPr="00D33A3F" w:rsidRDefault="00066B08" w:rsidP="00066B08">
            <w:pPr>
              <w:spacing w:before="40" w:after="40" w:line="240" w:lineRule="auto"/>
              <w:jc w:val="center"/>
              <w:rPr>
                <w:rFonts w:asciiTheme="minorHAnsi" w:hAnsiTheme="minorHAnsi"/>
                <w:sz w:val="18"/>
                <w:szCs w:val="18"/>
              </w:rPr>
            </w:pPr>
            <w:r>
              <w:rPr>
                <w:rFonts w:asciiTheme="minorHAnsi" w:hAnsiTheme="minorHAnsi"/>
                <w:sz w:val="18"/>
                <w:szCs w:val="18"/>
              </w:rPr>
              <w:t>—</w:t>
            </w:r>
          </w:p>
        </w:tc>
        <w:tc>
          <w:tcPr>
            <w:tcW w:w="2277" w:type="dxa"/>
            <w:shd w:val="clear" w:color="auto" w:fill="CCEAF9" w:themeFill="accent1" w:themeFillTint="33"/>
            <w:noWrap/>
            <w:vAlign w:val="center"/>
            <w:hideMark/>
          </w:tcPr>
          <w:p w:rsidR="0060381C" w:rsidRPr="00D33A3F" w:rsidRDefault="00CA2FE9" w:rsidP="00D33A3F">
            <w:pPr>
              <w:spacing w:before="40" w:after="40" w:line="240" w:lineRule="auto"/>
              <w:jc w:val="center"/>
              <w:rPr>
                <w:rFonts w:asciiTheme="minorHAnsi" w:hAnsiTheme="minorHAnsi"/>
                <w:sz w:val="18"/>
                <w:szCs w:val="18"/>
              </w:rPr>
            </w:pPr>
            <w:r>
              <w:rPr>
                <w:rFonts w:asciiTheme="minorHAnsi" w:hAnsiTheme="minorHAnsi"/>
                <w:sz w:val="18"/>
                <w:szCs w:val="18"/>
              </w:rPr>
              <w:t xml:space="preserve">  </w:t>
            </w:r>
            <w:r w:rsidR="0060381C" w:rsidRPr="00D33A3F">
              <w:rPr>
                <w:rFonts w:asciiTheme="minorHAnsi" w:hAnsiTheme="minorHAnsi"/>
                <w:sz w:val="18"/>
                <w:szCs w:val="18"/>
              </w:rPr>
              <w:t>800</w:t>
            </w:r>
          </w:p>
        </w:tc>
      </w:tr>
      <w:tr w:rsidR="0060381C" w:rsidRPr="00965CFA" w:rsidTr="00BA4C1B">
        <w:trPr>
          <w:trHeight w:val="408"/>
          <w:jc w:val="center"/>
        </w:trPr>
        <w:tc>
          <w:tcPr>
            <w:tcW w:w="3164" w:type="dxa"/>
            <w:noWrap/>
            <w:vAlign w:val="center"/>
            <w:hideMark/>
          </w:tcPr>
          <w:p w:rsidR="0060381C" w:rsidRPr="00D33A3F" w:rsidRDefault="0060381C" w:rsidP="00D33A3F">
            <w:pPr>
              <w:spacing w:before="40" w:after="40" w:line="240" w:lineRule="auto"/>
              <w:rPr>
                <w:rFonts w:asciiTheme="minorHAnsi" w:hAnsiTheme="minorHAnsi"/>
                <w:b/>
                <w:bCs/>
                <w:sz w:val="18"/>
                <w:szCs w:val="18"/>
              </w:rPr>
            </w:pPr>
            <w:r w:rsidRPr="00D33A3F">
              <w:rPr>
                <w:rFonts w:asciiTheme="minorHAnsi" w:hAnsiTheme="minorHAnsi"/>
                <w:b/>
                <w:bCs/>
                <w:sz w:val="18"/>
                <w:szCs w:val="18"/>
              </w:rPr>
              <w:t>Brayton Point 345 kV</w:t>
            </w:r>
          </w:p>
        </w:tc>
        <w:tc>
          <w:tcPr>
            <w:tcW w:w="1881"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SEMA/RI</w:t>
            </w:r>
          </w:p>
        </w:tc>
        <w:tc>
          <w:tcPr>
            <w:tcW w:w="1941"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1,525</w:t>
            </w:r>
          </w:p>
        </w:tc>
        <w:tc>
          <w:tcPr>
            <w:tcW w:w="2277" w:type="dxa"/>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1,600</w:t>
            </w:r>
          </w:p>
        </w:tc>
      </w:tr>
      <w:tr w:rsidR="0060381C" w:rsidRPr="00965CFA" w:rsidTr="00BA4C1B">
        <w:trPr>
          <w:trHeight w:val="408"/>
          <w:jc w:val="center"/>
        </w:trPr>
        <w:tc>
          <w:tcPr>
            <w:tcW w:w="3164" w:type="dxa"/>
            <w:shd w:val="clear" w:color="auto" w:fill="CCEAF9" w:themeFill="accent1" w:themeFillTint="33"/>
            <w:noWrap/>
            <w:vAlign w:val="center"/>
            <w:hideMark/>
          </w:tcPr>
          <w:p w:rsidR="0060381C" w:rsidRPr="00D33A3F" w:rsidRDefault="0060381C" w:rsidP="00D33A3F">
            <w:pPr>
              <w:spacing w:before="40" w:after="40" w:line="240" w:lineRule="auto"/>
              <w:rPr>
                <w:rFonts w:asciiTheme="minorHAnsi" w:hAnsiTheme="minorHAnsi"/>
                <w:b/>
                <w:bCs/>
                <w:sz w:val="18"/>
                <w:szCs w:val="18"/>
              </w:rPr>
            </w:pPr>
            <w:r w:rsidRPr="00D33A3F">
              <w:rPr>
                <w:rFonts w:asciiTheme="minorHAnsi" w:hAnsiTheme="minorHAnsi"/>
                <w:b/>
                <w:bCs/>
                <w:sz w:val="18"/>
                <w:szCs w:val="18"/>
              </w:rPr>
              <w:t>Pilgrim/Canal 345 kV</w:t>
            </w:r>
          </w:p>
        </w:tc>
        <w:tc>
          <w:tcPr>
            <w:tcW w:w="1881" w:type="dxa"/>
            <w:shd w:val="clear" w:color="auto" w:fill="CCEAF9" w:themeFill="accent1" w:themeFillTint="33"/>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SEMA/RI</w:t>
            </w:r>
          </w:p>
        </w:tc>
        <w:tc>
          <w:tcPr>
            <w:tcW w:w="1941" w:type="dxa"/>
            <w:shd w:val="clear" w:color="auto" w:fill="CCEAF9" w:themeFill="accent1" w:themeFillTint="33"/>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1,769</w:t>
            </w:r>
          </w:p>
        </w:tc>
        <w:tc>
          <w:tcPr>
            <w:tcW w:w="2277" w:type="dxa"/>
            <w:shd w:val="clear" w:color="auto" w:fill="CCEAF9" w:themeFill="accent1" w:themeFillTint="33"/>
            <w:noWrap/>
            <w:vAlign w:val="center"/>
            <w:hideMark/>
          </w:tcPr>
          <w:p w:rsidR="0060381C" w:rsidRPr="00D33A3F" w:rsidRDefault="0060381C" w:rsidP="00D33A3F">
            <w:pPr>
              <w:spacing w:before="40" w:after="40" w:line="240" w:lineRule="auto"/>
              <w:jc w:val="center"/>
              <w:rPr>
                <w:rFonts w:asciiTheme="minorHAnsi" w:hAnsiTheme="minorHAnsi"/>
                <w:sz w:val="18"/>
                <w:szCs w:val="18"/>
              </w:rPr>
            </w:pPr>
            <w:r w:rsidRPr="00D33A3F">
              <w:rPr>
                <w:rFonts w:asciiTheme="minorHAnsi" w:hAnsiTheme="minorHAnsi"/>
                <w:sz w:val="18"/>
                <w:szCs w:val="18"/>
              </w:rPr>
              <w:t>1,600</w:t>
            </w:r>
          </w:p>
        </w:tc>
      </w:tr>
    </w:tbl>
    <w:p w:rsidR="00F565D2" w:rsidRDefault="00F565D2" w:rsidP="00466FBF">
      <w:pPr>
        <w:pStyle w:val="Heading1"/>
      </w:pPr>
      <w:bookmarkStart w:id="202" w:name="_Toc162779961"/>
      <w:bookmarkStart w:id="203" w:name="_Toc163032830"/>
      <w:bookmarkStart w:id="204" w:name="_Toc163032957"/>
      <w:bookmarkStart w:id="205" w:name="_Toc162779963"/>
      <w:bookmarkStart w:id="206" w:name="_Toc163032832"/>
      <w:bookmarkStart w:id="207" w:name="_Toc163032959"/>
      <w:bookmarkStart w:id="208" w:name="_Toc162779965"/>
      <w:bookmarkStart w:id="209" w:name="_Toc163032834"/>
      <w:bookmarkStart w:id="210" w:name="_Toc163032961"/>
      <w:bookmarkStart w:id="211" w:name="_Toc162779967"/>
      <w:bookmarkStart w:id="212" w:name="_Toc163032836"/>
      <w:bookmarkStart w:id="213" w:name="_Toc163032963"/>
      <w:bookmarkStart w:id="214" w:name="_Toc162779969"/>
      <w:bookmarkStart w:id="215" w:name="_Toc163032838"/>
      <w:bookmarkStart w:id="216" w:name="_Toc163032965"/>
      <w:bookmarkStart w:id="217" w:name="_Toc162779970"/>
      <w:bookmarkStart w:id="218" w:name="_Toc163032839"/>
      <w:bookmarkStart w:id="219" w:name="_Toc163032966"/>
      <w:bookmarkStart w:id="220" w:name="_Toc162779971"/>
      <w:bookmarkStart w:id="221" w:name="_Toc163032840"/>
      <w:bookmarkStart w:id="222" w:name="_Toc163032967"/>
      <w:bookmarkStart w:id="223" w:name="_Toc162779975"/>
      <w:bookmarkStart w:id="224" w:name="_Toc163032844"/>
      <w:bookmarkStart w:id="225" w:name="_Toc163032971"/>
      <w:bookmarkStart w:id="226" w:name="_Toc162779976"/>
      <w:bookmarkStart w:id="227" w:name="_Toc163032845"/>
      <w:bookmarkStart w:id="228" w:name="_Toc163032972"/>
      <w:bookmarkStart w:id="229" w:name="_Toc162779977"/>
      <w:bookmarkStart w:id="230" w:name="_Toc163032846"/>
      <w:bookmarkStart w:id="231" w:name="_Toc163032973"/>
      <w:bookmarkStart w:id="232" w:name="_Toc162779978"/>
      <w:bookmarkStart w:id="233" w:name="_Toc163032847"/>
      <w:bookmarkStart w:id="234" w:name="_Toc163032974"/>
      <w:bookmarkStart w:id="235" w:name="_Toc162779979"/>
      <w:bookmarkStart w:id="236" w:name="_Toc163032848"/>
      <w:bookmarkStart w:id="237" w:name="_Toc163032975"/>
      <w:bookmarkStart w:id="238" w:name="_Toc162779980"/>
      <w:bookmarkStart w:id="239" w:name="_Toc163032849"/>
      <w:bookmarkStart w:id="240" w:name="_Toc163032976"/>
      <w:bookmarkStart w:id="241" w:name="_Toc162779981"/>
      <w:bookmarkStart w:id="242" w:name="_Toc163032850"/>
      <w:bookmarkStart w:id="243" w:name="_Toc163032977"/>
      <w:bookmarkStart w:id="244" w:name="_Toc162779982"/>
      <w:bookmarkStart w:id="245" w:name="_Toc163032851"/>
      <w:bookmarkStart w:id="246" w:name="_Toc163032978"/>
      <w:bookmarkStart w:id="247" w:name="_Toc162779983"/>
      <w:bookmarkStart w:id="248" w:name="_Toc163032852"/>
      <w:bookmarkStart w:id="249" w:name="_Toc163032979"/>
      <w:bookmarkStart w:id="250" w:name="_Toc162779984"/>
      <w:bookmarkStart w:id="251" w:name="_Toc163032853"/>
      <w:bookmarkStart w:id="252" w:name="_Toc163032980"/>
      <w:bookmarkStart w:id="253" w:name="_Toc162779985"/>
      <w:bookmarkStart w:id="254" w:name="_Toc163032854"/>
      <w:bookmarkStart w:id="255" w:name="_Toc163032981"/>
      <w:bookmarkStart w:id="256" w:name="_Toc162779986"/>
      <w:bookmarkStart w:id="257" w:name="_Toc163032855"/>
      <w:bookmarkStart w:id="258" w:name="_Toc163032982"/>
      <w:bookmarkStart w:id="259" w:name="_Toc162779987"/>
      <w:bookmarkStart w:id="260" w:name="_Toc163032856"/>
      <w:bookmarkStart w:id="261" w:name="_Toc163032983"/>
      <w:bookmarkStart w:id="262" w:name="_Toc162779989"/>
      <w:bookmarkStart w:id="263" w:name="_Toc163032858"/>
      <w:bookmarkStart w:id="264" w:name="_Toc16303298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br/>
      </w:r>
      <w:bookmarkStart w:id="265" w:name="_Ref166224567"/>
      <w:bookmarkStart w:id="266" w:name="_Toc173682303"/>
      <w:bookmarkStart w:id="267" w:name="_Toc528571220"/>
      <w:r>
        <w:t>Results and Observations</w:t>
      </w:r>
      <w:bookmarkEnd w:id="265"/>
      <w:bookmarkEnd w:id="266"/>
      <w:bookmarkEnd w:id="267"/>
    </w:p>
    <w:p w:rsidR="00F565D2" w:rsidRDefault="00F565D2">
      <w:r w:rsidRPr="000701ED">
        <w:t xml:space="preserve">This section summarizes </w:t>
      </w:r>
      <w:r w:rsidR="003A1318" w:rsidRPr="000701ED">
        <w:t xml:space="preserve">and compares some of the key </w:t>
      </w:r>
      <w:r w:rsidRPr="000701ED">
        <w:t>results for each scenario</w:t>
      </w:r>
      <w:r w:rsidR="005C4BC2" w:rsidRPr="000701ED">
        <w:t>’s set of assumptions</w:t>
      </w:r>
      <w:r w:rsidR="003A1318" w:rsidRPr="000701ED">
        <w:t xml:space="preserve"> </w:t>
      </w:r>
      <w:r w:rsidR="006D53B2">
        <w:t>for 2030</w:t>
      </w:r>
      <w:r w:rsidR="00847371" w:rsidRPr="000701ED">
        <w:t xml:space="preserve"> constrained and unconstrained conditions</w:t>
      </w:r>
      <w:r w:rsidR="003A1318" w:rsidRPr="000701ED">
        <w:t>.</w:t>
      </w:r>
      <w:r w:rsidR="000D75B3" w:rsidRPr="000701ED">
        <w:rPr>
          <w:rStyle w:val="FootnoteReference"/>
        </w:rPr>
        <w:footnoteReference w:id="52"/>
      </w:r>
      <w:r w:rsidRPr="000701ED">
        <w:t xml:space="preserve"> </w:t>
      </w:r>
      <w:r w:rsidR="00D25F57" w:rsidRPr="000701ED">
        <w:t>The</w:t>
      </w:r>
      <w:r w:rsidR="005C4BC2" w:rsidRPr="000701ED">
        <w:t xml:space="preserve"> </w:t>
      </w:r>
      <w:r w:rsidR="00D25F57" w:rsidRPr="000701ED">
        <w:t>results of the metrics studied provide information about how different public policies and subsequent mix</w:t>
      </w:r>
      <w:r w:rsidR="006708F5">
        <w:t>es</w:t>
      </w:r>
      <w:r w:rsidR="00D25F57" w:rsidRPr="000701ED">
        <w:t xml:space="preserve"> of resources could </w:t>
      </w:r>
      <w:r w:rsidR="00D25F57" w:rsidRPr="00790407">
        <w:t xml:space="preserve">affect </w:t>
      </w:r>
      <w:r w:rsidR="003944A8" w:rsidRPr="00BB06F0">
        <w:t xml:space="preserve">overall </w:t>
      </w:r>
      <w:r w:rsidR="00D25F57" w:rsidRPr="00BB06F0">
        <w:t>system</w:t>
      </w:r>
      <w:r w:rsidR="003944A8" w:rsidRPr="00BB06F0">
        <w:t xml:space="preserve"> and consumer costs, system reliability, generator </w:t>
      </w:r>
      <w:r w:rsidR="00C251B1" w:rsidRPr="00BB06F0">
        <w:t>capacity and</w:t>
      </w:r>
      <w:r w:rsidR="003944A8" w:rsidRPr="00BB06F0">
        <w:t xml:space="preserve"> fuel use, </w:t>
      </w:r>
      <w:r w:rsidR="007A5CE5" w:rsidRPr="00BB06F0">
        <w:t xml:space="preserve">the environment, </w:t>
      </w:r>
      <w:r w:rsidR="003944A8" w:rsidRPr="00BB06F0">
        <w:t xml:space="preserve">and </w:t>
      </w:r>
      <w:r w:rsidR="00C251B1" w:rsidRPr="00BB06F0">
        <w:t>transmission expansion</w:t>
      </w:r>
      <w:r w:rsidR="00D25F57" w:rsidRPr="00BB06F0">
        <w:t xml:space="preserve">. </w:t>
      </w:r>
      <w:r w:rsidRPr="00BB06F0">
        <w:t xml:space="preserve">Detailed and summary tables and charts showing additional results and comparisons are available on the ISO’s </w:t>
      </w:r>
      <w:r w:rsidR="00790407" w:rsidRPr="00BB06F0">
        <w:t>w</w:t>
      </w:r>
      <w:r w:rsidRPr="00BB06F0">
        <w:t>ebsite</w:t>
      </w:r>
      <w:r w:rsidR="00812D3F" w:rsidRPr="00BB06F0">
        <w:t>.</w:t>
      </w:r>
      <w:r w:rsidR="00BB06F0" w:rsidRPr="00BB06F0">
        <w:rPr>
          <w:rStyle w:val="FootnoteReference"/>
        </w:rPr>
        <w:footnoteReference w:id="53"/>
      </w:r>
      <w:r w:rsidR="003A1318" w:rsidRPr="00BB06F0">
        <w:t xml:space="preserve"> </w:t>
      </w:r>
      <w:r w:rsidRPr="000701ED">
        <w:t xml:space="preserve">The ISO encourages interested parties to compare the results for the different scenarios and reach their own conclusions about the various </w:t>
      </w:r>
      <w:r w:rsidR="009B5025" w:rsidRPr="000701ED">
        <w:t>outcomes</w:t>
      </w:r>
      <w:r w:rsidRPr="000701ED">
        <w:t>.</w:t>
      </w:r>
    </w:p>
    <w:p w:rsidR="003944A8" w:rsidRPr="004766D0" w:rsidRDefault="00C251B1" w:rsidP="00B8270A">
      <w:pPr>
        <w:pStyle w:val="Heading2"/>
      </w:pPr>
      <w:bookmarkStart w:id="268" w:name="_Toc528571221"/>
      <w:r>
        <w:t>E</w:t>
      </w:r>
      <w:r w:rsidR="004766D0" w:rsidRPr="004766D0">
        <w:t>conomic Results</w:t>
      </w:r>
      <w:bookmarkEnd w:id="268"/>
    </w:p>
    <w:p w:rsidR="00BD1934" w:rsidRDefault="007A5CE5" w:rsidP="00BD1934">
      <w:r>
        <w:t xml:space="preserve">This section discusses several main results from the production cost simulations, which are driven by the </w:t>
      </w:r>
      <w:r w:rsidRPr="00262BFE">
        <w:t>assumptions for resource additions and retirements</w:t>
      </w:r>
      <w:r w:rsidR="0010340C" w:rsidRPr="00262BFE">
        <w:t>, costs of fuels and emission</w:t>
      </w:r>
      <w:r w:rsidR="006D53B2">
        <w:t xml:space="preserve"> allowance price</w:t>
      </w:r>
      <w:r w:rsidR="0010340C" w:rsidRPr="00262BFE">
        <w:t>s, the growth of net demand</w:t>
      </w:r>
      <w:r w:rsidR="00274D96" w:rsidRPr="00262BFE">
        <w:t>,</w:t>
      </w:r>
      <w:r w:rsidR="00790407" w:rsidRPr="00262BFE">
        <w:t xml:space="preserve"> and high</w:t>
      </w:r>
      <w:r w:rsidR="00454980" w:rsidRPr="00262BFE">
        <w:t>-</w:t>
      </w:r>
      <w:r w:rsidR="00790407" w:rsidRPr="00262BFE">
        <w:t>order-of-magnitude transmission</w:t>
      </w:r>
      <w:r w:rsidR="00207EA9">
        <w:t>-</w:t>
      </w:r>
      <w:r w:rsidR="00790407" w:rsidRPr="00262BFE">
        <w:t xml:space="preserve">development costs used to </w:t>
      </w:r>
      <w:r w:rsidR="00274D96" w:rsidRPr="00262BFE">
        <w:t xml:space="preserve">integrate renewable wind resources and </w:t>
      </w:r>
      <w:r w:rsidR="00790407" w:rsidRPr="00262BFE">
        <w:t xml:space="preserve">relieve system congestion. </w:t>
      </w:r>
    </w:p>
    <w:p w:rsidR="00B2071C" w:rsidRPr="00DD620A" w:rsidRDefault="00B2071C" w:rsidP="00D27B9E">
      <w:pPr>
        <w:pStyle w:val="Heading3"/>
      </w:pPr>
      <w:bookmarkStart w:id="269" w:name="_Toc528571222"/>
      <w:r w:rsidRPr="00DD620A">
        <w:t xml:space="preserve">Total Energy Production by Resource (Fuel) Type, </w:t>
      </w:r>
      <w:r w:rsidR="0001462B" w:rsidRPr="00DD620A">
        <w:t>I</w:t>
      </w:r>
      <w:r w:rsidRPr="00DD620A">
        <w:t xml:space="preserve">ncluding </w:t>
      </w:r>
      <w:r w:rsidR="0009710E" w:rsidRPr="00DD620A">
        <w:t>I</w:t>
      </w:r>
      <w:r w:rsidRPr="00DD620A">
        <w:t>mports</w:t>
      </w:r>
      <w:bookmarkEnd w:id="269"/>
    </w:p>
    <w:p w:rsidR="00434563" w:rsidRPr="00262BFE" w:rsidRDefault="006708F5" w:rsidP="00201D25">
      <w:r>
        <w:t>An e</w:t>
      </w:r>
      <w:r w:rsidR="00407143" w:rsidRPr="00DD620A">
        <w:t xml:space="preserve">xamination of </w:t>
      </w:r>
      <w:r w:rsidR="00790407" w:rsidRPr="00DD620A">
        <w:t>t</w:t>
      </w:r>
      <w:r w:rsidR="00407143" w:rsidRPr="00DD620A">
        <w:t xml:space="preserve">he </w:t>
      </w:r>
      <w:r w:rsidR="00790407" w:rsidRPr="00DD620A">
        <w:t>metric for t</w:t>
      </w:r>
      <w:r w:rsidR="00407143" w:rsidRPr="00DD620A">
        <w:t xml:space="preserve">otal </w:t>
      </w:r>
      <w:r w:rsidR="0009710E" w:rsidRPr="00DD620A">
        <w:t>systemwide</w:t>
      </w:r>
      <w:r w:rsidR="00434563" w:rsidRPr="00DD620A">
        <w:t xml:space="preserve"> </w:t>
      </w:r>
      <w:r w:rsidR="00790407" w:rsidRPr="00DD620A">
        <w:t>e</w:t>
      </w:r>
      <w:r w:rsidR="00407143" w:rsidRPr="00DD620A">
        <w:t xml:space="preserve">nergy </w:t>
      </w:r>
      <w:r w:rsidR="00790407" w:rsidRPr="00DD620A">
        <w:t>p</w:t>
      </w:r>
      <w:r w:rsidR="00407143" w:rsidRPr="00DD620A">
        <w:t xml:space="preserve">roduction by </w:t>
      </w:r>
      <w:r w:rsidR="00790407" w:rsidRPr="00DD620A">
        <w:t>r</w:t>
      </w:r>
      <w:r w:rsidR="00407143" w:rsidRPr="00DD620A">
        <w:t>esource (</w:t>
      </w:r>
      <w:r w:rsidR="00790407" w:rsidRPr="00DD620A">
        <w:t>f</w:t>
      </w:r>
      <w:r w:rsidR="00407143" w:rsidRPr="00DD620A">
        <w:t xml:space="preserve">uel) </w:t>
      </w:r>
      <w:r w:rsidR="00790407" w:rsidRPr="00DD620A">
        <w:t>t</w:t>
      </w:r>
      <w:r w:rsidR="00407143" w:rsidRPr="00DD620A">
        <w:t>ype</w:t>
      </w:r>
      <w:r w:rsidR="00790407" w:rsidRPr="00DD620A">
        <w:t xml:space="preserve"> </w:t>
      </w:r>
      <w:r w:rsidR="00407143" w:rsidRPr="00DD620A">
        <w:t xml:space="preserve">explains many of the differences in the overall results. </w:t>
      </w:r>
      <w:r w:rsidR="0039110A">
        <w:fldChar w:fldCharType="begin"/>
      </w:r>
      <w:r w:rsidR="0039110A">
        <w:instrText xml:space="preserve"> REF _Ref518394755 \h </w:instrText>
      </w:r>
      <w:r w:rsidR="0039110A">
        <w:fldChar w:fldCharType="separate"/>
      </w:r>
      <w:r w:rsidR="00872A95">
        <w:t xml:space="preserve">Figure </w:t>
      </w:r>
      <w:r w:rsidR="00872A95">
        <w:rPr>
          <w:noProof/>
        </w:rPr>
        <w:t>6</w:t>
      </w:r>
      <w:r w:rsidR="00872A95">
        <w:noBreakHyphen/>
      </w:r>
      <w:r w:rsidR="00872A95">
        <w:rPr>
          <w:noProof/>
        </w:rPr>
        <w:t>1</w:t>
      </w:r>
      <w:r w:rsidR="0039110A">
        <w:fldChar w:fldCharType="end"/>
      </w:r>
      <w:r w:rsidR="00262BFE" w:rsidRPr="00DD620A">
        <w:t xml:space="preserve"> </w:t>
      </w:r>
      <w:r w:rsidR="007C0351" w:rsidRPr="00DD620A">
        <w:t>present</w:t>
      </w:r>
      <w:r w:rsidR="0039110A">
        <w:t>s</w:t>
      </w:r>
      <w:r w:rsidR="007C0351" w:rsidRPr="00DD620A">
        <w:t xml:space="preserve"> the </w:t>
      </w:r>
      <w:r w:rsidR="007C0351" w:rsidRPr="00D33A3F">
        <w:t>results for 2030</w:t>
      </w:r>
      <w:r w:rsidR="0068569A" w:rsidRPr="00D33A3F">
        <w:t xml:space="preserve"> (in terawatt-hours; TWh)</w:t>
      </w:r>
      <w:r w:rsidR="007C0351" w:rsidRPr="00D33A3F">
        <w:t xml:space="preserve">, </w:t>
      </w:r>
      <w:r w:rsidR="003D06B9" w:rsidRPr="00D33A3F">
        <w:t xml:space="preserve">showing </w:t>
      </w:r>
      <w:r w:rsidR="00A60545" w:rsidRPr="00D33A3F">
        <w:t>consisten</w:t>
      </w:r>
      <w:r w:rsidR="00434563" w:rsidRPr="00D33A3F">
        <w:t xml:space="preserve">cy </w:t>
      </w:r>
      <w:r w:rsidR="00A60545" w:rsidRPr="00D33A3F">
        <w:t>with the study’s assumptions</w:t>
      </w:r>
      <w:r w:rsidR="00434563" w:rsidRPr="00D33A3F">
        <w:t>.</w:t>
      </w:r>
      <w:r w:rsidR="007C0351" w:rsidRPr="00DD620A">
        <w:t xml:space="preserve"> </w:t>
      </w:r>
      <w:r w:rsidR="007C0351" w:rsidRPr="00DD620A">
        <w:fldChar w:fldCharType="begin"/>
      </w:r>
      <w:r w:rsidR="007C0351" w:rsidRPr="00DD620A">
        <w:instrText xml:space="preserve"> REF _Ref483824785 \h </w:instrText>
      </w:r>
      <w:r w:rsidR="00263B08" w:rsidRPr="00DD620A">
        <w:instrText xml:space="preserve"> \* MERGEFORMAT </w:instrText>
      </w:r>
      <w:r w:rsidR="007C0351" w:rsidRPr="00DD620A">
        <w:fldChar w:fldCharType="separate"/>
      </w:r>
      <w:r w:rsidR="00872A95" w:rsidRPr="00922C11">
        <w:t xml:space="preserve">Table </w:t>
      </w:r>
      <w:r w:rsidR="00872A95">
        <w:rPr>
          <w:noProof/>
        </w:rPr>
        <w:t>6</w:t>
      </w:r>
      <w:r w:rsidR="00872A95" w:rsidRPr="00922C11">
        <w:rPr>
          <w:noProof/>
        </w:rPr>
        <w:noBreakHyphen/>
      </w:r>
      <w:r w:rsidR="00872A95">
        <w:rPr>
          <w:noProof/>
        </w:rPr>
        <w:t>1</w:t>
      </w:r>
      <w:r w:rsidR="007C0351" w:rsidRPr="00DD620A">
        <w:fldChar w:fldCharType="end"/>
      </w:r>
      <w:r w:rsidR="007C0351" w:rsidRPr="00DD620A">
        <w:t xml:space="preserve"> shows the data behind these figures</w:t>
      </w:r>
      <w:r w:rsidR="009F4B79" w:rsidRPr="00DD620A">
        <w:t>.</w:t>
      </w:r>
    </w:p>
    <w:p w:rsidR="007C0351" w:rsidRDefault="005D0F93" w:rsidP="00586925">
      <w:pPr>
        <w:pStyle w:val="Caption"/>
        <w:tabs>
          <w:tab w:val="clear" w:pos="1260"/>
        </w:tabs>
        <w:spacing w:after="0"/>
        <w:jc w:val="center"/>
      </w:pPr>
      <w:bookmarkStart w:id="270" w:name="_Ref485894979"/>
      <w:r>
        <w:rPr>
          <w:noProof/>
        </w:rPr>
        <w:drawing>
          <wp:inline distT="0" distB="0" distL="0" distR="0" wp14:anchorId="42182119" wp14:editId="32BAA00A">
            <wp:extent cx="4289885" cy="278384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1826" cy="2804568"/>
                    </a:xfrm>
                    <a:prstGeom prst="rect">
                      <a:avLst/>
                    </a:prstGeom>
                    <a:noFill/>
                    <a:ln>
                      <a:noFill/>
                    </a:ln>
                    <a:effectLst/>
                    <a:extLst/>
                  </pic:spPr>
                </pic:pic>
              </a:graphicData>
            </a:graphic>
          </wp:inline>
        </w:drawing>
      </w:r>
      <w:bookmarkEnd w:id="270"/>
    </w:p>
    <w:p w:rsidR="00C82869" w:rsidRDefault="00C82869" w:rsidP="00654C47">
      <w:pPr>
        <w:pStyle w:val="Caption"/>
        <w:tabs>
          <w:tab w:val="clear" w:pos="9000"/>
          <w:tab w:val="left" w:pos="8370"/>
        </w:tabs>
        <w:spacing w:before="120" w:after="80"/>
        <w:ind w:left="1350" w:right="990"/>
        <w:jc w:val="both"/>
      </w:pPr>
      <w:bookmarkStart w:id="271" w:name="_Ref518394755"/>
      <w:bookmarkStart w:id="272" w:name="_Toc519511506"/>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1</w:t>
      </w:r>
      <w:r w:rsidR="00E930AF">
        <w:rPr>
          <w:noProof/>
        </w:rPr>
        <w:fldChar w:fldCharType="end"/>
      </w:r>
      <w:bookmarkEnd w:id="271"/>
      <w:r>
        <w:t xml:space="preserve">: Total systemwide production by fuel type for each scenario, </w:t>
      </w:r>
      <w:r w:rsidRPr="0068569A">
        <w:t>20</w:t>
      </w:r>
      <w:r>
        <w:t>30</w:t>
      </w:r>
      <w:r w:rsidRPr="0068569A">
        <w:t xml:space="preserve"> </w:t>
      </w:r>
      <w:r w:rsidRPr="009B3C6A">
        <w:t>(TWh).</w:t>
      </w:r>
      <w:bookmarkEnd w:id="272"/>
    </w:p>
    <w:p w:rsidR="007C0351" w:rsidRPr="00D33A3F" w:rsidRDefault="005D0F93" w:rsidP="00654C47">
      <w:pPr>
        <w:tabs>
          <w:tab w:val="left" w:pos="8370"/>
        </w:tabs>
        <w:spacing w:after="0" w:line="240" w:lineRule="auto"/>
        <w:ind w:left="1350" w:right="994"/>
        <w:rPr>
          <w:rFonts w:asciiTheme="majorHAnsi" w:hAnsiTheme="majorHAnsi"/>
          <w:sz w:val="18"/>
          <w:szCs w:val="18"/>
        </w:rPr>
      </w:pPr>
      <w:r w:rsidRPr="00D33A3F">
        <w:rPr>
          <w:rFonts w:asciiTheme="majorHAnsi" w:hAnsiTheme="majorHAnsi"/>
          <w:b/>
          <w:sz w:val="18"/>
          <w:szCs w:val="18"/>
        </w:rPr>
        <w:t>Note:</w:t>
      </w:r>
      <w:r w:rsidRPr="00D33A3F">
        <w:rPr>
          <w:rFonts w:asciiTheme="majorHAnsi" w:hAnsiTheme="majorHAnsi"/>
          <w:sz w:val="18"/>
          <w:szCs w:val="18"/>
        </w:rPr>
        <w:t xml:space="preserve">  Onshore Less EE/PV has no PHEV</w:t>
      </w:r>
      <w:r w:rsidR="00B05ED8" w:rsidRPr="00D33A3F">
        <w:rPr>
          <w:rFonts w:asciiTheme="majorHAnsi" w:hAnsiTheme="majorHAnsi"/>
          <w:sz w:val="18"/>
          <w:szCs w:val="18"/>
        </w:rPr>
        <w:t xml:space="preserve"> </w:t>
      </w:r>
      <w:r w:rsidR="00E47654">
        <w:rPr>
          <w:rFonts w:asciiTheme="majorHAnsi" w:hAnsiTheme="majorHAnsi"/>
          <w:sz w:val="18"/>
          <w:szCs w:val="18"/>
        </w:rPr>
        <w:t>or</w:t>
      </w:r>
      <w:r w:rsidR="00B05ED8" w:rsidRPr="00D33A3F">
        <w:rPr>
          <w:rFonts w:asciiTheme="majorHAnsi" w:hAnsiTheme="majorHAnsi"/>
          <w:sz w:val="18"/>
          <w:szCs w:val="18"/>
        </w:rPr>
        <w:t xml:space="preserve"> </w:t>
      </w:r>
      <w:r w:rsidR="00E47654">
        <w:rPr>
          <w:rFonts w:asciiTheme="majorHAnsi" w:hAnsiTheme="majorHAnsi"/>
          <w:sz w:val="18"/>
          <w:szCs w:val="18"/>
        </w:rPr>
        <w:t>b</w:t>
      </w:r>
      <w:r w:rsidR="00B05ED8" w:rsidRPr="00D33A3F">
        <w:rPr>
          <w:rFonts w:asciiTheme="majorHAnsi" w:hAnsiTheme="majorHAnsi"/>
          <w:sz w:val="18"/>
          <w:szCs w:val="18"/>
        </w:rPr>
        <w:t xml:space="preserve">attery </w:t>
      </w:r>
      <w:r w:rsidR="00E47654">
        <w:rPr>
          <w:rFonts w:asciiTheme="majorHAnsi" w:hAnsiTheme="majorHAnsi"/>
          <w:sz w:val="18"/>
          <w:szCs w:val="18"/>
        </w:rPr>
        <w:t>s</w:t>
      </w:r>
      <w:r w:rsidR="00B05ED8" w:rsidRPr="00D33A3F">
        <w:rPr>
          <w:rFonts w:asciiTheme="majorHAnsi" w:hAnsiTheme="majorHAnsi"/>
          <w:sz w:val="18"/>
          <w:szCs w:val="18"/>
        </w:rPr>
        <w:t>torage</w:t>
      </w:r>
      <w:r w:rsidRPr="00D33A3F">
        <w:rPr>
          <w:rFonts w:asciiTheme="majorHAnsi" w:hAnsiTheme="majorHAnsi"/>
          <w:sz w:val="18"/>
          <w:szCs w:val="18"/>
        </w:rPr>
        <w:t>, therefore less total demand and less total generation</w:t>
      </w:r>
      <w:r w:rsidR="00E47654">
        <w:rPr>
          <w:rFonts w:asciiTheme="majorHAnsi" w:hAnsiTheme="majorHAnsi"/>
          <w:sz w:val="18"/>
          <w:szCs w:val="18"/>
        </w:rPr>
        <w:t>.</w:t>
      </w:r>
    </w:p>
    <w:p w:rsidR="005D0F93" w:rsidRDefault="003D06B9" w:rsidP="00654C47">
      <w:pPr>
        <w:pStyle w:val="Caption"/>
        <w:jc w:val="center"/>
        <w:rPr>
          <w:rFonts w:asciiTheme="minorHAnsi" w:eastAsia="Calibri" w:hAnsiTheme="minorHAnsi"/>
          <w:color w:val="FFFFFF" w:themeColor="background1"/>
          <w:sz w:val="18"/>
          <w:szCs w:val="18"/>
        </w:rPr>
      </w:pPr>
      <w:bookmarkStart w:id="273" w:name="_Ref483824785"/>
      <w:bookmarkStart w:id="274" w:name="_Toc520721036"/>
      <w:r w:rsidRPr="00922C11">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rsidRPr="00922C11">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w:t>
      </w:r>
      <w:r w:rsidR="00EA3757">
        <w:rPr>
          <w:noProof/>
        </w:rPr>
        <w:fldChar w:fldCharType="end"/>
      </w:r>
      <w:bookmarkEnd w:id="273"/>
      <w:r w:rsidRPr="00922C11">
        <w:br/>
        <w:t xml:space="preserve">Total Systemwide </w:t>
      </w:r>
      <w:r w:rsidR="005E64A7" w:rsidRPr="00922C11">
        <w:t>Production</w:t>
      </w:r>
      <w:r w:rsidRPr="00922C11">
        <w:t xml:space="preserve"> by Fuel Type for Each Scenario, </w:t>
      </w:r>
      <w:r w:rsidR="00C11640" w:rsidRPr="00922C11">
        <w:t>2030</w:t>
      </w:r>
      <w:r w:rsidRPr="00922C11">
        <w:t xml:space="preserve"> (TWh)</w:t>
      </w:r>
      <w:bookmarkEnd w:id="274"/>
      <w:r w:rsidR="005D0F93" w:rsidRPr="003D06B9" w:rsidDel="005D0F93">
        <w:t xml:space="preserve"> </w:t>
      </w:r>
    </w:p>
    <w:tbl>
      <w:tblPr>
        <w:tblW w:w="111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432" w:type="dxa"/>
        </w:tblCellMar>
        <w:tblLook w:val="04A0" w:firstRow="1" w:lastRow="0" w:firstColumn="1" w:lastColumn="0" w:noHBand="0" w:noVBand="1"/>
      </w:tblPr>
      <w:tblGrid>
        <w:gridCol w:w="1323"/>
        <w:gridCol w:w="1197"/>
        <w:gridCol w:w="1167"/>
        <w:gridCol w:w="1260"/>
        <w:gridCol w:w="1170"/>
        <w:gridCol w:w="1260"/>
        <w:gridCol w:w="1170"/>
        <w:gridCol w:w="1260"/>
        <w:gridCol w:w="1350"/>
      </w:tblGrid>
      <w:tr w:rsidR="00921857" w:rsidRPr="0080300D" w:rsidTr="000F7C42">
        <w:trPr>
          <w:trHeight w:val="344"/>
          <w:jc w:val="center"/>
        </w:trPr>
        <w:tc>
          <w:tcPr>
            <w:tcW w:w="1323" w:type="dxa"/>
            <w:vMerge w:val="restart"/>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sz w:val="18"/>
                <w:szCs w:val="18"/>
              </w:rPr>
            </w:pPr>
            <w:r w:rsidRPr="000F7C42">
              <w:rPr>
                <w:rFonts w:asciiTheme="minorHAnsi" w:hAnsiTheme="minorHAnsi" w:cs="Arial"/>
                <w:b/>
                <w:bCs/>
                <w:color w:val="FFFFFF" w:themeColor="light1"/>
                <w:kern w:val="24"/>
                <w:sz w:val="18"/>
                <w:szCs w:val="18"/>
              </w:rPr>
              <w:t>Fuel Type</w:t>
            </w:r>
          </w:p>
        </w:tc>
        <w:tc>
          <w:tcPr>
            <w:tcW w:w="2364" w:type="dxa"/>
            <w:gridSpan w:val="2"/>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sz w:val="18"/>
                <w:szCs w:val="18"/>
              </w:rPr>
            </w:pPr>
            <w:r w:rsidRPr="000F7C42">
              <w:rPr>
                <w:rFonts w:asciiTheme="minorHAnsi" w:hAnsiTheme="minorHAnsi" w:cs="Arial"/>
                <w:b/>
                <w:bCs/>
                <w:color w:val="FFFFFF" w:themeColor="background1"/>
                <w:kern w:val="24"/>
                <w:sz w:val="18"/>
                <w:szCs w:val="18"/>
              </w:rPr>
              <w:t>Renew Plus</w:t>
            </w:r>
          </w:p>
        </w:tc>
        <w:tc>
          <w:tcPr>
            <w:tcW w:w="2430" w:type="dxa"/>
            <w:gridSpan w:val="2"/>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sz w:val="18"/>
                <w:szCs w:val="18"/>
              </w:rPr>
            </w:pPr>
            <w:r w:rsidRPr="000F7C42">
              <w:rPr>
                <w:rFonts w:asciiTheme="minorHAnsi" w:hAnsiTheme="minorHAnsi" w:cs="Arial"/>
                <w:b/>
                <w:bCs/>
                <w:color w:val="FFFFFF" w:themeColor="background1"/>
                <w:kern w:val="24"/>
                <w:sz w:val="18"/>
                <w:szCs w:val="18"/>
              </w:rPr>
              <w:t>EE + Offshore</w:t>
            </w:r>
          </w:p>
        </w:tc>
        <w:tc>
          <w:tcPr>
            <w:tcW w:w="2430" w:type="dxa"/>
            <w:gridSpan w:val="2"/>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sz w:val="18"/>
                <w:szCs w:val="18"/>
              </w:rPr>
            </w:pPr>
            <w:r w:rsidRPr="000F7C42">
              <w:rPr>
                <w:rFonts w:asciiTheme="minorHAnsi" w:hAnsiTheme="minorHAnsi" w:cs="Arial"/>
                <w:b/>
                <w:bCs/>
                <w:color w:val="FFFFFF" w:themeColor="background1"/>
                <w:kern w:val="24"/>
                <w:sz w:val="18"/>
                <w:szCs w:val="18"/>
              </w:rPr>
              <w:t>Onshore Less EE/PV</w:t>
            </w:r>
          </w:p>
        </w:tc>
        <w:tc>
          <w:tcPr>
            <w:tcW w:w="2610" w:type="dxa"/>
            <w:gridSpan w:val="2"/>
            <w:shd w:val="clear" w:color="auto" w:fill="1795D2" w:themeFill="accent1"/>
            <w:tcMar>
              <w:top w:w="29" w:type="dxa"/>
              <w:left w:w="29" w:type="dxa"/>
              <w:bottom w:w="29" w:type="dxa"/>
              <w:right w:w="29" w:type="dxa"/>
            </w:tcMar>
            <w:vAlign w:val="center"/>
            <w:hideMark/>
          </w:tcPr>
          <w:p w:rsidR="00921857" w:rsidRPr="000F7C42" w:rsidRDefault="00AF6389" w:rsidP="000F7C42">
            <w:pPr>
              <w:keepNext/>
              <w:keepLines/>
              <w:adjustRightInd/>
              <w:spacing w:before="40" w:after="40" w:line="240" w:lineRule="auto"/>
              <w:jc w:val="center"/>
              <w:textAlignment w:val="auto"/>
              <w:rPr>
                <w:rFonts w:asciiTheme="minorHAnsi" w:hAnsiTheme="minorHAnsi" w:cs="Arial"/>
                <w:sz w:val="18"/>
                <w:szCs w:val="18"/>
              </w:rPr>
            </w:pPr>
            <w:r>
              <w:rPr>
                <w:rFonts w:asciiTheme="minorHAnsi" w:hAnsiTheme="minorHAnsi" w:cs="Arial"/>
                <w:b/>
                <w:bCs/>
                <w:color w:val="FFFFFF" w:themeColor="background1"/>
                <w:kern w:val="24"/>
                <w:sz w:val="18"/>
                <w:szCs w:val="18"/>
              </w:rPr>
              <w:t>Wind Less Nuclear</w:t>
            </w:r>
          </w:p>
        </w:tc>
      </w:tr>
      <w:tr w:rsidR="00921857" w:rsidRPr="0080300D" w:rsidTr="000F7C42">
        <w:trPr>
          <w:trHeight w:val="479"/>
          <w:jc w:val="center"/>
        </w:trPr>
        <w:tc>
          <w:tcPr>
            <w:tcW w:w="1323" w:type="dxa"/>
            <w:vMerge/>
            <w:shd w:val="clear" w:color="auto" w:fill="1795D2" w:themeFill="accent1"/>
            <w:vAlign w:val="center"/>
            <w:hideMark/>
          </w:tcPr>
          <w:p w:rsidR="00921857" w:rsidRPr="000F7C42" w:rsidRDefault="00921857" w:rsidP="000F7C42">
            <w:pPr>
              <w:keepNext/>
              <w:keepLines/>
              <w:adjustRightInd/>
              <w:spacing w:before="40" w:after="40" w:line="240" w:lineRule="auto"/>
              <w:textAlignment w:val="auto"/>
              <w:rPr>
                <w:rFonts w:asciiTheme="minorHAnsi" w:hAnsiTheme="minorHAnsi" w:cs="Arial"/>
                <w:sz w:val="18"/>
                <w:szCs w:val="18"/>
              </w:rPr>
            </w:pPr>
          </w:p>
        </w:tc>
        <w:tc>
          <w:tcPr>
            <w:tcW w:w="1197"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Unconstrained</w:t>
            </w:r>
          </w:p>
        </w:tc>
        <w:tc>
          <w:tcPr>
            <w:tcW w:w="1167"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Constrained</w:t>
            </w:r>
          </w:p>
        </w:tc>
        <w:tc>
          <w:tcPr>
            <w:tcW w:w="126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Unconstrained</w:t>
            </w:r>
          </w:p>
        </w:tc>
        <w:tc>
          <w:tcPr>
            <w:tcW w:w="117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Constrained</w:t>
            </w:r>
          </w:p>
        </w:tc>
        <w:tc>
          <w:tcPr>
            <w:tcW w:w="126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Unconstrained</w:t>
            </w:r>
          </w:p>
        </w:tc>
        <w:tc>
          <w:tcPr>
            <w:tcW w:w="117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Constrained</w:t>
            </w:r>
          </w:p>
        </w:tc>
        <w:tc>
          <w:tcPr>
            <w:tcW w:w="126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Unconstrained</w:t>
            </w:r>
          </w:p>
        </w:tc>
        <w:tc>
          <w:tcPr>
            <w:tcW w:w="1350" w:type="dxa"/>
            <w:shd w:val="clear" w:color="auto" w:fill="1795D2" w:themeFill="accent1"/>
            <w:tcMar>
              <w:top w:w="29" w:type="dxa"/>
              <w:left w:w="29" w:type="dxa"/>
              <w:bottom w:w="29" w:type="dxa"/>
              <w:right w:w="29" w:type="dxa"/>
            </w:tcMar>
            <w:vAlign w:val="center"/>
            <w:hideMark/>
          </w:tcPr>
          <w:p w:rsidR="00921857" w:rsidRPr="000F7C42" w:rsidRDefault="00921857" w:rsidP="000F7C42">
            <w:pPr>
              <w:keepNext/>
              <w:keepLines/>
              <w:adjustRightInd/>
              <w:spacing w:before="40" w:after="40" w:line="240" w:lineRule="auto"/>
              <w:jc w:val="center"/>
              <w:textAlignment w:val="auto"/>
              <w:rPr>
                <w:rFonts w:asciiTheme="minorHAnsi" w:hAnsiTheme="minorHAnsi" w:cs="Arial"/>
                <w:b/>
                <w:color w:val="FFFFFF" w:themeColor="background1"/>
                <w:sz w:val="18"/>
                <w:szCs w:val="18"/>
              </w:rPr>
            </w:pPr>
            <w:r w:rsidRPr="000F7C42">
              <w:rPr>
                <w:rFonts w:asciiTheme="minorHAnsi" w:hAnsiTheme="minorHAnsi" w:cs="Arial"/>
                <w:b/>
                <w:color w:val="FFFFFF" w:themeColor="background1"/>
                <w:kern w:val="24"/>
                <w:sz w:val="18"/>
                <w:szCs w:val="18"/>
              </w:rPr>
              <w:t>Constrained</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B82E49"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B82E49">
              <w:rPr>
                <w:rFonts w:asciiTheme="minorHAnsi" w:hAnsiTheme="minorHAnsi" w:cs="Arial"/>
                <w:b/>
                <w:bCs/>
                <w:kern w:val="24"/>
                <w:sz w:val="18"/>
                <w:szCs w:val="18"/>
              </w:rPr>
              <w:t>Wind</w:t>
            </w:r>
          </w:p>
        </w:tc>
        <w:tc>
          <w:tcPr>
            <w:tcW w:w="1197"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24.36</w:t>
            </w:r>
          </w:p>
        </w:tc>
        <w:tc>
          <w:tcPr>
            <w:tcW w:w="1167"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22.43</w:t>
            </w:r>
          </w:p>
        </w:tc>
        <w:tc>
          <w:tcPr>
            <w:tcW w:w="126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19.09</w:t>
            </w:r>
          </w:p>
        </w:tc>
        <w:tc>
          <w:tcPr>
            <w:tcW w:w="117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19.09</w:t>
            </w:r>
          </w:p>
        </w:tc>
        <w:tc>
          <w:tcPr>
            <w:tcW w:w="126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31.12</w:t>
            </w:r>
          </w:p>
        </w:tc>
        <w:tc>
          <w:tcPr>
            <w:tcW w:w="117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25.19</w:t>
            </w:r>
          </w:p>
        </w:tc>
        <w:tc>
          <w:tcPr>
            <w:tcW w:w="126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42.26</w:t>
            </w:r>
          </w:p>
        </w:tc>
        <w:tc>
          <w:tcPr>
            <w:tcW w:w="1350" w:type="dxa"/>
            <w:shd w:val="clear" w:color="auto" w:fill="auto"/>
            <w:tcMar>
              <w:top w:w="0" w:type="dxa"/>
              <w:left w:w="0" w:type="dxa"/>
              <w:bottom w:w="0" w:type="dxa"/>
              <w:right w:w="360" w:type="dxa"/>
            </w:tcMar>
            <w:vAlign w:val="center"/>
            <w:hideMark/>
          </w:tcPr>
          <w:p w:rsidR="00921857" w:rsidRPr="00B82E49"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B82E49">
              <w:rPr>
                <w:rFonts w:asciiTheme="minorHAnsi" w:hAnsiTheme="minorHAnsi" w:cs="Arial"/>
                <w:color w:val="313B3F" w:themeColor="text1" w:themeShade="80"/>
                <w:kern w:val="24"/>
                <w:sz w:val="18"/>
                <w:szCs w:val="18"/>
              </w:rPr>
              <w:t>32.27</w:t>
            </w:r>
          </w:p>
        </w:tc>
      </w:tr>
      <w:tr w:rsidR="00921857" w:rsidRPr="0080300D" w:rsidTr="00691256">
        <w:trPr>
          <w:trHeight w:val="288"/>
          <w:jc w:val="center"/>
        </w:trPr>
        <w:tc>
          <w:tcPr>
            <w:tcW w:w="1323" w:type="dxa"/>
            <w:shd w:val="clear" w:color="auto" w:fill="CCEAF9" w:themeFill="accent1" w:themeFillTint="33"/>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PV</w:t>
            </w:r>
          </w:p>
        </w:tc>
        <w:tc>
          <w:tcPr>
            <w:tcW w:w="119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16.03</w:t>
            </w:r>
          </w:p>
        </w:tc>
        <w:tc>
          <w:tcPr>
            <w:tcW w:w="116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16.03</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15.92</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15.92</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5.56</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5.56</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16.05</w:t>
            </w:r>
          </w:p>
        </w:tc>
        <w:tc>
          <w:tcPr>
            <w:tcW w:w="135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16.04</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Oil</w:t>
            </w:r>
          </w:p>
        </w:tc>
        <w:tc>
          <w:tcPr>
            <w:tcW w:w="119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16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c>
          <w:tcPr>
            <w:tcW w:w="135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0.00</w:t>
            </w:r>
          </w:p>
        </w:tc>
      </w:tr>
      <w:tr w:rsidR="00921857" w:rsidRPr="0080300D" w:rsidTr="00691256">
        <w:trPr>
          <w:trHeight w:val="288"/>
          <w:jc w:val="center"/>
        </w:trPr>
        <w:tc>
          <w:tcPr>
            <w:tcW w:w="1323" w:type="dxa"/>
            <w:shd w:val="clear" w:color="auto" w:fill="CCEAF9" w:themeFill="accent1" w:themeFillTint="33"/>
            <w:tcMar>
              <w:top w:w="12" w:type="dxa"/>
              <w:left w:w="115" w:type="dxa"/>
              <w:bottom w:w="0" w:type="dxa"/>
              <w:right w:w="12" w:type="dxa"/>
            </w:tcMar>
            <w:vAlign w:val="center"/>
            <w:hideMark/>
          </w:tcPr>
          <w:p w:rsidR="00921857" w:rsidRPr="00D33A3F"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D33A3F">
              <w:rPr>
                <w:rFonts w:asciiTheme="minorHAnsi" w:hAnsiTheme="minorHAnsi" w:cs="Arial"/>
                <w:b/>
                <w:bCs/>
                <w:kern w:val="24"/>
                <w:sz w:val="18"/>
                <w:szCs w:val="18"/>
              </w:rPr>
              <w:t xml:space="preserve"> N</w:t>
            </w:r>
            <w:r w:rsidR="0080300D" w:rsidRPr="00E47654">
              <w:rPr>
                <w:rFonts w:asciiTheme="minorHAnsi" w:hAnsiTheme="minorHAnsi" w:cs="Arial"/>
                <w:b/>
                <w:bCs/>
                <w:kern w:val="24"/>
                <w:sz w:val="18"/>
                <w:szCs w:val="18"/>
              </w:rPr>
              <w:t>atural gas</w:t>
            </w:r>
          </w:p>
        </w:tc>
        <w:tc>
          <w:tcPr>
            <w:tcW w:w="1197"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14.16</w:t>
            </w:r>
          </w:p>
        </w:tc>
        <w:tc>
          <w:tcPr>
            <w:tcW w:w="1167"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17.04</w:t>
            </w:r>
          </w:p>
        </w:tc>
        <w:tc>
          <w:tcPr>
            <w:tcW w:w="126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10.97</w:t>
            </w:r>
          </w:p>
        </w:tc>
        <w:tc>
          <w:tcPr>
            <w:tcW w:w="117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11.14</w:t>
            </w:r>
          </w:p>
        </w:tc>
        <w:tc>
          <w:tcPr>
            <w:tcW w:w="126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28.71</w:t>
            </w:r>
          </w:p>
        </w:tc>
        <w:tc>
          <w:tcPr>
            <w:tcW w:w="117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34.84</w:t>
            </w:r>
          </w:p>
        </w:tc>
        <w:tc>
          <w:tcPr>
            <w:tcW w:w="126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15.81</w:t>
            </w:r>
          </w:p>
        </w:tc>
        <w:tc>
          <w:tcPr>
            <w:tcW w:w="1350" w:type="dxa"/>
            <w:shd w:val="clear" w:color="auto" w:fill="CCEAF9" w:themeFill="accent1" w:themeFillTint="33"/>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25.07</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D33A3F"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D33A3F">
              <w:rPr>
                <w:rFonts w:asciiTheme="minorHAnsi" w:hAnsiTheme="minorHAnsi" w:cs="Arial"/>
                <w:b/>
                <w:bCs/>
                <w:kern w:val="24"/>
                <w:sz w:val="18"/>
                <w:szCs w:val="18"/>
              </w:rPr>
              <w:t xml:space="preserve"> Imports</w:t>
            </w:r>
          </w:p>
        </w:tc>
        <w:tc>
          <w:tcPr>
            <w:tcW w:w="1197"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25.60</w:t>
            </w:r>
          </w:p>
        </w:tc>
        <w:tc>
          <w:tcPr>
            <w:tcW w:w="1167"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24.83</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19.45</w:t>
            </w:r>
          </w:p>
        </w:tc>
        <w:tc>
          <w:tcPr>
            <w:tcW w:w="117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19.38</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19.43</w:t>
            </w:r>
          </w:p>
        </w:tc>
        <w:tc>
          <w:tcPr>
            <w:tcW w:w="117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19.34</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23.41</w:t>
            </w:r>
          </w:p>
        </w:tc>
        <w:tc>
          <w:tcPr>
            <w:tcW w:w="135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23.78</w:t>
            </w:r>
          </w:p>
        </w:tc>
      </w:tr>
      <w:tr w:rsidR="00921857" w:rsidRPr="0080300D" w:rsidTr="00691256">
        <w:trPr>
          <w:trHeight w:val="288"/>
          <w:jc w:val="center"/>
        </w:trPr>
        <w:tc>
          <w:tcPr>
            <w:tcW w:w="1323" w:type="dxa"/>
            <w:shd w:val="clear" w:color="auto" w:fill="CCEAF9" w:themeFill="accent1" w:themeFillTint="33"/>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Coal</w:t>
            </w:r>
          </w:p>
        </w:tc>
        <w:tc>
          <w:tcPr>
            <w:tcW w:w="119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0.07</w:t>
            </w:r>
          </w:p>
        </w:tc>
        <w:tc>
          <w:tcPr>
            <w:tcW w:w="116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0.05</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0.07</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0.07</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0.10</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0.06</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0.07</w:t>
            </w:r>
          </w:p>
        </w:tc>
        <w:tc>
          <w:tcPr>
            <w:tcW w:w="135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0.03</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Misc.</w:t>
            </w:r>
          </w:p>
        </w:tc>
        <w:tc>
          <w:tcPr>
            <w:tcW w:w="119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2.05</w:t>
            </w:r>
          </w:p>
        </w:tc>
        <w:tc>
          <w:tcPr>
            <w:tcW w:w="116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2.26</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1.84</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1.82</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2.14</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2.52</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1.80</w:t>
            </w:r>
          </w:p>
        </w:tc>
        <w:tc>
          <w:tcPr>
            <w:tcW w:w="135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2.45</w:t>
            </w:r>
          </w:p>
        </w:tc>
      </w:tr>
      <w:tr w:rsidR="00921857" w:rsidRPr="0080300D" w:rsidTr="00691256">
        <w:trPr>
          <w:trHeight w:val="288"/>
          <w:jc w:val="center"/>
        </w:trPr>
        <w:tc>
          <w:tcPr>
            <w:tcW w:w="1323" w:type="dxa"/>
            <w:shd w:val="clear" w:color="auto" w:fill="CCEAF9" w:themeFill="accent1" w:themeFillTint="33"/>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Wood</w:t>
            </w:r>
          </w:p>
        </w:tc>
        <w:tc>
          <w:tcPr>
            <w:tcW w:w="119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3.70</w:t>
            </w:r>
          </w:p>
        </w:tc>
        <w:tc>
          <w:tcPr>
            <w:tcW w:w="116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3.50</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3.45</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3.37</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3.66</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3.53</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3.27</w:t>
            </w:r>
          </w:p>
        </w:tc>
        <w:tc>
          <w:tcPr>
            <w:tcW w:w="135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3.30</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Nuc.</w:t>
            </w:r>
          </w:p>
        </w:tc>
        <w:tc>
          <w:tcPr>
            <w:tcW w:w="119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27.24</w:t>
            </w:r>
          </w:p>
        </w:tc>
        <w:tc>
          <w:tcPr>
            <w:tcW w:w="1167"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27.24</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27.20</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27.20</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27.26</w:t>
            </w:r>
          </w:p>
        </w:tc>
        <w:tc>
          <w:tcPr>
            <w:tcW w:w="117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27.26</w:t>
            </w:r>
          </w:p>
        </w:tc>
        <w:tc>
          <w:tcPr>
            <w:tcW w:w="126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10.16</w:t>
            </w:r>
          </w:p>
        </w:tc>
        <w:tc>
          <w:tcPr>
            <w:tcW w:w="1350" w:type="dxa"/>
            <w:shd w:val="clear" w:color="auto" w:fill="auto"/>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10.17</w:t>
            </w:r>
          </w:p>
        </w:tc>
      </w:tr>
      <w:tr w:rsidR="00921857" w:rsidRPr="0080300D" w:rsidTr="00691256">
        <w:trPr>
          <w:trHeight w:val="288"/>
          <w:jc w:val="center"/>
        </w:trPr>
        <w:tc>
          <w:tcPr>
            <w:tcW w:w="1323" w:type="dxa"/>
            <w:shd w:val="clear" w:color="auto" w:fill="CCEAF9" w:themeFill="accent1" w:themeFillTint="33"/>
            <w:tcMar>
              <w:top w:w="12" w:type="dxa"/>
              <w:left w:w="115" w:type="dxa"/>
              <w:bottom w:w="0" w:type="dxa"/>
              <w:right w:w="12" w:type="dxa"/>
            </w:tcMar>
            <w:vAlign w:val="center"/>
            <w:hideMark/>
          </w:tcPr>
          <w:p w:rsidR="00921857" w:rsidRPr="000F7C42"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0F7C42">
              <w:rPr>
                <w:rFonts w:asciiTheme="minorHAnsi" w:hAnsiTheme="minorHAnsi" w:cs="Arial"/>
                <w:b/>
                <w:bCs/>
                <w:kern w:val="24"/>
                <w:sz w:val="18"/>
                <w:szCs w:val="18"/>
              </w:rPr>
              <w:t xml:space="preserve"> EE/DR</w:t>
            </w:r>
          </w:p>
        </w:tc>
        <w:tc>
          <w:tcPr>
            <w:tcW w:w="119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53.98</w:t>
            </w:r>
          </w:p>
        </w:tc>
        <w:tc>
          <w:tcPr>
            <w:tcW w:w="1167"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54.08</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69.16</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69.16</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36.12</w:t>
            </w:r>
          </w:p>
        </w:tc>
        <w:tc>
          <w:tcPr>
            <w:tcW w:w="117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36.12</w:t>
            </w:r>
          </w:p>
        </w:tc>
        <w:tc>
          <w:tcPr>
            <w:tcW w:w="126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53.92</w:t>
            </w:r>
          </w:p>
        </w:tc>
        <w:tc>
          <w:tcPr>
            <w:tcW w:w="1350" w:type="dxa"/>
            <w:shd w:val="clear" w:color="auto" w:fill="CCEAF9" w:themeFill="accent1" w:themeFillTint="33"/>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0F7C42">
              <w:rPr>
                <w:rFonts w:asciiTheme="minorHAnsi" w:hAnsiTheme="minorHAnsi" w:cs="Arial"/>
                <w:color w:val="313B3F" w:themeColor="text1" w:themeShade="80"/>
                <w:kern w:val="24"/>
                <w:sz w:val="18"/>
                <w:szCs w:val="18"/>
              </w:rPr>
              <w:t>54.16</w:t>
            </w:r>
          </w:p>
        </w:tc>
      </w:tr>
      <w:tr w:rsidR="00921857" w:rsidRPr="0080300D" w:rsidTr="00691256">
        <w:trPr>
          <w:trHeight w:val="288"/>
          <w:jc w:val="center"/>
        </w:trPr>
        <w:tc>
          <w:tcPr>
            <w:tcW w:w="1323" w:type="dxa"/>
            <w:shd w:val="clear" w:color="auto" w:fill="auto"/>
            <w:tcMar>
              <w:top w:w="12" w:type="dxa"/>
              <w:left w:w="115" w:type="dxa"/>
              <w:bottom w:w="0" w:type="dxa"/>
              <w:right w:w="12" w:type="dxa"/>
            </w:tcMar>
            <w:vAlign w:val="center"/>
            <w:hideMark/>
          </w:tcPr>
          <w:p w:rsidR="00921857" w:rsidRPr="00D33A3F" w:rsidRDefault="00921857" w:rsidP="000F7C42">
            <w:pPr>
              <w:keepNext/>
              <w:keepLines/>
              <w:adjustRightInd/>
              <w:spacing w:before="40" w:after="40" w:line="240" w:lineRule="auto"/>
              <w:jc w:val="both"/>
              <w:textAlignment w:val="bottom"/>
              <w:rPr>
                <w:rFonts w:asciiTheme="minorHAnsi" w:hAnsiTheme="minorHAnsi" w:cs="Arial"/>
                <w:sz w:val="18"/>
                <w:szCs w:val="18"/>
              </w:rPr>
            </w:pPr>
            <w:r w:rsidRPr="00D33A3F">
              <w:rPr>
                <w:rFonts w:asciiTheme="minorHAnsi" w:hAnsiTheme="minorHAnsi" w:cs="Arial"/>
                <w:b/>
                <w:bCs/>
                <w:kern w:val="24"/>
                <w:sz w:val="18"/>
                <w:szCs w:val="18"/>
              </w:rPr>
              <w:t xml:space="preserve"> Hydro</w:t>
            </w:r>
          </w:p>
        </w:tc>
        <w:tc>
          <w:tcPr>
            <w:tcW w:w="1197"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3.95</w:t>
            </w:r>
          </w:p>
        </w:tc>
        <w:tc>
          <w:tcPr>
            <w:tcW w:w="1167"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3.68</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3.95</w:t>
            </w:r>
          </w:p>
        </w:tc>
        <w:tc>
          <w:tcPr>
            <w:tcW w:w="117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3.94</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3.86</w:t>
            </w:r>
          </w:p>
        </w:tc>
        <w:tc>
          <w:tcPr>
            <w:tcW w:w="117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3.53</w:t>
            </w:r>
          </w:p>
        </w:tc>
        <w:tc>
          <w:tcPr>
            <w:tcW w:w="126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4.29</w:t>
            </w:r>
          </w:p>
        </w:tc>
        <w:tc>
          <w:tcPr>
            <w:tcW w:w="1350" w:type="dxa"/>
            <w:shd w:val="clear" w:color="auto" w:fill="auto"/>
            <w:tcMar>
              <w:top w:w="0" w:type="dxa"/>
              <w:left w:w="0" w:type="dxa"/>
              <w:bottom w:w="0" w:type="dxa"/>
              <w:right w:w="360" w:type="dxa"/>
            </w:tcMar>
            <w:vAlign w:val="center"/>
            <w:hideMark/>
          </w:tcPr>
          <w:p w:rsidR="00921857" w:rsidRPr="00D33A3F" w:rsidRDefault="00921857" w:rsidP="000F7C42">
            <w:pPr>
              <w:keepNext/>
              <w:keepLines/>
              <w:adjustRightInd/>
              <w:spacing w:before="40" w:after="40" w:line="240" w:lineRule="auto"/>
              <w:jc w:val="right"/>
              <w:textAlignment w:val="bottom"/>
              <w:rPr>
                <w:rFonts w:asciiTheme="minorHAnsi" w:hAnsiTheme="minorHAnsi" w:cs="Arial"/>
                <w:sz w:val="18"/>
                <w:szCs w:val="18"/>
              </w:rPr>
            </w:pPr>
            <w:r w:rsidRPr="00D33A3F">
              <w:rPr>
                <w:rFonts w:asciiTheme="minorHAnsi" w:hAnsiTheme="minorHAnsi" w:cs="Arial"/>
                <w:color w:val="313B3F" w:themeColor="text1" w:themeShade="80"/>
                <w:kern w:val="24"/>
                <w:sz w:val="18"/>
                <w:szCs w:val="18"/>
              </w:rPr>
              <w:t>3.76</w:t>
            </w:r>
          </w:p>
        </w:tc>
      </w:tr>
      <w:tr w:rsidR="00E47654" w:rsidRPr="00E47654" w:rsidTr="00691256">
        <w:trPr>
          <w:trHeight w:val="481"/>
          <w:jc w:val="center"/>
        </w:trPr>
        <w:tc>
          <w:tcPr>
            <w:tcW w:w="1323" w:type="dxa"/>
            <w:shd w:val="clear" w:color="auto" w:fill="1795D2" w:themeFill="accent1"/>
            <w:tcMar>
              <w:top w:w="12" w:type="dxa"/>
              <w:left w:w="115" w:type="dxa"/>
              <w:bottom w:w="0" w:type="dxa"/>
              <w:right w:w="12" w:type="dxa"/>
            </w:tcMar>
            <w:vAlign w:val="center"/>
            <w:hideMark/>
          </w:tcPr>
          <w:p w:rsidR="00921857" w:rsidRPr="000F7C42" w:rsidRDefault="00921857" w:rsidP="00922C11">
            <w:pPr>
              <w:keepNext/>
              <w:keepLines/>
              <w:adjustRightInd/>
              <w:spacing w:before="40" w:after="40" w:line="240" w:lineRule="auto"/>
              <w:textAlignment w:val="bottom"/>
              <w:rPr>
                <w:rFonts w:asciiTheme="minorHAnsi" w:hAnsiTheme="minorHAnsi" w:cs="Arial"/>
                <w:b/>
                <w:color w:val="FFFFFF" w:themeColor="background1"/>
                <w:sz w:val="18"/>
                <w:szCs w:val="18"/>
              </w:rPr>
            </w:pPr>
            <w:r w:rsidRPr="000F7C42">
              <w:rPr>
                <w:rFonts w:asciiTheme="minorHAnsi" w:hAnsiTheme="minorHAnsi" w:cs="Arial"/>
                <w:b/>
                <w:bCs/>
                <w:color w:val="FFFFFF" w:themeColor="background1"/>
                <w:kern w:val="24"/>
                <w:sz w:val="18"/>
                <w:szCs w:val="18"/>
              </w:rPr>
              <w:t xml:space="preserve"> Total</w:t>
            </w:r>
            <w:r w:rsidR="00922C11" w:rsidRPr="00922C11">
              <w:rPr>
                <w:rFonts w:asciiTheme="minorHAnsi" w:hAnsiTheme="minorHAnsi" w:cs="Arial"/>
                <w:b/>
                <w:bCs/>
                <w:color w:val="FFFFFF" w:themeColor="background1"/>
                <w:kern w:val="24"/>
                <w:sz w:val="18"/>
                <w:szCs w:val="18"/>
                <w:vertAlign w:val="superscript"/>
              </w:rPr>
              <w:t>(a)</w:t>
            </w:r>
          </w:p>
        </w:tc>
        <w:tc>
          <w:tcPr>
            <w:tcW w:w="1197"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171.15</w:t>
            </w:r>
          </w:p>
        </w:tc>
        <w:tc>
          <w:tcPr>
            <w:tcW w:w="1167"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171.15</w:t>
            </w:r>
          </w:p>
        </w:tc>
        <w:tc>
          <w:tcPr>
            <w:tcW w:w="126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171.09</w:t>
            </w:r>
          </w:p>
        </w:tc>
        <w:tc>
          <w:tcPr>
            <w:tcW w:w="117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171.09</w:t>
            </w:r>
          </w:p>
        </w:tc>
        <w:tc>
          <w:tcPr>
            <w:tcW w:w="126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157.95</w:t>
            </w:r>
          </w:p>
        </w:tc>
        <w:tc>
          <w:tcPr>
            <w:tcW w:w="117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157.95</w:t>
            </w:r>
          </w:p>
        </w:tc>
        <w:tc>
          <w:tcPr>
            <w:tcW w:w="126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171.03</w:t>
            </w:r>
          </w:p>
        </w:tc>
        <w:tc>
          <w:tcPr>
            <w:tcW w:w="1350" w:type="dxa"/>
            <w:shd w:val="clear" w:color="auto" w:fill="1795D2" w:themeFill="accent1"/>
            <w:tcMar>
              <w:top w:w="0" w:type="dxa"/>
              <w:left w:w="0" w:type="dxa"/>
              <w:bottom w:w="0" w:type="dxa"/>
              <w:right w:w="360" w:type="dxa"/>
            </w:tcMar>
            <w:vAlign w:val="center"/>
            <w:hideMark/>
          </w:tcPr>
          <w:p w:rsidR="00921857" w:rsidRPr="000F7C42" w:rsidRDefault="00921857" w:rsidP="000F7C42">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0F7C42">
              <w:rPr>
                <w:rFonts w:asciiTheme="minorHAnsi" w:eastAsiaTheme="minorEastAsia" w:hAnsiTheme="minorHAnsi" w:cstheme="minorBidi"/>
                <w:b/>
                <w:color w:val="FFFFFF" w:themeColor="background1"/>
                <w:kern w:val="24"/>
                <w:sz w:val="18"/>
                <w:szCs w:val="18"/>
              </w:rPr>
              <w:t>171.03</w:t>
            </w:r>
          </w:p>
        </w:tc>
      </w:tr>
    </w:tbl>
    <w:p w:rsidR="00B5084E" w:rsidRPr="00922C11" w:rsidRDefault="00922C11" w:rsidP="00922C11">
      <w:pPr>
        <w:pStyle w:val="Caption"/>
        <w:numPr>
          <w:ilvl w:val="0"/>
          <w:numId w:val="90"/>
        </w:numPr>
        <w:tabs>
          <w:tab w:val="clear" w:pos="1260"/>
          <w:tab w:val="left" w:pos="0"/>
        </w:tabs>
        <w:spacing w:before="120" w:after="240"/>
        <w:ind w:left="-630" w:right="-810" w:hanging="270"/>
        <w:rPr>
          <w:rFonts w:asciiTheme="majorHAnsi" w:hAnsiTheme="majorHAnsi"/>
          <w:b w:val="0"/>
          <w:sz w:val="16"/>
          <w:szCs w:val="16"/>
        </w:rPr>
      </w:pPr>
      <w:r w:rsidRPr="00922C11">
        <w:rPr>
          <w:rFonts w:asciiTheme="majorHAnsi" w:hAnsiTheme="majorHAnsi"/>
          <w:b w:val="0"/>
          <w:sz w:val="16"/>
          <w:szCs w:val="16"/>
        </w:rPr>
        <w:t xml:space="preserve">PHEV consumes 12.52 TWh in the Renew Plus, EE + Offshore, and </w:t>
      </w:r>
      <w:r w:rsidR="00AF6389">
        <w:rPr>
          <w:rFonts w:asciiTheme="majorHAnsi" w:hAnsiTheme="majorHAnsi"/>
          <w:b w:val="0"/>
          <w:sz w:val="16"/>
          <w:szCs w:val="16"/>
        </w:rPr>
        <w:t>Wind Less Nuclear</w:t>
      </w:r>
      <w:r w:rsidRPr="00922C11">
        <w:rPr>
          <w:rFonts w:asciiTheme="majorHAnsi" w:hAnsiTheme="majorHAnsi"/>
          <w:b w:val="0"/>
          <w:sz w:val="16"/>
          <w:szCs w:val="16"/>
        </w:rPr>
        <w:t xml:space="preserve"> scenarios. Pumped storage plus battery storage consumes &lt;1 TWh in every scenario. </w:t>
      </w:r>
    </w:p>
    <w:p w:rsidR="00481B68" w:rsidRDefault="00434563" w:rsidP="00201D25">
      <w:r>
        <w:t xml:space="preserve">Some observations of these results are as </w:t>
      </w:r>
      <w:r w:rsidR="00481B68">
        <w:t>follow</w:t>
      </w:r>
      <w:r>
        <w:t>s</w:t>
      </w:r>
      <w:r w:rsidR="00481B68">
        <w:t>:</w:t>
      </w:r>
    </w:p>
    <w:p w:rsidR="00844CA6" w:rsidRDefault="00E47654" w:rsidP="00B14F4E">
      <w:pPr>
        <w:pStyle w:val="ListParagraph"/>
        <w:numPr>
          <w:ilvl w:val="0"/>
          <w:numId w:val="35"/>
        </w:numPr>
      </w:pPr>
      <w:r>
        <w:t xml:space="preserve">The </w:t>
      </w:r>
      <w:r w:rsidR="00844CA6">
        <w:t xml:space="preserve">Onshore Less EE/PV </w:t>
      </w:r>
      <w:r>
        <w:t xml:space="preserve">scenario </w:t>
      </w:r>
      <w:r w:rsidR="00844CA6">
        <w:t>show</w:t>
      </w:r>
      <w:r w:rsidR="00B03138">
        <w:t>ed</w:t>
      </w:r>
      <w:r w:rsidR="00844CA6">
        <w:t xml:space="preserve"> lower total systemwide energy production than the other scenarios</w:t>
      </w:r>
      <w:r w:rsidR="001B7C02">
        <w:t xml:space="preserve"> </w:t>
      </w:r>
      <w:r w:rsidR="00844CA6">
        <w:t xml:space="preserve">because </w:t>
      </w:r>
      <w:r>
        <w:t>this s</w:t>
      </w:r>
      <w:r w:rsidR="00844CA6">
        <w:t xml:space="preserve">cenario does not include additions of electric vehicles </w:t>
      </w:r>
      <w:r w:rsidR="00844CA6" w:rsidRPr="00844CA6">
        <w:t xml:space="preserve">and </w:t>
      </w:r>
      <w:r w:rsidR="00330AD7">
        <w:t xml:space="preserve">battery </w:t>
      </w:r>
      <w:r w:rsidR="00844CA6" w:rsidRPr="00844CA6">
        <w:t>storage</w:t>
      </w:r>
      <w:r w:rsidR="00844CA6">
        <w:t>, both of which consume additional energy.</w:t>
      </w:r>
    </w:p>
    <w:p w:rsidR="00B14F4E" w:rsidRDefault="00B14F4E" w:rsidP="00B14F4E">
      <w:pPr>
        <w:pStyle w:val="ListParagraph"/>
        <w:numPr>
          <w:ilvl w:val="0"/>
          <w:numId w:val="35"/>
        </w:numPr>
      </w:pPr>
      <w:r>
        <w:t>Although the amount of resources assumed for each scenario adequately meets the systemwide energy requirements, even when transmission constraints are modeled, the</w:t>
      </w:r>
      <w:r w:rsidR="00E47654">
        <w:t xml:space="preserve"> energy </w:t>
      </w:r>
      <w:r>
        <w:t xml:space="preserve">production </w:t>
      </w:r>
      <w:r w:rsidR="00E47654">
        <w:t>varie</w:t>
      </w:r>
      <w:r w:rsidR="00B03138">
        <w:t>d</w:t>
      </w:r>
      <w:r w:rsidR="00E47654">
        <w:t xml:space="preserve"> </w:t>
      </w:r>
      <w:r>
        <w:t>by price-taking resources simulated as $0/MWh</w:t>
      </w:r>
      <w:r w:rsidR="00E47654">
        <w:t>:</w:t>
      </w:r>
      <w:r w:rsidR="00860D3B">
        <w:t xml:space="preserve"> </w:t>
      </w:r>
    </w:p>
    <w:p w:rsidR="00B14F4E" w:rsidRDefault="001B7C02" w:rsidP="00B14F4E">
      <w:pPr>
        <w:pStyle w:val="ListParagraph"/>
        <w:numPr>
          <w:ilvl w:val="1"/>
          <w:numId w:val="35"/>
        </w:numPr>
      </w:pPr>
      <w:r>
        <w:t xml:space="preserve">The </w:t>
      </w:r>
      <w:r w:rsidR="00B14F4E">
        <w:t>EE + Offshore (</w:t>
      </w:r>
      <w:r w:rsidR="00E47654">
        <w:t>o</w:t>
      </w:r>
      <w:r w:rsidR="00B14F4E">
        <w:t>ffshore +</w:t>
      </w:r>
      <w:r w:rsidR="005E6D5A">
        <w:t xml:space="preserve"> </w:t>
      </w:r>
      <w:r w:rsidR="00B14F4E">
        <w:t xml:space="preserve">1,000 MW; </w:t>
      </w:r>
      <w:r w:rsidR="00E47654">
        <w:t>o</w:t>
      </w:r>
      <w:r w:rsidR="00B14F4E">
        <w:t xml:space="preserve">nshore </w:t>
      </w:r>
      <w:r w:rsidR="00E47654">
        <w:t>−</w:t>
      </w:r>
      <w:r w:rsidR="005E6D5A">
        <w:t xml:space="preserve"> </w:t>
      </w:r>
      <w:r w:rsidR="00B14F4E">
        <w:t xml:space="preserve">2,800 MW) </w:t>
      </w:r>
      <w:r>
        <w:t xml:space="preserve">scenario showed </w:t>
      </w:r>
      <w:r w:rsidR="00B14F4E">
        <w:t xml:space="preserve">the least amount of wind </w:t>
      </w:r>
      <w:r w:rsidR="00B14F4E" w:rsidRPr="00D33A3F">
        <w:t>energy</w:t>
      </w:r>
      <w:r w:rsidR="00B03138" w:rsidRPr="00D33A3F">
        <w:t xml:space="preserve"> production</w:t>
      </w:r>
      <w:r w:rsidR="00B14F4E" w:rsidRPr="00D33A3F">
        <w:t xml:space="preserve">. </w:t>
      </w:r>
      <w:r w:rsidR="00B03138" w:rsidRPr="00D33A3F">
        <w:t xml:space="preserve">The </w:t>
      </w:r>
      <w:r w:rsidR="00B14F4E" w:rsidRPr="00D33A3F">
        <w:t xml:space="preserve">Onshore Less EE/PV </w:t>
      </w:r>
      <w:r w:rsidR="00B03138" w:rsidRPr="00D33A3F">
        <w:t xml:space="preserve">scenario produced </w:t>
      </w:r>
      <w:r w:rsidR="00B14F4E" w:rsidRPr="00D33A3F">
        <w:t>more</w:t>
      </w:r>
      <w:r w:rsidR="00B14F4E">
        <w:t xml:space="preserve"> wind energy than the reference case. </w:t>
      </w:r>
      <w:r w:rsidR="00B03138">
        <w:t xml:space="preserve">The </w:t>
      </w:r>
      <w:r w:rsidR="00AF6389">
        <w:t>Wind Less Nuclear</w:t>
      </w:r>
      <w:r w:rsidR="00B14F4E">
        <w:t xml:space="preserve"> </w:t>
      </w:r>
      <w:r w:rsidR="00B03138">
        <w:t xml:space="preserve">scenario resulted in </w:t>
      </w:r>
      <w:r w:rsidR="00B14F4E">
        <w:t xml:space="preserve">the most energy production from wind resources, especially when the transmission system </w:t>
      </w:r>
      <w:r w:rsidR="00B03138">
        <w:t>wa</w:t>
      </w:r>
      <w:r w:rsidR="00B14F4E">
        <w:t>s unconstrained.</w:t>
      </w:r>
    </w:p>
    <w:p w:rsidR="00B14F4E" w:rsidRDefault="00B14F4E" w:rsidP="00D33A3F">
      <w:pPr>
        <w:pStyle w:val="ListParagraph"/>
        <w:numPr>
          <w:ilvl w:val="1"/>
          <w:numId w:val="35"/>
        </w:numPr>
        <w:spacing w:after="240"/>
      </w:pPr>
      <w:r>
        <w:t>Production by natural-gas-fired generation fluctuate</w:t>
      </w:r>
      <w:r w:rsidR="00B03138">
        <w:t>d</w:t>
      </w:r>
      <w:r>
        <w:t xml:space="preserve"> with the differences in production by price-taking resources simulated as $0/MWh and </w:t>
      </w:r>
      <w:r w:rsidR="0040654F">
        <w:t xml:space="preserve">with the addition of </w:t>
      </w:r>
      <w:r>
        <w:t xml:space="preserve">assumed retirements. The </w:t>
      </w:r>
      <w:r w:rsidR="00B03138">
        <w:t xml:space="preserve">EE + Offshore scenario produced the </w:t>
      </w:r>
      <w:r>
        <w:t>least amount of natural</w:t>
      </w:r>
      <w:r w:rsidR="00B03138">
        <w:t>-</w:t>
      </w:r>
      <w:r>
        <w:t>gas-fired energy</w:t>
      </w:r>
      <w:r w:rsidR="00B03138">
        <w:t xml:space="preserve">, </w:t>
      </w:r>
      <w:r>
        <w:t xml:space="preserve">and the </w:t>
      </w:r>
      <w:r w:rsidR="00B03138">
        <w:t xml:space="preserve">Onshore Less EE/PV scenario produced the most. </w:t>
      </w:r>
      <w:r>
        <w:t>Constraining the transmission system generally increase</w:t>
      </w:r>
      <w:r w:rsidR="00B03138">
        <w:t>d</w:t>
      </w:r>
      <w:r>
        <w:t xml:space="preserve"> production by gas-fired generation because imposing transmission restrictions increase</w:t>
      </w:r>
      <w:r w:rsidR="00B03138">
        <w:t>d</w:t>
      </w:r>
      <w:r>
        <w:t xml:space="preserve"> the amount of spilled onshore wind as a result of </w:t>
      </w:r>
      <w:r w:rsidR="006D53B2">
        <w:t xml:space="preserve">flows reaching the transmission </w:t>
      </w:r>
      <w:r>
        <w:t xml:space="preserve">limits in the Maine interfaces. Although the constrained Onshore Less EE/PV </w:t>
      </w:r>
      <w:r w:rsidRPr="00D33A3F">
        <w:t xml:space="preserve">scenario </w:t>
      </w:r>
      <w:r w:rsidR="00B03138" w:rsidRPr="00D33A3F">
        <w:t xml:space="preserve">showed </w:t>
      </w:r>
      <w:r w:rsidRPr="00D33A3F">
        <w:t>the most natural</w:t>
      </w:r>
      <w:r w:rsidR="00B03138" w:rsidRPr="00D33A3F">
        <w:t>-</w:t>
      </w:r>
      <w:r w:rsidRPr="00D33A3F">
        <w:t xml:space="preserve">gas-fired generation, the </w:t>
      </w:r>
      <w:r w:rsidR="00AF6389">
        <w:t>Wind Less Nuclear</w:t>
      </w:r>
      <w:r w:rsidRPr="00D33A3F">
        <w:t xml:space="preserve"> scenario show</w:t>
      </w:r>
      <w:r w:rsidR="00B03138" w:rsidRPr="00D33A3F">
        <w:t>ed</w:t>
      </w:r>
      <w:r w:rsidRPr="00D33A3F">
        <w:t xml:space="preserve"> the greatest increase in natural</w:t>
      </w:r>
      <w:r w:rsidR="00B03138" w:rsidRPr="00D33A3F">
        <w:t>-</w:t>
      </w:r>
      <w:r w:rsidRPr="00D33A3F">
        <w:t>gas</w:t>
      </w:r>
      <w:r w:rsidR="00B03138" w:rsidRPr="00D33A3F">
        <w:t>-</w:t>
      </w:r>
      <w:r w:rsidRPr="00D33A3F">
        <w:t>fired production</w:t>
      </w:r>
      <w:r w:rsidR="00E4119E" w:rsidRPr="00D33A3F">
        <w:t>,</w:t>
      </w:r>
      <w:r w:rsidRPr="00D33A3F">
        <w:t xml:space="preserve"> resulting from the effects of constraining the transmission</w:t>
      </w:r>
      <w:r>
        <w:t xml:space="preserve"> system</w:t>
      </w:r>
      <w:r w:rsidR="006D53B2">
        <w:t xml:space="preserve"> compared with the unconstrained case</w:t>
      </w:r>
      <w:r>
        <w:t>.</w:t>
      </w:r>
    </w:p>
    <w:p w:rsidR="008E26A3" w:rsidRDefault="00AA1D44" w:rsidP="004931FC">
      <w:pPr>
        <w:pStyle w:val="ListParagraph"/>
        <w:numPr>
          <w:ilvl w:val="0"/>
          <w:numId w:val="35"/>
        </w:numPr>
        <w:spacing w:after="240"/>
      </w:pPr>
      <w:r>
        <w:t>P</w:t>
      </w:r>
      <w:r w:rsidR="008E26A3">
        <w:t>roduction by natural</w:t>
      </w:r>
      <w:r w:rsidR="00E85D4B">
        <w:t>-</w:t>
      </w:r>
      <w:r w:rsidR="008E26A3">
        <w:t xml:space="preserve">gas-fired generation is high relative to other resources. </w:t>
      </w:r>
      <w:r w:rsidR="005E6D5A">
        <w:t>Because</w:t>
      </w:r>
      <w:r w:rsidR="00E43F4B">
        <w:t xml:space="preserve"> </w:t>
      </w:r>
      <w:r w:rsidR="008E26A3">
        <w:t>natural</w:t>
      </w:r>
      <w:r w:rsidR="00E43F4B">
        <w:t>-</w:t>
      </w:r>
      <w:r w:rsidR="008E26A3">
        <w:t>gas</w:t>
      </w:r>
      <w:r w:rsidR="00E43F4B">
        <w:t>-</w:t>
      </w:r>
      <w:r w:rsidR="008E26A3">
        <w:t>unit</w:t>
      </w:r>
      <w:r w:rsidR="00E43F4B">
        <w:t xml:space="preserve"> production cost</w:t>
      </w:r>
      <w:r w:rsidR="008E26A3">
        <w:t xml:space="preserve">s </w:t>
      </w:r>
      <w:r w:rsidR="00E43F4B">
        <w:t xml:space="preserve">are </w:t>
      </w:r>
      <w:r>
        <w:t xml:space="preserve">generally </w:t>
      </w:r>
      <w:r w:rsidR="00E43F4B">
        <w:t xml:space="preserve">higher </w:t>
      </w:r>
      <w:r w:rsidR="008E26A3">
        <w:t>than th</w:t>
      </w:r>
      <w:r>
        <w:t xml:space="preserve">e production </w:t>
      </w:r>
      <w:r w:rsidR="00E43F4B">
        <w:t xml:space="preserve">costs for </w:t>
      </w:r>
      <w:r w:rsidR="008E26A3">
        <w:t xml:space="preserve">other resources </w:t>
      </w:r>
      <w:r>
        <w:t>(</w:t>
      </w:r>
      <w:r w:rsidR="008E26A3">
        <w:t>with the exception of wood</w:t>
      </w:r>
      <w:r w:rsidR="005E6D5A">
        <w:t>-</w:t>
      </w:r>
      <w:r w:rsidR="008E26A3">
        <w:t>fired resources</w:t>
      </w:r>
      <w:r>
        <w:t>)</w:t>
      </w:r>
      <w:r w:rsidR="005E6D5A">
        <w:t>,</w:t>
      </w:r>
      <w:r w:rsidR="008E26A3">
        <w:t xml:space="preserve"> natural gas generation is mostly on the margin across all scenarios. </w:t>
      </w:r>
    </w:p>
    <w:p w:rsidR="00635C26" w:rsidRPr="00586925" w:rsidRDefault="00635C26" w:rsidP="00D27B9E">
      <w:pPr>
        <w:pStyle w:val="Heading3"/>
      </w:pPr>
      <w:bookmarkStart w:id="275" w:name="_Ref517102940"/>
      <w:bookmarkStart w:id="276" w:name="_Toc528571223"/>
      <w:r w:rsidRPr="00586925">
        <w:t>Systemwide Production Costs</w:t>
      </w:r>
      <w:bookmarkEnd w:id="275"/>
      <w:bookmarkEnd w:id="276"/>
    </w:p>
    <w:p w:rsidR="00981180" w:rsidRDefault="00EF409C" w:rsidP="008D648D">
      <w:r w:rsidRPr="00EF409C">
        <w:t xml:space="preserve">Production costs reflect operating costs (which account for fuel-related costs), dispatch and unit commitment, and emission allowances. </w:t>
      </w:r>
      <w:r w:rsidR="00E4119E" w:rsidRPr="00E4119E">
        <w:fldChar w:fldCharType="begin"/>
      </w:r>
      <w:r w:rsidR="00E4119E" w:rsidRPr="00E4119E">
        <w:instrText xml:space="preserve"> REF _Ref516840848 \h </w:instrText>
      </w:r>
      <w:r w:rsidR="00E4119E" w:rsidRPr="00904B46">
        <w:instrText xml:space="preserve"> \* MERGEFORMAT </w:instrText>
      </w:r>
      <w:r w:rsidR="00E4119E" w:rsidRPr="00E4119E">
        <w:fldChar w:fldCharType="separate"/>
      </w:r>
      <w:r w:rsidR="00872A95" w:rsidRPr="00E4119E">
        <w:t xml:space="preserve">Figure </w:t>
      </w:r>
      <w:r w:rsidR="00872A95">
        <w:rPr>
          <w:noProof/>
        </w:rPr>
        <w:t>6</w:t>
      </w:r>
      <w:r w:rsidR="00872A95">
        <w:rPr>
          <w:noProof/>
        </w:rPr>
        <w:noBreakHyphen/>
        <w:t>2</w:t>
      </w:r>
      <w:r w:rsidR="00E4119E" w:rsidRPr="00E4119E">
        <w:fldChar w:fldCharType="end"/>
      </w:r>
      <w:r w:rsidRPr="00EF409C">
        <w:t xml:space="preserve"> show</w:t>
      </w:r>
      <w:r>
        <w:t>s</w:t>
      </w:r>
      <w:r w:rsidRPr="00EF409C">
        <w:t xml:space="preserve"> the system production costs for the unconstrained and the constrained system for </w:t>
      </w:r>
      <w:r w:rsidR="006558F0">
        <w:t>the</w:t>
      </w:r>
      <w:r w:rsidR="006558F0" w:rsidRPr="00EF409C">
        <w:t xml:space="preserve"> </w:t>
      </w:r>
      <w:r w:rsidRPr="00EF409C">
        <w:t xml:space="preserve">study year. </w:t>
      </w:r>
      <w:r w:rsidR="00904B46">
        <w:fldChar w:fldCharType="begin"/>
      </w:r>
      <w:r w:rsidR="00904B46">
        <w:instrText xml:space="preserve"> REF _Ref517274313 \h </w:instrText>
      </w:r>
      <w:r w:rsidR="008D648D">
        <w:instrText xml:space="preserve"> \* MERGEFORMAT </w:instrText>
      </w:r>
      <w:r w:rsidR="00904B46">
        <w:fldChar w:fldCharType="separate"/>
      </w:r>
      <w:r w:rsidR="00872A95" w:rsidRPr="00E4119E">
        <w:t xml:space="preserve">Table </w:t>
      </w:r>
      <w:r w:rsidR="00872A95">
        <w:rPr>
          <w:noProof/>
        </w:rPr>
        <w:t>6</w:t>
      </w:r>
      <w:r w:rsidR="00872A95">
        <w:rPr>
          <w:noProof/>
        </w:rPr>
        <w:noBreakHyphen/>
        <w:t>2</w:t>
      </w:r>
      <w:r w:rsidR="00904B46">
        <w:fldChar w:fldCharType="end"/>
      </w:r>
      <w:r w:rsidRPr="00EF409C">
        <w:t xml:space="preserve"> shows the data behind the figures</w:t>
      </w:r>
      <w:r w:rsidR="00E43F4B">
        <w:t>,</w:t>
      </w:r>
      <w:r>
        <w:t xml:space="preserve"> and </w:t>
      </w:r>
      <w:r w:rsidR="00904B46">
        <w:fldChar w:fldCharType="begin"/>
      </w:r>
      <w:r w:rsidR="00904B46">
        <w:instrText xml:space="preserve"> REF _Ref517274318 \h </w:instrText>
      </w:r>
      <w:r w:rsidR="008D648D">
        <w:instrText xml:space="preserve"> \* MERGEFORMAT </w:instrText>
      </w:r>
      <w:r w:rsidR="00904B46">
        <w:fldChar w:fldCharType="separate"/>
      </w:r>
      <w:r w:rsidR="00872A95">
        <w:t xml:space="preserve">Table </w:t>
      </w:r>
      <w:r w:rsidR="00872A95">
        <w:rPr>
          <w:noProof/>
        </w:rPr>
        <w:t>6</w:t>
      </w:r>
      <w:r w:rsidR="00872A95">
        <w:rPr>
          <w:noProof/>
        </w:rPr>
        <w:noBreakHyphen/>
        <w:t>3</w:t>
      </w:r>
      <w:r w:rsidR="00904B46">
        <w:fldChar w:fldCharType="end"/>
      </w:r>
      <w:r>
        <w:t xml:space="preserve"> compares the results with the Renew Plus scenario</w:t>
      </w:r>
      <w:r w:rsidRPr="00EF409C">
        <w:t>. In general, the results reflect the same trends shown by the metric for total energy production by resource type where larger amounts of renewable or imported energy with $0/MWh production costs reduce the production-cost metric.</w:t>
      </w:r>
      <w:r w:rsidR="00F25969">
        <w:t xml:space="preserve"> Decreased amounts of production by nuclear generators </w:t>
      </w:r>
      <w:r w:rsidR="00C75FC8">
        <w:t xml:space="preserve">due to retirements </w:t>
      </w:r>
      <w:r w:rsidR="00F25969">
        <w:t xml:space="preserve">causes increases in production costs. </w:t>
      </w:r>
    </w:p>
    <w:p w:rsidR="00981180" w:rsidRDefault="00981180" w:rsidP="00B5084E">
      <w:pPr>
        <w:keepNext/>
        <w:keepLines/>
        <w:spacing w:after="0" w:line="240" w:lineRule="auto"/>
        <w:jc w:val="center"/>
      </w:pPr>
      <w:r w:rsidRPr="00981180">
        <w:rPr>
          <w:noProof/>
        </w:rPr>
        <w:drawing>
          <wp:inline distT="0" distB="0" distL="0" distR="0" wp14:anchorId="3C9A5EF3" wp14:editId="11F5C267">
            <wp:extent cx="3691984" cy="2103120"/>
            <wp:effectExtent l="19050" t="19050" r="2286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984" cy="2103120"/>
                    </a:xfrm>
                    <a:prstGeom prst="rect">
                      <a:avLst/>
                    </a:prstGeom>
                    <a:noFill/>
                    <a:ln w="3175">
                      <a:solidFill>
                        <a:srgbClr val="041822"/>
                      </a:solidFill>
                    </a:ln>
                  </pic:spPr>
                </pic:pic>
              </a:graphicData>
            </a:graphic>
          </wp:inline>
        </w:drawing>
      </w:r>
    </w:p>
    <w:p w:rsidR="00EF409C" w:rsidRPr="00E4119E" w:rsidRDefault="00E4119E" w:rsidP="005108C7">
      <w:pPr>
        <w:pStyle w:val="Caption"/>
        <w:keepNext w:val="0"/>
        <w:keepLines w:val="0"/>
        <w:tabs>
          <w:tab w:val="clear" w:pos="1260"/>
          <w:tab w:val="clear" w:pos="9000"/>
          <w:tab w:val="left" w:pos="9090"/>
        </w:tabs>
        <w:spacing w:before="120" w:after="240"/>
        <w:ind w:left="1800" w:right="720"/>
      </w:pPr>
      <w:bookmarkStart w:id="277" w:name="_Ref516840848"/>
      <w:bookmarkStart w:id="278" w:name="_Toc519511507"/>
      <w:r w:rsidRPr="00E4119E">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2</w:t>
      </w:r>
      <w:r w:rsidR="00E930AF">
        <w:rPr>
          <w:noProof/>
        </w:rPr>
        <w:fldChar w:fldCharType="end"/>
      </w:r>
      <w:bookmarkEnd w:id="277"/>
      <w:r w:rsidR="00EF409C" w:rsidRPr="00E4119E">
        <w:t>: Production costs, 2030 ($ millions).</w:t>
      </w:r>
      <w:bookmarkEnd w:id="278"/>
    </w:p>
    <w:p w:rsidR="00E4119E" w:rsidRPr="00E4119E" w:rsidRDefault="00E4119E" w:rsidP="004931FC">
      <w:pPr>
        <w:pStyle w:val="Caption"/>
        <w:jc w:val="center"/>
      </w:pPr>
      <w:bookmarkStart w:id="279" w:name="_Ref517274313"/>
      <w:bookmarkStart w:id="280" w:name="_Toc520721037"/>
      <w:r w:rsidRPr="00E4119E">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2</w:t>
      </w:r>
      <w:r w:rsidR="00EA3757">
        <w:rPr>
          <w:noProof/>
        </w:rPr>
        <w:fldChar w:fldCharType="end"/>
      </w:r>
      <w:bookmarkEnd w:id="279"/>
      <w:r w:rsidRPr="00E4119E">
        <w:br/>
        <w:t xml:space="preserve">Production Costs, 2030 ($ </w:t>
      </w:r>
      <w:r w:rsidR="003A2D37">
        <w:t>M</w:t>
      </w:r>
      <w:r w:rsidRPr="00E4119E">
        <w:t>illions)</w:t>
      </w:r>
      <w:bookmarkEnd w:id="280"/>
    </w:p>
    <w:tbl>
      <w:tblPr>
        <w:tblW w:w="7473" w:type="dxa"/>
        <w:jc w:val="center"/>
        <w:tblBorders>
          <w:top w:val="single" w:sz="2" w:space="0" w:color="0D1011"/>
          <w:left w:val="single" w:sz="2" w:space="0" w:color="0D1011"/>
          <w:bottom w:val="single" w:sz="2" w:space="0" w:color="0D1011"/>
          <w:right w:val="single" w:sz="2" w:space="0" w:color="0D1011"/>
          <w:insideH w:val="single" w:sz="2" w:space="0" w:color="0D1011"/>
          <w:insideV w:val="single" w:sz="2" w:space="0" w:color="0D1011"/>
        </w:tblBorders>
        <w:tblCellMar>
          <w:left w:w="0" w:type="dxa"/>
          <w:right w:w="0" w:type="dxa"/>
        </w:tblCellMar>
        <w:tblLook w:val="04A0" w:firstRow="1" w:lastRow="0" w:firstColumn="1" w:lastColumn="0" w:noHBand="0" w:noVBand="1"/>
      </w:tblPr>
      <w:tblGrid>
        <w:gridCol w:w="1623"/>
        <w:gridCol w:w="1462"/>
        <w:gridCol w:w="1463"/>
        <w:gridCol w:w="1462"/>
        <w:gridCol w:w="1463"/>
      </w:tblGrid>
      <w:tr w:rsidR="00E4119E" w:rsidRPr="00E4119E" w:rsidTr="00CA7592">
        <w:trPr>
          <w:trHeight w:val="718"/>
          <w:jc w:val="center"/>
        </w:trPr>
        <w:tc>
          <w:tcPr>
            <w:tcW w:w="1623" w:type="dxa"/>
            <w:shd w:val="clear" w:color="auto" w:fill="1795D2"/>
            <w:tcMar>
              <w:top w:w="15" w:type="dxa"/>
              <w:left w:w="108" w:type="dxa"/>
              <w:bottom w:w="0" w:type="dxa"/>
              <w:right w:w="108" w:type="dxa"/>
            </w:tcMar>
            <w:vAlign w:val="center"/>
            <w:hideMark/>
          </w:tcPr>
          <w:p w:rsidR="00EF409C" w:rsidRPr="004F298C" w:rsidRDefault="00EF409C" w:rsidP="00E43F4B">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hAnsiTheme="majorHAnsi" w:cs="Arial"/>
                <w:b/>
                <w:bCs/>
                <w:color w:val="FFFFFF" w:themeColor="light1"/>
                <w:kern w:val="24"/>
                <w:sz w:val="18"/>
                <w:szCs w:val="18"/>
              </w:rPr>
              <w:t>Transmission</w:t>
            </w:r>
          </w:p>
        </w:tc>
        <w:tc>
          <w:tcPr>
            <w:tcW w:w="1462" w:type="dxa"/>
            <w:shd w:val="clear" w:color="auto" w:fill="1795D2"/>
            <w:tcMar>
              <w:top w:w="15" w:type="dxa"/>
              <w:left w:w="108" w:type="dxa"/>
              <w:bottom w:w="0" w:type="dxa"/>
              <w:right w:w="108" w:type="dxa"/>
            </w:tcMar>
            <w:vAlign w:val="center"/>
            <w:hideMark/>
          </w:tcPr>
          <w:p w:rsidR="00EF409C" w:rsidRPr="004F298C" w:rsidRDefault="00EF409C" w:rsidP="00DF0B60">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hAnsiTheme="majorHAnsi" w:cs="Arial"/>
                <w:b/>
                <w:bCs/>
                <w:color w:val="FFFFFF" w:themeColor="light1"/>
                <w:kern w:val="24"/>
                <w:sz w:val="18"/>
                <w:szCs w:val="18"/>
              </w:rPr>
              <w:t>Renew Plus</w:t>
            </w:r>
          </w:p>
        </w:tc>
        <w:tc>
          <w:tcPr>
            <w:tcW w:w="1463" w:type="dxa"/>
            <w:shd w:val="clear" w:color="auto" w:fill="1795D2"/>
            <w:tcMar>
              <w:top w:w="12" w:type="dxa"/>
              <w:left w:w="12" w:type="dxa"/>
              <w:bottom w:w="0" w:type="dxa"/>
              <w:right w:w="12" w:type="dxa"/>
            </w:tcMar>
            <w:vAlign w:val="center"/>
            <w:hideMark/>
          </w:tcPr>
          <w:p w:rsidR="00EF409C" w:rsidRPr="004F298C" w:rsidRDefault="00EF409C" w:rsidP="00DF0380">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eastAsiaTheme="minorEastAsia" w:hAnsiTheme="majorHAnsi" w:cstheme="minorBidi"/>
                <w:b/>
                <w:bCs/>
                <w:color w:val="FFFFFF" w:themeColor="light1"/>
                <w:kern w:val="24"/>
                <w:sz w:val="18"/>
                <w:szCs w:val="18"/>
              </w:rPr>
              <w:t>EE</w:t>
            </w:r>
            <w:r w:rsidR="00E4119E">
              <w:rPr>
                <w:rFonts w:asciiTheme="majorHAnsi" w:eastAsiaTheme="minorEastAsia" w:hAnsiTheme="majorHAnsi" w:cstheme="minorBidi"/>
                <w:b/>
                <w:bCs/>
                <w:color w:val="FFFFFF" w:themeColor="light1"/>
                <w:kern w:val="24"/>
                <w:sz w:val="18"/>
                <w:szCs w:val="18"/>
              </w:rPr>
              <w:t xml:space="preserve"> </w:t>
            </w:r>
            <w:r w:rsidRPr="004F298C">
              <w:rPr>
                <w:rFonts w:asciiTheme="majorHAnsi" w:eastAsiaTheme="minorEastAsia" w:hAnsiTheme="majorHAnsi" w:cstheme="minorBidi"/>
                <w:b/>
                <w:bCs/>
                <w:color w:val="FFFFFF" w:themeColor="light1"/>
                <w:kern w:val="24"/>
                <w:sz w:val="18"/>
                <w:szCs w:val="18"/>
              </w:rPr>
              <w:t>+</w:t>
            </w:r>
            <w:r w:rsidR="00E4119E">
              <w:rPr>
                <w:rFonts w:asciiTheme="majorHAnsi" w:eastAsiaTheme="minorEastAsia" w:hAnsiTheme="majorHAnsi" w:cstheme="minorBidi"/>
                <w:b/>
                <w:bCs/>
                <w:color w:val="FFFFFF" w:themeColor="light1"/>
                <w:kern w:val="24"/>
                <w:sz w:val="18"/>
                <w:szCs w:val="18"/>
              </w:rPr>
              <w:t xml:space="preserve"> </w:t>
            </w:r>
            <w:r w:rsidRPr="004F298C">
              <w:rPr>
                <w:rFonts w:asciiTheme="majorHAnsi" w:eastAsiaTheme="minorEastAsia" w:hAnsiTheme="majorHAnsi" w:cstheme="minorBidi"/>
                <w:b/>
                <w:bCs/>
                <w:color w:val="FFFFFF" w:themeColor="light1"/>
                <w:kern w:val="24"/>
                <w:sz w:val="18"/>
                <w:szCs w:val="18"/>
              </w:rPr>
              <w:t>Offshore</w:t>
            </w:r>
          </w:p>
        </w:tc>
        <w:tc>
          <w:tcPr>
            <w:tcW w:w="1462" w:type="dxa"/>
            <w:shd w:val="clear" w:color="auto" w:fill="1795D2"/>
            <w:tcMar>
              <w:top w:w="12" w:type="dxa"/>
              <w:left w:w="12" w:type="dxa"/>
              <w:bottom w:w="0" w:type="dxa"/>
              <w:right w:w="12" w:type="dxa"/>
            </w:tcMar>
            <w:vAlign w:val="center"/>
            <w:hideMark/>
          </w:tcPr>
          <w:p w:rsidR="00EF409C" w:rsidRPr="004F298C" w:rsidRDefault="00EF409C">
            <w:pPr>
              <w:keepNext/>
              <w:keepLines/>
              <w:adjustRightInd/>
              <w:spacing w:after="0" w:line="240" w:lineRule="auto"/>
              <w:jc w:val="center"/>
              <w:textAlignment w:val="auto"/>
              <w:rPr>
                <w:rFonts w:asciiTheme="majorHAnsi" w:hAnsiTheme="majorHAnsi" w:cs="Arial"/>
                <w:sz w:val="18"/>
                <w:szCs w:val="18"/>
              </w:rPr>
            </w:pPr>
            <w:r w:rsidRPr="004F298C">
              <w:rPr>
                <w:rFonts w:asciiTheme="majorHAnsi" w:hAnsiTheme="majorHAnsi" w:cs="Arial"/>
                <w:b/>
                <w:bCs/>
                <w:color w:val="FFFFFF" w:themeColor="background1"/>
                <w:kern w:val="24"/>
                <w:sz w:val="18"/>
                <w:szCs w:val="18"/>
              </w:rPr>
              <w:t>Onshore</w:t>
            </w:r>
            <w:r w:rsidR="00E4119E">
              <w:rPr>
                <w:rFonts w:asciiTheme="majorHAnsi" w:hAnsiTheme="majorHAnsi" w:cs="Arial"/>
                <w:b/>
                <w:bCs/>
                <w:color w:val="FFFFFF" w:themeColor="background1"/>
                <w:kern w:val="24"/>
                <w:sz w:val="18"/>
                <w:szCs w:val="18"/>
              </w:rPr>
              <w:br/>
            </w:r>
            <w:r w:rsidRPr="004F298C">
              <w:rPr>
                <w:rFonts w:asciiTheme="majorHAnsi" w:hAnsiTheme="majorHAnsi" w:cs="Arial"/>
                <w:b/>
                <w:bCs/>
                <w:color w:val="FFFFFF" w:themeColor="background1"/>
                <w:kern w:val="24"/>
                <w:sz w:val="18"/>
                <w:szCs w:val="18"/>
              </w:rPr>
              <w:t>Less EE/PV</w:t>
            </w:r>
          </w:p>
        </w:tc>
        <w:tc>
          <w:tcPr>
            <w:tcW w:w="1463" w:type="dxa"/>
            <w:shd w:val="clear" w:color="auto" w:fill="1795D2"/>
            <w:tcMar>
              <w:top w:w="12" w:type="dxa"/>
              <w:left w:w="12" w:type="dxa"/>
              <w:bottom w:w="0" w:type="dxa"/>
              <w:right w:w="12" w:type="dxa"/>
            </w:tcMar>
            <w:vAlign w:val="center"/>
            <w:hideMark/>
          </w:tcPr>
          <w:p w:rsidR="00EF409C" w:rsidRPr="004F298C" w:rsidRDefault="00AF6389">
            <w:pPr>
              <w:keepNext/>
              <w:keepLines/>
              <w:adjustRightInd/>
              <w:spacing w:after="0" w:line="240" w:lineRule="auto"/>
              <w:jc w:val="center"/>
              <w:textAlignment w:val="auto"/>
              <w:rPr>
                <w:rFonts w:asciiTheme="majorHAnsi" w:hAnsiTheme="majorHAnsi" w:cs="Arial"/>
                <w:sz w:val="18"/>
                <w:szCs w:val="18"/>
              </w:rPr>
            </w:pPr>
            <w:r>
              <w:rPr>
                <w:rFonts w:asciiTheme="majorHAnsi" w:hAnsiTheme="majorHAnsi" w:cs="Arial"/>
                <w:b/>
                <w:bCs/>
                <w:color w:val="FFFFFF" w:themeColor="background1"/>
                <w:kern w:val="24"/>
                <w:sz w:val="18"/>
                <w:szCs w:val="18"/>
              </w:rPr>
              <w:t>Wind Less Nuclear</w:t>
            </w:r>
          </w:p>
        </w:tc>
      </w:tr>
      <w:tr w:rsidR="00E4119E" w:rsidRPr="00E4119E" w:rsidTr="00CA7592">
        <w:trPr>
          <w:trHeight w:val="349"/>
          <w:jc w:val="center"/>
        </w:trPr>
        <w:tc>
          <w:tcPr>
            <w:tcW w:w="1623" w:type="dxa"/>
            <w:shd w:val="clear" w:color="auto" w:fill="auto"/>
            <w:tcMar>
              <w:top w:w="15" w:type="dxa"/>
              <w:left w:w="108" w:type="dxa"/>
              <w:bottom w:w="0" w:type="dxa"/>
              <w:right w:w="108" w:type="dxa"/>
            </w:tcMar>
            <w:vAlign w:val="center"/>
            <w:hideMark/>
          </w:tcPr>
          <w:p w:rsidR="00EF409C" w:rsidRPr="004F298C" w:rsidRDefault="00EF409C" w:rsidP="004F298C">
            <w:pPr>
              <w:keepNext/>
              <w:keepLines/>
              <w:adjustRightInd/>
              <w:spacing w:before="40" w:after="40" w:line="260" w:lineRule="exact"/>
              <w:textAlignment w:val="auto"/>
              <w:rPr>
                <w:rFonts w:asciiTheme="majorHAnsi" w:hAnsiTheme="majorHAnsi" w:cs="Arial"/>
                <w:color w:val="0D1011"/>
                <w:sz w:val="18"/>
                <w:szCs w:val="18"/>
              </w:rPr>
            </w:pPr>
            <w:r w:rsidRPr="004F298C">
              <w:rPr>
                <w:rFonts w:asciiTheme="majorHAnsi" w:hAnsiTheme="majorHAnsi" w:cs="Arial"/>
                <w:b/>
                <w:bCs/>
                <w:color w:val="0D1011"/>
                <w:kern w:val="24"/>
                <w:sz w:val="18"/>
                <w:szCs w:val="18"/>
              </w:rPr>
              <w:t>Unconstrained</w:t>
            </w:r>
          </w:p>
        </w:tc>
        <w:tc>
          <w:tcPr>
            <w:tcW w:w="1462" w:type="dxa"/>
            <w:shd w:val="clear" w:color="auto" w:fill="auto"/>
            <w:tcMar>
              <w:top w:w="0" w:type="dxa"/>
              <w:left w:w="0" w:type="dxa"/>
              <w:bottom w:w="0" w:type="dxa"/>
              <w:right w:w="432" w:type="dxa"/>
            </w:tcMar>
            <w:vAlign w:val="center"/>
            <w:hideMark/>
          </w:tcPr>
          <w:p w:rsidR="00EF409C" w:rsidRPr="004F298C" w:rsidRDefault="00EF409C" w:rsidP="00065E26">
            <w:pPr>
              <w:keepNext/>
              <w:keepLines/>
              <w:adjustRightInd/>
              <w:spacing w:after="0" w:line="240" w:lineRule="auto"/>
              <w:jc w:val="right"/>
              <w:textAlignment w:val="bottom"/>
              <w:rPr>
                <w:rFonts w:asciiTheme="majorHAnsi" w:hAnsiTheme="majorHAnsi" w:cs="Arial"/>
                <w:sz w:val="18"/>
                <w:szCs w:val="18"/>
              </w:rPr>
            </w:pPr>
            <w:r w:rsidRPr="004F298C">
              <w:rPr>
                <w:rFonts w:asciiTheme="majorHAnsi" w:hAnsiTheme="majorHAnsi" w:cs="Arial"/>
                <w:color w:val="313B3F" w:themeColor="text1" w:themeShade="80"/>
                <w:kern w:val="24"/>
                <w:sz w:val="18"/>
                <w:szCs w:val="18"/>
              </w:rPr>
              <w:t>1,086</w:t>
            </w:r>
          </w:p>
        </w:tc>
        <w:tc>
          <w:tcPr>
            <w:tcW w:w="1463" w:type="dxa"/>
            <w:shd w:val="clear" w:color="auto" w:fill="auto"/>
            <w:tcMar>
              <w:top w:w="0" w:type="dxa"/>
              <w:left w:w="0" w:type="dxa"/>
              <w:bottom w:w="0" w:type="dxa"/>
              <w:right w:w="432" w:type="dxa"/>
            </w:tcMar>
            <w:vAlign w:val="center"/>
            <w:hideMark/>
          </w:tcPr>
          <w:p w:rsidR="00EF409C" w:rsidRPr="004F298C" w:rsidRDefault="00EF409C" w:rsidP="00065E26">
            <w:pPr>
              <w:keepNext/>
              <w:keepLines/>
              <w:adjustRightInd/>
              <w:spacing w:after="0" w:line="240" w:lineRule="auto"/>
              <w:jc w:val="right"/>
              <w:textAlignment w:val="bottom"/>
              <w:rPr>
                <w:rFonts w:asciiTheme="majorHAnsi" w:hAnsiTheme="majorHAnsi" w:cs="Arial"/>
                <w:sz w:val="18"/>
                <w:szCs w:val="18"/>
              </w:rPr>
            </w:pPr>
            <w:r w:rsidRPr="004F298C">
              <w:rPr>
                <w:rFonts w:asciiTheme="majorHAnsi" w:hAnsiTheme="majorHAnsi" w:cs="Arial"/>
                <w:color w:val="313B3F" w:themeColor="text1" w:themeShade="80"/>
                <w:kern w:val="24"/>
                <w:sz w:val="18"/>
                <w:szCs w:val="18"/>
              </w:rPr>
              <w:t>895</w:t>
            </w:r>
          </w:p>
        </w:tc>
        <w:tc>
          <w:tcPr>
            <w:tcW w:w="1462" w:type="dxa"/>
            <w:shd w:val="clear" w:color="auto" w:fill="auto"/>
            <w:tcMar>
              <w:top w:w="0" w:type="dxa"/>
              <w:left w:w="0" w:type="dxa"/>
              <w:bottom w:w="0" w:type="dxa"/>
              <w:right w:w="432" w:type="dxa"/>
            </w:tcMar>
            <w:vAlign w:val="center"/>
            <w:hideMark/>
          </w:tcPr>
          <w:p w:rsidR="00EF409C" w:rsidRPr="004F298C" w:rsidRDefault="00EF409C" w:rsidP="00065E26">
            <w:pPr>
              <w:keepNext/>
              <w:keepLines/>
              <w:adjustRightInd/>
              <w:spacing w:after="0" w:line="240" w:lineRule="auto"/>
              <w:jc w:val="right"/>
              <w:textAlignment w:val="bottom"/>
              <w:rPr>
                <w:rFonts w:asciiTheme="majorHAnsi" w:hAnsiTheme="majorHAnsi" w:cs="Arial"/>
                <w:sz w:val="18"/>
                <w:szCs w:val="18"/>
              </w:rPr>
            </w:pPr>
            <w:r w:rsidRPr="004F298C">
              <w:rPr>
                <w:rFonts w:asciiTheme="majorHAnsi" w:hAnsiTheme="majorHAnsi" w:cs="Arial"/>
                <w:color w:val="313B3F" w:themeColor="text1" w:themeShade="80"/>
                <w:kern w:val="24"/>
                <w:sz w:val="18"/>
                <w:szCs w:val="18"/>
              </w:rPr>
              <w:t>1,877</w:t>
            </w:r>
          </w:p>
        </w:tc>
        <w:tc>
          <w:tcPr>
            <w:tcW w:w="1463" w:type="dxa"/>
            <w:shd w:val="clear" w:color="auto" w:fill="auto"/>
            <w:tcMar>
              <w:top w:w="0" w:type="dxa"/>
              <w:left w:w="0" w:type="dxa"/>
              <w:bottom w:w="0" w:type="dxa"/>
              <w:right w:w="432" w:type="dxa"/>
            </w:tcMar>
            <w:vAlign w:val="center"/>
            <w:hideMark/>
          </w:tcPr>
          <w:p w:rsidR="00EF409C" w:rsidRPr="004F298C" w:rsidRDefault="00EF409C" w:rsidP="00065E26">
            <w:pPr>
              <w:keepNext/>
              <w:keepLines/>
              <w:adjustRightInd/>
              <w:spacing w:after="0" w:line="240" w:lineRule="auto"/>
              <w:jc w:val="right"/>
              <w:textAlignment w:val="bottom"/>
              <w:rPr>
                <w:rFonts w:asciiTheme="majorHAnsi" w:hAnsiTheme="majorHAnsi" w:cs="Arial"/>
                <w:sz w:val="18"/>
                <w:szCs w:val="18"/>
              </w:rPr>
            </w:pPr>
            <w:r w:rsidRPr="004F298C">
              <w:rPr>
                <w:rFonts w:asciiTheme="majorHAnsi" w:hAnsiTheme="majorHAnsi" w:cs="Arial"/>
                <w:color w:val="313B3F" w:themeColor="text1" w:themeShade="80"/>
                <w:kern w:val="24"/>
                <w:sz w:val="18"/>
                <w:szCs w:val="18"/>
              </w:rPr>
              <w:t>1,101</w:t>
            </w:r>
          </w:p>
        </w:tc>
      </w:tr>
      <w:tr w:rsidR="00E4119E" w:rsidRPr="00E4119E" w:rsidTr="00CA7592">
        <w:trPr>
          <w:trHeight w:val="340"/>
          <w:jc w:val="center"/>
        </w:trPr>
        <w:tc>
          <w:tcPr>
            <w:tcW w:w="1623" w:type="dxa"/>
            <w:shd w:val="clear" w:color="auto" w:fill="CCEAF9" w:themeFill="accent1" w:themeFillTint="33"/>
            <w:tcMar>
              <w:top w:w="15" w:type="dxa"/>
              <w:left w:w="108" w:type="dxa"/>
              <w:bottom w:w="0" w:type="dxa"/>
              <w:right w:w="108" w:type="dxa"/>
            </w:tcMar>
            <w:vAlign w:val="center"/>
            <w:hideMark/>
          </w:tcPr>
          <w:p w:rsidR="00EF409C" w:rsidRPr="004F298C" w:rsidRDefault="00EF409C" w:rsidP="004F298C">
            <w:pPr>
              <w:keepNext/>
              <w:keepLines/>
              <w:adjustRightInd/>
              <w:spacing w:before="40" w:after="40" w:line="260" w:lineRule="exact"/>
              <w:textAlignment w:val="auto"/>
              <w:rPr>
                <w:rFonts w:asciiTheme="majorHAnsi" w:hAnsiTheme="majorHAnsi" w:cs="Arial"/>
                <w:color w:val="0D1011"/>
                <w:sz w:val="18"/>
                <w:szCs w:val="18"/>
              </w:rPr>
            </w:pPr>
            <w:r w:rsidRPr="004F298C">
              <w:rPr>
                <w:rFonts w:asciiTheme="majorHAnsi" w:hAnsiTheme="majorHAnsi" w:cs="Arial"/>
                <w:b/>
                <w:bCs/>
                <w:color w:val="0D1011"/>
                <w:kern w:val="24"/>
                <w:sz w:val="18"/>
                <w:szCs w:val="18"/>
              </w:rPr>
              <w:t>Constrained</w:t>
            </w:r>
          </w:p>
        </w:tc>
        <w:tc>
          <w:tcPr>
            <w:tcW w:w="1462" w:type="dxa"/>
            <w:shd w:val="clear" w:color="auto" w:fill="CCEAF9" w:themeFill="accent1" w:themeFillTint="33"/>
            <w:tcMar>
              <w:top w:w="0" w:type="dxa"/>
              <w:left w:w="0" w:type="dxa"/>
              <w:bottom w:w="0" w:type="dxa"/>
              <w:right w:w="432" w:type="dxa"/>
            </w:tcMar>
            <w:vAlign w:val="center"/>
            <w:hideMark/>
          </w:tcPr>
          <w:p w:rsidR="00EF409C" w:rsidRPr="004F298C" w:rsidRDefault="00EF409C" w:rsidP="00065E26">
            <w:pPr>
              <w:keepNext/>
              <w:keepLines/>
              <w:adjustRightInd/>
              <w:spacing w:before="40" w:after="40" w:line="260" w:lineRule="exact"/>
              <w:jc w:val="right"/>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1,253</w:t>
            </w:r>
          </w:p>
        </w:tc>
        <w:tc>
          <w:tcPr>
            <w:tcW w:w="1463" w:type="dxa"/>
            <w:shd w:val="clear" w:color="auto" w:fill="CCEAF9" w:themeFill="accent1" w:themeFillTint="33"/>
            <w:tcMar>
              <w:top w:w="0" w:type="dxa"/>
              <w:left w:w="0" w:type="dxa"/>
              <w:bottom w:w="0" w:type="dxa"/>
              <w:right w:w="432" w:type="dxa"/>
            </w:tcMar>
            <w:vAlign w:val="center"/>
            <w:hideMark/>
          </w:tcPr>
          <w:p w:rsidR="00EF409C" w:rsidRPr="004F298C" w:rsidRDefault="00EF409C" w:rsidP="00065E26">
            <w:pPr>
              <w:keepNext/>
              <w:keepLines/>
              <w:adjustRightInd/>
              <w:spacing w:before="40" w:after="40" w:line="260" w:lineRule="exact"/>
              <w:jc w:val="right"/>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901</w:t>
            </w:r>
          </w:p>
        </w:tc>
        <w:tc>
          <w:tcPr>
            <w:tcW w:w="1462" w:type="dxa"/>
            <w:shd w:val="clear" w:color="auto" w:fill="CCEAF9" w:themeFill="accent1" w:themeFillTint="33"/>
            <w:tcMar>
              <w:top w:w="0" w:type="dxa"/>
              <w:left w:w="0" w:type="dxa"/>
              <w:bottom w:w="0" w:type="dxa"/>
              <w:right w:w="432" w:type="dxa"/>
            </w:tcMar>
            <w:vAlign w:val="center"/>
            <w:hideMark/>
          </w:tcPr>
          <w:p w:rsidR="00EF409C" w:rsidRPr="004F298C" w:rsidRDefault="00EF409C" w:rsidP="00065E26">
            <w:pPr>
              <w:keepNext/>
              <w:keepLines/>
              <w:adjustRightInd/>
              <w:spacing w:before="40" w:after="40" w:line="260" w:lineRule="exact"/>
              <w:jc w:val="right"/>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2,221</w:t>
            </w:r>
          </w:p>
        </w:tc>
        <w:tc>
          <w:tcPr>
            <w:tcW w:w="1463" w:type="dxa"/>
            <w:shd w:val="clear" w:color="auto" w:fill="CCEAF9" w:themeFill="accent1" w:themeFillTint="33"/>
            <w:tcMar>
              <w:top w:w="0" w:type="dxa"/>
              <w:left w:w="0" w:type="dxa"/>
              <w:bottom w:w="0" w:type="dxa"/>
              <w:right w:w="432" w:type="dxa"/>
            </w:tcMar>
            <w:vAlign w:val="center"/>
            <w:hideMark/>
          </w:tcPr>
          <w:p w:rsidR="00EF409C" w:rsidRPr="004F298C" w:rsidRDefault="00EF409C" w:rsidP="00065E26">
            <w:pPr>
              <w:keepNext/>
              <w:keepLines/>
              <w:adjustRightInd/>
              <w:spacing w:before="40" w:after="40" w:line="260" w:lineRule="exact"/>
              <w:jc w:val="right"/>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1,649</w:t>
            </w:r>
          </w:p>
        </w:tc>
      </w:tr>
      <w:tr w:rsidR="00E4119E" w:rsidRPr="00E4119E" w:rsidTr="00CA7592">
        <w:trPr>
          <w:trHeight w:val="430"/>
          <w:jc w:val="center"/>
        </w:trPr>
        <w:tc>
          <w:tcPr>
            <w:tcW w:w="1623" w:type="dxa"/>
            <w:shd w:val="clear" w:color="auto" w:fill="auto"/>
            <w:tcMar>
              <w:top w:w="15" w:type="dxa"/>
              <w:left w:w="108" w:type="dxa"/>
              <w:bottom w:w="0" w:type="dxa"/>
              <w:right w:w="108" w:type="dxa"/>
            </w:tcMar>
            <w:vAlign w:val="center"/>
          </w:tcPr>
          <w:p w:rsidR="00AD2725" w:rsidRPr="00065E26" w:rsidRDefault="00AD2725" w:rsidP="004F298C">
            <w:pPr>
              <w:keepNext/>
              <w:keepLines/>
              <w:adjustRightInd/>
              <w:spacing w:before="40" w:after="40" w:line="260" w:lineRule="exact"/>
              <w:textAlignment w:val="auto"/>
              <w:rPr>
                <w:rFonts w:asciiTheme="majorHAnsi" w:hAnsiTheme="majorHAnsi" w:cs="Arial"/>
                <w:b/>
                <w:bCs/>
                <w:color w:val="0D1011"/>
                <w:kern w:val="24"/>
                <w:sz w:val="18"/>
                <w:szCs w:val="18"/>
              </w:rPr>
            </w:pPr>
            <w:r w:rsidRPr="00065E26">
              <w:rPr>
                <w:rFonts w:asciiTheme="majorHAnsi" w:hAnsiTheme="majorHAnsi" w:cs="Arial"/>
                <w:b/>
                <w:bCs/>
                <w:color w:val="0D1011"/>
                <w:kern w:val="24"/>
                <w:sz w:val="18"/>
                <w:szCs w:val="18"/>
              </w:rPr>
              <w:t>Con</w:t>
            </w:r>
            <w:r w:rsidR="003B748B" w:rsidRPr="00065E26">
              <w:rPr>
                <w:rFonts w:asciiTheme="majorHAnsi" w:hAnsiTheme="majorHAnsi" w:cs="Arial"/>
                <w:b/>
                <w:bCs/>
                <w:color w:val="0D1011"/>
                <w:kern w:val="24"/>
                <w:sz w:val="18"/>
                <w:szCs w:val="18"/>
              </w:rPr>
              <w:t>gestion</w:t>
            </w:r>
            <w:r w:rsidR="00E4119E" w:rsidRPr="00065E26">
              <w:rPr>
                <w:rFonts w:asciiTheme="majorHAnsi" w:hAnsiTheme="majorHAnsi" w:cs="Arial"/>
                <w:b/>
                <w:bCs/>
                <w:color w:val="0D1011"/>
                <w:kern w:val="24"/>
                <w:sz w:val="18"/>
                <w:szCs w:val="18"/>
                <w:vertAlign w:val="superscript"/>
              </w:rPr>
              <w:t>(a)</w:t>
            </w:r>
          </w:p>
        </w:tc>
        <w:tc>
          <w:tcPr>
            <w:tcW w:w="1462" w:type="dxa"/>
            <w:shd w:val="clear" w:color="auto" w:fill="auto"/>
            <w:tcMar>
              <w:top w:w="0" w:type="dxa"/>
              <w:left w:w="0" w:type="dxa"/>
              <w:bottom w:w="0" w:type="dxa"/>
              <w:right w:w="432" w:type="dxa"/>
            </w:tcMar>
            <w:vAlign w:val="center"/>
          </w:tcPr>
          <w:p w:rsidR="00AD2725" w:rsidRPr="00065E26" w:rsidRDefault="00065E26" w:rsidP="00065E26">
            <w:pPr>
              <w:keepNext/>
              <w:keepLines/>
              <w:adjustRightInd/>
              <w:spacing w:before="40" w:after="40" w:line="260" w:lineRule="exact"/>
              <w:jc w:val="right"/>
              <w:textAlignment w:val="auto"/>
              <w:rPr>
                <w:rFonts w:asciiTheme="majorHAnsi" w:eastAsiaTheme="minorEastAsia" w:hAnsiTheme="majorHAnsi" w:cstheme="minorBidi"/>
                <w:color w:val="313B3F" w:themeColor="text1" w:themeShade="80"/>
                <w:kern w:val="24"/>
                <w:sz w:val="18"/>
                <w:szCs w:val="18"/>
              </w:rPr>
            </w:pPr>
            <w:r w:rsidRPr="00065E26">
              <w:rPr>
                <w:rFonts w:asciiTheme="majorHAnsi" w:eastAsiaTheme="minorEastAsia" w:hAnsiTheme="majorHAnsi" w:cstheme="minorBidi"/>
                <w:color w:val="313B3F" w:themeColor="text1" w:themeShade="80"/>
                <w:kern w:val="24"/>
                <w:sz w:val="18"/>
                <w:szCs w:val="18"/>
              </w:rPr>
              <w:t>167</w:t>
            </w:r>
          </w:p>
        </w:tc>
        <w:tc>
          <w:tcPr>
            <w:tcW w:w="1463" w:type="dxa"/>
            <w:shd w:val="clear" w:color="auto" w:fill="auto"/>
            <w:tcMar>
              <w:top w:w="0" w:type="dxa"/>
              <w:left w:w="0" w:type="dxa"/>
              <w:bottom w:w="0" w:type="dxa"/>
              <w:right w:w="432" w:type="dxa"/>
            </w:tcMar>
            <w:vAlign w:val="center"/>
          </w:tcPr>
          <w:p w:rsidR="00AD2725" w:rsidRPr="00065E26" w:rsidRDefault="00065E26" w:rsidP="00065E26">
            <w:pPr>
              <w:keepNext/>
              <w:keepLines/>
              <w:adjustRightInd/>
              <w:spacing w:before="40" w:after="40" w:line="260" w:lineRule="exact"/>
              <w:jc w:val="right"/>
              <w:textAlignment w:val="auto"/>
              <w:rPr>
                <w:rFonts w:asciiTheme="majorHAnsi" w:eastAsiaTheme="minorEastAsia" w:hAnsiTheme="majorHAnsi" w:cstheme="minorBidi"/>
                <w:color w:val="313B3F" w:themeColor="text1" w:themeShade="80"/>
                <w:kern w:val="24"/>
                <w:sz w:val="18"/>
                <w:szCs w:val="18"/>
              </w:rPr>
            </w:pPr>
            <w:r w:rsidRPr="00065E26">
              <w:rPr>
                <w:rFonts w:asciiTheme="majorHAnsi" w:eastAsiaTheme="minorEastAsia" w:hAnsiTheme="majorHAnsi" w:cstheme="minorBidi"/>
                <w:color w:val="313B3F" w:themeColor="text1" w:themeShade="80"/>
                <w:kern w:val="24"/>
                <w:sz w:val="18"/>
                <w:szCs w:val="18"/>
              </w:rPr>
              <w:t>6</w:t>
            </w:r>
          </w:p>
        </w:tc>
        <w:tc>
          <w:tcPr>
            <w:tcW w:w="1462" w:type="dxa"/>
            <w:shd w:val="clear" w:color="auto" w:fill="auto"/>
            <w:tcMar>
              <w:top w:w="0" w:type="dxa"/>
              <w:left w:w="0" w:type="dxa"/>
              <w:bottom w:w="0" w:type="dxa"/>
              <w:right w:w="432" w:type="dxa"/>
            </w:tcMar>
            <w:vAlign w:val="center"/>
          </w:tcPr>
          <w:p w:rsidR="00AD2725" w:rsidRPr="00065E26" w:rsidRDefault="00065E26" w:rsidP="00065E26">
            <w:pPr>
              <w:keepNext/>
              <w:keepLines/>
              <w:adjustRightInd/>
              <w:spacing w:before="40" w:after="40" w:line="260" w:lineRule="exact"/>
              <w:jc w:val="right"/>
              <w:textAlignment w:val="auto"/>
              <w:rPr>
                <w:rFonts w:asciiTheme="majorHAnsi" w:eastAsiaTheme="minorEastAsia" w:hAnsiTheme="majorHAnsi" w:cstheme="minorBidi"/>
                <w:color w:val="313B3F" w:themeColor="text1" w:themeShade="80"/>
                <w:kern w:val="24"/>
                <w:sz w:val="18"/>
                <w:szCs w:val="18"/>
              </w:rPr>
            </w:pPr>
            <w:r w:rsidRPr="00065E26">
              <w:rPr>
                <w:rFonts w:asciiTheme="majorHAnsi" w:eastAsiaTheme="minorEastAsia" w:hAnsiTheme="majorHAnsi" w:cstheme="minorBidi"/>
                <w:color w:val="313B3F" w:themeColor="text1" w:themeShade="80"/>
                <w:kern w:val="24"/>
                <w:sz w:val="18"/>
                <w:szCs w:val="18"/>
              </w:rPr>
              <w:t>344</w:t>
            </w:r>
          </w:p>
        </w:tc>
        <w:tc>
          <w:tcPr>
            <w:tcW w:w="1463" w:type="dxa"/>
            <w:shd w:val="clear" w:color="auto" w:fill="auto"/>
            <w:tcMar>
              <w:top w:w="0" w:type="dxa"/>
              <w:left w:w="0" w:type="dxa"/>
              <w:bottom w:w="0" w:type="dxa"/>
              <w:right w:w="432" w:type="dxa"/>
            </w:tcMar>
            <w:vAlign w:val="center"/>
          </w:tcPr>
          <w:p w:rsidR="00AD2725" w:rsidRPr="00065E26" w:rsidRDefault="00065E26" w:rsidP="00065E26">
            <w:pPr>
              <w:keepNext/>
              <w:keepLines/>
              <w:adjustRightInd/>
              <w:spacing w:before="40" w:after="40" w:line="260" w:lineRule="exact"/>
              <w:jc w:val="right"/>
              <w:textAlignment w:val="auto"/>
              <w:rPr>
                <w:rFonts w:asciiTheme="majorHAnsi" w:eastAsiaTheme="minorEastAsia" w:hAnsiTheme="majorHAnsi" w:cstheme="minorBidi"/>
                <w:color w:val="313B3F" w:themeColor="text1" w:themeShade="80"/>
                <w:kern w:val="24"/>
                <w:sz w:val="18"/>
                <w:szCs w:val="18"/>
              </w:rPr>
            </w:pPr>
            <w:r w:rsidRPr="00065E26">
              <w:rPr>
                <w:rFonts w:asciiTheme="majorHAnsi" w:eastAsiaTheme="minorEastAsia" w:hAnsiTheme="majorHAnsi" w:cstheme="minorBidi"/>
                <w:color w:val="313B3F" w:themeColor="text1" w:themeShade="80"/>
                <w:kern w:val="24"/>
                <w:sz w:val="18"/>
                <w:szCs w:val="18"/>
              </w:rPr>
              <w:t>548</w:t>
            </w:r>
          </w:p>
        </w:tc>
      </w:tr>
    </w:tbl>
    <w:p w:rsidR="00E4119E" w:rsidRPr="00065E26" w:rsidRDefault="00E4119E" w:rsidP="004931FC">
      <w:pPr>
        <w:pStyle w:val="ListParagraph"/>
        <w:numPr>
          <w:ilvl w:val="0"/>
          <w:numId w:val="78"/>
        </w:numPr>
        <w:spacing w:before="120" w:after="240" w:line="240" w:lineRule="auto"/>
        <w:ind w:hanging="270"/>
        <w:rPr>
          <w:rFonts w:asciiTheme="majorHAnsi" w:hAnsiTheme="majorHAnsi"/>
          <w:sz w:val="16"/>
          <w:szCs w:val="16"/>
        </w:rPr>
      </w:pPr>
      <w:r>
        <w:rPr>
          <w:rFonts w:asciiTheme="majorHAnsi" w:hAnsiTheme="majorHAnsi"/>
          <w:sz w:val="16"/>
          <w:szCs w:val="16"/>
        </w:rPr>
        <w:t>C</w:t>
      </w:r>
      <w:r w:rsidRPr="00065E26">
        <w:rPr>
          <w:rFonts w:asciiTheme="majorHAnsi" w:hAnsiTheme="majorHAnsi"/>
          <w:sz w:val="16"/>
          <w:szCs w:val="16"/>
        </w:rPr>
        <w:t>ongest</w:t>
      </w:r>
      <w:r>
        <w:rPr>
          <w:rFonts w:asciiTheme="majorHAnsi" w:hAnsiTheme="majorHAnsi"/>
          <w:sz w:val="16"/>
          <w:szCs w:val="16"/>
        </w:rPr>
        <w:t>i</w:t>
      </w:r>
      <w:r w:rsidRPr="00065E26">
        <w:rPr>
          <w:rFonts w:asciiTheme="majorHAnsi" w:hAnsiTheme="majorHAnsi"/>
          <w:sz w:val="16"/>
          <w:szCs w:val="16"/>
        </w:rPr>
        <w:t>on is equal to constrained value of sy</w:t>
      </w:r>
      <w:r>
        <w:rPr>
          <w:rFonts w:asciiTheme="majorHAnsi" w:hAnsiTheme="majorHAnsi"/>
          <w:sz w:val="16"/>
          <w:szCs w:val="16"/>
        </w:rPr>
        <w:t>s</w:t>
      </w:r>
      <w:r w:rsidRPr="00065E26">
        <w:rPr>
          <w:rFonts w:asciiTheme="majorHAnsi" w:hAnsiTheme="majorHAnsi"/>
          <w:sz w:val="16"/>
          <w:szCs w:val="16"/>
        </w:rPr>
        <w:t>temwide production costs minus the unconstrained value.</w:t>
      </w:r>
    </w:p>
    <w:p w:rsidR="00EF409C" w:rsidRPr="004F298C" w:rsidRDefault="00E4119E" w:rsidP="00E43F4B">
      <w:pPr>
        <w:pStyle w:val="Caption"/>
        <w:jc w:val="center"/>
        <w:rPr>
          <w:rFonts w:asciiTheme="minorHAnsi" w:hAnsiTheme="minorHAnsi"/>
        </w:rPr>
      </w:pPr>
      <w:bookmarkStart w:id="281" w:name="_Ref517274318"/>
      <w:bookmarkStart w:id="282" w:name="_Toc520721038"/>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3</w:t>
      </w:r>
      <w:r w:rsidR="00EA3757">
        <w:rPr>
          <w:noProof/>
        </w:rPr>
        <w:fldChar w:fldCharType="end"/>
      </w:r>
      <w:bookmarkEnd w:id="281"/>
      <w:r>
        <w:br/>
      </w:r>
      <w:r w:rsidRPr="004F298C">
        <w:rPr>
          <w:rFonts w:asciiTheme="minorHAnsi" w:hAnsiTheme="minorHAnsi"/>
        </w:rPr>
        <w:t xml:space="preserve">Production Costs Compared with the Renew Plus Scenario, 2030 ($ </w:t>
      </w:r>
      <w:r w:rsidR="00225B89">
        <w:rPr>
          <w:rFonts w:asciiTheme="minorHAnsi" w:hAnsiTheme="minorHAnsi"/>
        </w:rPr>
        <w:t>M</w:t>
      </w:r>
      <w:r w:rsidRPr="004F298C">
        <w:rPr>
          <w:rFonts w:asciiTheme="minorHAnsi" w:hAnsiTheme="minorHAnsi"/>
        </w:rPr>
        <w:t>illions)</w:t>
      </w:r>
      <w:bookmarkEnd w:id="282"/>
    </w:p>
    <w:tbl>
      <w:tblPr>
        <w:tblW w:w="7287" w:type="dxa"/>
        <w:jc w:val="center"/>
        <w:tblBorders>
          <w:top w:val="single" w:sz="2" w:space="0" w:color="0D1011"/>
          <w:left w:val="single" w:sz="2" w:space="0" w:color="0D1011"/>
          <w:bottom w:val="single" w:sz="2" w:space="0" w:color="0D1011"/>
          <w:right w:val="single" w:sz="2" w:space="0" w:color="0D1011"/>
          <w:insideH w:val="single" w:sz="2" w:space="0" w:color="0D1011"/>
          <w:insideV w:val="single" w:sz="2" w:space="0" w:color="0D1011"/>
        </w:tblBorders>
        <w:tblCellMar>
          <w:left w:w="0" w:type="dxa"/>
          <w:right w:w="0" w:type="dxa"/>
        </w:tblCellMar>
        <w:tblLook w:val="04A0" w:firstRow="1" w:lastRow="0" w:firstColumn="1" w:lastColumn="0" w:noHBand="0" w:noVBand="1"/>
      </w:tblPr>
      <w:tblGrid>
        <w:gridCol w:w="1585"/>
        <w:gridCol w:w="1425"/>
        <w:gridCol w:w="1426"/>
        <w:gridCol w:w="1425"/>
        <w:gridCol w:w="1426"/>
      </w:tblGrid>
      <w:tr w:rsidR="00E4119E" w:rsidRPr="00E4119E" w:rsidTr="00CA7592">
        <w:trPr>
          <w:trHeight w:val="772"/>
          <w:jc w:val="center"/>
        </w:trPr>
        <w:tc>
          <w:tcPr>
            <w:tcW w:w="1585" w:type="dxa"/>
            <w:shd w:val="clear" w:color="auto" w:fill="1795D2"/>
            <w:tcMar>
              <w:top w:w="15" w:type="dxa"/>
              <w:left w:w="108" w:type="dxa"/>
              <w:bottom w:w="0" w:type="dxa"/>
              <w:right w:w="108" w:type="dxa"/>
            </w:tcMar>
            <w:vAlign w:val="center"/>
            <w:hideMark/>
          </w:tcPr>
          <w:p w:rsidR="00E4119E" w:rsidRPr="001E7B3F" w:rsidRDefault="00E4119E" w:rsidP="00E43F4B">
            <w:pPr>
              <w:keepNext/>
              <w:keepLines/>
              <w:adjustRightInd/>
              <w:spacing w:before="40" w:after="40" w:line="260" w:lineRule="exact"/>
              <w:jc w:val="center"/>
              <w:textAlignment w:val="auto"/>
              <w:rPr>
                <w:rFonts w:asciiTheme="majorHAnsi" w:hAnsiTheme="majorHAnsi" w:cs="Arial"/>
                <w:sz w:val="18"/>
                <w:szCs w:val="18"/>
              </w:rPr>
            </w:pPr>
            <w:r w:rsidRPr="001E7B3F">
              <w:rPr>
                <w:rFonts w:asciiTheme="majorHAnsi" w:hAnsiTheme="majorHAnsi" w:cs="Arial"/>
                <w:b/>
                <w:bCs/>
                <w:color w:val="FFFFFF" w:themeColor="light1"/>
                <w:kern w:val="24"/>
                <w:sz w:val="18"/>
                <w:szCs w:val="18"/>
              </w:rPr>
              <w:t>Transmission</w:t>
            </w:r>
          </w:p>
        </w:tc>
        <w:tc>
          <w:tcPr>
            <w:tcW w:w="1425" w:type="dxa"/>
            <w:shd w:val="clear" w:color="auto" w:fill="1795D2"/>
            <w:tcMar>
              <w:top w:w="15" w:type="dxa"/>
              <w:left w:w="108" w:type="dxa"/>
              <w:bottom w:w="0" w:type="dxa"/>
              <w:right w:w="108" w:type="dxa"/>
            </w:tcMar>
            <w:vAlign w:val="center"/>
            <w:hideMark/>
          </w:tcPr>
          <w:p w:rsidR="00E4119E" w:rsidRPr="001E7B3F" w:rsidRDefault="00E4119E" w:rsidP="00E43F4B">
            <w:pPr>
              <w:keepNext/>
              <w:keepLines/>
              <w:adjustRightInd/>
              <w:spacing w:before="40" w:after="40" w:line="260" w:lineRule="exact"/>
              <w:jc w:val="center"/>
              <w:textAlignment w:val="auto"/>
              <w:rPr>
                <w:rFonts w:asciiTheme="majorHAnsi" w:hAnsiTheme="majorHAnsi" w:cs="Arial"/>
                <w:sz w:val="18"/>
                <w:szCs w:val="18"/>
              </w:rPr>
            </w:pPr>
            <w:r w:rsidRPr="001E7B3F">
              <w:rPr>
                <w:rFonts w:asciiTheme="majorHAnsi" w:hAnsiTheme="majorHAnsi" w:cs="Arial"/>
                <w:b/>
                <w:bCs/>
                <w:color w:val="FFFFFF" w:themeColor="light1"/>
                <w:kern w:val="24"/>
                <w:sz w:val="18"/>
                <w:szCs w:val="18"/>
              </w:rPr>
              <w:t>Renew Plus</w:t>
            </w:r>
          </w:p>
        </w:tc>
        <w:tc>
          <w:tcPr>
            <w:tcW w:w="1426" w:type="dxa"/>
            <w:shd w:val="clear" w:color="auto" w:fill="1795D2"/>
            <w:tcMar>
              <w:top w:w="12" w:type="dxa"/>
              <w:left w:w="12" w:type="dxa"/>
              <w:bottom w:w="0" w:type="dxa"/>
              <w:right w:w="12" w:type="dxa"/>
            </w:tcMar>
            <w:vAlign w:val="center"/>
            <w:hideMark/>
          </w:tcPr>
          <w:p w:rsidR="00E4119E" w:rsidRPr="001E7B3F" w:rsidRDefault="00E4119E" w:rsidP="00E43F4B">
            <w:pPr>
              <w:keepNext/>
              <w:keepLines/>
              <w:adjustRightInd/>
              <w:spacing w:before="40" w:after="40" w:line="260" w:lineRule="exact"/>
              <w:jc w:val="center"/>
              <w:textAlignment w:val="auto"/>
              <w:rPr>
                <w:rFonts w:asciiTheme="majorHAnsi" w:hAnsiTheme="majorHAnsi" w:cs="Arial"/>
                <w:sz w:val="18"/>
                <w:szCs w:val="18"/>
              </w:rPr>
            </w:pPr>
            <w:r w:rsidRPr="001E7B3F">
              <w:rPr>
                <w:rFonts w:asciiTheme="majorHAnsi" w:eastAsiaTheme="minorEastAsia" w:hAnsiTheme="majorHAnsi" w:cstheme="minorBidi"/>
                <w:b/>
                <w:bCs/>
                <w:color w:val="FFFFFF" w:themeColor="light1"/>
                <w:kern w:val="24"/>
                <w:sz w:val="18"/>
                <w:szCs w:val="18"/>
              </w:rPr>
              <w:t>EE</w:t>
            </w:r>
            <w:r>
              <w:rPr>
                <w:rFonts w:asciiTheme="majorHAnsi" w:eastAsiaTheme="minorEastAsia" w:hAnsiTheme="majorHAnsi" w:cstheme="minorBidi"/>
                <w:b/>
                <w:bCs/>
                <w:color w:val="FFFFFF" w:themeColor="light1"/>
                <w:kern w:val="24"/>
                <w:sz w:val="18"/>
                <w:szCs w:val="18"/>
              </w:rPr>
              <w:t xml:space="preserve"> </w:t>
            </w:r>
            <w:r w:rsidRPr="001E7B3F">
              <w:rPr>
                <w:rFonts w:asciiTheme="majorHAnsi" w:eastAsiaTheme="minorEastAsia" w:hAnsiTheme="majorHAnsi" w:cstheme="minorBidi"/>
                <w:b/>
                <w:bCs/>
                <w:color w:val="FFFFFF" w:themeColor="light1"/>
                <w:kern w:val="24"/>
                <w:sz w:val="18"/>
                <w:szCs w:val="18"/>
              </w:rPr>
              <w:t>+</w:t>
            </w:r>
            <w:r>
              <w:rPr>
                <w:rFonts w:asciiTheme="majorHAnsi" w:eastAsiaTheme="minorEastAsia" w:hAnsiTheme="majorHAnsi" w:cstheme="minorBidi"/>
                <w:b/>
                <w:bCs/>
                <w:color w:val="FFFFFF" w:themeColor="light1"/>
                <w:kern w:val="24"/>
                <w:sz w:val="18"/>
                <w:szCs w:val="18"/>
              </w:rPr>
              <w:t xml:space="preserve"> </w:t>
            </w:r>
            <w:r w:rsidRPr="001E7B3F">
              <w:rPr>
                <w:rFonts w:asciiTheme="majorHAnsi" w:eastAsiaTheme="minorEastAsia" w:hAnsiTheme="majorHAnsi" w:cstheme="minorBidi"/>
                <w:b/>
                <w:bCs/>
                <w:color w:val="FFFFFF" w:themeColor="light1"/>
                <w:kern w:val="24"/>
                <w:sz w:val="18"/>
                <w:szCs w:val="18"/>
              </w:rPr>
              <w:t>Offshore</w:t>
            </w:r>
          </w:p>
        </w:tc>
        <w:tc>
          <w:tcPr>
            <w:tcW w:w="1425" w:type="dxa"/>
            <w:shd w:val="clear" w:color="auto" w:fill="1795D2"/>
            <w:tcMar>
              <w:top w:w="12" w:type="dxa"/>
              <w:left w:w="12" w:type="dxa"/>
              <w:bottom w:w="0" w:type="dxa"/>
              <w:right w:w="12" w:type="dxa"/>
            </w:tcMar>
            <w:vAlign w:val="center"/>
            <w:hideMark/>
          </w:tcPr>
          <w:p w:rsidR="00E4119E" w:rsidRPr="001E7B3F" w:rsidRDefault="00E4119E" w:rsidP="00E43F4B">
            <w:pPr>
              <w:keepNext/>
              <w:keepLines/>
              <w:adjustRightInd/>
              <w:spacing w:after="0" w:line="240" w:lineRule="auto"/>
              <w:jc w:val="center"/>
              <w:textAlignment w:val="auto"/>
              <w:rPr>
                <w:rFonts w:asciiTheme="majorHAnsi" w:hAnsiTheme="majorHAnsi" w:cs="Arial"/>
                <w:sz w:val="18"/>
                <w:szCs w:val="18"/>
              </w:rPr>
            </w:pPr>
            <w:r w:rsidRPr="001E7B3F">
              <w:rPr>
                <w:rFonts w:asciiTheme="majorHAnsi" w:hAnsiTheme="majorHAnsi" w:cs="Arial"/>
                <w:b/>
                <w:bCs/>
                <w:color w:val="FFFFFF" w:themeColor="background1"/>
                <w:kern w:val="24"/>
                <w:sz w:val="18"/>
                <w:szCs w:val="18"/>
              </w:rPr>
              <w:t>Onshore</w:t>
            </w:r>
            <w:r>
              <w:rPr>
                <w:rFonts w:asciiTheme="majorHAnsi" w:hAnsiTheme="majorHAnsi" w:cs="Arial"/>
                <w:b/>
                <w:bCs/>
                <w:color w:val="FFFFFF" w:themeColor="background1"/>
                <w:kern w:val="24"/>
                <w:sz w:val="18"/>
                <w:szCs w:val="18"/>
              </w:rPr>
              <w:br/>
            </w:r>
            <w:r w:rsidRPr="001E7B3F">
              <w:rPr>
                <w:rFonts w:asciiTheme="majorHAnsi" w:hAnsiTheme="majorHAnsi" w:cs="Arial"/>
                <w:b/>
                <w:bCs/>
                <w:color w:val="FFFFFF" w:themeColor="background1"/>
                <w:kern w:val="24"/>
                <w:sz w:val="18"/>
                <w:szCs w:val="18"/>
              </w:rPr>
              <w:t>Less EE/PV</w:t>
            </w:r>
          </w:p>
        </w:tc>
        <w:tc>
          <w:tcPr>
            <w:tcW w:w="1426" w:type="dxa"/>
            <w:shd w:val="clear" w:color="auto" w:fill="1795D2"/>
            <w:tcMar>
              <w:top w:w="12" w:type="dxa"/>
              <w:left w:w="12" w:type="dxa"/>
              <w:bottom w:w="0" w:type="dxa"/>
              <w:right w:w="12" w:type="dxa"/>
            </w:tcMar>
            <w:vAlign w:val="center"/>
            <w:hideMark/>
          </w:tcPr>
          <w:p w:rsidR="00E4119E" w:rsidRPr="001E7B3F" w:rsidRDefault="00AF6389" w:rsidP="00E43F4B">
            <w:pPr>
              <w:keepNext/>
              <w:keepLines/>
              <w:adjustRightInd/>
              <w:spacing w:after="0" w:line="240" w:lineRule="auto"/>
              <w:jc w:val="center"/>
              <w:textAlignment w:val="auto"/>
              <w:rPr>
                <w:rFonts w:asciiTheme="majorHAnsi" w:hAnsiTheme="majorHAnsi" w:cs="Arial"/>
                <w:sz w:val="18"/>
                <w:szCs w:val="18"/>
              </w:rPr>
            </w:pPr>
            <w:r>
              <w:rPr>
                <w:rFonts w:asciiTheme="majorHAnsi" w:hAnsiTheme="majorHAnsi" w:cs="Arial"/>
                <w:b/>
                <w:bCs/>
                <w:color w:val="FFFFFF" w:themeColor="background1"/>
                <w:kern w:val="24"/>
                <w:sz w:val="18"/>
                <w:szCs w:val="18"/>
              </w:rPr>
              <w:t>Wind Less Nuclear</w:t>
            </w:r>
          </w:p>
        </w:tc>
      </w:tr>
      <w:tr w:rsidR="00D77184" w:rsidRPr="00E4119E" w:rsidTr="00CA7592">
        <w:trPr>
          <w:trHeight w:val="349"/>
          <w:jc w:val="center"/>
        </w:trPr>
        <w:tc>
          <w:tcPr>
            <w:tcW w:w="1585" w:type="dxa"/>
            <w:shd w:val="clear" w:color="auto" w:fill="auto"/>
            <w:tcMar>
              <w:top w:w="15" w:type="dxa"/>
              <w:left w:w="108" w:type="dxa"/>
              <w:bottom w:w="0" w:type="dxa"/>
              <w:right w:w="108" w:type="dxa"/>
            </w:tcMar>
            <w:vAlign w:val="center"/>
            <w:hideMark/>
          </w:tcPr>
          <w:p w:rsidR="00E4119E" w:rsidRPr="00D77184" w:rsidRDefault="00E4119E" w:rsidP="00E4119E">
            <w:pPr>
              <w:keepNext/>
              <w:keepLines/>
              <w:adjustRightInd/>
              <w:spacing w:before="40" w:after="40" w:line="260" w:lineRule="exact"/>
              <w:textAlignment w:val="auto"/>
              <w:rPr>
                <w:rFonts w:asciiTheme="majorHAnsi" w:hAnsiTheme="majorHAnsi" w:cs="Arial"/>
                <w:color w:val="0D1011"/>
                <w:sz w:val="18"/>
                <w:szCs w:val="18"/>
              </w:rPr>
            </w:pPr>
            <w:r w:rsidRPr="00D77184">
              <w:rPr>
                <w:rFonts w:asciiTheme="majorHAnsi" w:hAnsiTheme="majorHAnsi" w:cs="Arial"/>
                <w:b/>
                <w:bCs/>
                <w:color w:val="0D1011"/>
                <w:kern w:val="24"/>
                <w:sz w:val="18"/>
                <w:szCs w:val="18"/>
              </w:rPr>
              <w:t>Unconstrained</w:t>
            </w:r>
          </w:p>
        </w:tc>
        <w:tc>
          <w:tcPr>
            <w:tcW w:w="1425" w:type="dxa"/>
            <w:shd w:val="clear" w:color="auto" w:fill="auto"/>
            <w:tcMar>
              <w:top w:w="12" w:type="dxa"/>
              <w:left w:w="12" w:type="dxa"/>
              <w:bottom w:w="0" w:type="dxa"/>
              <w:right w:w="12" w:type="dxa"/>
            </w:tcMar>
            <w:vAlign w:val="center"/>
          </w:tcPr>
          <w:p w:rsidR="00E4119E" w:rsidRPr="00D77184" w:rsidRDefault="00E4119E" w:rsidP="00E4119E">
            <w:pPr>
              <w:keepNext/>
              <w:keepLines/>
              <w:adjustRightInd/>
              <w:spacing w:after="0" w:line="240" w:lineRule="auto"/>
              <w:jc w:val="center"/>
              <w:textAlignment w:val="bottom"/>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w:t>
            </w:r>
          </w:p>
        </w:tc>
        <w:tc>
          <w:tcPr>
            <w:tcW w:w="1426" w:type="dxa"/>
            <w:shd w:val="clear" w:color="auto" w:fill="auto"/>
            <w:tcMar>
              <w:top w:w="12" w:type="dxa"/>
              <w:left w:w="12" w:type="dxa"/>
              <w:bottom w:w="0" w:type="dxa"/>
              <w:right w:w="12" w:type="dxa"/>
            </w:tcMar>
            <w:vAlign w:val="center"/>
          </w:tcPr>
          <w:p w:rsidR="00E4119E" w:rsidRPr="008D648D" w:rsidRDefault="008D648D" w:rsidP="008D648D">
            <w:pPr>
              <w:keepNext/>
              <w:keepLines/>
              <w:adjustRightInd/>
              <w:spacing w:after="0" w:line="240" w:lineRule="auto"/>
              <w:jc w:val="center"/>
              <w:textAlignment w:val="bottom"/>
              <w:rPr>
                <w:rFonts w:asciiTheme="majorHAnsi" w:hAnsiTheme="majorHAnsi" w:cs="Arial"/>
                <w:sz w:val="18"/>
                <w:szCs w:val="18"/>
              </w:rPr>
            </w:pPr>
            <w:r w:rsidRPr="008D648D">
              <w:rPr>
                <w:rFonts w:asciiTheme="majorHAnsi" w:eastAsiaTheme="minorEastAsia" w:hAnsiTheme="majorHAnsi" w:cstheme="minorBidi"/>
                <w:kern w:val="24"/>
                <w:sz w:val="18"/>
                <w:szCs w:val="18"/>
              </w:rPr>
              <w:t>−</w:t>
            </w:r>
            <w:r w:rsidR="00E4119E" w:rsidRPr="008D648D">
              <w:rPr>
                <w:rFonts w:asciiTheme="majorHAnsi" w:eastAsiaTheme="minorEastAsia" w:hAnsiTheme="majorHAnsi" w:cstheme="minorBidi"/>
                <w:kern w:val="24"/>
                <w:sz w:val="18"/>
                <w:szCs w:val="18"/>
              </w:rPr>
              <w:t>191</w:t>
            </w:r>
          </w:p>
        </w:tc>
        <w:tc>
          <w:tcPr>
            <w:tcW w:w="1425" w:type="dxa"/>
            <w:shd w:val="clear" w:color="auto" w:fill="auto"/>
            <w:tcMar>
              <w:top w:w="12" w:type="dxa"/>
              <w:left w:w="12" w:type="dxa"/>
              <w:bottom w:w="0" w:type="dxa"/>
              <w:right w:w="12" w:type="dxa"/>
            </w:tcMar>
            <w:vAlign w:val="center"/>
          </w:tcPr>
          <w:p w:rsidR="00E4119E" w:rsidRPr="00D77184" w:rsidRDefault="00E4119E" w:rsidP="00E4119E">
            <w:pPr>
              <w:keepNext/>
              <w:keepLines/>
              <w:adjustRightInd/>
              <w:spacing w:after="0" w:line="240" w:lineRule="auto"/>
              <w:jc w:val="center"/>
              <w:textAlignment w:val="bottom"/>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791</w:t>
            </w:r>
          </w:p>
        </w:tc>
        <w:tc>
          <w:tcPr>
            <w:tcW w:w="1426" w:type="dxa"/>
            <w:shd w:val="clear" w:color="auto" w:fill="auto"/>
            <w:tcMar>
              <w:top w:w="12" w:type="dxa"/>
              <w:left w:w="12" w:type="dxa"/>
              <w:bottom w:w="0" w:type="dxa"/>
              <w:right w:w="12" w:type="dxa"/>
            </w:tcMar>
            <w:vAlign w:val="center"/>
          </w:tcPr>
          <w:p w:rsidR="00E4119E" w:rsidRPr="00D77184" w:rsidRDefault="00E4119E" w:rsidP="00E4119E">
            <w:pPr>
              <w:keepNext/>
              <w:keepLines/>
              <w:adjustRightInd/>
              <w:spacing w:after="0" w:line="240" w:lineRule="auto"/>
              <w:jc w:val="center"/>
              <w:textAlignment w:val="bottom"/>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15</w:t>
            </w:r>
          </w:p>
        </w:tc>
      </w:tr>
      <w:tr w:rsidR="00D77184" w:rsidRPr="00E4119E" w:rsidTr="00CA7592">
        <w:trPr>
          <w:trHeight w:val="430"/>
          <w:jc w:val="center"/>
        </w:trPr>
        <w:tc>
          <w:tcPr>
            <w:tcW w:w="1585" w:type="dxa"/>
            <w:shd w:val="clear" w:color="auto" w:fill="CCEAF9" w:themeFill="accent1" w:themeFillTint="33"/>
            <w:tcMar>
              <w:top w:w="15" w:type="dxa"/>
              <w:left w:w="108" w:type="dxa"/>
              <w:bottom w:w="0" w:type="dxa"/>
              <w:right w:w="108" w:type="dxa"/>
            </w:tcMar>
            <w:vAlign w:val="center"/>
            <w:hideMark/>
          </w:tcPr>
          <w:p w:rsidR="00E4119E" w:rsidRPr="00D77184" w:rsidRDefault="00E4119E" w:rsidP="00E4119E">
            <w:pPr>
              <w:keepNext/>
              <w:keepLines/>
              <w:adjustRightInd/>
              <w:spacing w:before="40" w:after="40" w:line="260" w:lineRule="exact"/>
              <w:textAlignment w:val="auto"/>
              <w:rPr>
                <w:rFonts w:asciiTheme="majorHAnsi" w:hAnsiTheme="majorHAnsi" w:cs="Arial"/>
                <w:color w:val="0D1011"/>
                <w:sz w:val="18"/>
                <w:szCs w:val="18"/>
              </w:rPr>
            </w:pPr>
            <w:r w:rsidRPr="00D77184">
              <w:rPr>
                <w:rFonts w:asciiTheme="majorHAnsi" w:hAnsiTheme="majorHAnsi" w:cs="Arial"/>
                <w:b/>
                <w:bCs/>
                <w:color w:val="0D1011"/>
                <w:kern w:val="24"/>
                <w:sz w:val="18"/>
                <w:szCs w:val="18"/>
              </w:rPr>
              <w:t>Constrained</w:t>
            </w:r>
          </w:p>
        </w:tc>
        <w:tc>
          <w:tcPr>
            <w:tcW w:w="1425" w:type="dxa"/>
            <w:shd w:val="clear" w:color="auto" w:fill="CCEAF9" w:themeFill="accent1" w:themeFillTint="33"/>
            <w:tcMar>
              <w:top w:w="12" w:type="dxa"/>
              <w:left w:w="12" w:type="dxa"/>
              <w:bottom w:w="0" w:type="dxa"/>
              <w:right w:w="12" w:type="dxa"/>
            </w:tcMar>
            <w:vAlign w:val="center"/>
          </w:tcPr>
          <w:p w:rsidR="00E4119E" w:rsidRPr="00D77184" w:rsidRDefault="00E4119E" w:rsidP="00E4119E">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w:t>
            </w:r>
          </w:p>
        </w:tc>
        <w:tc>
          <w:tcPr>
            <w:tcW w:w="1426" w:type="dxa"/>
            <w:shd w:val="clear" w:color="auto" w:fill="CCEAF9" w:themeFill="accent1" w:themeFillTint="33"/>
            <w:tcMar>
              <w:top w:w="12" w:type="dxa"/>
              <w:left w:w="12" w:type="dxa"/>
              <w:bottom w:w="0" w:type="dxa"/>
              <w:right w:w="12" w:type="dxa"/>
            </w:tcMar>
            <w:vAlign w:val="center"/>
          </w:tcPr>
          <w:p w:rsidR="00E4119E" w:rsidRPr="008D648D" w:rsidRDefault="008D648D" w:rsidP="008D648D">
            <w:pPr>
              <w:keepNext/>
              <w:keepLines/>
              <w:adjustRightInd/>
              <w:spacing w:before="40" w:after="40" w:line="260" w:lineRule="exact"/>
              <w:jc w:val="center"/>
              <w:textAlignment w:val="auto"/>
              <w:rPr>
                <w:rFonts w:asciiTheme="majorHAnsi" w:hAnsiTheme="majorHAnsi" w:cs="Arial"/>
                <w:sz w:val="18"/>
                <w:szCs w:val="18"/>
              </w:rPr>
            </w:pPr>
            <w:r w:rsidRPr="008D648D">
              <w:rPr>
                <w:rFonts w:asciiTheme="majorHAnsi" w:eastAsiaTheme="minorEastAsia" w:hAnsiTheme="majorHAnsi" w:cstheme="minorBidi"/>
                <w:kern w:val="24"/>
                <w:sz w:val="18"/>
                <w:szCs w:val="18"/>
              </w:rPr>
              <w:t>−</w:t>
            </w:r>
            <w:r w:rsidR="00E4119E" w:rsidRPr="008D648D">
              <w:rPr>
                <w:rFonts w:asciiTheme="majorHAnsi" w:eastAsiaTheme="minorEastAsia" w:hAnsiTheme="majorHAnsi" w:cstheme="minorBidi"/>
                <w:kern w:val="24"/>
                <w:sz w:val="18"/>
                <w:szCs w:val="18"/>
              </w:rPr>
              <w:t>352</w:t>
            </w:r>
          </w:p>
        </w:tc>
        <w:tc>
          <w:tcPr>
            <w:tcW w:w="1425" w:type="dxa"/>
            <w:shd w:val="clear" w:color="auto" w:fill="CCEAF9" w:themeFill="accent1" w:themeFillTint="33"/>
            <w:tcMar>
              <w:top w:w="12" w:type="dxa"/>
              <w:left w:w="12" w:type="dxa"/>
              <w:bottom w:w="0" w:type="dxa"/>
              <w:right w:w="12" w:type="dxa"/>
            </w:tcMar>
            <w:vAlign w:val="center"/>
          </w:tcPr>
          <w:p w:rsidR="00E4119E" w:rsidRPr="00D77184" w:rsidRDefault="00E4119E" w:rsidP="00E4119E">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968</w:t>
            </w:r>
          </w:p>
        </w:tc>
        <w:tc>
          <w:tcPr>
            <w:tcW w:w="1426" w:type="dxa"/>
            <w:shd w:val="clear" w:color="auto" w:fill="CCEAF9" w:themeFill="accent1" w:themeFillTint="33"/>
            <w:tcMar>
              <w:top w:w="12" w:type="dxa"/>
              <w:left w:w="12" w:type="dxa"/>
              <w:bottom w:w="0" w:type="dxa"/>
              <w:right w:w="12" w:type="dxa"/>
            </w:tcMar>
            <w:vAlign w:val="center"/>
          </w:tcPr>
          <w:p w:rsidR="00E4119E" w:rsidRPr="00D77184" w:rsidRDefault="00E4119E" w:rsidP="00E4119E">
            <w:pPr>
              <w:keepNext/>
              <w:keepLines/>
              <w:adjustRightInd/>
              <w:spacing w:before="40" w:after="40" w:line="260" w:lineRule="exact"/>
              <w:jc w:val="center"/>
              <w:textAlignment w:val="auto"/>
              <w:rPr>
                <w:rFonts w:asciiTheme="majorHAnsi" w:hAnsiTheme="majorHAnsi" w:cs="Arial"/>
                <w:sz w:val="18"/>
                <w:szCs w:val="18"/>
              </w:rPr>
            </w:pPr>
            <w:r w:rsidRPr="004F298C">
              <w:rPr>
                <w:rFonts w:asciiTheme="majorHAnsi" w:eastAsiaTheme="minorEastAsia" w:hAnsiTheme="majorHAnsi" w:cstheme="minorBidi"/>
                <w:color w:val="313B3F" w:themeColor="text1" w:themeShade="80"/>
                <w:kern w:val="24"/>
                <w:sz w:val="18"/>
                <w:szCs w:val="18"/>
              </w:rPr>
              <w:t>396</w:t>
            </w:r>
          </w:p>
        </w:tc>
      </w:tr>
    </w:tbl>
    <w:p w:rsidR="00D77184" w:rsidRPr="00D77184" w:rsidRDefault="00D77184" w:rsidP="00B5084E">
      <w:pPr>
        <w:pStyle w:val="ListParagraph"/>
        <w:numPr>
          <w:ilvl w:val="0"/>
          <w:numId w:val="79"/>
        </w:numPr>
        <w:spacing w:before="120" w:after="240" w:line="240" w:lineRule="auto"/>
        <w:ind w:left="1350" w:hanging="270"/>
        <w:rPr>
          <w:b/>
        </w:rPr>
      </w:pPr>
      <w:r w:rsidRPr="004F298C">
        <w:rPr>
          <w:rFonts w:asciiTheme="majorHAnsi" w:hAnsiTheme="majorHAnsi"/>
          <w:sz w:val="16"/>
          <w:szCs w:val="16"/>
        </w:rPr>
        <w:t>Congestion is equal to constrained value of systemwide production costs minus the unconstrained value.</w:t>
      </w:r>
    </w:p>
    <w:p w:rsidR="00F25969" w:rsidRDefault="001B6D26">
      <w:r>
        <w:t>Natural gas consumption</w:t>
      </w:r>
      <w:r w:rsidR="00C6038D">
        <w:t>,</w:t>
      </w:r>
      <w:r>
        <w:t xml:space="preserve"> and to a lesser extent other fossil fuels</w:t>
      </w:r>
      <w:r w:rsidR="00C6038D">
        <w:t>,</w:t>
      </w:r>
      <w:r>
        <w:t xml:space="preserve"> drive production costs</w:t>
      </w:r>
      <w:r w:rsidR="00860D3B">
        <w:t xml:space="preserve">. </w:t>
      </w:r>
      <w:r w:rsidR="00C6038D">
        <w:t xml:space="preserve">The </w:t>
      </w:r>
      <w:r>
        <w:t>EE + Offshore</w:t>
      </w:r>
      <w:r w:rsidR="00C6038D">
        <w:t xml:space="preserve"> scenario</w:t>
      </w:r>
      <w:r>
        <w:t xml:space="preserve"> ha</w:t>
      </w:r>
      <w:r w:rsidR="00C6038D">
        <w:t>d</w:t>
      </w:r>
      <w:r>
        <w:t xml:space="preserve"> the lowest systemwide production costs</w:t>
      </w:r>
      <w:r w:rsidR="00C6038D">
        <w:t>,</w:t>
      </w:r>
      <w:r>
        <w:t xml:space="preserve"> while </w:t>
      </w:r>
      <w:r w:rsidR="00C6038D">
        <w:t xml:space="preserve">the </w:t>
      </w:r>
      <w:r>
        <w:t xml:space="preserve">Onshore Less EE/PV </w:t>
      </w:r>
      <w:r w:rsidR="00C6038D">
        <w:t xml:space="preserve">scenario </w:t>
      </w:r>
      <w:r>
        <w:t>ha</w:t>
      </w:r>
      <w:r w:rsidR="00C6038D">
        <w:t>d</w:t>
      </w:r>
      <w:r>
        <w:t xml:space="preserve"> the highest</w:t>
      </w:r>
      <w:r w:rsidR="00860D3B">
        <w:t xml:space="preserve">. </w:t>
      </w:r>
      <w:r>
        <w:t>The general simulation res</w:t>
      </w:r>
      <w:r w:rsidR="008C1AAB">
        <w:t>ults quantify reduced systemwide production costs for i</w:t>
      </w:r>
      <w:r>
        <w:t>ncreased amounts of wind, PV, EE</w:t>
      </w:r>
      <w:r w:rsidR="002508AE">
        <w:t>, and imports.</w:t>
      </w:r>
    </w:p>
    <w:p w:rsidR="00EF409C" w:rsidRPr="00EF409C" w:rsidRDefault="00F25969" w:rsidP="00E660C2">
      <w:pPr>
        <w:rPr>
          <w:rFonts w:ascii="Times New Roman" w:hAnsi="Times New Roman"/>
          <w:sz w:val="24"/>
          <w:szCs w:val="24"/>
        </w:rPr>
      </w:pPr>
      <w:r>
        <w:t>A comparison of the unconstrained and the constrained cases shows the benefits of r</w:t>
      </w:r>
      <w:r w:rsidR="001B6D26">
        <w:t>etaining existing</w:t>
      </w:r>
      <w:r w:rsidR="008C1AAB">
        <w:t xml:space="preserve"> nuclear </w:t>
      </w:r>
      <w:r w:rsidR="001B6D26">
        <w:t>resources and locating new resources with relatively low production costs</w:t>
      </w:r>
      <w:r w:rsidR="004865CA">
        <w:t>,</w:t>
      </w:r>
      <w:r w:rsidR="004865CA" w:rsidRPr="004865CA">
        <w:t xml:space="preserve"> </w:t>
      </w:r>
      <w:r w:rsidR="004865CA">
        <w:t>including offshore wind, EE, PV, and new ties,</w:t>
      </w:r>
      <w:r w:rsidR="001B6D26">
        <w:t xml:space="preserve"> near load centers in southern New England</w:t>
      </w:r>
      <w:r w:rsidR="00860D3B">
        <w:t xml:space="preserve">. </w:t>
      </w:r>
      <w:r w:rsidR="008C1AAB" w:rsidRPr="008C1AAB">
        <w:t>The EE + Offshore scenario has the smallest difference of systemwide production costs between the constrained and the unconstrained cases</w:t>
      </w:r>
      <w:r w:rsidR="008C34EF">
        <w:t xml:space="preserve">, which is equivalent to the </w:t>
      </w:r>
      <w:r w:rsidR="008C34EF" w:rsidRPr="004F298C">
        <w:t>systemwide amount of congestion</w:t>
      </w:r>
      <w:r w:rsidR="002508AE" w:rsidRPr="004F298C">
        <w:t xml:space="preserve">. </w:t>
      </w:r>
      <w:r w:rsidR="00C75FC8" w:rsidRPr="004F298C">
        <w:t>The</w:t>
      </w:r>
      <w:r w:rsidR="006B452A" w:rsidRPr="004F298C">
        <w:t xml:space="preserve"> </w:t>
      </w:r>
      <w:r w:rsidR="00EB3C23" w:rsidRPr="004F298C">
        <w:t xml:space="preserve">results for the </w:t>
      </w:r>
      <w:r w:rsidR="00C75FC8" w:rsidRPr="004F298C">
        <w:t>EE + Offshore scenario</w:t>
      </w:r>
      <w:r w:rsidR="002508AE" w:rsidRPr="004F298C">
        <w:t xml:space="preserve"> illustrate</w:t>
      </w:r>
      <w:r w:rsidR="001B6D26" w:rsidRPr="004F298C">
        <w:t xml:space="preserve"> </w:t>
      </w:r>
      <w:r w:rsidR="00EB3C23" w:rsidRPr="004F298C">
        <w:t xml:space="preserve">the effects of </w:t>
      </w:r>
      <w:r w:rsidR="001B6D26" w:rsidRPr="004F298C">
        <w:t>reduce</w:t>
      </w:r>
      <w:r w:rsidR="002508AE" w:rsidRPr="004F298C">
        <w:t>d</w:t>
      </w:r>
      <w:r w:rsidR="001B6D26">
        <w:t xml:space="preserve"> systemwide congestion and </w:t>
      </w:r>
      <w:r w:rsidR="002508AE">
        <w:t>less</w:t>
      </w:r>
      <w:r w:rsidR="001B6D26">
        <w:t xml:space="preserve"> </w:t>
      </w:r>
      <w:r w:rsidR="00EB3C23">
        <w:t xml:space="preserve">of a </w:t>
      </w:r>
      <w:r w:rsidR="001B6D26">
        <w:t xml:space="preserve">need for transmission expansion compared with scenarios that add remote resources without transmission improvements, such as the </w:t>
      </w:r>
      <w:r w:rsidR="00AF08C7">
        <w:t xml:space="preserve">large-scale </w:t>
      </w:r>
      <w:r w:rsidR="001B6D26">
        <w:t>development of renewable resources</w:t>
      </w:r>
      <w:r w:rsidR="002508AE">
        <w:t xml:space="preserve"> in </w:t>
      </w:r>
      <w:r w:rsidR="001B6D26">
        <w:t>northern New England</w:t>
      </w:r>
      <w:r w:rsidR="00C75FC8">
        <w:t>.</w:t>
      </w:r>
      <w:r w:rsidR="008C1AAB">
        <w:t xml:space="preserve"> </w:t>
      </w:r>
      <w:r w:rsidR="00EB3C23">
        <w:t xml:space="preserve">The </w:t>
      </w:r>
      <w:r w:rsidR="00AF6389">
        <w:t>Wind Less Nuclear</w:t>
      </w:r>
      <w:r w:rsidR="00C75FC8" w:rsidRPr="00E660C2">
        <w:t xml:space="preserve"> </w:t>
      </w:r>
      <w:r w:rsidR="00EB3C23">
        <w:t xml:space="preserve">scenario </w:t>
      </w:r>
      <w:r w:rsidR="00C75FC8" w:rsidRPr="00E660C2">
        <w:t xml:space="preserve">shows the greatest difference in production costs between the constrained and the unconstrained cases as a result of </w:t>
      </w:r>
      <w:r w:rsidR="00AF08C7">
        <w:t xml:space="preserve">the </w:t>
      </w:r>
      <w:r w:rsidR="00C75FC8" w:rsidRPr="00E660C2">
        <w:t>largest addition of onshore wind generation.</w:t>
      </w:r>
      <w:r w:rsidR="00AF08C7">
        <w:t xml:space="preserve"> This comparison also illustrates the reductions</w:t>
      </w:r>
      <w:r w:rsidR="00563472">
        <w:t xml:space="preserve"> in production costs </w:t>
      </w:r>
      <w:r w:rsidR="00AF08C7">
        <w:t xml:space="preserve">that would be attributable to eliminating all transmission constraints. </w:t>
      </w:r>
    </w:p>
    <w:p w:rsidR="00635C26" w:rsidRDefault="00635C26" w:rsidP="00D27B9E">
      <w:pPr>
        <w:pStyle w:val="Heading3"/>
      </w:pPr>
      <w:bookmarkStart w:id="283" w:name="_Toc528571224"/>
      <w:r>
        <w:t>Annual Average LMPs by RSP Subareas</w:t>
      </w:r>
      <w:bookmarkEnd w:id="283"/>
      <w:r>
        <w:t xml:space="preserve"> </w:t>
      </w:r>
    </w:p>
    <w:p w:rsidR="00EB3C23" w:rsidRPr="007C662A" w:rsidRDefault="00EB3C23" w:rsidP="002E542B">
      <w:r w:rsidRPr="004F298C">
        <w:rPr>
          <w:rFonts w:asciiTheme="majorHAnsi" w:hAnsiTheme="majorHAnsi"/>
        </w:rPr>
        <w:fldChar w:fldCharType="begin"/>
      </w:r>
      <w:r w:rsidRPr="004F298C">
        <w:rPr>
          <w:rFonts w:asciiTheme="majorHAnsi" w:hAnsiTheme="majorHAnsi"/>
        </w:rPr>
        <w:instrText xml:space="preserve"> REF _Ref516911177 \h </w:instrText>
      </w:r>
      <w:r w:rsidR="007C662A" w:rsidRPr="004F298C">
        <w:rPr>
          <w:rFonts w:asciiTheme="majorHAnsi" w:hAnsiTheme="majorHAnsi"/>
        </w:rPr>
        <w:instrText xml:space="preserve"> \* MERGEFORMAT </w:instrText>
      </w:r>
      <w:r w:rsidRPr="004F298C">
        <w:rPr>
          <w:rFonts w:asciiTheme="majorHAnsi" w:hAnsiTheme="majorHAnsi"/>
        </w:rPr>
      </w:r>
      <w:r w:rsidRPr="004F298C">
        <w:rPr>
          <w:rFonts w:asciiTheme="majorHAnsi" w:hAnsiTheme="majorHAnsi"/>
        </w:rPr>
        <w:fldChar w:fldCharType="separate"/>
      </w:r>
      <w:r w:rsidR="00872A95" w:rsidRPr="00561FA2">
        <w:t xml:space="preserve">Figure </w:t>
      </w:r>
      <w:r w:rsidR="00872A95">
        <w:rPr>
          <w:noProof/>
        </w:rPr>
        <w:t>6</w:t>
      </w:r>
      <w:r w:rsidR="00872A95">
        <w:rPr>
          <w:noProof/>
        </w:rPr>
        <w:noBreakHyphen/>
        <w:t>3</w:t>
      </w:r>
      <w:r w:rsidRPr="004F298C">
        <w:fldChar w:fldCharType="end"/>
      </w:r>
      <w:r w:rsidR="007C662A" w:rsidRPr="004F298C">
        <w:t xml:space="preserve"> </w:t>
      </w:r>
      <w:r w:rsidR="00461B0F" w:rsidRPr="004F298C">
        <w:t xml:space="preserve">and Table 6-4 </w:t>
      </w:r>
      <w:r w:rsidRPr="004F298C">
        <w:t xml:space="preserve">show </w:t>
      </w:r>
      <w:r w:rsidR="007C662A" w:rsidRPr="004F298C">
        <w:t xml:space="preserve">the average LMPs </w:t>
      </w:r>
      <w:r w:rsidR="00461B0F" w:rsidRPr="004F298C">
        <w:t>in selected</w:t>
      </w:r>
      <w:r w:rsidR="007C662A" w:rsidRPr="004F298C">
        <w:t xml:space="preserve"> RSP subarea</w:t>
      </w:r>
      <w:r w:rsidR="00461B0F" w:rsidRPr="004F298C">
        <w:t>s</w:t>
      </w:r>
      <w:r w:rsidR="007C662A" w:rsidRPr="004F298C">
        <w:t xml:space="preserve"> for the constrained and unconstrained cases for 2030.</w:t>
      </w:r>
    </w:p>
    <w:p w:rsidR="00037766" w:rsidRDefault="00037766" w:rsidP="00654C47">
      <w:pPr>
        <w:keepNext/>
        <w:keepLines/>
        <w:spacing w:after="0" w:line="240" w:lineRule="auto"/>
        <w:jc w:val="center"/>
      </w:pPr>
      <w:r w:rsidRPr="00037766">
        <w:rPr>
          <w:noProof/>
        </w:rPr>
        <w:drawing>
          <wp:inline distT="0" distB="0" distL="0" distR="0" wp14:anchorId="77B4D494" wp14:editId="6F4C3B2E">
            <wp:extent cx="5239099" cy="2377440"/>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2181" cy="2383376"/>
                    </a:xfrm>
                    <a:prstGeom prst="rect">
                      <a:avLst/>
                    </a:prstGeom>
                    <a:noFill/>
                    <a:ln w="3175">
                      <a:solidFill>
                        <a:srgbClr val="041822"/>
                      </a:solidFill>
                    </a:ln>
                  </pic:spPr>
                </pic:pic>
              </a:graphicData>
            </a:graphic>
          </wp:inline>
        </w:drawing>
      </w:r>
    </w:p>
    <w:p w:rsidR="00083F30" w:rsidRPr="00561FA2" w:rsidRDefault="00EB3C23" w:rsidP="00654C47">
      <w:pPr>
        <w:pStyle w:val="Caption"/>
        <w:keepNext w:val="0"/>
        <w:keepLines w:val="0"/>
        <w:spacing w:before="120" w:after="240"/>
        <w:ind w:left="540"/>
      </w:pPr>
      <w:bookmarkStart w:id="284" w:name="_Ref516911177"/>
      <w:bookmarkStart w:id="285" w:name="_Toc519511508"/>
      <w:r w:rsidRPr="00561FA2">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3</w:t>
      </w:r>
      <w:r w:rsidR="00E930AF">
        <w:rPr>
          <w:noProof/>
        </w:rPr>
        <w:fldChar w:fldCharType="end"/>
      </w:r>
      <w:bookmarkEnd w:id="284"/>
      <w:r w:rsidR="003D1C50" w:rsidRPr="00561FA2">
        <w:t xml:space="preserve">: Annual </w:t>
      </w:r>
      <w:r>
        <w:t>a</w:t>
      </w:r>
      <w:r w:rsidR="003D1C50" w:rsidRPr="00EB3C23">
        <w:t xml:space="preserve">verage LMPs by RSP </w:t>
      </w:r>
      <w:r>
        <w:t>s</w:t>
      </w:r>
      <w:r w:rsidR="003D1C50" w:rsidRPr="00EB3C23">
        <w:t>ubarea, 2030 ($/MWh)</w:t>
      </w:r>
      <w:r>
        <w:t>.</w:t>
      </w:r>
      <w:bookmarkEnd w:id="285"/>
    </w:p>
    <w:p w:rsidR="00EB3C23" w:rsidRPr="007C662A" w:rsidRDefault="007C662A" w:rsidP="00654C47">
      <w:pPr>
        <w:pStyle w:val="Caption"/>
        <w:jc w:val="center"/>
      </w:pPr>
      <w:bookmarkStart w:id="286" w:name="_Ref516911862"/>
      <w:bookmarkStart w:id="287" w:name="_Toc520721039"/>
      <w:r w:rsidRPr="00561FA2">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4</w:t>
      </w:r>
      <w:r w:rsidR="00EA3757">
        <w:rPr>
          <w:noProof/>
        </w:rPr>
        <w:fldChar w:fldCharType="end"/>
      </w:r>
      <w:bookmarkEnd w:id="286"/>
      <w:r w:rsidRPr="00561FA2">
        <w:br/>
        <w:t>LMPs in Selected Subareas, 2030 ($/MWh)</w:t>
      </w:r>
      <w:bookmarkEnd w:id="287"/>
    </w:p>
    <w:tbl>
      <w:tblPr>
        <w:tblW w:w="90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0" w:type="dxa"/>
        </w:tblCellMar>
        <w:tblLook w:val="04A0" w:firstRow="1" w:lastRow="0" w:firstColumn="1" w:lastColumn="0" w:noHBand="0" w:noVBand="1"/>
      </w:tblPr>
      <w:tblGrid>
        <w:gridCol w:w="1440"/>
        <w:gridCol w:w="1977"/>
        <w:gridCol w:w="1039"/>
        <w:gridCol w:w="1158"/>
        <w:gridCol w:w="1159"/>
        <w:gridCol w:w="1158"/>
        <w:gridCol w:w="1159"/>
      </w:tblGrid>
      <w:tr w:rsidR="007C662A" w:rsidRPr="007C662A" w:rsidTr="004F298C">
        <w:trPr>
          <w:trHeight w:val="576"/>
          <w:jc w:val="center"/>
        </w:trPr>
        <w:tc>
          <w:tcPr>
            <w:tcW w:w="1440"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Transmission</w:t>
            </w:r>
          </w:p>
        </w:tc>
        <w:tc>
          <w:tcPr>
            <w:tcW w:w="1977"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Scenario</w:t>
            </w:r>
          </w:p>
        </w:tc>
        <w:tc>
          <w:tcPr>
            <w:tcW w:w="1039"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BHE</w:t>
            </w:r>
          </w:p>
        </w:tc>
        <w:tc>
          <w:tcPr>
            <w:tcW w:w="1158"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ME</w:t>
            </w:r>
          </w:p>
        </w:tc>
        <w:tc>
          <w:tcPr>
            <w:tcW w:w="1159"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SME</w:t>
            </w:r>
          </w:p>
        </w:tc>
        <w:tc>
          <w:tcPr>
            <w:tcW w:w="1158"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NH</w:t>
            </w:r>
          </w:p>
        </w:tc>
        <w:tc>
          <w:tcPr>
            <w:tcW w:w="1159" w:type="dxa"/>
            <w:shd w:val="clear" w:color="auto" w:fill="1795D2" w:themeFill="accent1"/>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color w:val="FFFFFF" w:themeColor="light1"/>
                <w:kern w:val="24"/>
                <w:szCs w:val="20"/>
              </w:rPr>
              <w:t>BOSTON</w:t>
            </w:r>
          </w:p>
        </w:tc>
      </w:tr>
      <w:tr w:rsidR="007C662A" w:rsidRPr="00561FA2" w:rsidTr="004F298C">
        <w:trPr>
          <w:trHeight w:val="288"/>
          <w:jc w:val="center"/>
        </w:trPr>
        <w:tc>
          <w:tcPr>
            <w:tcW w:w="1440" w:type="dxa"/>
            <w:vMerge w:val="restart"/>
            <w:shd w:val="clear" w:color="auto" w:fill="auto"/>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r w:rsidRPr="004F298C">
              <w:rPr>
                <w:rFonts w:asciiTheme="majorHAnsi" w:hAnsiTheme="majorHAnsi" w:cs="Arial"/>
                <w:b/>
                <w:bCs/>
                <w:kern w:val="24"/>
                <w:szCs w:val="20"/>
              </w:rPr>
              <w:t>Unconstrained</w:t>
            </w:r>
          </w:p>
          <w:p w:rsidR="003D1C50" w:rsidRPr="004F298C" w:rsidRDefault="003D1C50" w:rsidP="00654C47">
            <w:pPr>
              <w:keepNext/>
              <w:keepLines/>
              <w:adjustRightInd/>
              <w:spacing w:before="40" w:after="40" w:line="240" w:lineRule="auto"/>
              <w:jc w:val="center"/>
              <w:textAlignment w:val="auto"/>
              <w:rPr>
                <w:rFonts w:asciiTheme="majorHAnsi" w:hAnsiTheme="majorHAnsi" w:cs="Arial"/>
                <w:szCs w:val="20"/>
              </w:rPr>
            </w:pPr>
          </w:p>
        </w:tc>
        <w:tc>
          <w:tcPr>
            <w:tcW w:w="1977" w:type="dxa"/>
            <w:shd w:val="clear" w:color="auto" w:fill="auto"/>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Renew Plus</w:t>
            </w:r>
          </w:p>
        </w:tc>
        <w:tc>
          <w:tcPr>
            <w:tcW w:w="103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34.19</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34.54</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34.55</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35.56</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34.07</w:t>
            </w:r>
          </w:p>
        </w:tc>
      </w:tr>
      <w:tr w:rsidR="007C662A" w:rsidRPr="00561FA2" w:rsidTr="004F298C">
        <w:trPr>
          <w:trHeight w:val="288"/>
          <w:jc w:val="center"/>
        </w:trPr>
        <w:tc>
          <w:tcPr>
            <w:tcW w:w="1440" w:type="dxa"/>
            <w:vMerge/>
            <w:shd w:val="clear" w:color="auto" w:fill="auto"/>
            <w:tcMar>
              <w:left w:w="58" w:type="dxa"/>
            </w:tcMar>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CCEAF9" w:themeFill="accent1" w:themeFillTint="33"/>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EE + Offshore</w:t>
            </w:r>
          </w:p>
        </w:tc>
        <w:tc>
          <w:tcPr>
            <w:tcW w:w="103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31.73</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32.05</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32.07</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33.00</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31.62</w:t>
            </w:r>
          </w:p>
        </w:tc>
      </w:tr>
      <w:tr w:rsidR="007C662A" w:rsidRPr="007C662A" w:rsidTr="004F298C">
        <w:trPr>
          <w:trHeight w:val="288"/>
          <w:jc w:val="center"/>
        </w:trPr>
        <w:tc>
          <w:tcPr>
            <w:tcW w:w="1440" w:type="dxa"/>
            <w:vMerge/>
            <w:shd w:val="clear" w:color="auto" w:fill="auto"/>
            <w:tcMar>
              <w:left w:w="58" w:type="dxa"/>
            </w:tcMar>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auto"/>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Onshore Less EE/PV</w:t>
            </w:r>
          </w:p>
        </w:tc>
        <w:tc>
          <w:tcPr>
            <w:tcW w:w="103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38.58</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37.97</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38.21</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38.58</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38.37</w:t>
            </w:r>
          </w:p>
        </w:tc>
      </w:tr>
      <w:tr w:rsidR="007C662A" w:rsidRPr="00561FA2" w:rsidTr="004F298C">
        <w:trPr>
          <w:trHeight w:val="288"/>
          <w:jc w:val="center"/>
        </w:trPr>
        <w:tc>
          <w:tcPr>
            <w:tcW w:w="1440" w:type="dxa"/>
            <w:vMerge/>
            <w:shd w:val="clear" w:color="auto" w:fill="auto"/>
            <w:tcMar>
              <w:left w:w="58" w:type="dxa"/>
            </w:tcMar>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CCEAF9" w:themeFill="accent1" w:themeFillTint="33"/>
            <w:tcMar>
              <w:top w:w="0" w:type="dxa"/>
              <w:left w:w="58" w:type="dxa"/>
              <w:bottom w:w="0" w:type="dxa"/>
              <w:right w:w="0" w:type="dxa"/>
            </w:tcMar>
            <w:vAlign w:val="center"/>
            <w:hideMark/>
          </w:tcPr>
          <w:p w:rsidR="003D1C50" w:rsidRPr="004F298C" w:rsidRDefault="00AF6389" w:rsidP="00654C47">
            <w:pPr>
              <w:keepNext/>
              <w:keepLines/>
              <w:adjustRightInd/>
              <w:spacing w:before="40" w:after="40" w:line="240" w:lineRule="auto"/>
              <w:textAlignment w:val="bottom"/>
              <w:rPr>
                <w:rFonts w:asciiTheme="majorHAnsi" w:hAnsiTheme="majorHAnsi" w:cs="Arial"/>
                <w:szCs w:val="20"/>
              </w:rPr>
            </w:pPr>
            <w:r>
              <w:rPr>
                <w:rFonts w:asciiTheme="majorHAnsi" w:hAnsiTheme="majorHAnsi" w:cs="Arial"/>
                <w:color w:val="313B3F" w:themeColor="text1" w:themeShade="80"/>
                <w:kern w:val="24"/>
                <w:szCs w:val="20"/>
              </w:rPr>
              <w:t>Wind Less Nuclear</w:t>
            </w:r>
          </w:p>
        </w:tc>
        <w:tc>
          <w:tcPr>
            <w:tcW w:w="103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30.49</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30.66</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30.85</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31.73</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30.36</w:t>
            </w:r>
          </w:p>
        </w:tc>
      </w:tr>
      <w:tr w:rsidR="007C662A" w:rsidRPr="007C662A" w:rsidTr="004F298C">
        <w:trPr>
          <w:trHeight w:val="288"/>
          <w:jc w:val="center"/>
        </w:trPr>
        <w:tc>
          <w:tcPr>
            <w:tcW w:w="1440" w:type="dxa"/>
            <w:vMerge w:val="restart"/>
            <w:shd w:val="clear" w:color="auto" w:fill="CCEAF9" w:themeFill="accent1" w:themeFillTint="33"/>
            <w:tcMar>
              <w:top w:w="15" w:type="dxa"/>
              <w:left w:w="58" w:type="dxa"/>
              <w:bottom w:w="0" w:type="dxa"/>
              <w:right w:w="108" w:type="dxa"/>
            </w:tcMar>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r w:rsidRPr="004F298C">
              <w:rPr>
                <w:rFonts w:asciiTheme="majorHAnsi" w:hAnsiTheme="majorHAnsi" w:cs="Arial"/>
                <w:b/>
                <w:bCs/>
                <w:kern w:val="24"/>
                <w:szCs w:val="20"/>
              </w:rPr>
              <w:t>Constrained</w:t>
            </w:r>
          </w:p>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r w:rsidRPr="004F298C">
              <w:rPr>
                <w:rFonts w:asciiTheme="majorHAnsi" w:hAnsiTheme="majorHAnsi" w:cs="Arial"/>
                <w:b/>
                <w:bCs/>
                <w:kern w:val="24"/>
                <w:szCs w:val="20"/>
              </w:rPr>
              <w:t> </w:t>
            </w:r>
          </w:p>
        </w:tc>
        <w:tc>
          <w:tcPr>
            <w:tcW w:w="1977" w:type="dxa"/>
            <w:shd w:val="clear" w:color="auto" w:fill="auto"/>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Renew Plus</w:t>
            </w:r>
          </w:p>
        </w:tc>
        <w:tc>
          <w:tcPr>
            <w:tcW w:w="103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21.98</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27.72</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36.33</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37.57</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36.12</w:t>
            </w:r>
          </w:p>
        </w:tc>
      </w:tr>
      <w:tr w:rsidR="007C662A" w:rsidRPr="00561FA2" w:rsidTr="004F298C">
        <w:trPr>
          <w:trHeight w:val="288"/>
          <w:jc w:val="center"/>
        </w:trPr>
        <w:tc>
          <w:tcPr>
            <w:tcW w:w="1440" w:type="dxa"/>
            <w:vMerge/>
            <w:shd w:val="clear" w:color="auto" w:fill="CCEAF9" w:themeFill="accent1" w:themeFillTint="33"/>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CCEAF9" w:themeFill="accent1" w:themeFillTint="33"/>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EE + Offshore</w:t>
            </w:r>
          </w:p>
        </w:tc>
        <w:tc>
          <w:tcPr>
            <w:tcW w:w="103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31.08</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31.70</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31.77</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32.62</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31.34</w:t>
            </w:r>
          </w:p>
        </w:tc>
      </w:tr>
      <w:tr w:rsidR="007C662A" w:rsidRPr="00561FA2" w:rsidTr="004F298C">
        <w:trPr>
          <w:trHeight w:val="288"/>
          <w:jc w:val="center"/>
        </w:trPr>
        <w:tc>
          <w:tcPr>
            <w:tcW w:w="1440" w:type="dxa"/>
            <w:vMerge/>
            <w:shd w:val="clear" w:color="auto" w:fill="CCEAF9" w:themeFill="accent1" w:themeFillTint="33"/>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auto"/>
            <w:tcMar>
              <w:top w:w="0" w:type="dxa"/>
              <w:left w:w="58" w:type="dxa"/>
              <w:bottom w:w="0" w:type="dxa"/>
              <w:right w:w="0" w:type="dxa"/>
            </w:tcMar>
            <w:vAlign w:val="center"/>
            <w:hideMark/>
          </w:tcPr>
          <w:p w:rsidR="003D1C50" w:rsidRPr="004F298C" w:rsidRDefault="003D1C50" w:rsidP="00654C47">
            <w:pPr>
              <w:keepNext/>
              <w:keepLines/>
              <w:adjustRightInd/>
              <w:spacing w:before="40" w:after="40" w:line="240" w:lineRule="auto"/>
              <w:textAlignment w:val="bottom"/>
              <w:rPr>
                <w:rFonts w:asciiTheme="majorHAnsi" w:hAnsiTheme="majorHAnsi" w:cs="Arial"/>
                <w:szCs w:val="20"/>
              </w:rPr>
            </w:pPr>
            <w:r w:rsidRPr="004F298C">
              <w:rPr>
                <w:rFonts w:asciiTheme="majorHAnsi" w:hAnsiTheme="majorHAnsi" w:cs="Arial"/>
                <w:color w:val="313B3F" w:themeColor="text1" w:themeShade="80"/>
                <w:kern w:val="24"/>
                <w:szCs w:val="20"/>
              </w:rPr>
              <w:t>Onshore Less EE/PV</w:t>
            </w:r>
          </w:p>
        </w:tc>
        <w:tc>
          <w:tcPr>
            <w:tcW w:w="103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20.69</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28.60</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42.82</w:t>
            </w:r>
          </w:p>
        </w:tc>
        <w:tc>
          <w:tcPr>
            <w:tcW w:w="1158"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43.60</w:t>
            </w:r>
          </w:p>
        </w:tc>
        <w:tc>
          <w:tcPr>
            <w:tcW w:w="1159" w:type="dxa"/>
            <w:shd w:val="clear" w:color="auto" w:fill="auto"/>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43.50</w:t>
            </w:r>
          </w:p>
        </w:tc>
      </w:tr>
      <w:tr w:rsidR="007C662A" w:rsidRPr="007C662A" w:rsidTr="004F298C">
        <w:trPr>
          <w:trHeight w:val="288"/>
          <w:jc w:val="center"/>
        </w:trPr>
        <w:tc>
          <w:tcPr>
            <w:tcW w:w="1440" w:type="dxa"/>
            <w:vMerge/>
            <w:shd w:val="clear" w:color="auto" w:fill="CCEAF9" w:themeFill="accent1" w:themeFillTint="33"/>
            <w:vAlign w:val="center"/>
            <w:hideMark/>
          </w:tcPr>
          <w:p w:rsidR="003D1C50" w:rsidRPr="004F298C" w:rsidRDefault="003D1C50" w:rsidP="00654C47">
            <w:pPr>
              <w:keepNext/>
              <w:keepLines/>
              <w:adjustRightInd/>
              <w:spacing w:before="40" w:after="40" w:line="240" w:lineRule="auto"/>
              <w:textAlignment w:val="auto"/>
              <w:rPr>
                <w:rFonts w:asciiTheme="majorHAnsi" w:hAnsiTheme="majorHAnsi" w:cs="Arial"/>
                <w:szCs w:val="20"/>
              </w:rPr>
            </w:pPr>
          </w:p>
        </w:tc>
        <w:tc>
          <w:tcPr>
            <w:tcW w:w="1977" w:type="dxa"/>
            <w:shd w:val="clear" w:color="auto" w:fill="CCEAF9" w:themeFill="accent1" w:themeFillTint="33"/>
            <w:tcMar>
              <w:top w:w="0" w:type="dxa"/>
              <w:left w:w="58" w:type="dxa"/>
              <w:bottom w:w="0" w:type="dxa"/>
              <w:right w:w="0" w:type="dxa"/>
            </w:tcMar>
            <w:vAlign w:val="center"/>
            <w:hideMark/>
          </w:tcPr>
          <w:p w:rsidR="003D1C50" w:rsidRPr="004F298C" w:rsidRDefault="00AF6389" w:rsidP="00654C47">
            <w:pPr>
              <w:keepNext/>
              <w:keepLines/>
              <w:adjustRightInd/>
              <w:spacing w:before="40" w:after="40" w:line="240" w:lineRule="auto"/>
              <w:textAlignment w:val="bottom"/>
              <w:rPr>
                <w:rFonts w:asciiTheme="majorHAnsi" w:hAnsiTheme="majorHAnsi" w:cs="Arial"/>
                <w:szCs w:val="20"/>
              </w:rPr>
            </w:pPr>
            <w:r>
              <w:rPr>
                <w:rFonts w:asciiTheme="majorHAnsi" w:hAnsiTheme="majorHAnsi" w:cs="Arial"/>
                <w:color w:val="313B3F" w:themeColor="text1" w:themeShade="80"/>
                <w:kern w:val="24"/>
                <w:szCs w:val="20"/>
              </w:rPr>
              <w:t>Wind Less Nuclear</w:t>
            </w:r>
          </w:p>
        </w:tc>
        <w:tc>
          <w:tcPr>
            <w:tcW w:w="103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13.78</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20.11</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37.20</w:t>
            </w:r>
          </w:p>
        </w:tc>
        <w:tc>
          <w:tcPr>
            <w:tcW w:w="1158"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38.71</w:t>
            </w:r>
          </w:p>
        </w:tc>
        <w:tc>
          <w:tcPr>
            <w:tcW w:w="1159" w:type="dxa"/>
            <w:shd w:val="clear" w:color="auto" w:fill="CCEAF9" w:themeFill="accent1" w:themeFillTint="33"/>
            <w:tcMar>
              <w:top w:w="12" w:type="dxa"/>
              <w:left w:w="12" w:type="dxa"/>
              <w:bottom w:w="0" w:type="dxa"/>
              <w:right w:w="12" w:type="dxa"/>
            </w:tcMar>
            <w:vAlign w:val="center"/>
            <w:hideMark/>
          </w:tcPr>
          <w:p w:rsidR="003D1C50" w:rsidRPr="004F298C" w:rsidRDefault="003D1C50" w:rsidP="00654C47">
            <w:pPr>
              <w:keepNext/>
              <w:keepLines/>
              <w:adjustRightInd/>
              <w:spacing w:before="40" w:after="40" w:line="240" w:lineRule="auto"/>
              <w:jc w:val="center"/>
              <w:textAlignment w:val="bottom"/>
              <w:rPr>
                <w:rFonts w:asciiTheme="majorHAnsi" w:hAnsiTheme="majorHAnsi" w:cs="Arial"/>
                <w:szCs w:val="20"/>
              </w:rPr>
            </w:pPr>
            <w:r w:rsidRPr="004F298C">
              <w:rPr>
                <w:rFonts w:asciiTheme="majorHAnsi" w:eastAsiaTheme="minorEastAsia" w:hAnsiTheme="majorHAnsi" w:cstheme="minorBidi"/>
                <w:color w:val="313B3F" w:themeColor="text1" w:themeShade="80"/>
                <w:kern w:val="24"/>
                <w:szCs w:val="20"/>
              </w:rPr>
              <w:t>37.18</w:t>
            </w:r>
          </w:p>
        </w:tc>
      </w:tr>
    </w:tbl>
    <w:p w:rsidR="00083F30" w:rsidRPr="008E0D16" w:rsidRDefault="00083F30" w:rsidP="00974CB0">
      <w:pPr>
        <w:spacing w:after="0" w:line="240" w:lineRule="auto"/>
      </w:pPr>
    </w:p>
    <w:p w:rsidR="001A1B22" w:rsidRDefault="001A644C" w:rsidP="001A1B22">
      <w:r w:rsidRPr="004F298C">
        <w:t>The s</w:t>
      </w:r>
      <w:r w:rsidR="00E209C1" w:rsidRPr="004F298C">
        <w:t xml:space="preserve">cenario results </w:t>
      </w:r>
      <w:r w:rsidR="00461B0F" w:rsidRPr="004F298C">
        <w:t xml:space="preserve">for the unconstrained cases </w:t>
      </w:r>
      <w:r w:rsidR="00E209C1" w:rsidRPr="004F298C">
        <w:t>show lower average systemwide LMPs</w:t>
      </w:r>
      <w:r w:rsidR="004F298C">
        <w:t xml:space="preserve"> </w:t>
      </w:r>
      <w:r w:rsidR="00794815" w:rsidRPr="004F298C">
        <w:t xml:space="preserve">because </w:t>
      </w:r>
      <w:r w:rsidR="001A1B22" w:rsidRPr="004F298C">
        <w:t>price-taking resources</w:t>
      </w:r>
      <w:r w:rsidRPr="004F298C">
        <w:t xml:space="preserve"> produce greater amounts of energy</w:t>
      </w:r>
      <w:r w:rsidR="00E209C1" w:rsidRPr="004F298C">
        <w:t>, especially</w:t>
      </w:r>
      <w:r w:rsidR="00E209C1" w:rsidRPr="00794815">
        <w:t xml:space="preserve"> </w:t>
      </w:r>
      <w:r w:rsidR="00794815">
        <w:t xml:space="preserve">when they </w:t>
      </w:r>
      <w:r w:rsidR="00794815" w:rsidRPr="004F298C">
        <w:t xml:space="preserve">displace </w:t>
      </w:r>
      <w:r w:rsidR="00042A2F" w:rsidRPr="004F298C">
        <w:t>less-efficient fossil fuel generating units</w:t>
      </w:r>
      <w:r w:rsidR="001A1B22">
        <w:t xml:space="preserve">. </w:t>
      </w:r>
      <w:r w:rsidR="00AA5BD2">
        <w:t>T</w:t>
      </w:r>
      <w:r w:rsidR="001A1B22">
        <w:t>h</w:t>
      </w:r>
      <w:r w:rsidR="00042A2F">
        <w:t xml:space="preserve">e </w:t>
      </w:r>
      <w:r w:rsidR="001A1B22">
        <w:t>cases with an unconstrained transmission system</w:t>
      </w:r>
      <w:r w:rsidR="00042A2F">
        <w:t xml:space="preserve"> show </w:t>
      </w:r>
      <w:r w:rsidR="008E0D16">
        <w:t>flat LMPs across all RSP subareas</w:t>
      </w:r>
      <w:r w:rsidR="001A1B22">
        <w:t>.</w:t>
      </w:r>
      <w:r>
        <w:rPr>
          <w:rStyle w:val="FootnoteReference"/>
        </w:rPr>
        <w:footnoteReference w:id="54"/>
      </w:r>
      <w:r w:rsidR="00E209C1">
        <w:t xml:space="preserve"> </w:t>
      </w:r>
      <w:r w:rsidR="00042A2F" w:rsidRPr="00293C1C">
        <w:t xml:space="preserve">The </w:t>
      </w:r>
      <w:r w:rsidR="00AF6389">
        <w:t>ind Less Nuclear</w:t>
      </w:r>
      <w:r w:rsidR="001A1B22">
        <w:t xml:space="preserve"> </w:t>
      </w:r>
      <w:r w:rsidR="00042A2F">
        <w:t xml:space="preserve">scenario </w:t>
      </w:r>
      <w:r w:rsidR="001A1B22">
        <w:t>results in the lowest LMPs</w:t>
      </w:r>
      <w:r w:rsidR="00042A2F">
        <w:t>,</w:t>
      </w:r>
      <w:r w:rsidR="001A1B22">
        <w:t xml:space="preserve"> followed by </w:t>
      </w:r>
      <w:r w:rsidR="00042A2F">
        <w:t xml:space="preserve">the </w:t>
      </w:r>
      <w:r w:rsidR="001A1B22">
        <w:t xml:space="preserve">EE + Offshore and then </w:t>
      </w:r>
      <w:r w:rsidR="00042A2F">
        <w:t xml:space="preserve">the </w:t>
      </w:r>
      <w:r w:rsidR="001A1B22">
        <w:t>Renew Plus</w:t>
      </w:r>
      <w:r w:rsidR="00042A2F">
        <w:t xml:space="preserve"> scenarios</w:t>
      </w:r>
      <w:r w:rsidR="001A1B22">
        <w:t xml:space="preserve">; </w:t>
      </w:r>
      <w:r w:rsidR="00042A2F">
        <w:t xml:space="preserve">the </w:t>
      </w:r>
      <w:r w:rsidR="001A1B22">
        <w:t xml:space="preserve">Onshore Less EE/PV </w:t>
      </w:r>
      <w:r w:rsidR="00042A2F">
        <w:t xml:space="preserve">scenario </w:t>
      </w:r>
      <w:r w:rsidR="001A1B22">
        <w:t>ha</w:t>
      </w:r>
      <w:r w:rsidR="00042A2F">
        <w:t>d</w:t>
      </w:r>
      <w:r w:rsidR="001A1B22">
        <w:t xml:space="preserve"> the highest LMPs</w:t>
      </w:r>
      <w:r w:rsidR="00860D3B">
        <w:t xml:space="preserve">. </w:t>
      </w:r>
    </w:p>
    <w:p w:rsidR="00083F30" w:rsidRPr="00083F30" w:rsidRDefault="00B236A3" w:rsidP="00E660C2">
      <w:r w:rsidRPr="00B236A3">
        <w:t>When t</w:t>
      </w:r>
      <w:r w:rsidR="001A1B22" w:rsidRPr="00B236A3">
        <w:t xml:space="preserve">ransmission </w:t>
      </w:r>
      <w:r w:rsidRPr="00B236A3">
        <w:t xml:space="preserve">flows are </w:t>
      </w:r>
      <w:r w:rsidR="001A1B22" w:rsidRPr="00B236A3">
        <w:t>constrain</w:t>
      </w:r>
      <w:r w:rsidRPr="00B236A3">
        <w:t xml:space="preserve">ed, </w:t>
      </w:r>
      <w:r w:rsidR="001A1B22" w:rsidRPr="006E01B6">
        <w:t xml:space="preserve">the LMP at the </w:t>
      </w:r>
      <w:r w:rsidR="00187E1A" w:rsidRPr="00B236A3">
        <w:t xml:space="preserve">receiving end </w:t>
      </w:r>
      <w:r w:rsidRPr="005D493A">
        <w:t xml:space="preserve">is </w:t>
      </w:r>
      <w:r w:rsidR="00187E1A" w:rsidRPr="00B236A3">
        <w:t>higher</w:t>
      </w:r>
      <w:r w:rsidRPr="005D493A">
        <w:t xml:space="preserve"> </w:t>
      </w:r>
      <w:r w:rsidR="001A1B22" w:rsidRPr="00B236A3">
        <w:t>than at the</w:t>
      </w:r>
      <w:r>
        <w:t xml:space="preserve"> </w:t>
      </w:r>
      <w:r w:rsidR="00187E1A" w:rsidRPr="00B236A3">
        <w:t xml:space="preserve">sending </w:t>
      </w:r>
      <w:r w:rsidR="001A1B22" w:rsidRPr="00B236A3">
        <w:t xml:space="preserve">end, </w:t>
      </w:r>
      <w:r w:rsidRPr="00B236A3">
        <w:t xml:space="preserve">as shown by </w:t>
      </w:r>
      <w:r w:rsidR="00187E1A" w:rsidRPr="006E01B6">
        <w:t xml:space="preserve">the </w:t>
      </w:r>
      <w:r w:rsidR="001A1B22" w:rsidRPr="006E01B6">
        <w:t>addition</w:t>
      </w:r>
      <w:r w:rsidR="00187E1A" w:rsidRPr="006E01B6">
        <w:t xml:space="preserve"> of </w:t>
      </w:r>
      <w:r w:rsidR="00187E1A" w:rsidRPr="00C74E4E">
        <w:t xml:space="preserve">more </w:t>
      </w:r>
      <w:r w:rsidR="001A1B22" w:rsidRPr="00C74E4E">
        <w:t>onshore</w:t>
      </w:r>
      <w:r w:rsidR="001A1B22">
        <w:t xml:space="preserve"> wind</w:t>
      </w:r>
      <w:r w:rsidR="00E209C1">
        <w:t xml:space="preserve"> resources</w:t>
      </w:r>
      <w:r w:rsidR="001A1B22">
        <w:t xml:space="preserve"> in northern Maine</w:t>
      </w:r>
      <w:r w:rsidR="00860D3B">
        <w:t xml:space="preserve">. </w:t>
      </w:r>
      <w:r w:rsidR="001A1B22">
        <w:t xml:space="preserve">The </w:t>
      </w:r>
      <w:r w:rsidR="00AF6389">
        <w:t>Wind Less Nuclear</w:t>
      </w:r>
      <w:r w:rsidR="001A1B22">
        <w:t xml:space="preserve"> scenario shows the largest price separation between BHE/ME and the rest of the system followed by </w:t>
      </w:r>
      <w:r w:rsidR="00357EA7">
        <w:t xml:space="preserve">the </w:t>
      </w:r>
      <w:r w:rsidR="001A1B22">
        <w:t>Onshore Less EE/PV</w:t>
      </w:r>
      <w:r w:rsidR="00357EA7">
        <w:t xml:space="preserve"> scenario</w:t>
      </w:r>
      <w:r w:rsidR="001A1B22">
        <w:t>. Congestion follows the same pattern of results</w:t>
      </w:r>
      <w:r w:rsidR="00860D3B">
        <w:t xml:space="preserve">. </w:t>
      </w:r>
      <w:r w:rsidR="001A1B22">
        <w:t>The EE + Offshore scenario barely has any price separation</w:t>
      </w:r>
      <w:r w:rsidR="00C43485">
        <w:t xml:space="preserve"> as a result of low production resources being located near the load centers in southern New England</w:t>
      </w:r>
      <w:r w:rsidR="001A1B22">
        <w:t>.</w:t>
      </w:r>
    </w:p>
    <w:p w:rsidR="00635C26" w:rsidRPr="002E542B" w:rsidRDefault="00635C26" w:rsidP="00D27B9E">
      <w:pPr>
        <w:pStyle w:val="Heading3"/>
      </w:pPr>
      <w:bookmarkStart w:id="288" w:name="_Toc528571225"/>
      <w:r w:rsidRPr="002E542B">
        <w:t>Load-</w:t>
      </w:r>
      <w:r w:rsidR="00A31918">
        <w:t>S</w:t>
      </w:r>
      <w:r w:rsidRPr="002E542B">
        <w:t>erving Entity Energy Expense and Uplift</w:t>
      </w:r>
      <w:bookmarkEnd w:id="288"/>
    </w:p>
    <w:p w:rsidR="00357EA7" w:rsidRPr="00357EA7" w:rsidRDefault="002619E9" w:rsidP="002E542B">
      <w:r w:rsidRPr="00561FA2">
        <w:fldChar w:fldCharType="begin"/>
      </w:r>
      <w:r w:rsidRPr="00561FA2">
        <w:instrText xml:space="preserve"> REF _Ref516932332 \h </w:instrText>
      </w:r>
      <w:r w:rsidR="000A5F5E" w:rsidRPr="00736D41">
        <w:instrText xml:space="preserve"> \* MERGEFORMAT </w:instrText>
      </w:r>
      <w:r w:rsidRPr="00561FA2">
        <w:fldChar w:fldCharType="separate"/>
      </w:r>
      <w:r w:rsidR="00872A95" w:rsidRPr="00561FA2">
        <w:t xml:space="preserve">Figure </w:t>
      </w:r>
      <w:r w:rsidR="00872A95">
        <w:rPr>
          <w:noProof/>
        </w:rPr>
        <w:t>6</w:t>
      </w:r>
      <w:r w:rsidR="00872A95">
        <w:rPr>
          <w:noProof/>
        </w:rPr>
        <w:noBreakHyphen/>
        <w:t>4</w:t>
      </w:r>
      <w:r w:rsidRPr="00561FA2">
        <w:fldChar w:fldCharType="end"/>
      </w:r>
      <w:r>
        <w:t xml:space="preserve"> shows the load-serving entity energy expenses and “uplift” costs (i.e., make-whole payments) for the constrained and unconstrained cases.</w:t>
      </w:r>
      <w:r w:rsidR="000A5F5E">
        <w:rPr>
          <w:rStyle w:val="FootnoteReference"/>
        </w:rPr>
        <w:footnoteReference w:id="55"/>
      </w:r>
      <w:r>
        <w:t xml:space="preserve"> </w:t>
      </w:r>
      <w:r w:rsidR="000A5F5E" w:rsidRPr="00561FA2">
        <w:fldChar w:fldCharType="begin"/>
      </w:r>
      <w:r w:rsidR="000A5F5E" w:rsidRPr="00561FA2">
        <w:instrText xml:space="preserve"> REF _Ref516933465 \h </w:instrText>
      </w:r>
      <w:r w:rsidR="000A5F5E" w:rsidRPr="00736D41">
        <w:instrText xml:space="preserve"> \* MERGEFORMAT </w:instrText>
      </w:r>
      <w:r w:rsidR="000A5F5E" w:rsidRPr="00561FA2">
        <w:fldChar w:fldCharType="separate"/>
      </w:r>
      <w:r w:rsidR="00872A95" w:rsidRPr="00561FA2">
        <w:t xml:space="preserve">Table </w:t>
      </w:r>
      <w:r w:rsidR="00872A95">
        <w:rPr>
          <w:noProof/>
        </w:rPr>
        <w:t>6</w:t>
      </w:r>
      <w:r w:rsidR="00872A95">
        <w:rPr>
          <w:noProof/>
        </w:rPr>
        <w:noBreakHyphen/>
        <w:t>5</w:t>
      </w:r>
      <w:r w:rsidR="000A5F5E" w:rsidRPr="00561FA2">
        <w:fldChar w:fldCharType="end"/>
      </w:r>
      <w:r w:rsidR="000A5F5E">
        <w:t xml:space="preserve"> shows the data for this figure. </w:t>
      </w:r>
      <w:r w:rsidR="00037CF0">
        <w:fldChar w:fldCharType="begin"/>
      </w:r>
      <w:r w:rsidR="00037CF0">
        <w:instrText xml:space="preserve"> REF _Ref516934022 \h </w:instrText>
      </w:r>
      <w:r w:rsidR="00037CF0">
        <w:fldChar w:fldCharType="separate"/>
      </w:r>
      <w:r w:rsidR="00872A95" w:rsidRPr="00561FA2">
        <w:t xml:space="preserve">Table </w:t>
      </w:r>
      <w:r w:rsidR="00872A95">
        <w:rPr>
          <w:noProof/>
        </w:rPr>
        <w:t>6</w:t>
      </w:r>
      <w:r w:rsidR="00872A95">
        <w:noBreakHyphen/>
      </w:r>
      <w:r w:rsidR="00872A95">
        <w:rPr>
          <w:noProof/>
        </w:rPr>
        <w:t>6</w:t>
      </w:r>
      <w:r w:rsidR="00037CF0">
        <w:fldChar w:fldCharType="end"/>
      </w:r>
      <w:r w:rsidR="00037CF0">
        <w:t xml:space="preserve"> shows thes</w:t>
      </w:r>
      <w:r w:rsidR="002F1412">
        <w:t>e</w:t>
      </w:r>
      <w:r w:rsidR="00037CF0">
        <w:t xml:space="preserve"> e</w:t>
      </w:r>
      <w:r w:rsidR="002F1412">
        <w:t>x</w:t>
      </w:r>
      <w:r w:rsidR="00037CF0">
        <w:t>penses com</w:t>
      </w:r>
      <w:r w:rsidR="000C4466">
        <w:t>p</w:t>
      </w:r>
      <w:r w:rsidR="00037CF0">
        <w:t xml:space="preserve">ared with the Renew Plus reference scenario. </w:t>
      </w:r>
      <w:r w:rsidR="00357EA7">
        <w:t xml:space="preserve">The LSE energy expense follows the same pattern as the LMPs across all scenarios. The amount of congestion is </w:t>
      </w:r>
      <w:r w:rsidR="00357EA7" w:rsidRPr="00736D41">
        <w:t xml:space="preserve">directly </w:t>
      </w:r>
      <w:r w:rsidR="00037CF0" w:rsidRPr="00736D41">
        <w:t>cor</w:t>
      </w:r>
      <w:r w:rsidR="00357EA7" w:rsidRPr="00736D41">
        <w:t>related</w:t>
      </w:r>
      <w:r w:rsidR="00357EA7">
        <w:t xml:space="preserve"> to the amount of assumed onshore resources in Maine in each scenario.</w:t>
      </w:r>
      <w:r w:rsidR="00736D41">
        <w:rPr>
          <w:rStyle w:val="FootnoteReference"/>
        </w:rPr>
        <w:footnoteReference w:id="56"/>
      </w:r>
      <w:r w:rsidR="00357EA7">
        <w:t xml:space="preserve"> </w:t>
      </w:r>
      <w:r w:rsidR="00037CF0">
        <w:t xml:space="preserve">The </w:t>
      </w:r>
      <w:r w:rsidR="00AF6389">
        <w:t>Wind Less Nuclear</w:t>
      </w:r>
      <w:r w:rsidR="00037CF0">
        <w:t xml:space="preserve"> scenario</w:t>
      </w:r>
      <w:r w:rsidR="00357EA7">
        <w:t xml:space="preserve"> experiences the highest amount of congestion followed by </w:t>
      </w:r>
      <w:r w:rsidR="00037CF0">
        <w:t xml:space="preserve">the </w:t>
      </w:r>
      <w:r w:rsidR="00357EA7">
        <w:t>Onshore Less EE/PV</w:t>
      </w:r>
      <w:r w:rsidR="00037CF0">
        <w:t xml:space="preserve"> scenario</w:t>
      </w:r>
      <w:r w:rsidR="00357EA7">
        <w:t xml:space="preserve">. </w:t>
      </w:r>
      <w:r w:rsidR="00037CF0">
        <w:t xml:space="preserve">The </w:t>
      </w:r>
      <w:r w:rsidR="00357EA7">
        <w:t>EE + Offshore</w:t>
      </w:r>
      <w:r w:rsidR="00037CF0">
        <w:t xml:space="preserve"> scenario </w:t>
      </w:r>
      <w:r w:rsidR="00357EA7">
        <w:t>ex</w:t>
      </w:r>
      <w:r w:rsidR="00037CF0">
        <w:t>hibits</w:t>
      </w:r>
      <w:r w:rsidR="00357EA7">
        <w:t xml:space="preserve"> virtually no congestion because the offshore wind expansion is electrically close to the load centers in </w:t>
      </w:r>
      <w:r w:rsidR="00037CF0">
        <w:t>s</w:t>
      </w:r>
      <w:r w:rsidR="00357EA7">
        <w:t xml:space="preserve">outhern New England. </w:t>
      </w:r>
      <w:r w:rsidR="00037CF0">
        <w:t>The u</w:t>
      </w:r>
      <w:r w:rsidR="00357EA7" w:rsidRPr="008E4F00">
        <w:t xml:space="preserve">plift </w:t>
      </w:r>
      <w:r w:rsidR="00037CF0">
        <w:t xml:space="preserve">cost </w:t>
      </w:r>
      <w:r w:rsidR="00357EA7" w:rsidRPr="008E4F00">
        <w:t>is relatively small compared with the LSE energy expense for all scenarios.</w:t>
      </w:r>
    </w:p>
    <w:p w:rsidR="00106A9F" w:rsidRDefault="00C82D40" w:rsidP="00D12A01">
      <w:pPr>
        <w:keepNext/>
        <w:keepLines/>
        <w:spacing w:after="0" w:line="240" w:lineRule="auto"/>
        <w:jc w:val="center"/>
      </w:pPr>
      <w:r w:rsidRPr="00C82D40">
        <w:rPr>
          <w:noProof/>
        </w:rPr>
        <w:drawing>
          <wp:inline distT="0" distB="0" distL="0" distR="0" wp14:anchorId="5A875902" wp14:editId="156E80F7">
            <wp:extent cx="5092630" cy="2966720"/>
            <wp:effectExtent l="19050" t="19050" r="1333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0856" cy="2971512"/>
                    </a:xfrm>
                    <a:prstGeom prst="rect">
                      <a:avLst/>
                    </a:prstGeom>
                    <a:noFill/>
                    <a:ln w="3175">
                      <a:solidFill>
                        <a:srgbClr val="041822"/>
                      </a:solidFill>
                    </a:ln>
                  </pic:spPr>
                </pic:pic>
              </a:graphicData>
            </a:graphic>
          </wp:inline>
        </w:drawing>
      </w:r>
    </w:p>
    <w:p w:rsidR="008E4F00" w:rsidRPr="00561FA2" w:rsidRDefault="00357EA7" w:rsidP="00654C47">
      <w:pPr>
        <w:pStyle w:val="Caption"/>
        <w:keepNext w:val="0"/>
        <w:keepLines w:val="0"/>
        <w:spacing w:before="120" w:after="240"/>
        <w:ind w:left="630"/>
      </w:pPr>
      <w:bookmarkStart w:id="289" w:name="_Ref516932332"/>
      <w:bookmarkStart w:id="290" w:name="_Toc519511509"/>
      <w:r w:rsidRPr="00561FA2">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4</w:t>
      </w:r>
      <w:r w:rsidR="00E930AF">
        <w:rPr>
          <w:noProof/>
        </w:rPr>
        <w:fldChar w:fldCharType="end"/>
      </w:r>
      <w:bookmarkEnd w:id="289"/>
      <w:r w:rsidR="008E4F00" w:rsidRPr="00561FA2">
        <w:t xml:space="preserve">: Load-serving </w:t>
      </w:r>
      <w:r w:rsidRPr="00561FA2">
        <w:t>e</w:t>
      </w:r>
      <w:r w:rsidR="008E4F00" w:rsidRPr="002619E9">
        <w:t xml:space="preserve">ntity </w:t>
      </w:r>
      <w:r w:rsidRPr="00561FA2">
        <w:t>e</w:t>
      </w:r>
      <w:r w:rsidR="008E4F00" w:rsidRPr="00561FA2">
        <w:t xml:space="preserve">nergy </w:t>
      </w:r>
      <w:r w:rsidRPr="00561FA2">
        <w:t>e</w:t>
      </w:r>
      <w:r w:rsidR="008E4F00" w:rsidRPr="00561FA2">
        <w:t>xpense and</w:t>
      </w:r>
      <w:r w:rsidR="008E4F00" w:rsidRPr="00357EA7">
        <w:t xml:space="preserve"> </w:t>
      </w:r>
      <w:r w:rsidRPr="00917763">
        <w:t>u</w:t>
      </w:r>
      <w:r w:rsidR="008E4F00" w:rsidRPr="00917763">
        <w:t>plift,</w:t>
      </w:r>
      <w:r w:rsidR="008E4F00" w:rsidRPr="00357EA7">
        <w:t xml:space="preserve"> 2030 ($ </w:t>
      </w:r>
      <w:r w:rsidRPr="00561FA2">
        <w:t>m</w:t>
      </w:r>
      <w:r w:rsidR="008E4F00" w:rsidRPr="00561FA2">
        <w:t>illion)</w:t>
      </w:r>
      <w:r w:rsidRPr="00561FA2">
        <w:t>.</w:t>
      </w:r>
      <w:bookmarkEnd w:id="290"/>
    </w:p>
    <w:p w:rsidR="008C6A50" w:rsidRDefault="000A5F5E" w:rsidP="00654C47">
      <w:pPr>
        <w:pStyle w:val="Caption"/>
        <w:jc w:val="center"/>
      </w:pPr>
      <w:bookmarkStart w:id="291" w:name="_Ref516933465"/>
      <w:bookmarkStart w:id="292" w:name="_Toc520721040"/>
      <w:r w:rsidRPr="00561FA2">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5</w:t>
      </w:r>
      <w:r w:rsidR="00EA3757">
        <w:rPr>
          <w:noProof/>
        </w:rPr>
        <w:fldChar w:fldCharType="end"/>
      </w:r>
      <w:bookmarkEnd w:id="291"/>
      <w:r w:rsidRPr="00561FA2">
        <w:br/>
        <w:t>Load-</w:t>
      </w:r>
      <w:r>
        <w:t>S</w:t>
      </w:r>
      <w:r w:rsidRPr="00561FA2">
        <w:t>erving Entity Energy Expense and Uplift</w:t>
      </w:r>
      <w:r>
        <w:t xml:space="preserve"> Costs</w:t>
      </w:r>
      <w:r w:rsidRPr="00561FA2">
        <w:t xml:space="preserve">, 2030 </w:t>
      </w:r>
      <w:r w:rsidRPr="00917763">
        <w:t>($ Million</w:t>
      </w:r>
      <w:r w:rsidR="00C90E88" w:rsidRPr="00917763">
        <w:t>s</w:t>
      </w:r>
      <w:r w:rsidRPr="00917763">
        <w:t>)</w:t>
      </w:r>
      <w:bookmarkEnd w:id="292"/>
    </w:p>
    <w:tbl>
      <w:tblPr>
        <w:tblStyle w:val="TableGrid"/>
        <w:tblW w:w="0" w:type="auto"/>
        <w:jc w:val="center"/>
        <w:tblLayout w:type="fixed"/>
        <w:tblLook w:val="04A0" w:firstRow="1" w:lastRow="0" w:firstColumn="1" w:lastColumn="0" w:noHBand="0" w:noVBand="1"/>
      </w:tblPr>
      <w:tblGrid>
        <w:gridCol w:w="1827"/>
        <w:gridCol w:w="1827"/>
        <w:gridCol w:w="1314"/>
        <w:gridCol w:w="1314"/>
        <w:gridCol w:w="1314"/>
        <w:gridCol w:w="1314"/>
      </w:tblGrid>
      <w:tr w:rsidR="00066B08" w:rsidRPr="00066B08" w:rsidTr="00293C1C">
        <w:trPr>
          <w:trHeight w:val="790"/>
          <w:jc w:val="center"/>
        </w:trPr>
        <w:tc>
          <w:tcPr>
            <w:tcW w:w="1827"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Transmission</w:t>
            </w:r>
          </w:p>
        </w:tc>
        <w:tc>
          <w:tcPr>
            <w:tcW w:w="1827"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Type</w:t>
            </w:r>
          </w:p>
        </w:tc>
        <w:tc>
          <w:tcPr>
            <w:tcW w:w="1314"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Reference Renew Plus</w:t>
            </w:r>
          </w:p>
        </w:tc>
        <w:tc>
          <w:tcPr>
            <w:tcW w:w="1314"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Scenario A</w:t>
            </w:r>
            <w:r w:rsidR="00066B08" w:rsidRPr="00293C1C">
              <w:rPr>
                <w:rFonts w:asciiTheme="minorHAnsi" w:hAnsiTheme="minorHAnsi"/>
                <w:b/>
                <w:bCs/>
                <w:color w:val="FFFFFF" w:themeColor="background1"/>
                <w:sz w:val="18"/>
                <w:szCs w:val="18"/>
              </w:rPr>
              <w:br/>
            </w:r>
            <w:r w:rsidRPr="00293C1C">
              <w:rPr>
                <w:rFonts w:asciiTheme="minorHAnsi" w:hAnsiTheme="minorHAnsi"/>
                <w:b/>
                <w:bCs/>
                <w:color w:val="FFFFFF" w:themeColor="background1"/>
                <w:sz w:val="18"/>
                <w:szCs w:val="18"/>
              </w:rPr>
              <w:t>EE + Offshore</w:t>
            </w:r>
          </w:p>
        </w:tc>
        <w:tc>
          <w:tcPr>
            <w:tcW w:w="1314"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Scenario B</w:t>
            </w:r>
            <w:r w:rsidR="00066B08" w:rsidRPr="00293C1C">
              <w:rPr>
                <w:rFonts w:asciiTheme="minorHAnsi" w:hAnsiTheme="minorHAnsi"/>
                <w:b/>
                <w:bCs/>
                <w:color w:val="FFFFFF" w:themeColor="background1"/>
                <w:sz w:val="18"/>
                <w:szCs w:val="18"/>
              </w:rPr>
              <w:br/>
            </w:r>
            <w:r w:rsidRPr="00293C1C">
              <w:rPr>
                <w:rFonts w:asciiTheme="minorHAnsi" w:hAnsiTheme="minorHAnsi"/>
                <w:b/>
                <w:bCs/>
                <w:color w:val="FFFFFF" w:themeColor="background1"/>
                <w:sz w:val="18"/>
                <w:szCs w:val="18"/>
              </w:rPr>
              <w:t>Offshore Less EE/PV</w:t>
            </w:r>
          </w:p>
        </w:tc>
        <w:tc>
          <w:tcPr>
            <w:tcW w:w="1314" w:type="dxa"/>
            <w:shd w:val="clear" w:color="auto" w:fill="1795D2" w:themeFill="accent1"/>
            <w:vAlign w:val="center"/>
            <w:hideMark/>
          </w:tcPr>
          <w:p w:rsidR="00B828FA" w:rsidRPr="00293C1C" w:rsidRDefault="00B828FA" w:rsidP="00654C47">
            <w:pPr>
              <w:keepNext/>
              <w:keepLines/>
              <w:spacing w:before="40" w:after="40" w:line="240" w:lineRule="auto"/>
              <w:jc w:val="center"/>
              <w:rPr>
                <w:rFonts w:asciiTheme="minorHAnsi" w:hAnsiTheme="minorHAnsi"/>
                <w:b/>
                <w:bCs/>
                <w:color w:val="FFFFFF" w:themeColor="background1"/>
                <w:sz w:val="18"/>
                <w:szCs w:val="18"/>
              </w:rPr>
            </w:pPr>
            <w:r w:rsidRPr="00293C1C">
              <w:rPr>
                <w:rFonts w:asciiTheme="minorHAnsi" w:hAnsiTheme="minorHAnsi"/>
                <w:b/>
                <w:bCs/>
                <w:color w:val="FFFFFF" w:themeColor="background1"/>
                <w:sz w:val="18"/>
                <w:szCs w:val="18"/>
              </w:rPr>
              <w:t>Scenario C</w:t>
            </w:r>
            <w:r w:rsidR="00066B08" w:rsidRPr="00293C1C">
              <w:rPr>
                <w:rFonts w:asciiTheme="minorHAnsi" w:hAnsiTheme="minorHAnsi"/>
                <w:b/>
                <w:bCs/>
                <w:color w:val="FFFFFF" w:themeColor="background1"/>
                <w:sz w:val="18"/>
                <w:szCs w:val="18"/>
              </w:rPr>
              <w:br/>
            </w:r>
            <w:r w:rsidR="00AF6389">
              <w:rPr>
                <w:rFonts w:asciiTheme="minorHAnsi" w:hAnsiTheme="minorHAnsi"/>
                <w:b/>
                <w:bCs/>
                <w:color w:val="FFFFFF" w:themeColor="background1"/>
                <w:sz w:val="18"/>
                <w:szCs w:val="18"/>
              </w:rPr>
              <w:t>Wind Less Nuclear</w:t>
            </w:r>
          </w:p>
        </w:tc>
      </w:tr>
      <w:tr w:rsidR="00C90E88" w:rsidRPr="00C90E88" w:rsidTr="00965CFA">
        <w:trPr>
          <w:trHeight w:val="290"/>
          <w:jc w:val="center"/>
        </w:trPr>
        <w:tc>
          <w:tcPr>
            <w:tcW w:w="1827" w:type="dxa"/>
            <w:vMerge w:val="restart"/>
            <w:noWrap/>
            <w:vAlign w:val="center"/>
            <w:hideMark/>
          </w:tcPr>
          <w:p w:rsidR="00B828FA" w:rsidRPr="00293C1C" w:rsidRDefault="00B828FA" w:rsidP="00654C47">
            <w:pPr>
              <w:keepNext/>
              <w:keepLines/>
              <w:spacing w:before="40" w:after="40" w:line="240" w:lineRule="auto"/>
              <w:rPr>
                <w:rFonts w:asciiTheme="minorHAnsi" w:hAnsiTheme="minorHAnsi"/>
                <w:b/>
                <w:sz w:val="18"/>
                <w:szCs w:val="18"/>
              </w:rPr>
            </w:pPr>
            <w:r w:rsidRPr="00293C1C">
              <w:rPr>
                <w:rFonts w:asciiTheme="minorHAnsi" w:hAnsiTheme="minorHAnsi"/>
                <w:b/>
                <w:sz w:val="18"/>
                <w:szCs w:val="18"/>
              </w:rPr>
              <w:t>Unconstrained</w:t>
            </w:r>
          </w:p>
        </w:tc>
        <w:tc>
          <w:tcPr>
            <w:tcW w:w="1827" w:type="dxa"/>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LSE energy expense</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5,866</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5,447</w:t>
            </w:r>
            <w:r w:rsidR="00293C1C" w:rsidRPr="00293C1C">
              <w:rPr>
                <w:rFonts w:asciiTheme="minorHAnsi" w:hAnsiTheme="minorHAnsi"/>
                <w:sz w:val="18"/>
                <w:szCs w:val="18"/>
                <w:vertAlign w:val="superscript"/>
              </w:rPr>
              <w:t>(a)</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6,064</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5,231</w:t>
            </w:r>
          </w:p>
        </w:tc>
      </w:tr>
      <w:tr w:rsidR="00C90E88" w:rsidRPr="00C90E88" w:rsidTr="00293C1C">
        <w:trPr>
          <w:trHeight w:val="290"/>
          <w:jc w:val="center"/>
        </w:trPr>
        <w:tc>
          <w:tcPr>
            <w:tcW w:w="1827" w:type="dxa"/>
            <w:vMerge/>
            <w:vAlign w:val="center"/>
            <w:hideMark/>
          </w:tcPr>
          <w:p w:rsidR="00B828FA" w:rsidRPr="00293C1C" w:rsidRDefault="00B828FA" w:rsidP="00654C47">
            <w:pPr>
              <w:keepNext/>
              <w:keepLines/>
              <w:spacing w:before="40" w:after="40" w:line="240" w:lineRule="auto"/>
              <w:rPr>
                <w:rFonts w:asciiTheme="minorHAnsi" w:hAnsiTheme="minorHAnsi"/>
                <w:b/>
                <w:sz w:val="18"/>
                <w:szCs w:val="18"/>
              </w:rPr>
            </w:pPr>
          </w:p>
        </w:tc>
        <w:tc>
          <w:tcPr>
            <w:tcW w:w="1827" w:type="dxa"/>
            <w:shd w:val="clear" w:color="auto" w:fill="CCEAF9" w:themeFill="accent1" w:themeFillTint="33"/>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Uplift</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117</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103</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249</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154</w:t>
            </w:r>
          </w:p>
        </w:tc>
      </w:tr>
      <w:tr w:rsidR="00C90E88" w:rsidRPr="00C90E88" w:rsidTr="00965CFA">
        <w:trPr>
          <w:trHeight w:val="300"/>
          <w:jc w:val="center"/>
        </w:trPr>
        <w:tc>
          <w:tcPr>
            <w:tcW w:w="1827" w:type="dxa"/>
            <w:vMerge/>
            <w:vAlign w:val="center"/>
            <w:hideMark/>
          </w:tcPr>
          <w:p w:rsidR="00B828FA" w:rsidRPr="00293C1C" w:rsidRDefault="00B828FA" w:rsidP="00654C47">
            <w:pPr>
              <w:keepNext/>
              <w:keepLines/>
              <w:spacing w:before="40" w:after="40" w:line="240" w:lineRule="auto"/>
              <w:rPr>
                <w:rFonts w:asciiTheme="minorHAnsi" w:hAnsiTheme="minorHAnsi"/>
                <w:b/>
                <w:sz w:val="18"/>
                <w:szCs w:val="18"/>
              </w:rPr>
            </w:pPr>
          </w:p>
        </w:tc>
        <w:tc>
          <w:tcPr>
            <w:tcW w:w="1827" w:type="dxa"/>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Total</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5,983</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5,550</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6,313</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5,385</w:t>
            </w:r>
          </w:p>
        </w:tc>
      </w:tr>
      <w:tr w:rsidR="00C90E88" w:rsidRPr="00C90E88" w:rsidTr="00293C1C">
        <w:trPr>
          <w:trHeight w:val="290"/>
          <w:jc w:val="center"/>
        </w:trPr>
        <w:tc>
          <w:tcPr>
            <w:tcW w:w="1827" w:type="dxa"/>
            <w:vMerge w:val="restart"/>
            <w:shd w:val="clear" w:color="auto" w:fill="CCEAF9" w:themeFill="accent1" w:themeFillTint="33"/>
            <w:noWrap/>
            <w:vAlign w:val="center"/>
            <w:hideMark/>
          </w:tcPr>
          <w:p w:rsidR="00B828FA" w:rsidRPr="00293C1C" w:rsidRDefault="00B828FA" w:rsidP="00654C47">
            <w:pPr>
              <w:keepNext/>
              <w:keepLines/>
              <w:spacing w:before="40" w:after="40" w:line="240" w:lineRule="auto"/>
              <w:rPr>
                <w:rFonts w:asciiTheme="minorHAnsi" w:hAnsiTheme="minorHAnsi"/>
                <w:b/>
                <w:sz w:val="18"/>
                <w:szCs w:val="18"/>
              </w:rPr>
            </w:pPr>
            <w:r w:rsidRPr="00293C1C">
              <w:rPr>
                <w:rFonts w:asciiTheme="minorHAnsi" w:hAnsiTheme="minorHAnsi"/>
                <w:b/>
                <w:sz w:val="18"/>
                <w:szCs w:val="18"/>
              </w:rPr>
              <w:t>Constrained</w:t>
            </w:r>
          </w:p>
        </w:tc>
        <w:tc>
          <w:tcPr>
            <w:tcW w:w="1827" w:type="dxa"/>
            <w:shd w:val="clear" w:color="auto" w:fill="CCEAF9" w:themeFill="accent1" w:themeFillTint="33"/>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LSE energy expense</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6,130</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5,396</w:t>
            </w:r>
            <w:r w:rsidR="00FC6DCD">
              <w:rPr>
                <w:rFonts w:asciiTheme="minorHAnsi" w:hAnsiTheme="minorHAnsi"/>
                <w:sz w:val="18"/>
                <w:szCs w:val="18"/>
              </w:rPr>
              <w:t>*</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6,732</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6,232</w:t>
            </w:r>
          </w:p>
        </w:tc>
      </w:tr>
      <w:tr w:rsidR="00C90E88" w:rsidRPr="00C90E88" w:rsidTr="00965CFA">
        <w:trPr>
          <w:trHeight w:val="290"/>
          <w:jc w:val="center"/>
        </w:trPr>
        <w:tc>
          <w:tcPr>
            <w:tcW w:w="1827" w:type="dxa"/>
            <w:vMerge/>
            <w:vAlign w:val="center"/>
            <w:hideMark/>
          </w:tcPr>
          <w:p w:rsidR="00B828FA" w:rsidRPr="00293C1C" w:rsidRDefault="00B828FA" w:rsidP="00654C47">
            <w:pPr>
              <w:keepNext/>
              <w:keepLines/>
              <w:spacing w:before="40" w:after="40" w:line="240" w:lineRule="auto"/>
              <w:rPr>
                <w:rFonts w:asciiTheme="minorHAnsi" w:hAnsiTheme="minorHAnsi"/>
                <w:sz w:val="18"/>
                <w:szCs w:val="18"/>
              </w:rPr>
            </w:pPr>
          </w:p>
        </w:tc>
        <w:tc>
          <w:tcPr>
            <w:tcW w:w="1827" w:type="dxa"/>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Uplift</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161</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111</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263</w:t>
            </w:r>
          </w:p>
        </w:tc>
        <w:tc>
          <w:tcPr>
            <w:tcW w:w="1314" w:type="dxa"/>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240</w:t>
            </w:r>
          </w:p>
        </w:tc>
      </w:tr>
      <w:tr w:rsidR="00C90E88" w:rsidRPr="00C90E88" w:rsidTr="00293C1C">
        <w:trPr>
          <w:trHeight w:val="290"/>
          <w:jc w:val="center"/>
        </w:trPr>
        <w:tc>
          <w:tcPr>
            <w:tcW w:w="1827" w:type="dxa"/>
            <w:vMerge/>
            <w:vAlign w:val="center"/>
            <w:hideMark/>
          </w:tcPr>
          <w:p w:rsidR="00B828FA" w:rsidRPr="00293C1C" w:rsidRDefault="00B828FA" w:rsidP="00654C47">
            <w:pPr>
              <w:keepNext/>
              <w:keepLines/>
              <w:spacing w:before="40" w:after="40" w:line="240" w:lineRule="auto"/>
              <w:rPr>
                <w:rFonts w:asciiTheme="minorHAnsi" w:hAnsiTheme="minorHAnsi"/>
                <w:sz w:val="18"/>
                <w:szCs w:val="18"/>
              </w:rPr>
            </w:pPr>
          </w:p>
        </w:tc>
        <w:tc>
          <w:tcPr>
            <w:tcW w:w="1827" w:type="dxa"/>
            <w:shd w:val="clear" w:color="auto" w:fill="CCEAF9" w:themeFill="accent1" w:themeFillTint="33"/>
            <w:noWrap/>
            <w:vAlign w:val="center"/>
            <w:hideMark/>
          </w:tcPr>
          <w:p w:rsidR="00B828FA" w:rsidRPr="00293C1C" w:rsidRDefault="00B828FA" w:rsidP="00654C47">
            <w:pPr>
              <w:keepNext/>
              <w:keepLines/>
              <w:spacing w:before="40" w:after="40" w:line="240" w:lineRule="auto"/>
              <w:rPr>
                <w:rFonts w:asciiTheme="minorHAnsi" w:hAnsiTheme="minorHAnsi"/>
                <w:sz w:val="18"/>
                <w:szCs w:val="18"/>
              </w:rPr>
            </w:pPr>
            <w:r w:rsidRPr="00293C1C">
              <w:rPr>
                <w:rFonts w:asciiTheme="minorHAnsi" w:hAnsiTheme="minorHAnsi"/>
                <w:sz w:val="18"/>
                <w:szCs w:val="18"/>
              </w:rPr>
              <w:t>Total</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6,291</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5,507</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6,995</w:t>
            </w:r>
          </w:p>
        </w:tc>
        <w:tc>
          <w:tcPr>
            <w:tcW w:w="1314" w:type="dxa"/>
            <w:shd w:val="clear" w:color="auto" w:fill="CCEAF9" w:themeFill="accent1" w:themeFillTint="33"/>
            <w:noWrap/>
            <w:tcMar>
              <w:left w:w="0" w:type="dxa"/>
              <w:right w:w="360" w:type="dxa"/>
            </w:tcMar>
            <w:vAlign w:val="center"/>
            <w:hideMark/>
          </w:tcPr>
          <w:p w:rsidR="00B828FA" w:rsidRPr="00293C1C" w:rsidRDefault="00B828FA" w:rsidP="00654C47">
            <w:pPr>
              <w:keepNext/>
              <w:keepLines/>
              <w:spacing w:before="40" w:after="40" w:line="240" w:lineRule="auto"/>
              <w:jc w:val="right"/>
              <w:rPr>
                <w:rFonts w:asciiTheme="minorHAnsi" w:hAnsiTheme="minorHAnsi"/>
                <w:sz w:val="18"/>
                <w:szCs w:val="18"/>
              </w:rPr>
            </w:pPr>
            <w:r w:rsidRPr="00293C1C">
              <w:rPr>
                <w:rFonts w:asciiTheme="minorHAnsi" w:hAnsiTheme="minorHAnsi"/>
                <w:sz w:val="18"/>
                <w:szCs w:val="18"/>
              </w:rPr>
              <w:t>6,472</w:t>
            </w:r>
          </w:p>
        </w:tc>
      </w:tr>
    </w:tbl>
    <w:p w:rsidR="00066B08" w:rsidRPr="00293C1C" w:rsidRDefault="00A4269F" w:rsidP="00654C47">
      <w:pPr>
        <w:pStyle w:val="ListParagraph"/>
        <w:numPr>
          <w:ilvl w:val="0"/>
          <w:numId w:val="86"/>
        </w:numPr>
        <w:spacing w:before="120" w:after="240" w:line="240" w:lineRule="auto"/>
        <w:ind w:left="540" w:right="270" w:hanging="270"/>
        <w:rPr>
          <w:rFonts w:asciiTheme="majorHAnsi" w:hAnsiTheme="majorHAnsi"/>
          <w:sz w:val="16"/>
          <w:szCs w:val="16"/>
        </w:rPr>
      </w:pPr>
      <w:r w:rsidRPr="00293C1C">
        <w:rPr>
          <w:rFonts w:asciiTheme="majorHAnsi" w:hAnsiTheme="majorHAnsi"/>
          <w:sz w:val="16"/>
          <w:szCs w:val="16"/>
        </w:rPr>
        <w:t>Scenario A</w:t>
      </w:r>
      <w:r w:rsidR="00293C1C">
        <w:rPr>
          <w:rFonts w:asciiTheme="majorHAnsi" w:hAnsiTheme="majorHAnsi"/>
          <w:sz w:val="16"/>
          <w:szCs w:val="16"/>
        </w:rPr>
        <w:t xml:space="preserve">’s </w:t>
      </w:r>
      <w:r w:rsidRPr="00293C1C">
        <w:rPr>
          <w:rFonts w:asciiTheme="majorHAnsi" w:hAnsiTheme="majorHAnsi"/>
          <w:sz w:val="16"/>
          <w:szCs w:val="16"/>
        </w:rPr>
        <w:t>LSE</w:t>
      </w:r>
      <w:r w:rsidR="00293C1C">
        <w:rPr>
          <w:rFonts w:asciiTheme="majorHAnsi" w:hAnsiTheme="majorHAnsi"/>
          <w:sz w:val="16"/>
          <w:szCs w:val="16"/>
        </w:rPr>
        <w:t xml:space="preserve"> energy </w:t>
      </w:r>
      <w:r w:rsidRPr="00293C1C">
        <w:rPr>
          <w:rFonts w:asciiTheme="majorHAnsi" w:hAnsiTheme="majorHAnsi"/>
          <w:sz w:val="16"/>
          <w:szCs w:val="16"/>
        </w:rPr>
        <w:t xml:space="preserve">expense for </w:t>
      </w:r>
      <w:r w:rsidR="00113CB1" w:rsidRPr="00293C1C">
        <w:rPr>
          <w:rFonts w:asciiTheme="majorHAnsi" w:hAnsiTheme="majorHAnsi"/>
          <w:sz w:val="16"/>
          <w:szCs w:val="16"/>
        </w:rPr>
        <w:t xml:space="preserve">the </w:t>
      </w:r>
      <w:r w:rsidRPr="00293C1C">
        <w:rPr>
          <w:rFonts w:asciiTheme="majorHAnsi" w:hAnsiTheme="majorHAnsi"/>
          <w:sz w:val="16"/>
          <w:szCs w:val="16"/>
        </w:rPr>
        <w:t>unconstrained case exceed</w:t>
      </w:r>
      <w:r w:rsidR="00187E1A">
        <w:rPr>
          <w:rFonts w:asciiTheme="majorHAnsi" w:hAnsiTheme="majorHAnsi"/>
          <w:sz w:val="16"/>
          <w:szCs w:val="16"/>
        </w:rPr>
        <w:t>s</w:t>
      </w:r>
      <w:r w:rsidRPr="00293C1C">
        <w:rPr>
          <w:rFonts w:asciiTheme="majorHAnsi" w:hAnsiTheme="majorHAnsi"/>
          <w:sz w:val="16"/>
          <w:szCs w:val="16"/>
        </w:rPr>
        <w:t xml:space="preserve"> the </w:t>
      </w:r>
      <w:r w:rsidR="00113CB1" w:rsidRPr="00293C1C">
        <w:rPr>
          <w:rFonts w:asciiTheme="majorHAnsi" w:hAnsiTheme="majorHAnsi"/>
          <w:sz w:val="16"/>
          <w:szCs w:val="16"/>
        </w:rPr>
        <w:t>LS</w:t>
      </w:r>
      <w:r w:rsidR="00065E26">
        <w:rPr>
          <w:rFonts w:asciiTheme="majorHAnsi" w:hAnsiTheme="majorHAnsi"/>
          <w:sz w:val="16"/>
          <w:szCs w:val="16"/>
        </w:rPr>
        <w:t>E</w:t>
      </w:r>
      <w:r w:rsidR="00293C1C">
        <w:rPr>
          <w:rFonts w:asciiTheme="majorHAnsi" w:hAnsiTheme="majorHAnsi"/>
          <w:sz w:val="16"/>
          <w:szCs w:val="16"/>
        </w:rPr>
        <w:t xml:space="preserve"> energy expense </w:t>
      </w:r>
      <w:r w:rsidR="00113CB1" w:rsidRPr="00293C1C">
        <w:rPr>
          <w:rFonts w:asciiTheme="majorHAnsi" w:hAnsiTheme="majorHAnsi"/>
          <w:sz w:val="16"/>
          <w:szCs w:val="16"/>
        </w:rPr>
        <w:t xml:space="preserve">for the constrained case by approximately $50 </w:t>
      </w:r>
      <w:r w:rsidR="00293C1C">
        <w:rPr>
          <w:rFonts w:asciiTheme="majorHAnsi" w:hAnsiTheme="majorHAnsi"/>
          <w:sz w:val="16"/>
          <w:szCs w:val="16"/>
        </w:rPr>
        <w:t>million</w:t>
      </w:r>
      <w:r w:rsidR="00113CB1" w:rsidRPr="00293C1C">
        <w:rPr>
          <w:rFonts w:asciiTheme="majorHAnsi" w:hAnsiTheme="majorHAnsi"/>
          <w:sz w:val="16"/>
          <w:szCs w:val="16"/>
        </w:rPr>
        <w:t xml:space="preserve">. This relatively small amount of negative congestion </w:t>
      </w:r>
      <w:r w:rsidRPr="00293C1C">
        <w:rPr>
          <w:rFonts w:asciiTheme="majorHAnsi" w:hAnsiTheme="majorHAnsi"/>
          <w:sz w:val="16"/>
          <w:szCs w:val="16"/>
        </w:rPr>
        <w:t>result</w:t>
      </w:r>
      <w:r w:rsidR="00113CB1" w:rsidRPr="00293C1C">
        <w:rPr>
          <w:rFonts w:asciiTheme="majorHAnsi" w:hAnsiTheme="majorHAnsi"/>
          <w:sz w:val="16"/>
          <w:szCs w:val="16"/>
        </w:rPr>
        <w:t>s</w:t>
      </w:r>
      <w:r w:rsidRPr="00293C1C">
        <w:rPr>
          <w:rFonts w:asciiTheme="majorHAnsi" w:hAnsiTheme="majorHAnsi"/>
          <w:sz w:val="16"/>
          <w:szCs w:val="16"/>
        </w:rPr>
        <w:t xml:space="preserve"> </w:t>
      </w:r>
      <w:r w:rsidR="00113CB1" w:rsidRPr="00293C1C">
        <w:rPr>
          <w:rFonts w:asciiTheme="majorHAnsi" w:hAnsiTheme="majorHAnsi"/>
          <w:sz w:val="16"/>
          <w:szCs w:val="16"/>
        </w:rPr>
        <w:t xml:space="preserve">from the </w:t>
      </w:r>
      <w:r w:rsidRPr="00293C1C">
        <w:rPr>
          <w:rFonts w:asciiTheme="majorHAnsi" w:hAnsiTheme="majorHAnsi"/>
          <w:sz w:val="16"/>
          <w:szCs w:val="16"/>
        </w:rPr>
        <w:t>simulati</w:t>
      </w:r>
      <w:r w:rsidR="00113CB1" w:rsidRPr="00293C1C">
        <w:rPr>
          <w:rFonts w:asciiTheme="majorHAnsi" w:hAnsiTheme="majorHAnsi"/>
          <w:sz w:val="16"/>
          <w:szCs w:val="16"/>
        </w:rPr>
        <w:t>o</w:t>
      </w:r>
      <w:r w:rsidRPr="00293C1C">
        <w:rPr>
          <w:rFonts w:asciiTheme="majorHAnsi" w:hAnsiTheme="majorHAnsi"/>
          <w:sz w:val="16"/>
          <w:szCs w:val="16"/>
        </w:rPr>
        <w:t>n</w:t>
      </w:r>
      <w:r w:rsidR="00113CB1" w:rsidRPr="00293C1C">
        <w:rPr>
          <w:rFonts w:asciiTheme="majorHAnsi" w:hAnsiTheme="majorHAnsi"/>
          <w:sz w:val="16"/>
          <w:szCs w:val="16"/>
        </w:rPr>
        <w:t xml:space="preserve">s </w:t>
      </w:r>
      <w:r w:rsidR="009C38F1" w:rsidRPr="00293C1C">
        <w:rPr>
          <w:rFonts w:asciiTheme="majorHAnsi" w:hAnsiTheme="majorHAnsi"/>
          <w:sz w:val="16"/>
          <w:szCs w:val="16"/>
        </w:rPr>
        <w:t>modeling</w:t>
      </w:r>
      <w:r w:rsidRPr="00293C1C">
        <w:rPr>
          <w:rFonts w:asciiTheme="majorHAnsi" w:hAnsiTheme="majorHAnsi"/>
          <w:sz w:val="16"/>
          <w:szCs w:val="16"/>
        </w:rPr>
        <w:t xml:space="preserve"> all offshore wind interconnected to the SEMA/RI</w:t>
      </w:r>
      <w:r w:rsidR="00293C1C">
        <w:rPr>
          <w:rFonts w:asciiTheme="majorHAnsi" w:hAnsiTheme="majorHAnsi"/>
          <w:sz w:val="16"/>
          <w:szCs w:val="16"/>
        </w:rPr>
        <w:t xml:space="preserve"> area</w:t>
      </w:r>
      <w:r w:rsidR="009C38F1" w:rsidRPr="00293C1C">
        <w:rPr>
          <w:rFonts w:asciiTheme="majorHAnsi" w:hAnsiTheme="majorHAnsi"/>
          <w:sz w:val="16"/>
          <w:szCs w:val="16"/>
        </w:rPr>
        <w:t xml:space="preserve">. Interconnecting some of the offshore wind into </w:t>
      </w:r>
      <w:r w:rsidR="00293C1C">
        <w:rPr>
          <w:rFonts w:asciiTheme="majorHAnsi" w:hAnsiTheme="majorHAnsi"/>
          <w:sz w:val="16"/>
          <w:szCs w:val="16"/>
        </w:rPr>
        <w:t xml:space="preserve">the </w:t>
      </w:r>
      <w:r w:rsidR="009C38F1" w:rsidRPr="00293C1C">
        <w:rPr>
          <w:rFonts w:asciiTheme="majorHAnsi" w:hAnsiTheme="majorHAnsi"/>
          <w:sz w:val="16"/>
          <w:szCs w:val="16"/>
        </w:rPr>
        <w:t xml:space="preserve">CT </w:t>
      </w:r>
      <w:r w:rsidR="00293C1C">
        <w:rPr>
          <w:rFonts w:asciiTheme="majorHAnsi" w:hAnsiTheme="majorHAnsi"/>
          <w:sz w:val="16"/>
          <w:szCs w:val="16"/>
        </w:rPr>
        <w:t>are</w:t>
      </w:r>
      <w:r w:rsidR="00065E26">
        <w:rPr>
          <w:rFonts w:asciiTheme="majorHAnsi" w:hAnsiTheme="majorHAnsi"/>
          <w:sz w:val="16"/>
          <w:szCs w:val="16"/>
        </w:rPr>
        <w:t>a</w:t>
      </w:r>
      <w:r w:rsidR="00293C1C">
        <w:rPr>
          <w:rFonts w:asciiTheme="majorHAnsi" w:hAnsiTheme="majorHAnsi"/>
          <w:sz w:val="16"/>
          <w:szCs w:val="16"/>
        </w:rPr>
        <w:t xml:space="preserve"> </w:t>
      </w:r>
      <w:r w:rsidR="009C38F1" w:rsidRPr="00293C1C">
        <w:rPr>
          <w:rFonts w:asciiTheme="majorHAnsi" w:hAnsiTheme="majorHAnsi"/>
          <w:sz w:val="16"/>
          <w:szCs w:val="16"/>
        </w:rPr>
        <w:t xml:space="preserve">would eliminate this congestion.  </w:t>
      </w:r>
      <w:r w:rsidRPr="00293C1C">
        <w:rPr>
          <w:rFonts w:asciiTheme="majorHAnsi" w:hAnsiTheme="majorHAnsi"/>
          <w:sz w:val="16"/>
          <w:szCs w:val="16"/>
        </w:rPr>
        <w:t xml:space="preserve"> </w:t>
      </w:r>
    </w:p>
    <w:p w:rsidR="00C43485" w:rsidRDefault="000A5F5E" w:rsidP="00654C47">
      <w:pPr>
        <w:pStyle w:val="Caption"/>
        <w:jc w:val="center"/>
      </w:pPr>
      <w:bookmarkStart w:id="293" w:name="_Ref516934022"/>
      <w:bookmarkStart w:id="294" w:name="_Toc520721041"/>
      <w:r w:rsidRPr="00561FA2">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6</w:t>
      </w:r>
      <w:r w:rsidR="00EA3757">
        <w:rPr>
          <w:noProof/>
        </w:rPr>
        <w:fldChar w:fldCharType="end"/>
      </w:r>
      <w:bookmarkEnd w:id="293"/>
      <w:r w:rsidRPr="00561FA2">
        <w:br/>
        <w:t>Load-Serving Entity Energy Expense and Uplift</w:t>
      </w:r>
      <w:r w:rsidR="00037CF0">
        <w:t xml:space="preserve"> Costs</w:t>
      </w:r>
      <w:r w:rsidRPr="00561FA2">
        <w:t>, 2030 ($ Million</w:t>
      </w:r>
      <w:r w:rsidR="00C90E88">
        <w:t>s</w:t>
      </w:r>
      <w:r w:rsidRPr="00561FA2">
        <w:t>)</w:t>
      </w:r>
      <w:r>
        <w:br/>
      </w:r>
      <w:r w:rsidRPr="00561FA2">
        <w:t>Compared with the Renew Plus Reference Scenario</w:t>
      </w:r>
      <w:bookmarkEnd w:id="294"/>
    </w:p>
    <w:tbl>
      <w:tblPr>
        <w:tblW w:w="9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37"/>
        <w:gridCol w:w="1682"/>
        <w:gridCol w:w="1559"/>
        <w:gridCol w:w="1560"/>
        <w:gridCol w:w="1559"/>
        <w:gridCol w:w="1560"/>
      </w:tblGrid>
      <w:tr w:rsidR="00C43485" w:rsidRPr="001651B0" w:rsidTr="00654C47">
        <w:trPr>
          <w:trHeight w:val="475"/>
          <w:jc w:val="center"/>
        </w:trPr>
        <w:tc>
          <w:tcPr>
            <w:tcW w:w="1437" w:type="dxa"/>
            <w:shd w:val="clear" w:color="auto" w:fill="1795D2"/>
            <w:tcMar>
              <w:top w:w="15" w:type="dxa"/>
              <w:left w:w="108" w:type="dxa"/>
              <w:bottom w:w="0" w:type="dxa"/>
              <w:right w:w="108" w:type="dxa"/>
            </w:tcMar>
            <w:vAlign w:val="center"/>
            <w:hideMark/>
          </w:tcPr>
          <w:p w:rsidR="00C43485" w:rsidRPr="00293C1C" w:rsidRDefault="00C43485" w:rsidP="00654C47">
            <w:pPr>
              <w:keepNext/>
              <w:keepLines/>
              <w:adjustRightInd/>
              <w:spacing w:before="40" w:after="40" w:line="240" w:lineRule="auto"/>
              <w:jc w:val="center"/>
              <w:textAlignment w:val="auto"/>
              <w:rPr>
                <w:rFonts w:ascii="Arial" w:hAnsi="Arial" w:cs="Arial"/>
                <w:sz w:val="18"/>
                <w:szCs w:val="18"/>
              </w:rPr>
            </w:pPr>
            <w:r w:rsidRPr="00293C1C">
              <w:rPr>
                <w:rFonts w:ascii="Calibri" w:hAnsi="Calibri" w:cs="Arial"/>
                <w:b/>
                <w:bCs/>
                <w:color w:val="FFFFFF" w:themeColor="light1"/>
                <w:kern w:val="24"/>
                <w:sz w:val="18"/>
                <w:szCs w:val="18"/>
              </w:rPr>
              <w:t>Transmission</w:t>
            </w:r>
          </w:p>
        </w:tc>
        <w:tc>
          <w:tcPr>
            <w:tcW w:w="1682" w:type="dxa"/>
            <w:shd w:val="clear" w:color="auto" w:fill="1795D2"/>
            <w:tcMar>
              <w:top w:w="15" w:type="dxa"/>
              <w:left w:w="108" w:type="dxa"/>
              <w:bottom w:w="0" w:type="dxa"/>
              <w:right w:w="108" w:type="dxa"/>
            </w:tcMar>
            <w:vAlign w:val="center"/>
            <w:hideMark/>
          </w:tcPr>
          <w:p w:rsidR="00C43485" w:rsidRPr="00293C1C" w:rsidRDefault="00C43485" w:rsidP="00654C47">
            <w:pPr>
              <w:keepNext/>
              <w:keepLines/>
              <w:adjustRightInd/>
              <w:spacing w:before="40" w:after="40" w:line="240" w:lineRule="auto"/>
              <w:jc w:val="center"/>
              <w:textAlignment w:val="auto"/>
              <w:rPr>
                <w:rFonts w:ascii="Arial" w:hAnsi="Arial" w:cs="Arial"/>
                <w:sz w:val="18"/>
                <w:szCs w:val="18"/>
              </w:rPr>
            </w:pPr>
            <w:r w:rsidRPr="00293C1C">
              <w:rPr>
                <w:rFonts w:ascii="Calibri" w:hAnsi="Calibri" w:cs="Arial"/>
                <w:b/>
                <w:bCs/>
                <w:color w:val="FFFFFF" w:themeColor="light1"/>
                <w:kern w:val="24"/>
                <w:sz w:val="18"/>
                <w:szCs w:val="18"/>
              </w:rPr>
              <w:t>Type</w:t>
            </w:r>
          </w:p>
        </w:tc>
        <w:tc>
          <w:tcPr>
            <w:tcW w:w="1559" w:type="dxa"/>
            <w:shd w:val="clear" w:color="auto" w:fill="1795D2"/>
            <w:tcMar>
              <w:top w:w="15" w:type="dxa"/>
              <w:left w:w="108" w:type="dxa"/>
              <w:bottom w:w="0" w:type="dxa"/>
              <w:right w:w="108" w:type="dxa"/>
            </w:tcMar>
            <w:vAlign w:val="center"/>
            <w:hideMark/>
          </w:tcPr>
          <w:p w:rsidR="00C43485" w:rsidRPr="00293C1C" w:rsidRDefault="00C43485" w:rsidP="00654C47">
            <w:pPr>
              <w:keepNext/>
              <w:keepLines/>
              <w:adjustRightInd/>
              <w:spacing w:before="40" w:after="40" w:line="240" w:lineRule="auto"/>
              <w:jc w:val="center"/>
              <w:textAlignment w:val="auto"/>
              <w:rPr>
                <w:rFonts w:ascii="Arial" w:hAnsi="Arial" w:cs="Arial"/>
                <w:sz w:val="18"/>
                <w:szCs w:val="18"/>
              </w:rPr>
            </w:pPr>
            <w:r w:rsidRPr="00293C1C">
              <w:rPr>
                <w:rFonts w:ascii="Calibri" w:hAnsi="Calibri" w:cs="Arial"/>
                <w:b/>
                <w:bCs/>
                <w:color w:val="FFFFFF" w:themeColor="light1"/>
                <w:kern w:val="24"/>
                <w:sz w:val="18"/>
                <w:szCs w:val="18"/>
              </w:rPr>
              <w:t>Renew Plus</w:t>
            </w:r>
          </w:p>
        </w:tc>
        <w:tc>
          <w:tcPr>
            <w:tcW w:w="1560" w:type="dxa"/>
            <w:shd w:val="clear" w:color="auto" w:fill="1795D2"/>
            <w:tcMar>
              <w:top w:w="15" w:type="dxa"/>
              <w:left w:w="108" w:type="dxa"/>
              <w:bottom w:w="0" w:type="dxa"/>
              <w:right w:w="108" w:type="dxa"/>
            </w:tcMar>
            <w:vAlign w:val="center"/>
            <w:hideMark/>
          </w:tcPr>
          <w:p w:rsidR="00C43485" w:rsidRPr="00293C1C" w:rsidRDefault="00C43485" w:rsidP="00654C47">
            <w:pPr>
              <w:keepNext/>
              <w:keepLines/>
              <w:adjustRightInd/>
              <w:spacing w:before="40" w:after="40" w:line="240" w:lineRule="auto"/>
              <w:jc w:val="center"/>
              <w:textAlignment w:val="auto"/>
              <w:rPr>
                <w:rFonts w:ascii="Arial" w:hAnsi="Arial" w:cs="Arial"/>
                <w:sz w:val="18"/>
                <w:szCs w:val="18"/>
              </w:rPr>
            </w:pPr>
            <w:r w:rsidRPr="00293C1C">
              <w:rPr>
                <w:rFonts w:ascii="Calibri" w:hAnsi="Calibri" w:cs="Arial"/>
                <w:b/>
                <w:bCs/>
                <w:color w:val="FFFFFF" w:themeColor="light1"/>
                <w:kern w:val="24"/>
                <w:sz w:val="18"/>
                <w:szCs w:val="18"/>
              </w:rPr>
              <w:t>EE + Offshore</w:t>
            </w:r>
          </w:p>
        </w:tc>
        <w:tc>
          <w:tcPr>
            <w:tcW w:w="1559" w:type="dxa"/>
            <w:shd w:val="clear" w:color="auto" w:fill="1795D2"/>
            <w:tcMar>
              <w:top w:w="15" w:type="dxa"/>
              <w:left w:w="108" w:type="dxa"/>
              <w:bottom w:w="0" w:type="dxa"/>
              <w:right w:w="108" w:type="dxa"/>
            </w:tcMar>
            <w:vAlign w:val="center"/>
            <w:hideMark/>
          </w:tcPr>
          <w:p w:rsidR="00C43485" w:rsidRPr="00293C1C" w:rsidRDefault="00C43485" w:rsidP="00654C47">
            <w:pPr>
              <w:keepNext/>
              <w:keepLines/>
              <w:adjustRightInd/>
              <w:spacing w:before="40" w:after="40" w:line="240" w:lineRule="auto"/>
              <w:jc w:val="center"/>
              <w:textAlignment w:val="auto"/>
              <w:rPr>
                <w:rFonts w:ascii="Arial" w:hAnsi="Arial" w:cs="Arial"/>
                <w:sz w:val="18"/>
                <w:szCs w:val="18"/>
              </w:rPr>
            </w:pPr>
            <w:r w:rsidRPr="00293C1C">
              <w:rPr>
                <w:rFonts w:ascii="Calibri" w:hAnsi="Calibri" w:cs="Arial"/>
                <w:b/>
                <w:bCs/>
                <w:color w:val="FFFFFF" w:themeColor="light1"/>
                <w:kern w:val="24"/>
                <w:sz w:val="18"/>
                <w:szCs w:val="18"/>
              </w:rPr>
              <w:t>Onshore Less EE/PV</w:t>
            </w:r>
          </w:p>
        </w:tc>
        <w:tc>
          <w:tcPr>
            <w:tcW w:w="1560" w:type="dxa"/>
            <w:shd w:val="clear" w:color="auto" w:fill="1795D2"/>
            <w:tcMar>
              <w:top w:w="15" w:type="dxa"/>
              <w:left w:w="108" w:type="dxa"/>
              <w:bottom w:w="0" w:type="dxa"/>
              <w:right w:w="108" w:type="dxa"/>
            </w:tcMar>
            <w:vAlign w:val="center"/>
            <w:hideMark/>
          </w:tcPr>
          <w:p w:rsidR="00C43485" w:rsidRPr="00293C1C" w:rsidRDefault="00AF6389" w:rsidP="00654C47">
            <w:pPr>
              <w:keepNext/>
              <w:keepLines/>
              <w:adjustRightInd/>
              <w:spacing w:before="40" w:after="40" w:line="240" w:lineRule="auto"/>
              <w:jc w:val="center"/>
              <w:textAlignment w:val="auto"/>
              <w:rPr>
                <w:rFonts w:ascii="Arial" w:hAnsi="Arial" w:cs="Arial"/>
                <w:sz w:val="18"/>
                <w:szCs w:val="18"/>
              </w:rPr>
            </w:pPr>
            <w:r>
              <w:rPr>
                <w:rFonts w:ascii="Calibri" w:hAnsi="Calibri" w:cs="Arial"/>
                <w:b/>
                <w:bCs/>
                <w:color w:val="FFFFFF" w:themeColor="light1"/>
                <w:kern w:val="24"/>
                <w:sz w:val="18"/>
                <w:szCs w:val="18"/>
              </w:rPr>
              <w:t>Wind Less Nuclear</w:t>
            </w:r>
          </w:p>
        </w:tc>
      </w:tr>
      <w:tr w:rsidR="00037CF0" w:rsidRPr="00125975" w:rsidTr="00654C47">
        <w:trPr>
          <w:trHeight w:val="421"/>
          <w:jc w:val="center"/>
        </w:trPr>
        <w:tc>
          <w:tcPr>
            <w:tcW w:w="1437" w:type="dxa"/>
            <w:vMerge w:val="restart"/>
            <w:shd w:val="clear" w:color="auto" w:fill="auto"/>
            <w:tcMar>
              <w:top w:w="15" w:type="dxa"/>
              <w:left w:w="108" w:type="dxa"/>
              <w:bottom w:w="0" w:type="dxa"/>
              <w:right w:w="108" w:type="dxa"/>
            </w:tcMar>
            <w:vAlign w:val="center"/>
            <w:hideMark/>
          </w:tcPr>
          <w:p w:rsidR="00C43485" w:rsidRPr="00125975" w:rsidRDefault="00C43485" w:rsidP="00654C47">
            <w:pPr>
              <w:keepNext/>
              <w:keepLines/>
              <w:adjustRightInd/>
              <w:spacing w:before="40" w:after="40" w:line="240" w:lineRule="auto"/>
              <w:textAlignment w:val="auto"/>
              <w:rPr>
                <w:rFonts w:ascii="Arial" w:hAnsi="Arial" w:cs="Arial"/>
                <w:sz w:val="18"/>
                <w:szCs w:val="18"/>
              </w:rPr>
            </w:pPr>
            <w:r w:rsidRPr="00125975">
              <w:rPr>
                <w:rFonts w:ascii="Calibri" w:hAnsi="Calibri" w:cs="Arial"/>
                <w:b/>
                <w:bCs/>
                <w:kern w:val="24"/>
                <w:sz w:val="18"/>
                <w:szCs w:val="18"/>
              </w:rPr>
              <w:t>Unconstrained</w:t>
            </w:r>
          </w:p>
        </w:tc>
        <w:tc>
          <w:tcPr>
            <w:tcW w:w="1682" w:type="dxa"/>
            <w:shd w:val="clear" w:color="auto" w:fill="auto"/>
            <w:tcMar>
              <w:top w:w="15" w:type="dxa"/>
              <w:left w:w="108" w:type="dxa"/>
              <w:bottom w:w="0" w:type="dxa"/>
              <w:right w:w="108" w:type="dxa"/>
            </w:tcMar>
            <w:vAlign w:val="center"/>
            <w:hideMark/>
          </w:tcPr>
          <w:p w:rsidR="00C43485" w:rsidRPr="00125975" w:rsidRDefault="00C43485" w:rsidP="00654C47">
            <w:pPr>
              <w:keepNext/>
              <w:keepLines/>
              <w:adjustRightInd/>
              <w:spacing w:before="40" w:after="40" w:line="240" w:lineRule="auto"/>
              <w:textAlignment w:val="auto"/>
              <w:rPr>
                <w:rFonts w:ascii="Arial" w:hAnsi="Arial" w:cs="Arial"/>
                <w:sz w:val="18"/>
                <w:szCs w:val="18"/>
              </w:rPr>
            </w:pPr>
            <w:r w:rsidRPr="00125975">
              <w:rPr>
                <w:rFonts w:ascii="Calibri" w:hAnsi="Calibri" w:cs="Arial"/>
                <w:color w:val="313B3F" w:themeColor="text1" w:themeShade="80"/>
                <w:kern w:val="24"/>
                <w:sz w:val="18"/>
                <w:szCs w:val="18"/>
              </w:rPr>
              <w:t>LSE energy expense</w:t>
            </w:r>
          </w:p>
        </w:tc>
        <w:tc>
          <w:tcPr>
            <w:tcW w:w="1559" w:type="dxa"/>
            <w:shd w:val="clear" w:color="auto" w:fill="auto"/>
            <w:tcMar>
              <w:top w:w="12" w:type="dxa"/>
              <w:left w:w="12" w:type="dxa"/>
              <w:bottom w:w="0" w:type="dxa"/>
              <w:right w:w="12" w:type="dxa"/>
            </w:tcMar>
            <w:vAlign w:val="center"/>
            <w:hideMark/>
          </w:tcPr>
          <w:p w:rsidR="00C43485" w:rsidRPr="00125975" w:rsidRDefault="00C43485" w:rsidP="00654C47">
            <w:pPr>
              <w:keepNext/>
              <w:keepLines/>
              <w:adjustRightInd/>
              <w:spacing w:before="40" w:after="40" w:line="240" w:lineRule="auto"/>
              <w:jc w:val="center"/>
              <w:textAlignment w:val="auto"/>
              <w:rPr>
                <w:rFonts w:ascii="Arial" w:hAnsi="Arial" w:cs="Arial"/>
                <w:sz w:val="18"/>
                <w:szCs w:val="18"/>
              </w:rPr>
            </w:pPr>
            <w:r w:rsidRPr="00125975">
              <w:rPr>
                <w:rFonts w:asciiTheme="minorHAnsi" w:eastAsiaTheme="minorEastAsia" w:hAnsi="Calibri" w:cstheme="minorBidi"/>
                <w:color w:val="313B3F" w:themeColor="text1" w:themeShade="80"/>
                <w:kern w:val="24"/>
                <w:sz w:val="18"/>
                <w:szCs w:val="18"/>
              </w:rPr>
              <w:t>–</w:t>
            </w:r>
          </w:p>
        </w:tc>
        <w:tc>
          <w:tcPr>
            <w:tcW w:w="1560" w:type="dxa"/>
            <w:shd w:val="clear" w:color="auto" w:fill="auto"/>
            <w:tcMar>
              <w:top w:w="12" w:type="dxa"/>
              <w:left w:w="12" w:type="dxa"/>
              <w:bottom w:w="0" w:type="dxa"/>
              <w:right w:w="12" w:type="dxa"/>
            </w:tcMar>
            <w:vAlign w:val="center"/>
            <w:hideMark/>
          </w:tcPr>
          <w:p w:rsidR="00C43485" w:rsidRPr="00293C1C" w:rsidRDefault="0012597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w:t>
            </w:r>
            <w:r w:rsidR="00C43485" w:rsidRPr="00293C1C">
              <w:rPr>
                <w:rFonts w:ascii="Calibri" w:hAnsi="Calibri" w:cs="Arial"/>
                <w:kern w:val="24"/>
                <w:sz w:val="18"/>
                <w:szCs w:val="18"/>
              </w:rPr>
              <w:t>419</w:t>
            </w:r>
          </w:p>
        </w:tc>
        <w:tc>
          <w:tcPr>
            <w:tcW w:w="1559" w:type="dxa"/>
            <w:shd w:val="clear" w:color="auto" w:fill="auto"/>
            <w:tcMar>
              <w:top w:w="12" w:type="dxa"/>
              <w:left w:w="12" w:type="dxa"/>
              <w:bottom w:w="0" w:type="dxa"/>
              <w:right w:w="12" w:type="dxa"/>
            </w:tcMar>
            <w:vAlign w:val="center"/>
            <w:hideMark/>
          </w:tcPr>
          <w:p w:rsidR="00C43485" w:rsidRPr="00293C1C" w:rsidRDefault="00C4348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 xml:space="preserve">198 </w:t>
            </w:r>
          </w:p>
        </w:tc>
        <w:tc>
          <w:tcPr>
            <w:tcW w:w="1560" w:type="dxa"/>
            <w:shd w:val="clear" w:color="auto" w:fill="auto"/>
            <w:tcMar>
              <w:top w:w="12" w:type="dxa"/>
              <w:left w:w="12" w:type="dxa"/>
              <w:bottom w:w="0" w:type="dxa"/>
              <w:right w:w="12" w:type="dxa"/>
            </w:tcMar>
            <w:vAlign w:val="center"/>
            <w:hideMark/>
          </w:tcPr>
          <w:p w:rsidR="00C43485" w:rsidRPr="00293C1C" w:rsidRDefault="0012597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w:t>
            </w:r>
            <w:r w:rsidR="00C43485" w:rsidRPr="00293C1C">
              <w:rPr>
                <w:rFonts w:ascii="Calibri" w:hAnsi="Calibri" w:cs="Arial"/>
                <w:kern w:val="24"/>
                <w:sz w:val="18"/>
                <w:szCs w:val="18"/>
              </w:rPr>
              <w:t>635</w:t>
            </w:r>
          </w:p>
        </w:tc>
      </w:tr>
      <w:tr w:rsidR="00037CF0" w:rsidRPr="00125975" w:rsidTr="00654C47">
        <w:trPr>
          <w:trHeight w:val="390"/>
          <w:jc w:val="center"/>
        </w:trPr>
        <w:tc>
          <w:tcPr>
            <w:tcW w:w="1437" w:type="dxa"/>
            <w:vMerge/>
            <w:shd w:val="clear" w:color="auto" w:fill="auto"/>
            <w:vAlign w:val="center"/>
            <w:hideMark/>
          </w:tcPr>
          <w:p w:rsidR="00C43485" w:rsidRPr="00125975" w:rsidRDefault="00C43485" w:rsidP="00654C47">
            <w:pPr>
              <w:keepNext/>
              <w:keepLines/>
              <w:adjustRightInd/>
              <w:spacing w:before="40" w:after="40" w:line="240" w:lineRule="auto"/>
              <w:textAlignment w:val="auto"/>
              <w:rPr>
                <w:rFonts w:ascii="Arial" w:hAnsi="Arial" w:cs="Arial"/>
                <w:sz w:val="18"/>
                <w:szCs w:val="18"/>
              </w:rPr>
            </w:pPr>
          </w:p>
        </w:tc>
        <w:tc>
          <w:tcPr>
            <w:tcW w:w="1682" w:type="dxa"/>
            <w:shd w:val="clear" w:color="auto" w:fill="CCEAF9" w:themeFill="accent1" w:themeFillTint="33"/>
            <w:tcMar>
              <w:top w:w="15" w:type="dxa"/>
              <w:left w:w="108" w:type="dxa"/>
              <w:bottom w:w="0" w:type="dxa"/>
              <w:right w:w="108" w:type="dxa"/>
            </w:tcMar>
            <w:vAlign w:val="center"/>
            <w:hideMark/>
          </w:tcPr>
          <w:p w:rsidR="00C43485" w:rsidRPr="00125975" w:rsidRDefault="00C43485" w:rsidP="00654C47">
            <w:pPr>
              <w:keepNext/>
              <w:keepLines/>
              <w:adjustRightInd/>
              <w:spacing w:before="40" w:after="40" w:line="240" w:lineRule="auto"/>
              <w:textAlignment w:val="auto"/>
              <w:rPr>
                <w:rFonts w:ascii="Arial" w:hAnsi="Arial" w:cs="Arial"/>
                <w:sz w:val="18"/>
                <w:szCs w:val="18"/>
              </w:rPr>
            </w:pPr>
            <w:r w:rsidRPr="00125975">
              <w:rPr>
                <w:rFonts w:ascii="Calibri" w:hAnsi="Calibri" w:cs="Arial"/>
                <w:color w:val="313B3F" w:themeColor="text1" w:themeShade="80"/>
                <w:kern w:val="24"/>
                <w:sz w:val="18"/>
                <w:szCs w:val="18"/>
              </w:rPr>
              <w:t>Uplift</w:t>
            </w:r>
          </w:p>
        </w:tc>
        <w:tc>
          <w:tcPr>
            <w:tcW w:w="1559" w:type="dxa"/>
            <w:shd w:val="clear" w:color="auto" w:fill="CCEAF9" w:themeFill="accent1" w:themeFillTint="33"/>
            <w:tcMar>
              <w:top w:w="12" w:type="dxa"/>
              <w:left w:w="12" w:type="dxa"/>
              <w:bottom w:w="0" w:type="dxa"/>
              <w:right w:w="12" w:type="dxa"/>
            </w:tcMar>
            <w:vAlign w:val="center"/>
            <w:hideMark/>
          </w:tcPr>
          <w:p w:rsidR="00C43485" w:rsidRPr="00125975" w:rsidRDefault="00C43485" w:rsidP="00654C47">
            <w:pPr>
              <w:keepNext/>
              <w:keepLines/>
              <w:adjustRightInd/>
              <w:spacing w:before="40" w:after="40" w:line="240" w:lineRule="auto"/>
              <w:jc w:val="center"/>
              <w:textAlignment w:val="auto"/>
              <w:rPr>
                <w:rFonts w:ascii="Arial" w:hAnsi="Arial" w:cs="Arial"/>
                <w:sz w:val="18"/>
                <w:szCs w:val="18"/>
              </w:rPr>
            </w:pPr>
            <w:r w:rsidRPr="00125975">
              <w:rPr>
                <w:rFonts w:asciiTheme="minorHAnsi" w:eastAsiaTheme="minorEastAsia" w:hAnsi="Calibri" w:cstheme="minorBidi"/>
                <w:color w:val="313B3F" w:themeColor="text1" w:themeShade="80"/>
                <w:kern w:val="24"/>
                <w:sz w:val="18"/>
                <w:szCs w:val="18"/>
              </w:rPr>
              <w:t>–</w:t>
            </w:r>
          </w:p>
        </w:tc>
        <w:tc>
          <w:tcPr>
            <w:tcW w:w="1560" w:type="dxa"/>
            <w:shd w:val="clear" w:color="auto" w:fill="CCEAF9" w:themeFill="accent1" w:themeFillTint="33"/>
            <w:tcMar>
              <w:top w:w="12" w:type="dxa"/>
              <w:left w:w="12" w:type="dxa"/>
              <w:bottom w:w="0" w:type="dxa"/>
              <w:right w:w="12" w:type="dxa"/>
            </w:tcMar>
            <w:vAlign w:val="center"/>
            <w:hideMark/>
          </w:tcPr>
          <w:p w:rsidR="00C43485" w:rsidRPr="00293C1C" w:rsidRDefault="0012597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w:t>
            </w:r>
            <w:r w:rsidR="00C43485" w:rsidRPr="00293C1C">
              <w:rPr>
                <w:rFonts w:ascii="Calibri" w:hAnsi="Calibri" w:cs="Arial"/>
                <w:kern w:val="24"/>
                <w:sz w:val="18"/>
                <w:szCs w:val="18"/>
              </w:rPr>
              <w:t>14</w:t>
            </w:r>
          </w:p>
        </w:tc>
        <w:tc>
          <w:tcPr>
            <w:tcW w:w="1559" w:type="dxa"/>
            <w:shd w:val="clear" w:color="auto" w:fill="CCEAF9" w:themeFill="accent1" w:themeFillTint="33"/>
            <w:tcMar>
              <w:top w:w="12" w:type="dxa"/>
              <w:left w:w="12" w:type="dxa"/>
              <w:bottom w:w="0" w:type="dxa"/>
              <w:right w:w="12" w:type="dxa"/>
            </w:tcMar>
            <w:vAlign w:val="center"/>
            <w:hideMark/>
          </w:tcPr>
          <w:p w:rsidR="00C43485" w:rsidRPr="00293C1C" w:rsidRDefault="00C4348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 xml:space="preserve">132 </w:t>
            </w:r>
          </w:p>
        </w:tc>
        <w:tc>
          <w:tcPr>
            <w:tcW w:w="1560" w:type="dxa"/>
            <w:shd w:val="clear" w:color="auto" w:fill="CCEAF9" w:themeFill="accent1" w:themeFillTint="33"/>
            <w:tcMar>
              <w:top w:w="12" w:type="dxa"/>
              <w:left w:w="12" w:type="dxa"/>
              <w:bottom w:w="0" w:type="dxa"/>
              <w:right w:w="12" w:type="dxa"/>
            </w:tcMar>
            <w:vAlign w:val="center"/>
            <w:hideMark/>
          </w:tcPr>
          <w:p w:rsidR="00C43485" w:rsidRPr="00293C1C" w:rsidRDefault="00C43485" w:rsidP="00654C47">
            <w:pPr>
              <w:keepNext/>
              <w:keepLines/>
              <w:adjustRightInd/>
              <w:spacing w:before="40" w:after="40" w:line="240" w:lineRule="auto"/>
              <w:jc w:val="center"/>
              <w:textAlignment w:val="bottom"/>
              <w:rPr>
                <w:rFonts w:ascii="Arial" w:hAnsi="Arial" w:cs="Arial"/>
                <w:sz w:val="18"/>
                <w:szCs w:val="18"/>
              </w:rPr>
            </w:pPr>
            <w:r w:rsidRPr="00293C1C">
              <w:rPr>
                <w:rFonts w:ascii="Calibri" w:hAnsi="Calibri" w:cs="Arial"/>
                <w:kern w:val="24"/>
                <w:sz w:val="18"/>
                <w:szCs w:val="18"/>
              </w:rPr>
              <w:t xml:space="preserve">38 </w:t>
            </w:r>
          </w:p>
        </w:tc>
      </w:tr>
      <w:tr w:rsidR="00125975" w:rsidRPr="00125975" w:rsidTr="00654C47">
        <w:trPr>
          <w:trHeight w:val="390"/>
          <w:jc w:val="center"/>
        </w:trPr>
        <w:tc>
          <w:tcPr>
            <w:tcW w:w="1437" w:type="dxa"/>
            <w:vMerge/>
            <w:shd w:val="clear" w:color="auto" w:fill="auto"/>
            <w:vAlign w:val="center"/>
            <w:hideMark/>
          </w:tcPr>
          <w:p w:rsidR="00C43485" w:rsidRPr="00125975" w:rsidRDefault="00C43485" w:rsidP="00654C47">
            <w:pPr>
              <w:keepNext/>
              <w:keepLines/>
              <w:adjustRightInd/>
              <w:spacing w:before="40" w:after="40" w:line="240" w:lineRule="auto"/>
              <w:textAlignment w:val="auto"/>
              <w:rPr>
                <w:rFonts w:ascii="Arial" w:hAnsi="Arial" w:cs="Arial"/>
                <w:sz w:val="18"/>
                <w:szCs w:val="18"/>
              </w:rPr>
            </w:pPr>
          </w:p>
        </w:tc>
        <w:tc>
          <w:tcPr>
            <w:tcW w:w="1682" w:type="dxa"/>
            <w:shd w:val="clear" w:color="auto" w:fill="auto"/>
            <w:tcMar>
              <w:top w:w="15" w:type="dxa"/>
              <w:left w:w="108" w:type="dxa"/>
              <w:bottom w:w="0" w:type="dxa"/>
              <w:right w:w="108" w:type="dxa"/>
            </w:tcMar>
            <w:vAlign w:val="center"/>
            <w:hideMark/>
          </w:tcPr>
          <w:p w:rsidR="00C43485" w:rsidRPr="00125975" w:rsidRDefault="00C43485" w:rsidP="00654C47">
            <w:pPr>
              <w:keepNext/>
              <w:keepLines/>
              <w:adjustRightInd/>
              <w:spacing w:before="40" w:after="40" w:line="240" w:lineRule="auto"/>
              <w:textAlignment w:val="auto"/>
              <w:rPr>
                <w:rFonts w:ascii="Arial" w:hAnsi="Arial" w:cs="Arial"/>
                <w:b/>
                <w:sz w:val="18"/>
                <w:szCs w:val="18"/>
              </w:rPr>
            </w:pPr>
            <w:r w:rsidRPr="00125975">
              <w:rPr>
                <w:rFonts w:ascii="Calibri" w:hAnsi="Calibri" w:cs="Arial"/>
                <w:b/>
                <w:color w:val="313B3F" w:themeColor="text1" w:themeShade="80"/>
                <w:kern w:val="24"/>
                <w:sz w:val="18"/>
                <w:szCs w:val="18"/>
              </w:rPr>
              <w:t>Total</w:t>
            </w:r>
          </w:p>
        </w:tc>
        <w:tc>
          <w:tcPr>
            <w:tcW w:w="1559" w:type="dxa"/>
            <w:shd w:val="clear" w:color="auto" w:fill="auto"/>
            <w:tcMar>
              <w:top w:w="12" w:type="dxa"/>
              <w:left w:w="12" w:type="dxa"/>
              <w:bottom w:w="0" w:type="dxa"/>
              <w:right w:w="12" w:type="dxa"/>
            </w:tcMar>
            <w:vAlign w:val="center"/>
            <w:hideMark/>
          </w:tcPr>
          <w:p w:rsidR="00C43485" w:rsidRPr="00125975" w:rsidRDefault="00C43485" w:rsidP="00654C47">
            <w:pPr>
              <w:keepNext/>
              <w:keepLines/>
              <w:adjustRightInd/>
              <w:spacing w:before="40" w:after="40" w:line="240" w:lineRule="auto"/>
              <w:jc w:val="center"/>
              <w:textAlignment w:val="auto"/>
              <w:rPr>
                <w:rFonts w:ascii="Arial" w:hAnsi="Arial" w:cs="Arial"/>
                <w:b/>
                <w:sz w:val="18"/>
                <w:szCs w:val="18"/>
              </w:rPr>
            </w:pPr>
            <w:r w:rsidRPr="00125975">
              <w:rPr>
                <w:rFonts w:asciiTheme="minorHAnsi" w:eastAsiaTheme="minorEastAsia" w:hAnsi="Calibri" w:cstheme="minorBidi"/>
                <w:b/>
                <w:color w:val="313B3F" w:themeColor="text1" w:themeShade="80"/>
                <w:kern w:val="24"/>
                <w:sz w:val="18"/>
                <w:szCs w:val="18"/>
              </w:rPr>
              <w:t>–</w:t>
            </w:r>
          </w:p>
        </w:tc>
        <w:tc>
          <w:tcPr>
            <w:tcW w:w="1560" w:type="dxa"/>
            <w:shd w:val="clear" w:color="auto" w:fill="auto"/>
            <w:tcMar>
              <w:top w:w="12" w:type="dxa"/>
              <w:left w:w="12" w:type="dxa"/>
              <w:bottom w:w="0" w:type="dxa"/>
              <w:right w:w="12" w:type="dxa"/>
            </w:tcMar>
            <w:vAlign w:val="center"/>
            <w:hideMark/>
          </w:tcPr>
          <w:p w:rsidR="00C43485" w:rsidRPr="00293C1C" w:rsidRDefault="00125975" w:rsidP="00654C47">
            <w:pPr>
              <w:keepNext/>
              <w:keepLines/>
              <w:adjustRightInd/>
              <w:spacing w:before="40" w:after="40" w:line="240" w:lineRule="auto"/>
              <w:jc w:val="center"/>
              <w:textAlignment w:val="bottom"/>
              <w:rPr>
                <w:rFonts w:ascii="Arial" w:hAnsi="Arial" w:cs="Arial"/>
                <w:b/>
                <w:sz w:val="18"/>
                <w:szCs w:val="18"/>
              </w:rPr>
            </w:pPr>
            <w:r w:rsidRPr="00293C1C">
              <w:rPr>
                <w:rFonts w:ascii="Calibri" w:hAnsi="Calibri" w:cs="Arial"/>
                <w:kern w:val="24"/>
                <w:sz w:val="18"/>
                <w:szCs w:val="18"/>
              </w:rPr>
              <w:t>−</w:t>
            </w:r>
            <w:r w:rsidR="00C43485" w:rsidRPr="00293C1C">
              <w:rPr>
                <w:rFonts w:ascii="Calibri" w:hAnsi="Calibri" w:cs="Arial"/>
                <w:b/>
                <w:kern w:val="24"/>
                <w:sz w:val="18"/>
                <w:szCs w:val="18"/>
              </w:rPr>
              <w:t>433</w:t>
            </w:r>
          </w:p>
        </w:tc>
        <w:tc>
          <w:tcPr>
            <w:tcW w:w="1559" w:type="dxa"/>
            <w:shd w:val="clear" w:color="auto" w:fill="auto"/>
            <w:tcMar>
              <w:top w:w="12" w:type="dxa"/>
              <w:left w:w="12" w:type="dxa"/>
              <w:bottom w:w="0" w:type="dxa"/>
              <w:right w:w="12" w:type="dxa"/>
            </w:tcMar>
            <w:vAlign w:val="center"/>
            <w:hideMark/>
          </w:tcPr>
          <w:p w:rsidR="00C43485" w:rsidRPr="00293C1C" w:rsidRDefault="00C43485" w:rsidP="00654C47">
            <w:pPr>
              <w:keepNext/>
              <w:keepLines/>
              <w:adjustRightInd/>
              <w:spacing w:before="40" w:after="40" w:line="240" w:lineRule="auto"/>
              <w:jc w:val="center"/>
              <w:textAlignment w:val="bottom"/>
              <w:rPr>
                <w:rFonts w:ascii="Arial" w:hAnsi="Arial" w:cs="Arial"/>
                <w:b/>
                <w:sz w:val="18"/>
                <w:szCs w:val="18"/>
              </w:rPr>
            </w:pPr>
            <w:r w:rsidRPr="00293C1C">
              <w:rPr>
                <w:rFonts w:ascii="Calibri" w:hAnsi="Calibri" w:cs="Arial"/>
                <w:b/>
                <w:kern w:val="24"/>
                <w:sz w:val="18"/>
                <w:szCs w:val="18"/>
              </w:rPr>
              <w:t xml:space="preserve">330 </w:t>
            </w:r>
          </w:p>
        </w:tc>
        <w:tc>
          <w:tcPr>
            <w:tcW w:w="1560" w:type="dxa"/>
            <w:shd w:val="clear" w:color="auto" w:fill="auto"/>
            <w:tcMar>
              <w:top w:w="12" w:type="dxa"/>
              <w:left w:w="12" w:type="dxa"/>
              <w:bottom w:w="0" w:type="dxa"/>
              <w:right w:w="12" w:type="dxa"/>
            </w:tcMar>
            <w:vAlign w:val="center"/>
            <w:hideMark/>
          </w:tcPr>
          <w:p w:rsidR="00C43485" w:rsidRPr="00293C1C" w:rsidRDefault="00125975" w:rsidP="00654C47">
            <w:pPr>
              <w:keepNext/>
              <w:keepLines/>
              <w:adjustRightInd/>
              <w:spacing w:before="40" w:after="40" w:line="240" w:lineRule="auto"/>
              <w:jc w:val="center"/>
              <w:textAlignment w:val="bottom"/>
              <w:rPr>
                <w:rFonts w:ascii="Arial" w:hAnsi="Arial" w:cs="Arial"/>
                <w:b/>
                <w:sz w:val="18"/>
                <w:szCs w:val="18"/>
              </w:rPr>
            </w:pPr>
            <w:r w:rsidRPr="00293C1C">
              <w:rPr>
                <w:rFonts w:ascii="Calibri" w:hAnsi="Calibri" w:cs="Arial"/>
                <w:kern w:val="24"/>
                <w:sz w:val="18"/>
                <w:szCs w:val="18"/>
              </w:rPr>
              <w:t>−</w:t>
            </w:r>
            <w:r w:rsidR="00C43485" w:rsidRPr="00293C1C">
              <w:rPr>
                <w:rFonts w:ascii="Calibri" w:hAnsi="Calibri" w:cs="Arial"/>
                <w:b/>
                <w:kern w:val="24"/>
                <w:sz w:val="18"/>
                <w:szCs w:val="18"/>
              </w:rPr>
              <w:t>598</w:t>
            </w:r>
          </w:p>
        </w:tc>
      </w:tr>
      <w:tr w:rsidR="00037CF0" w:rsidRPr="007F312C" w:rsidTr="00654C47">
        <w:trPr>
          <w:trHeight w:val="442"/>
          <w:jc w:val="center"/>
        </w:trPr>
        <w:tc>
          <w:tcPr>
            <w:tcW w:w="1437" w:type="dxa"/>
            <w:vMerge w:val="restart"/>
            <w:shd w:val="clear" w:color="auto" w:fill="CCEAF9" w:themeFill="accent1" w:themeFillTint="33"/>
            <w:tcMar>
              <w:top w:w="15" w:type="dxa"/>
              <w:left w:w="108" w:type="dxa"/>
              <w:bottom w:w="0" w:type="dxa"/>
              <w:right w:w="108" w:type="dxa"/>
            </w:tcMar>
            <w:vAlign w:val="center"/>
            <w:hideMark/>
          </w:tcPr>
          <w:p w:rsidR="00C43485" w:rsidRPr="007F312C" w:rsidRDefault="00C43485" w:rsidP="00654C47">
            <w:pPr>
              <w:keepNext/>
              <w:keepLines/>
              <w:adjustRightInd/>
              <w:spacing w:before="40" w:after="40" w:line="240" w:lineRule="auto"/>
              <w:textAlignment w:val="auto"/>
              <w:rPr>
                <w:rFonts w:ascii="Arial" w:hAnsi="Arial" w:cs="Arial"/>
                <w:sz w:val="18"/>
                <w:szCs w:val="18"/>
              </w:rPr>
            </w:pPr>
            <w:r w:rsidRPr="007F312C">
              <w:rPr>
                <w:rFonts w:ascii="Calibri" w:hAnsi="Calibri" w:cs="Arial"/>
                <w:b/>
                <w:bCs/>
                <w:kern w:val="24"/>
                <w:sz w:val="18"/>
                <w:szCs w:val="18"/>
              </w:rPr>
              <w:t>Constrained</w:t>
            </w:r>
          </w:p>
        </w:tc>
        <w:tc>
          <w:tcPr>
            <w:tcW w:w="1682" w:type="dxa"/>
            <w:shd w:val="clear" w:color="auto" w:fill="CCEAF9" w:themeFill="accent1" w:themeFillTint="33"/>
            <w:tcMar>
              <w:top w:w="15" w:type="dxa"/>
              <w:left w:w="108" w:type="dxa"/>
              <w:bottom w:w="0" w:type="dxa"/>
              <w:right w:w="108" w:type="dxa"/>
            </w:tcMar>
            <w:vAlign w:val="center"/>
            <w:hideMark/>
          </w:tcPr>
          <w:p w:rsidR="00C43485" w:rsidRPr="007F312C" w:rsidRDefault="00C43485" w:rsidP="00654C47">
            <w:pPr>
              <w:keepNext/>
              <w:keepLines/>
              <w:adjustRightInd/>
              <w:spacing w:before="40" w:after="40" w:line="240" w:lineRule="auto"/>
              <w:textAlignment w:val="auto"/>
              <w:rPr>
                <w:rFonts w:ascii="Arial" w:hAnsi="Arial" w:cs="Arial"/>
                <w:sz w:val="18"/>
                <w:szCs w:val="18"/>
              </w:rPr>
            </w:pPr>
            <w:r w:rsidRPr="007F312C">
              <w:rPr>
                <w:rFonts w:ascii="Calibri" w:hAnsi="Calibri" w:cs="Arial"/>
                <w:color w:val="313B3F" w:themeColor="text1" w:themeShade="80"/>
                <w:kern w:val="24"/>
                <w:sz w:val="18"/>
                <w:szCs w:val="18"/>
              </w:rPr>
              <w:t>LSE energy expense</w:t>
            </w:r>
          </w:p>
        </w:tc>
        <w:tc>
          <w:tcPr>
            <w:tcW w:w="1559" w:type="dxa"/>
            <w:shd w:val="clear" w:color="auto" w:fill="CCEAF9" w:themeFill="accent1" w:themeFillTint="33"/>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auto"/>
              <w:rPr>
                <w:rFonts w:ascii="Arial" w:hAnsi="Arial" w:cs="Arial"/>
                <w:sz w:val="18"/>
                <w:szCs w:val="18"/>
              </w:rPr>
            </w:pPr>
            <w:r w:rsidRPr="007F312C">
              <w:rPr>
                <w:rFonts w:asciiTheme="minorHAnsi" w:eastAsiaTheme="minorEastAsia" w:hAnsi="Calibri" w:cstheme="minorBidi"/>
                <w:color w:val="313B3F" w:themeColor="text1" w:themeShade="80"/>
                <w:kern w:val="24"/>
                <w:sz w:val="18"/>
                <w:szCs w:val="18"/>
              </w:rPr>
              <w:t>–</w:t>
            </w:r>
          </w:p>
        </w:tc>
        <w:tc>
          <w:tcPr>
            <w:tcW w:w="1560" w:type="dxa"/>
            <w:shd w:val="clear" w:color="auto" w:fill="CCEAF9" w:themeFill="accent1" w:themeFillTint="33"/>
            <w:tcMar>
              <w:top w:w="12" w:type="dxa"/>
              <w:left w:w="12" w:type="dxa"/>
              <w:bottom w:w="0" w:type="dxa"/>
              <w:right w:w="12" w:type="dxa"/>
            </w:tcMar>
            <w:vAlign w:val="center"/>
            <w:hideMark/>
          </w:tcPr>
          <w:p w:rsidR="00C43485" w:rsidRPr="007F312C" w:rsidRDefault="0012597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w:t>
            </w:r>
            <w:r w:rsidR="00C43485" w:rsidRPr="007F312C">
              <w:rPr>
                <w:rFonts w:ascii="Calibri" w:hAnsi="Calibri" w:cs="Arial"/>
                <w:kern w:val="24"/>
                <w:sz w:val="18"/>
                <w:szCs w:val="18"/>
              </w:rPr>
              <w:t>734</w:t>
            </w:r>
          </w:p>
        </w:tc>
        <w:tc>
          <w:tcPr>
            <w:tcW w:w="1559" w:type="dxa"/>
            <w:shd w:val="clear" w:color="auto" w:fill="CCEAF9" w:themeFill="accent1" w:themeFillTint="33"/>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 xml:space="preserve">602 </w:t>
            </w:r>
          </w:p>
        </w:tc>
        <w:tc>
          <w:tcPr>
            <w:tcW w:w="1560" w:type="dxa"/>
            <w:shd w:val="clear" w:color="auto" w:fill="CCEAF9" w:themeFill="accent1" w:themeFillTint="33"/>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 xml:space="preserve">103 </w:t>
            </w:r>
          </w:p>
        </w:tc>
      </w:tr>
      <w:tr w:rsidR="00125975" w:rsidRPr="007F312C" w:rsidTr="00654C47">
        <w:trPr>
          <w:trHeight w:val="390"/>
          <w:jc w:val="center"/>
        </w:trPr>
        <w:tc>
          <w:tcPr>
            <w:tcW w:w="1437" w:type="dxa"/>
            <w:vMerge/>
            <w:shd w:val="clear" w:color="auto" w:fill="CCEAF9" w:themeFill="accent1" w:themeFillTint="33"/>
            <w:vAlign w:val="center"/>
            <w:hideMark/>
          </w:tcPr>
          <w:p w:rsidR="00C43485" w:rsidRPr="007F312C" w:rsidRDefault="00C43485" w:rsidP="00654C47">
            <w:pPr>
              <w:keepNext/>
              <w:keepLines/>
              <w:adjustRightInd/>
              <w:spacing w:before="40" w:after="40" w:line="240" w:lineRule="auto"/>
              <w:textAlignment w:val="auto"/>
              <w:rPr>
                <w:rFonts w:ascii="Arial" w:hAnsi="Arial" w:cs="Arial"/>
                <w:sz w:val="18"/>
                <w:szCs w:val="18"/>
              </w:rPr>
            </w:pPr>
          </w:p>
        </w:tc>
        <w:tc>
          <w:tcPr>
            <w:tcW w:w="1682" w:type="dxa"/>
            <w:shd w:val="clear" w:color="auto" w:fill="auto"/>
            <w:tcMar>
              <w:top w:w="15" w:type="dxa"/>
              <w:left w:w="108" w:type="dxa"/>
              <w:bottom w:w="0" w:type="dxa"/>
              <w:right w:w="108" w:type="dxa"/>
            </w:tcMar>
            <w:vAlign w:val="center"/>
            <w:hideMark/>
          </w:tcPr>
          <w:p w:rsidR="00C43485" w:rsidRPr="007F312C" w:rsidRDefault="00C43485" w:rsidP="00654C47">
            <w:pPr>
              <w:keepNext/>
              <w:keepLines/>
              <w:adjustRightInd/>
              <w:spacing w:before="40" w:after="40" w:line="240" w:lineRule="auto"/>
              <w:textAlignment w:val="auto"/>
              <w:rPr>
                <w:rFonts w:ascii="Arial" w:hAnsi="Arial" w:cs="Arial"/>
                <w:sz w:val="18"/>
                <w:szCs w:val="18"/>
              </w:rPr>
            </w:pPr>
            <w:r w:rsidRPr="007F312C">
              <w:rPr>
                <w:rFonts w:ascii="Calibri" w:hAnsi="Calibri" w:cs="Arial"/>
                <w:color w:val="313B3F" w:themeColor="text1" w:themeShade="80"/>
                <w:kern w:val="24"/>
                <w:sz w:val="18"/>
                <w:szCs w:val="18"/>
              </w:rPr>
              <w:t>Uplift</w:t>
            </w:r>
          </w:p>
        </w:tc>
        <w:tc>
          <w:tcPr>
            <w:tcW w:w="1559" w:type="dxa"/>
            <w:shd w:val="clear" w:color="auto" w:fill="auto"/>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auto"/>
              <w:rPr>
                <w:rFonts w:ascii="Arial" w:hAnsi="Arial" w:cs="Arial"/>
                <w:sz w:val="18"/>
                <w:szCs w:val="18"/>
              </w:rPr>
            </w:pPr>
            <w:r w:rsidRPr="007F312C">
              <w:rPr>
                <w:rFonts w:asciiTheme="minorHAnsi" w:eastAsiaTheme="minorEastAsia" w:hAnsi="Calibri" w:cstheme="minorBidi"/>
                <w:color w:val="313B3F" w:themeColor="text1" w:themeShade="80"/>
                <w:kern w:val="24"/>
                <w:sz w:val="18"/>
                <w:szCs w:val="18"/>
              </w:rPr>
              <w:t>–</w:t>
            </w:r>
          </w:p>
        </w:tc>
        <w:tc>
          <w:tcPr>
            <w:tcW w:w="1560" w:type="dxa"/>
            <w:shd w:val="clear" w:color="auto" w:fill="auto"/>
            <w:tcMar>
              <w:top w:w="12" w:type="dxa"/>
              <w:left w:w="12" w:type="dxa"/>
              <w:bottom w:w="0" w:type="dxa"/>
              <w:right w:w="12" w:type="dxa"/>
            </w:tcMar>
            <w:vAlign w:val="center"/>
            <w:hideMark/>
          </w:tcPr>
          <w:p w:rsidR="00C43485" w:rsidRPr="007F312C" w:rsidRDefault="0012597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w:t>
            </w:r>
            <w:r w:rsidR="00C43485" w:rsidRPr="007F312C">
              <w:rPr>
                <w:rFonts w:ascii="Calibri" w:hAnsi="Calibri" w:cs="Arial"/>
                <w:kern w:val="24"/>
                <w:sz w:val="18"/>
                <w:szCs w:val="18"/>
              </w:rPr>
              <w:t>51</w:t>
            </w:r>
          </w:p>
        </w:tc>
        <w:tc>
          <w:tcPr>
            <w:tcW w:w="1559" w:type="dxa"/>
            <w:shd w:val="clear" w:color="auto" w:fill="auto"/>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 xml:space="preserve">101 </w:t>
            </w:r>
          </w:p>
        </w:tc>
        <w:tc>
          <w:tcPr>
            <w:tcW w:w="1560" w:type="dxa"/>
            <w:shd w:val="clear" w:color="auto" w:fill="auto"/>
            <w:tcMar>
              <w:top w:w="12" w:type="dxa"/>
              <w:left w:w="12" w:type="dxa"/>
              <w:bottom w:w="0" w:type="dxa"/>
              <w:right w:w="12" w:type="dxa"/>
            </w:tcMar>
            <w:vAlign w:val="center"/>
            <w:hideMark/>
          </w:tcPr>
          <w:p w:rsidR="00C43485" w:rsidRPr="007F312C" w:rsidRDefault="00C43485" w:rsidP="00654C47">
            <w:pPr>
              <w:keepNext/>
              <w:keepLines/>
              <w:adjustRightInd/>
              <w:spacing w:before="40" w:after="40" w:line="240" w:lineRule="auto"/>
              <w:jc w:val="center"/>
              <w:textAlignment w:val="bottom"/>
              <w:rPr>
                <w:rFonts w:ascii="Arial" w:hAnsi="Arial" w:cs="Arial"/>
                <w:sz w:val="18"/>
                <w:szCs w:val="18"/>
              </w:rPr>
            </w:pPr>
            <w:r w:rsidRPr="007F312C">
              <w:rPr>
                <w:rFonts w:ascii="Calibri" w:hAnsi="Calibri" w:cs="Arial"/>
                <w:kern w:val="24"/>
                <w:sz w:val="18"/>
                <w:szCs w:val="18"/>
              </w:rPr>
              <w:t xml:space="preserve">79 </w:t>
            </w:r>
          </w:p>
        </w:tc>
      </w:tr>
      <w:tr w:rsidR="00037CF0" w:rsidRPr="00125975" w:rsidTr="00654C47">
        <w:trPr>
          <w:trHeight w:val="390"/>
          <w:jc w:val="center"/>
        </w:trPr>
        <w:tc>
          <w:tcPr>
            <w:tcW w:w="1437" w:type="dxa"/>
            <w:vMerge/>
            <w:shd w:val="clear" w:color="auto" w:fill="CCEAF9" w:themeFill="accent1" w:themeFillTint="33"/>
            <w:vAlign w:val="center"/>
            <w:hideMark/>
          </w:tcPr>
          <w:p w:rsidR="00C43485" w:rsidRPr="007F312C" w:rsidRDefault="00C43485" w:rsidP="00293C1C">
            <w:pPr>
              <w:keepNext/>
              <w:keepLines/>
              <w:adjustRightInd/>
              <w:spacing w:before="40" w:after="40" w:line="240" w:lineRule="auto"/>
              <w:textAlignment w:val="auto"/>
              <w:rPr>
                <w:rFonts w:ascii="Arial" w:hAnsi="Arial" w:cs="Arial"/>
                <w:sz w:val="18"/>
                <w:szCs w:val="18"/>
              </w:rPr>
            </w:pPr>
          </w:p>
        </w:tc>
        <w:tc>
          <w:tcPr>
            <w:tcW w:w="1682" w:type="dxa"/>
            <w:shd w:val="clear" w:color="auto" w:fill="CCEAF9" w:themeFill="accent1" w:themeFillTint="33"/>
            <w:tcMar>
              <w:top w:w="15" w:type="dxa"/>
              <w:left w:w="108" w:type="dxa"/>
              <w:bottom w:w="0" w:type="dxa"/>
              <w:right w:w="108" w:type="dxa"/>
            </w:tcMar>
            <w:vAlign w:val="center"/>
            <w:hideMark/>
          </w:tcPr>
          <w:p w:rsidR="00C43485" w:rsidRPr="007F312C" w:rsidRDefault="00C43485" w:rsidP="00293C1C">
            <w:pPr>
              <w:keepNext/>
              <w:keepLines/>
              <w:adjustRightInd/>
              <w:spacing w:before="40" w:after="40" w:line="240" w:lineRule="auto"/>
              <w:textAlignment w:val="auto"/>
              <w:rPr>
                <w:rFonts w:ascii="Arial" w:hAnsi="Arial" w:cs="Arial"/>
                <w:b/>
                <w:sz w:val="18"/>
                <w:szCs w:val="18"/>
              </w:rPr>
            </w:pPr>
            <w:r w:rsidRPr="007F312C">
              <w:rPr>
                <w:rFonts w:ascii="Calibri" w:hAnsi="Calibri" w:cs="Arial"/>
                <w:b/>
                <w:color w:val="313B3F" w:themeColor="text1" w:themeShade="80"/>
                <w:kern w:val="24"/>
                <w:sz w:val="18"/>
                <w:szCs w:val="18"/>
              </w:rPr>
              <w:t>Total</w:t>
            </w:r>
          </w:p>
        </w:tc>
        <w:tc>
          <w:tcPr>
            <w:tcW w:w="1559" w:type="dxa"/>
            <w:shd w:val="clear" w:color="auto" w:fill="CCEAF9" w:themeFill="accent1" w:themeFillTint="33"/>
            <w:tcMar>
              <w:top w:w="12" w:type="dxa"/>
              <w:left w:w="12" w:type="dxa"/>
              <w:bottom w:w="0" w:type="dxa"/>
              <w:right w:w="12" w:type="dxa"/>
            </w:tcMar>
            <w:vAlign w:val="center"/>
            <w:hideMark/>
          </w:tcPr>
          <w:p w:rsidR="00C43485" w:rsidRPr="007F312C" w:rsidRDefault="00C43485" w:rsidP="00293C1C">
            <w:pPr>
              <w:keepNext/>
              <w:keepLines/>
              <w:adjustRightInd/>
              <w:spacing w:before="40" w:after="40" w:line="240" w:lineRule="auto"/>
              <w:jc w:val="center"/>
              <w:textAlignment w:val="auto"/>
              <w:rPr>
                <w:rFonts w:ascii="Arial" w:hAnsi="Arial" w:cs="Arial"/>
                <w:b/>
                <w:sz w:val="18"/>
                <w:szCs w:val="18"/>
              </w:rPr>
            </w:pPr>
            <w:r w:rsidRPr="007F312C">
              <w:rPr>
                <w:rFonts w:asciiTheme="minorHAnsi" w:eastAsiaTheme="minorEastAsia" w:hAnsi="Calibri" w:cstheme="minorBidi"/>
                <w:b/>
                <w:color w:val="313B3F" w:themeColor="text1" w:themeShade="80"/>
                <w:kern w:val="24"/>
                <w:sz w:val="18"/>
                <w:szCs w:val="18"/>
              </w:rPr>
              <w:t>–</w:t>
            </w:r>
          </w:p>
        </w:tc>
        <w:tc>
          <w:tcPr>
            <w:tcW w:w="1560" w:type="dxa"/>
            <w:shd w:val="clear" w:color="auto" w:fill="CCEAF9" w:themeFill="accent1" w:themeFillTint="33"/>
            <w:tcMar>
              <w:top w:w="12" w:type="dxa"/>
              <w:left w:w="12" w:type="dxa"/>
              <w:bottom w:w="0" w:type="dxa"/>
              <w:right w:w="12" w:type="dxa"/>
            </w:tcMar>
            <w:vAlign w:val="center"/>
            <w:hideMark/>
          </w:tcPr>
          <w:p w:rsidR="00C43485" w:rsidRPr="007F312C" w:rsidRDefault="00125975" w:rsidP="00293C1C">
            <w:pPr>
              <w:keepNext/>
              <w:keepLines/>
              <w:adjustRightInd/>
              <w:spacing w:before="40" w:after="40" w:line="240" w:lineRule="auto"/>
              <w:jc w:val="center"/>
              <w:textAlignment w:val="bottom"/>
              <w:rPr>
                <w:rFonts w:ascii="Arial" w:hAnsi="Arial" w:cs="Arial"/>
                <w:b/>
                <w:sz w:val="18"/>
                <w:szCs w:val="18"/>
              </w:rPr>
            </w:pPr>
            <w:r w:rsidRPr="007F312C">
              <w:rPr>
                <w:rFonts w:ascii="Calibri" w:hAnsi="Calibri" w:cs="Arial"/>
                <w:kern w:val="24"/>
                <w:sz w:val="18"/>
                <w:szCs w:val="18"/>
              </w:rPr>
              <w:t>−</w:t>
            </w:r>
            <w:r w:rsidR="00C43485" w:rsidRPr="007F312C">
              <w:rPr>
                <w:rFonts w:ascii="Calibri" w:hAnsi="Calibri" w:cs="Arial"/>
                <w:b/>
                <w:kern w:val="24"/>
                <w:sz w:val="18"/>
                <w:szCs w:val="18"/>
              </w:rPr>
              <w:t>784</w:t>
            </w:r>
          </w:p>
        </w:tc>
        <w:tc>
          <w:tcPr>
            <w:tcW w:w="1559" w:type="dxa"/>
            <w:shd w:val="clear" w:color="auto" w:fill="CCEAF9" w:themeFill="accent1" w:themeFillTint="33"/>
            <w:tcMar>
              <w:top w:w="12" w:type="dxa"/>
              <w:left w:w="12" w:type="dxa"/>
              <w:bottom w:w="0" w:type="dxa"/>
              <w:right w:w="12" w:type="dxa"/>
            </w:tcMar>
            <w:vAlign w:val="center"/>
            <w:hideMark/>
          </w:tcPr>
          <w:p w:rsidR="00C43485" w:rsidRPr="007F312C" w:rsidRDefault="00794069" w:rsidP="00794069">
            <w:pPr>
              <w:keepNext/>
              <w:keepLines/>
              <w:adjustRightInd/>
              <w:spacing w:before="40" w:after="40" w:line="240" w:lineRule="auto"/>
              <w:jc w:val="center"/>
              <w:textAlignment w:val="bottom"/>
              <w:rPr>
                <w:rFonts w:ascii="Calibri" w:hAnsi="Calibri" w:cs="Arial"/>
                <w:b/>
                <w:kern w:val="24"/>
                <w:sz w:val="18"/>
                <w:szCs w:val="18"/>
              </w:rPr>
            </w:pPr>
            <w:r w:rsidRPr="007F312C">
              <w:rPr>
                <w:rFonts w:ascii="Calibri" w:hAnsi="Calibri" w:cs="Arial"/>
                <w:b/>
                <w:kern w:val="24"/>
                <w:sz w:val="18"/>
                <w:szCs w:val="18"/>
              </w:rPr>
              <w:t>703</w:t>
            </w:r>
          </w:p>
        </w:tc>
        <w:tc>
          <w:tcPr>
            <w:tcW w:w="1560" w:type="dxa"/>
            <w:shd w:val="clear" w:color="auto" w:fill="CCEAF9" w:themeFill="accent1" w:themeFillTint="33"/>
            <w:tcMar>
              <w:top w:w="12" w:type="dxa"/>
              <w:left w:w="12" w:type="dxa"/>
              <w:bottom w:w="0" w:type="dxa"/>
              <w:right w:w="12" w:type="dxa"/>
            </w:tcMar>
            <w:vAlign w:val="center"/>
            <w:hideMark/>
          </w:tcPr>
          <w:p w:rsidR="00C43485" w:rsidRPr="007F312C" w:rsidRDefault="00794069" w:rsidP="00794069">
            <w:pPr>
              <w:keepNext/>
              <w:keepLines/>
              <w:adjustRightInd/>
              <w:spacing w:before="40" w:after="40" w:line="240" w:lineRule="auto"/>
              <w:jc w:val="center"/>
              <w:textAlignment w:val="bottom"/>
              <w:rPr>
                <w:rFonts w:ascii="Calibri" w:hAnsi="Calibri" w:cs="Arial"/>
                <w:b/>
                <w:kern w:val="24"/>
                <w:sz w:val="18"/>
                <w:szCs w:val="18"/>
              </w:rPr>
            </w:pPr>
            <w:r w:rsidRPr="007F312C">
              <w:rPr>
                <w:rFonts w:ascii="Calibri" w:hAnsi="Calibri" w:cs="Arial"/>
                <w:b/>
                <w:kern w:val="24"/>
                <w:sz w:val="18"/>
                <w:szCs w:val="18"/>
              </w:rPr>
              <w:t>181</w:t>
            </w:r>
          </w:p>
        </w:tc>
      </w:tr>
    </w:tbl>
    <w:p w:rsidR="007F312C" w:rsidRPr="007F312C" w:rsidRDefault="007F312C" w:rsidP="007F312C">
      <w:pPr>
        <w:spacing w:after="120" w:line="240" w:lineRule="auto"/>
      </w:pPr>
      <w:bookmarkStart w:id="295" w:name="_Ref518295627"/>
    </w:p>
    <w:p w:rsidR="00125975" w:rsidRPr="007F312C" w:rsidRDefault="00635C26" w:rsidP="00D27B9E">
      <w:pPr>
        <w:pStyle w:val="Heading3"/>
      </w:pPr>
      <w:bookmarkStart w:id="296" w:name="_Ref518986357"/>
      <w:bookmarkStart w:id="297" w:name="_Toc528571226"/>
      <w:r w:rsidRPr="007F312C">
        <w:t>GridView Congestion Metric by Interface</w:t>
      </w:r>
      <w:bookmarkEnd w:id="295"/>
      <w:bookmarkEnd w:id="296"/>
      <w:bookmarkEnd w:id="297"/>
    </w:p>
    <w:p w:rsidR="0090587C" w:rsidRDefault="00904B46" w:rsidP="00125975">
      <w:r>
        <w:fldChar w:fldCharType="begin"/>
      </w:r>
      <w:r>
        <w:instrText xml:space="preserve"> REF _Ref517274428 \h </w:instrText>
      </w:r>
      <w:r>
        <w:fldChar w:fldCharType="separate"/>
      </w:r>
      <w:r w:rsidR="00872A95" w:rsidRPr="008257F4">
        <w:t xml:space="preserve">Figure </w:t>
      </w:r>
      <w:r w:rsidR="00872A95">
        <w:rPr>
          <w:noProof/>
        </w:rPr>
        <w:t>6</w:t>
      </w:r>
      <w:r w:rsidR="00872A95" w:rsidRPr="008257F4">
        <w:noBreakHyphen/>
      </w:r>
      <w:r w:rsidR="00872A95">
        <w:rPr>
          <w:noProof/>
        </w:rPr>
        <w:t>5</w:t>
      </w:r>
      <w:r>
        <w:fldChar w:fldCharType="end"/>
      </w:r>
      <w:r w:rsidR="00125975" w:rsidRPr="00563472">
        <w:t xml:space="preserve"> and </w:t>
      </w:r>
      <w:r>
        <w:fldChar w:fldCharType="begin"/>
      </w:r>
      <w:r>
        <w:instrText xml:space="preserve"> REF _Ref517274439 \h </w:instrText>
      </w:r>
      <w:r>
        <w:fldChar w:fldCharType="separate"/>
      </w:r>
      <w:r w:rsidR="00872A95" w:rsidRPr="00FD7285">
        <w:t xml:space="preserve">Table </w:t>
      </w:r>
      <w:r w:rsidR="00872A95">
        <w:rPr>
          <w:noProof/>
        </w:rPr>
        <w:t>6</w:t>
      </w:r>
      <w:r w:rsidR="00872A95">
        <w:noBreakHyphen/>
      </w:r>
      <w:r w:rsidR="00872A95">
        <w:rPr>
          <w:noProof/>
        </w:rPr>
        <w:t>7</w:t>
      </w:r>
      <w:r>
        <w:fldChar w:fldCharType="end"/>
      </w:r>
      <w:r w:rsidR="00125975" w:rsidRPr="00563472">
        <w:t xml:space="preserve"> </w:t>
      </w:r>
      <w:r w:rsidR="00125975">
        <w:t>show most of the dollar value of congestion occurs in the northern Maine interfaces.</w:t>
      </w:r>
      <w:r w:rsidR="00DA7D6C">
        <w:rPr>
          <w:rStyle w:val="FootnoteReference"/>
        </w:rPr>
        <w:footnoteReference w:id="57"/>
      </w:r>
      <w:r w:rsidR="00125975">
        <w:t xml:space="preserve"> Similar to the other results discussed, the amount of congest</w:t>
      </w:r>
      <w:r>
        <w:t>i</w:t>
      </w:r>
      <w:r w:rsidR="00125975">
        <w:t>on is driven by the large-scale expansion of onshore wind resources in northern Maine. Thus, all scenarios resulted in high amounts of congestion with the exception of the EE</w:t>
      </w:r>
      <w:r>
        <w:t xml:space="preserve"> </w:t>
      </w:r>
      <w:r w:rsidR="00125975">
        <w:t>+</w:t>
      </w:r>
      <w:r>
        <w:t xml:space="preserve"> </w:t>
      </w:r>
      <w:r w:rsidR="00125975">
        <w:t xml:space="preserve">Offshore scenario. </w:t>
      </w:r>
    </w:p>
    <w:p w:rsidR="0090587C" w:rsidRDefault="0090587C" w:rsidP="00F47618">
      <w:pPr>
        <w:spacing w:after="0" w:line="240" w:lineRule="auto"/>
        <w:jc w:val="center"/>
      </w:pPr>
      <w:r w:rsidRPr="0090587C">
        <w:rPr>
          <w:noProof/>
        </w:rPr>
        <w:drawing>
          <wp:inline distT="0" distB="0" distL="0" distR="0" wp14:anchorId="4B563209" wp14:editId="44CA66D9">
            <wp:extent cx="4382797" cy="2413000"/>
            <wp:effectExtent l="19050" t="19050" r="1778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7804" cy="2421262"/>
                    </a:xfrm>
                    <a:prstGeom prst="rect">
                      <a:avLst/>
                    </a:prstGeom>
                    <a:noFill/>
                    <a:ln w="3175">
                      <a:solidFill>
                        <a:srgbClr val="000000"/>
                      </a:solidFill>
                    </a:ln>
                  </pic:spPr>
                </pic:pic>
              </a:graphicData>
            </a:graphic>
          </wp:inline>
        </w:drawing>
      </w:r>
    </w:p>
    <w:p w:rsidR="003E1486" w:rsidRDefault="00125975" w:rsidP="00D00D8D">
      <w:pPr>
        <w:pStyle w:val="Caption"/>
        <w:tabs>
          <w:tab w:val="clear" w:pos="9000"/>
        </w:tabs>
        <w:spacing w:before="120" w:after="80"/>
        <w:ind w:left="1260" w:right="1170"/>
      </w:pPr>
      <w:bookmarkStart w:id="298" w:name="_Ref517274428"/>
      <w:bookmarkStart w:id="299" w:name="_Toc519511510"/>
      <w:r w:rsidRPr="008257F4">
        <w:t xml:space="preserve">Figure </w:t>
      </w:r>
      <w:r w:rsidR="00E930AF" w:rsidRPr="008257F4">
        <w:rPr>
          <w:noProof/>
        </w:rPr>
        <w:fldChar w:fldCharType="begin"/>
      </w:r>
      <w:r w:rsidR="00E930AF" w:rsidRPr="008257F4">
        <w:rPr>
          <w:noProof/>
        </w:rPr>
        <w:instrText xml:space="preserve"> STYLEREF 1 \s </w:instrText>
      </w:r>
      <w:r w:rsidR="00E930AF" w:rsidRPr="008257F4">
        <w:rPr>
          <w:noProof/>
        </w:rPr>
        <w:fldChar w:fldCharType="separate"/>
      </w:r>
      <w:r w:rsidR="00872A95">
        <w:rPr>
          <w:noProof/>
        </w:rPr>
        <w:t>6</w:t>
      </w:r>
      <w:r w:rsidR="00E930AF" w:rsidRPr="008257F4">
        <w:rPr>
          <w:noProof/>
        </w:rPr>
        <w:fldChar w:fldCharType="end"/>
      </w:r>
      <w:r w:rsidR="00CF5BC5" w:rsidRPr="008257F4">
        <w:noBreakHyphen/>
      </w:r>
      <w:r w:rsidR="00E930AF" w:rsidRPr="008257F4">
        <w:rPr>
          <w:noProof/>
        </w:rPr>
        <w:fldChar w:fldCharType="begin"/>
      </w:r>
      <w:r w:rsidR="00E930AF" w:rsidRPr="008257F4">
        <w:rPr>
          <w:noProof/>
        </w:rPr>
        <w:instrText xml:space="preserve"> SEQ Figure \* ARABIC \s 1 </w:instrText>
      </w:r>
      <w:r w:rsidR="00E930AF" w:rsidRPr="008257F4">
        <w:rPr>
          <w:noProof/>
        </w:rPr>
        <w:fldChar w:fldCharType="separate"/>
      </w:r>
      <w:r w:rsidR="00872A95">
        <w:rPr>
          <w:noProof/>
        </w:rPr>
        <w:t>5</w:t>
      </w:r>
      <w:r w:rsidR="00E930AF" w:rsidRPr="008257F4">
        <w:rPr>
          <w:noProof/>
        </w:rPr>
        <w:fldChar w:fldCharType="end"/>
      </w:r>
      <w:bookmarkEnd w:id="298"/>
      <w:r w:rsidR="003E1486" w:rsidRPr="008257F4">
        <w:rPr>
          <w:b w:val="0"/>
        </w:rPr>
        <w:t xml:space="preserve">: </w:t>
      </w:r>
      <w:r w:rsidR="00C64C08" w:rsidRPr="008257F4">
        <w:t>Gridview congestion metric by interface, 2030 ($ million)</w:t>
      </w:r>
      <w:bookmarkEnd w:id="299"/>
      <w:r w:rsidR="00C64C08" w:rsidRPr="008257F4">
        <w:rPr>
          <w:b w:val="0"/>
        </w:rPr>
        <w:t xml:space="preserve"> </w:t>
      </w:r>
    </w:p>
    <w:p w:rsidR="008C6A50" w:rsidRPr="003A2CA8" w:rsidRDefault="00DE7410" w:rsidP="00D00D8D">
      <w:pPr>
        <w:spacing w:line="240" w:lineRule="auto"/>
        <w:ind w:left="1260" w:right="1170"/>
        <w:rPr>
          <w:rFonts w:asciiTheme="minorHAnsi" w:hAnsiTheme="minorHAnsi"/>
          <w:sz w:val="16"/>
          <w:szCs w:val="16"/>
        </w:rPr>
      </w:pPr>
      <w:r>
        <w:rPr>
          <w:rFonts w:asciiTheme="minorHAnsi" w:hAnsiTheme="minorHAnsi"/>
          <w:sz w:val="16"/>
          <w:szCs w:val="16"/>
        </w:rPr>
        <w:t xml:space="preserve">Note: </w:t>
      </w:r>
      <w:r w:rsidR="008C6A50">
        <w:rPr>
          <w:rFonts w:asciiTheme="minorHAnsi" w:hAnsiTheme="minorHAnsi"/>
          <w:sz w:val="16"/>
          <w:szCs w:val="16"/>
        </w:rPr>
        <w:t xml:space="preserve">In this </w:t>
      </w:r>
      <w:r>
        <w:rPr>
          <w:rFonts w:asciiTheme="minorHAnsi" w:hAnsiTheme="minorHAnsi"/>
          <w:sz w:val="16"/>
          <w:szCs w:val="16"/>
        </w:rPr>
        <w:t>f</w:t>
      </w:r>
      <w:r w:rsidR="008C6A50">
        <w:rPr>
          <w:rFonts w:asciiTheme="minorHAnsi" w:hAnsiTheme="minorHAnsi"/>
          <w:sz w:val="16"/>
          <w:szCs w:val="16"/>
        </w:rPr>
        <w:t>igure</w:t>
      </w:r>
      <w:r w:rsidR="008C6A50" w:rsidRPr="00D11A72">
        <w:rPr>
          <w:rFonts w:asciiTheme="minorHAnsi" w:hAnsiTheme="minorHAnsi"/>
          <w:sz w:val="16"/>
          <w:szCs w:val="16"/>
        </w:rPr>
        <w:t xml:space="preserve">, </w:t>
      </w:r>
      <w:r w:rsidR="008C6A50" w:rsidRPr="00D11A72">
        <w:rPr>
          <w:rFonts w:asciiTheme="minorHAnsi" w:hAnsiTheme="minorHAnsi"/>
          <w:i/>
          <w:sz w:val="16"/>
          <w:szCs w:val="16"/>
        </w:rPr>
        <w:t>congestion</w:t>
      </w:r>
      <w:r w:rsidR="008C6A50">
        <w:rPr>
          <w:rFonts w:asciiTheme="minorHAnsi" w:hAnsiTheme="minorHAnsi"/>
          <w:sz w:val="16"/>
          <w:szCs w:val="16"/>
        </w:rPr>
        <w:t xml:space="preserve"> equals the difference of the LMPs in the RSP bubbles bordering the interface multiplied by the transfer limit of the interface.</w:t>
      </w:r>
    </w:p>
    <w:p w:rsidR="00125975" w:rsidRPr="00DE7410" w:rsidRDefault="00125975" w:rsidP="0093684F">
      <w:pPr>
        <w:pStyle w:val="Caption"/>
        <w:jc w:val="center"/>
      </w:pPr>
      <w:bookmarkStart w:id="300" w:name="_Ref517274439"/>
      <w:bookmarkStart w:id="301" w:name="_Toc520721042"/>
      <w:r w:rsidRPr="00FD7285">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7</w:t>
      </w:r>
      <w:r w:rsidR="00EA3757">
        <w:rPr>
          <w:noProof/>
        </w:rPr>
        <w:fldChar w:fldCharType="end"/>
      </w:r>
      <w:bookmarkEnd w:id="300"/>
      <w:r w:rsidRPr="00FD7285">
        <w:br/>
        <w:t>GridView Congestion Metric by Interface, 2030 ($ Million)</w:t>
      </w:r>
      <w:bookmarkEnd w:id="301"/>
    </w:p>
    <w:tbl>
      <w:tblPr>
        <w:tblW w:w="78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30"/>
        <w:gridCol w:w="1471"/>
        <w:gridCol w:w="1471"/>
        <w:gridCol w:w="1471"/>
        <w:gridCol w:w="1472"/>
      </w:tblGrid>
      <w:tr w:rsidR="00DE7410" w:rsidRPr="00DE7410" w:rsidTr="00D00D8D">
        <w:trPr>
          <w:trHeight w:val="288"/>
          <w:jc w:val="center"/>
        </w:trPr>
        <w:tc>
          <w:tcPr>
            <w:tcW w:w="1930" w:type="dxa"/>
            <w:shd w:val="clear" w:color="auto" w:fill="1795D2"/>
            <w:tcMar>
              <w:top w:w="0" w:type="dxa"/>
              <w:left w:w="72" w:type="dxa"/>
              <w:bottom w:w="0" w:type="dxa"/>
              <w:right w:w="72" w:type="dxa"/>
            </w:tcMar>
            <w:vAlign w:val="center"/>
            <w:hideMark/>
          </w:tcPr>
          <w:p w:rsidR="003E1486" w:rsidRPr="00DE7410" w:rsidRDefault="003E1486" w:rsidP="0093684F">
            <w:pPr>
              <w:keepNext/>
              <w:keepLines/>
              <w:adjustRightInd/>
              <w:spacing w:before="40" w:after="40" w:line="240" w:lineRule="auto"/>
              <w:jc w:val="center"/>
              <w:textAlignment w:val="bottom"/>
              <w:rPr>
                <w:rFonts w:asciiTheme="minorHAnsi" w:hAnsiTheme="minorHAnsi" w:cs="Arial"/>
                <w:sz w:val="18"/>
                <w:szCs w:val="18"/>
              </w:rPr>
            </w:pPr>
            <w:r w:rsidRPr="00DE7410">
              <w:rPr>
                <w:rFonts w:asciiTheme="minorHAnsi" w:hAnsiTheme="minorHAnsi" w:cs="Arial"/>
                <w:b/>
                <w:bCs/>
                <w:color w:val="FFFFFF" w:themeColor="background1"/>
                <w:kern w:val="24"/>
                <w:sz w:val="18"/>
                <w:szCs w:val="18"/>
              </w:rPr>
              <w:t>Scenario</w:t>
            </w:r>
          </w:p>
        </w:tc>
        <w:tc>
          <w:tcPr>
            <w:tcW w:w="1471" w:type="dxa"/>
            <w:shd w:val="clear" w:color="auto" w:fill="1795D2"/>
            <w:tcMar>
              <w:top w:w="0" w:type="dxa"/>
              <w:left w:w="72" w:type="dxa"/>
              <w:bottom w:w="0" w:type="dxa"/>
              <w:right w:w="72" w:type="dxa"/>
            </w:tcMar>
            <w:vAlign w:val="center"/>
            <w:hideMark/>
          </w:tcPr>
          <w:p w:rsidR="003E1486" w:rsidRPr="00DE7410" w:rsidRDefault="003E1486" w:rsidP="0093684F">
            <w:pPr>
              <w:keepNext/>
              <w:keepLines/>
              <w:adjustRightInd/>
              <w:spacing w:before="40" w:after="40" w:line="240" w:lineRule="auto"/>
              <w:jc w:val="center"/>
              <w:textAlignment w:val="bottom"/>
              <w:rPr>
                <w:rFonts w:asciiTheme="minorHAnsi" w:hAnsiTheme="minorHAnsi" w:cs="Arial"/>
                <w:sz w:val="18"/>
                <w:szCs w:val="18"/>
              </w:rPr>
            </w:pPr>
            <w:r w:rsidRPr="00DE7410">
              <w:rPr>
                <w:rFonts w:asciiTheme="minorHAnsi" w:hAnsiTheme="minorHAnsi" w:cs="Arial"/>
                <w:b/>
                <w:bCs/>
                <w:color w:val="FFFFFF" w:themeColor="background1"/>
                <w:kern w:val="24"/>
                <w:sz w:val="18"/>
                <w:szCs w:val="18"/>
              </w:rPr>
              <w:t>Renew Plus</w:t>
            </w:r>
          </w:p>
        </w:tc>
        <w:tc>
          <w:tcPr>
            <w:tcW w:w="1471" w:type="dxa"/>
            <w:shd w:val="clear" w:color="auto" w:fill="1795D2"/>
            <w:tcMar>
              <w:top w:w="0" w:type="dxa"/>
              <w:left w:w="72" w:type="dxa"/>
              <w:bottom w:w="0" w:type="dxa"/>
              <w:right w:w="72" w:type="dxa"/>
            </w:tcMar>
            <w:vAlign w:val="center"/>
            <w:hideMark/>
          </w:tcPr>
          <w:p w:rsidR="003E1486" w:rsidRPr="00DE7410" w:rsidRDefault="003E1486" w:rsidP="0093684F">
            <w:pPr>
              <w:keepNext/>
              <w:keepLines/>
              <w:adjustRightInd/>
              <w:spacing w:before="40" w:after="40" w:line="240" w:lineRule="auto"/>
              <w:jc w:val="center"/>
              <w:textAlignment w:val="bottom"/>
              <w:rPr>
                <w:rFonts w:asciiTheme="minorHAnsi" w:hAnsiTheme="minorHAnsi" w:cs="Arial"/>
                <w:sz w:val="18"/>
                <w:szCs w:val="18"/>
              </w:rPr>
            </w:pPr>
            <w:r w:rsidRPr="00DE7410">
              <w:rPr>
                <w:rFonts w:asciiTheme="minorHAnsi" w:hAnsiTheme="minorHAnsi" w:cs="Arial"/>
                <w:b/>
                <w:bCs/>
                <w:color w:val="FFFFFF" w:themeColor="background1"/>
                <w:kern w:val="24"/>
                <w:sz w:val="18"/>
                <w:szCs w:val="18"/>
              </w:rPr>
              <w:t>EE + Offshore</w:t>
            </w:r>
          </w:p>
        </w:tc>
        <w:tc>
          <w:tcPr>
            <w:tcW w:w="1471" w:type="dxa"/>
            <w:shd w:val="clear" w:color="auto" w:fill="1795D2"/>
            <w:tcMar>
              <w:top w:w="0" w:type="dxa"/>
              <w:left w:w="72" w:type="dxa"/>
              <w:bottom w:w="0" w:type="dxa"/>
              <w:right w:w="72" w:type="dxa"/>
            </w:tcMar>
            <w:vAlign w:val="center"/>
            <w:hideMark/>
          </w:tcPr>
          <w:p w:rsidR="003E1486" w:rsidRPr="00DE7410" w:rsidRDefault="003E1486" w:rsidP="0093684F">
            <w:pPr>
              <w:keepNext/>
              <w:keepLines/>
              <w:adjustRightInd/>
              <w:spacing w:before="40" w:after="40" w:line="240" w:lineRule="auto"/>
              <w:jc w:val="center"/>
              <w:textAlignment w:val="bottom"/>
              <w:rPr>
                <w:rFonts w:asciiTheme="minorHAnsi" w:hAnsiTheme="minorHAnsi" w:cs="Arial"/>
                <w:sz w:val="18"/>
                <w:szCs w:val="18"/>
              </w:rPr>
            </w:pPr>
            <w:r w:rsidRPr="00DE7410">
              <w:rPr>
                <w:rFonts w:asciiTheme="minorHAnsi" w:hAnsiTheme="minorHAnsi" w:cs="Arial"/>
                <w:b/>
                <w:bCs/>
                <w:color w:val="FFFFFF" w:themeColor="background1"/>
                <w:kern w:val="24"/>
                <w:sz w:val="18"/>
                <w:szCs w:val="18"/>
              </w:rPr>
              <w:t>Onshore Less EE/PV</w:t>
            </w:r>
          </w:p>
        </w:tc>
        <w:tc>
          <w:tcPr>
            <w:tcW w:w="1472" w:type="dxa"/>
            <w:shd w:val="clear" w:color="auto" w:fill="1795D2"/>
            <w:tcMar>
              <w:top w:w="0" w:type="dxa"/>
              <w:left w:w="72" w:type="dxa"/>
              <w:bottom w:w="0" w:type="dxa"/>
              <w:right w:w="72" w:type="dxa"/>
            </w:tcMar>
            <w:vAlign w:val="center"/>
            <w:hideMark/>
          </w:tcPr>
          <w:p w:rsidR="003E1486" w:rsidRPr="00DE7410" w:rsidRDefault="00AF6389" w:rsidP="0093684F">
            <w:pPr>
              <w:keepNext/>
              <w:keepLines/>
              <w:adjustRightInd/>
              <w:spacing w:before="40" w:after="40" w:line="240" w:lineRule="auto"/>
              <w:jc w:val="center"/>
              <w:textAlignment w:val="bottom"/>
              <w:rPr>
                <w:rFonts w:asciiTheme="minorHAnsi" w:hAnsiTheme="minorHAnsi" w:cs="Arial"/>
                <w:sz w:val="18"/>
                <w:szCs w:val="18"/>
              </w:rPr>
            </w:pPr>
            <w:r>
              <w:rPr>
                <w:rFonts w:asciiTheme="minorHAnsi" w:hAnsiTheme="minorHAnsi" w:cs="Arial"/>
                <w:b/>
                <w:bCs/>
                <w:color w:val="FFFFFF" w:themeColor="background1"/>
                <w:kern w:val="24"/>
                <w:sz w:val="18"/>
                <w:szCs w:val="18"/>
              </w:rPr>
              <w:t>Wind Less Nuclear</w:t>
            </w:r>
          </w:p>
        </w:tc>
      </w:tr>
      <w:tr w:rsidR="00DE7410" w:rsidRPr="00DE7410" w:rsidTr="00D00D8D">
        <w:trPr>
          <w:trHeight w:val="288"/>
          <w:jc w:val="center"/>
        </w:trPr>
        <w:tc>
          <w:tcPr>
            <w:tcW w:w="1930" w:type="dxa"/>
            <w:shd w:val="clear" w:color="auto" w:fill="auto"/>
            <w:tcMar>
              <w:top w:w="0" w:type="dxa"/>
              <w:left w:w="72" w:type="dxa"/>
              <w:bottom w:w="0" w:type="dxa"/>
              <w:right w:w="72" w:type="dxa"/>
            </w:tcMar>
            <w:vAlign w:val="center"/>
            <w:hideMark/>
          </w:tcPr>
          <w:p w:rsidR="003E1486" w:rsidRPr="0093684F" w:rsidRDefault="003E1486" w:rsidP="0093684F">
            <w:pPr>
              <w:keepNext/>
              <w:keepLines/>
              <w:adjustRightInd/>
              <w:spacing w:before="40" w:after="40" w:line="240" w:lineRule="auto"/>
              <w:textAlignment w:val="bottom"/>
              <w:rPr>
                <w:rFonts w:asciiTheme="minorHAnsi" w:hAnsiTheme="minorHAnsi" w:cs="Arial"/>
                <w:sz w:val="18"/>
                <w:szCs w:val="18"/>
              </w:rPr>
            </w:pPr>
            <w:r w:rsidRPr="0093684F">
              <w:rPr>
                <w:rFonts w:asciiTheme="minorHAnsi" w:hAnsiTheme="minorHAnsi" w:cs="Arial"/>
                <w:b/>
                <w:bCs/>
                <w:kern w:val="24"/>
                <w:sz w:val="18"/>
                <w:szCs w:val="18"/>
              </w:rPr>
              <w:t>Orrington South</w:t>
            </w:r>
          </w:p>
        </w:tc>
        <w:tc>
          <w:tcPr>
            <w:tcW w:w="1471" w:type="dxa"/>
            <w:shd w:val="clear" w:color="auto" w:fill="auto"/>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60.7</w:t>
            </w:r>
          </w:p>
        </w:tc>
        <w:tc>
          <w:tcPr>
            <w:tcW w:w="1471" w:type="dxa"/>
            <w:shd w:val="clear" w:color="auto" w:fill="auto"/>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3.7</w:t>
            </w:r>
          </w:p>
        </w:tc>
        <w:tc>
          <w:tcPr>
            <w:tcW w:w="1471" w:type="dxa"/>
            <w:shd w:val="clear" w:color="auto" w:fill="auto"/>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74.8</w:t>
            </w:r>
          </w:p>
        </w:tc>
        <w:tc>
          <w:tcPr>
            <w:tcW w:w="1472" w:type="dxa"/>
            <w:shd w:val="clear" w:color="auto" w:fill="auto"/>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57.2</w:t>
            </w:r>
          </w:p>
        </w:tc>
      </w:tr>
      <w:tr w:rsidR="00DE7410" w:rsidRPr="00DE7410" w:rsidTr="00D00D8D">
        <w:trPr>
          <w:trHeight w:val="288"/>
          <w:jc w:val="center"/>
        </w:trPr>
        <w:tc>
          <w:tcPr>
            <w:tcW w:w="1930" w:type="dxa"/>
            <w:shd w:val="clear" w:color="auto" w:fill="CCEAF9" w:themeFill="accent1" w:themeFillTint="33"/>
            <w:tcMar>
              <w:top w:w="0" w:type="dxa"/>
              <w:left w:w="72" w:type="dxa"/>
              <w:bottom w:w="0" w:type="dxa"/>
              <w:right w:w="72" w:type="dxa"/>
            </w:tcMar>
            <w:vAlign w:val="center"/>
            <w:hideMark/>
          </w:tcPr>
          <w:p w:rsidR="003E1486" w:rsidRPr="0093684F" w:rsidRDefault="003E1486" w:rsidP="0093684F">
            <w:pPr>
              <w:keepNext/>
              <w:keepLines/>
              <w:adjustRightInd/>
              <w:spacing w:before="40" w:after="40" w:line="240" w:lineRule="auto"/>
              <w:textAlignment w:val="bottom"/>
              <w:rPr>
                <w:rFonts w:asciiTheme="minorHAnsi" w:hAnsiTheme="minorHAnsi" w:cs="Arial"/>
                <w:sz w:val="18"/>
                <w:szCs w:val="18"/>
              </w:rPr>
            </w:pPr>
            <w:r w:rsidRPr="0093684F">
              <w:rPr>
                <w:rFonts w:asciiTheme="minorHAnsi" w:hAnsiTheme="minorHAnsi" w:cs="Arial"/>
                <w:b/>
                <w:bCs/>
                <w:kern w:val="24"/>
                <w:sz w:val="18"/>
                <w:szCs w:val="18"/>
              </w:rPr>
              <w:t>Surowiec South</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143.8</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0.9</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200.5</w:t>
            </w:r>
          </w:p>
        </w:tc>
        <w:tc>
          <w:tcPr>
            <w:tcW w:w="1472"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283.1</w:t>
            </w:r>
          </w:p>
        </w:tc>
      </w:tr>
      <w:tr w:rsidR="00DE7410" w:rsidRPr="00DE7410" w:rsidTr="00D00D8D">
        <w:trPr>
          <w:trHeight w:val="288"/>
          <w:jc w:val="center"/>
        </w:trPr>
        <w:tc>
          <w:tcPr>
            <w:tcW w:w="1930" w:type="dxa"/>
            <w:shd w:val="clear" w:color="auto" w:fill="auto"/>
            <w:tcMar>
              <w:top w:w="0" w:type="dxa"/>
              <w:left w:w="72" w:type="dxa"/>
              <w:bottom w:w="0" w:type="dxa"/>
              <w:right w:w="72" w:type="dxa"/>
            </w:tcMar>
            <w:vAlign w:val="center"/>
            <w:hideMark/>
          </w:tcPr>
          <w:p w:rsidR="003E1486" w:rsidRPr="00245E69" w:rsidRDefault="003E1486" w:rsidP="0093684F">
            <w:pPr>
              <w:keepNext/>
              <w:keepLines/>
              <w:adjustRightInd/>
              <w:spacing w:before="40" w:after="40" w:line="240" w:lineRule="auto"/>
              <w:textAlignment w:val="bottom"/>
              <w:rPr>
                <w:rFonts w:asciiTheme="minorHAnsi" w:hAnsiTheme="minorHAnsi" w:cs="Arial"/>
                <w:sz w:val="18"/>
                <w:szCs w:val="18"/>
              </w:rPr>
            </w:pPr>
            <w:r w:rsidRPr="00245E69">
              <w:rPr>
                <w:rFonts w:asciiTheme="minorHAnsi" w:hAnsiTheme="minorHAnsi" w:cs="Arial"/>
                <w:b/>
                <w:bCs/>
                <w:kern w:val="24"/>
                <w:sz w:val="18"/>
                <w:szCs w:val="18"/>
              </w:rPr>
              <w:t>Maine</w:t>
            </w:r>
            <w:r w:rsidR="00245E69">
              <w:rPr>
                <w:rFonts w:asciiTheme="minorHAnsi" w:hAnsiTheme="minorHAnsi" w:cs="Arial"/>
                <w:b/>
                <w:bCs/>
                <w:kern w:val="24"/>
                <w:sz w:val="18"/>
                <w:szCs w:val="18"/>
              </w:rPr>
              <w:t>–</w:t>
            </w:r>
            <w:r w:rsidRPr="00245E69">
              <w:rPr>
                <w:rFonts w:asciiTheme="minorHAnsi" w:hAnsiTheme="minorHAnsi" w:cs="Arial"/>
                <w:b/>
                <w:bCs/>
                <w:kern w:val="24"/>
                <w:sz w:val="18"/>
                <w:szCs w:val="18"/>
              </w:rPr>
              <w:t>New Hampshire</w:t>
            </w:r>
          </w:p>
        </w:tc>
        <w:tc>
          <w:tcPr>
            <w:tcW w:w="1471" w:type="dxa"/>
            <w:shd w:val="clear" w:color="auto" w:fill="auto"/>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c>
          <w:tcPr>
            <w:tcW w:w="1471" w:type="dxa"/>
            <w:shd w:val="clear" w:color="auto" w:fill="auto"/>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c>
          <w:tcPr>
            <w:tcW w:w="1471" w:type="dxa"/>
            <w:shd w:val="clear" w:color="auto" w:fill="auto"/>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c>
          <w:tcPr>
            <w:tcW w:w="1472" w:type="dxa"/>
            <w:shd w:val="clear" w:color="auto" w:fill="auto"/>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r>
      <w:tr w:rsidR="00DE7410" w:rsidRPr="00DE7410" w:rsidTr="00D00D8D">
        <w:trPr>
          <w:trHeight w:val="288"/>
          <w:jc w:val="center"/>
        </w:trPr>
        <w:tc>
          <w:tcPr>
            <w:tcW w:w="1930" w:type="dxa"/>
            <w:shd w:val="clear" w:color="auto" w:fill="CCEAF9" w:themeFill="accent1" w:themeFillTint="33"/>
            <w:tcMar>
              <w:top w:w="0" w:type="dxa"/>
              <w:left w:w="72" w:type="dxa"/>
              <w:bottom w:w="0" w:type="dxa"/>
              <w:right w:w="72" w:type="dxa"/>
            </w:tcMar>
            <w:vAlign w:val="center"/>
            <w:hideMark/>
          </w:tcPr>
          <w:p w:rsidR="003E1486" w:rsidRPr="00245E69" w:rsidRDefault="003E1486" w:rsidP="0093684F">
            <w:pPr>
              <w:keepNext/>
              <w:keepLines/>
              <w:adjustRightInd/>
              <w:spacing w:before="40" w:after="40" w:line="240" w:lineRule="auto"/>
              <w:textAlignment w:val="bottom"/>
              <w:rPr>
                <w:rFonts w:asciiTheme="minorHAnsi" w:hAnsiTheme="minorHAnsi" w:cs="Arial"/>
                <w:sz w:val="18"/>
                <w:szCs w:val="18"/>
              </w:rPr>
            </w:pPr>
            <w:r w:rsidRPr="00245E69">
              <w:rPr>
                <w:rFonts w:asciiTheme="minorHAnsi" w:hAnsiTheme="minorHAnsi" w:cs="Arial"/>
                <w:b/>
                <w:bCs/>
                <w:kern w:val="24"/>
                <w:sz w:val="18"/>
                <w:szCs w:val="18"/>
              </w:rPr>
              <w:t>North</w:t>
            </w:r>
            <w:r w:rsidR="00245E69">
              <w:rPr>
                <w:rFonts w:asciiTheme="minorHAnsi" w:hAnsiTheme="minorHAnsi" w:cs="Arial"/>
                <w:b/>
                <w:bCs/>
                <w:kern w:val="24"/>
                <w:sz w:val="18"/>
                <w:szCs w:val="18"/>
              </w:rPr>
              <w:t>–</w:t>
            </w:r>
            <w:r w:rsidRPr="00245E69">
              <w:rPr>
                <w:rFonts w:asciiTheme="minorHAnsi" w:hAnsiTheme="minorHAnsi" w:cs="Arial"/>
                <w:b/>
                <w:bCs/>
                <w:kern w:val="24"/>
                <w:sz w:val="18"/>
                <w:szCs w:val="18"/>
              </w:rPr>
              <w:t>South</w:t>
            </w:r>
          </w:p>
        </w:tc>
        <w:tc>
          <w:tcPr>
            <w:tcW w:w="1471" w:type="dxa"/>
            <w:shd w:val="clear" w:color="auto" w:fill="CCEAF9" w:themeFill="accent1" w:themeFillTint="33"/>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0.3</w:t>
            </w:r>
          </w:p>
        </w:tc>
        <w:tc>
          <w:tcPr>
            <w:tcW w:w="1471" w:type="dxa"/>
            <w:shd w:val="clear" w:color="auto" w:fill="CCEAF9" w:themeFill="accent1" w:themeFillTint="33"/>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c>
          <w:tcPr>
            <w:tcW w:w="1471" w:type="dxa"/>
            <w:shd w:val="clear" w:color="auto" w:fill="CCEAF9" w:themeFill="accent1" w:themeFillTint="33"/>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c>
          <w:tcPr>
            <w:tcW w:w="1472" w:type="dxa"/>
            <w:shd w:val="clear" w:color="auto" w:fill="CCEAF9" w:themeFill="accent1" w:themeFillTint="33"/>
            <w:tcMar>
              <w:top w:w="0" w:type="dxa"/>
              <w:left w:w="0" w:type="dxa"/>
              <w:bottom w:w="0" w:type="dxa"/>
              <w:right w:w="432" w:type="dxa"/>
            </w:tcMar>
            <w:vAlign w:val="center"/>
            <w:hideMark/>
          </w:tcPr>
          <w:p w:rsidR="003E1486" w:rsidRPr="00245E69"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245E69">
              <w:rPr>
                <w:rFonts w:asciiTheme="minorHAnsi" w:hAnsiTheme="minorHAnsi" w:cs="Arial"/>
                <w:color w:val="313B3F" w:themeColor="text1" w:themeShade="80"/>
                <w:kern w:val="24"/>
                <w:sz w:val="18"/>
                <w:szCs w:val="18"/>
              </w:rPr>
              <w:t>0.0</w:t>
            </w:r>
          </w:p>
        </w:tc>
      </w:tr>
      <w:tr w:rsidR="00DE7410" w:rsidRPr="00DE7410" w:rsidTr="00D00D8D">
        <w:trPr>
          <w:trHeight w:val="288"/>
          <w:jc w:val="center"/>
        </w:trPr>
        <w:tc>
          <w:tcPr>
            <w:tcW w:w="1930" w:type="dxa"/>
            <w:shd w:val="clear" w:color="auto" w:fill="CCEAF9" w:themeFill="accent1" w:themeFillTint="33"/>
            <w:tcMar>
              <w:top w:w="0" w:type="dxa"/>
              <w:left w:w="72" w:type="dxa"/>
              <w:bottom w:w="0" w:type="dxa"/>
              <w:right w:w="72" w:type="dxa"/>
            </w:tcMar>
            <w:vAlign w:val="center"/>
            <w:hideMark/>
          </w:tcPr>
          <w:p w:rsidR="003E1486" w:rsidRPr="0093684F" w:rsidRDefault="003E1486" w:rsidP="0093684F">
            <w:pPr>
              <w:keepNext/>
              <w:keepLines/>
              <w:adjustRightInd/>
              <w:spacing w:before="40" w:after="40" w:line="240" w:lineRule="auto"/>
              <w:textAlignment w:val="bottom"/>
              <w:rPr>
                <w:rFonts w:asciiTheme="minorHAnsi" w:hAnsiTheme="minorHAnsi" w:cs="Arial"/>
                <w:sz w:val="18"/>
                <w:szCs w:val="18"/>
              </w:rPr>
            </w:pPr>
            <w:r w:rsidRPr="0093684F">
              <w:rPr>
                <w:rFonts w:asciiTheme="minorHAnsi" w:hAnsiTheme="minorHAnsi" w:cs="Arial"/>
                <w:b/>
                <w:bCs/>
                <w:kern w:val="24"/>
                <w:sz w:val="18"/>
                <w:szCs w:val="18"/>
              </w:rPr>
              <w:t>Other</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1.5</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2.5</w:t>
            </w:r>
          </w:p>
        </w:tc>
        <w:tc>
          <w:tcPr>
            <w:tcW w:w="1471"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0.0</w:t>
            </w:r>
          </w:p>
        </w:tc>
        <w:tc>
          <w:tcPr>
            <w:tcW w:w="1472" w:type="dxa"/>
            <w:shd w:val="clear" w:color="auto" w:fill="CCEAF9" w:themeFill="accent1" w:themeFillTint="33"/>
            <w:tcMar>
              <w:top w:w="0" w:type="dxa"/>
              <w:left w:w="0" w:type="dxa"/>
              <w:bottom w:w="0" w:type="dxa"/>
              <w:right w:w="432" w:type="dxa"/>
            </w:tcMar>
            <w:vAlign w:val="center"/>
            <w:hideMark/>
          </w:tcPr>
          <w:p w:rsidR="003E1486" w:rsidRPr="0093684F" w:rsidRDefault="003E1486" w:rsidP="0093684F">
            <w:pPr>
              <w:keepNext/>
              <w:keepLines/>
              <w:adjustRightInd/>
              <w:spacing w:before="40" w:after="40" w:line="240" w:lineRule="auto"/>
              <w:jc w:val="right"/>
              <w:textAlignment w:val="bottom"/>
              <w:rPr>
                <w:rFonts w:asciiTheme="minorHAnsi" w:hAnsiTheme="minorHAnsi" w:cs="Arial"/>
                <w:sz w:val="18"/>
                <w:szCs w:val="18"/>
              </w:rPr>
            </w:pPr>
            <w:r w:rsidRPr="0093684F">
              <w:rPr>
                <w:rFonts w:asciiTheme="minorHAnsi" w:hAnsiTheme="minorHAnsi" w:cs="Arial"/>
                <w:color w:val="313B3F" w:themeColor="text1" w:themeShade="80"/>
                <w:kern w:val="24"/>
                <w:sz w:val="18"/>
                <w:szCs w:val="18"/>
              </w:rPr>
              <w:t>0.4</w:t>
            </w:r>
          </w:p>
        </w:tc>
      </w:tr>
      <w:tr w:rsidR="00DE7410" w:rsidRPr="00DE7410" w:rsidTr="00D00D8D">
        <w:trPr>
          <w:trHeight w:val="288"/>
          <w:jc w:val="center"/>
        </w:trPr>
        <w:tc>
          <w:tcPr>
            <w:tcW w:w="1930" w:type="dxa"/>
            <w:shd w:val="clear" w:color="auto" w:fill="1795D2" w:themeFill="accent1"/>
            <w:tcMar>
              <w:top w:w="0" w:type="dxa"/>
              <w:left w:w="72" w:type="dxa"/>
              <w:bottom w:w="0" w:type="dxa"/>
              <w:right w:w="72" w:type="dxa"/>
            </w:tcMar>
            <w:vAlign w:val="center"/>
            <w:hideMark/>
          </w:tcPr>
          <w:p w:rsidR="003E1486" w:rsidRPr="00651F44" w:rsidRDefault="003E1486" w:rsidP="0093684F">
            <w:pPr>
              <w:keepNext/>
              <w:keepLines/>
              <w:adjustRightInd/>
              <w:spacing w:before="40" w:after="40" w:line="240" w:lineRule="auto"/>
              <w:textAlignment w:val="bottom"/>
              <w:rPr>
                <w:rFonts w:asciiTheme="minorHAnsi" w:hAnsiTheme="minorHAnsi" w:cs="Arial"/>
                <w:color w:val="FFFFFF" w:themeColor="background1"/>
                <w:sz w:val="18"/>
                <w:szCs w:val="18"/>
              </w:rPr>
            </w:pPr>
            <w:r w:rsidRPr="00651F44">
              <w:rPr>
                <w:rFonts w:asciiTheme="minorHAnsi" w:hAnsiTheme="minorHAnsi" w:cs="Arial"/>
                <w:b/>
                <w:bCs/>
                <w:color w:val="FFFFFF" w:themeColor="background1"/>
                <w:kern w:val="24"/>
                <w:sz w:val="18"/>
                <w:szCs w:val="18"/>
              </w:rPr>
              <w:t>Total</w:t>
            </w:r>
          </w:p>
        </w:tc>
        <w:tc>
          <w:tcPr>
            <w:tcW w:w="1471" w:type="dxa"/>
            <w:shd w:val="clear" w:color="auto" w:fill="1795D2" w:themeFill="accent1"/>
            <w:tcMar>
              <w:top w:w="0" w:type="dxa"/>
              <w:left w:w="0" w:type="dxa"/>
              <w:bottom w:w="0" w:type="dxa"/>
              <w:right w:w="432" w:type="dxa"/>
            </w:tcMar>
            <w:vAlign w:val="center"/>
            <w:hideMark/>
          </w:tcPr>
          <w:p w:rsidR="003E1486" w:rsidRPr="00FD7285" w:rsidRDefault="00F47618" w:rsidP="00651F44">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FD7285">
              <w:rPr>
                <w:rFonts w:asciiTheme="minorHAnsi" w:hAnsiTheme="minorHAnsi" w:cs="Arial"/>
                <w:b/>
                <w:color w:val="FFFFFF" w:themeColor="background1"/>
                <w:kern w:val="24"/>
                <w:sz w:val="18"/>
                <w:szCs w:val="18"/>
              </w:rPr>
              <w:t xml:space="preserve"> 206.3</w:t>
            </w:r>
          </w:p>
        </w:tc>
        <w:tc>
          <w:tcPr>
            <w:tcW w:w="1471" w:type="dxa"/>
            <w:shd w:val="clear" w:color="auto" w:fill="1795D2" w:themeFill="accent1"/>
            <w:tcMar>
              <w:top w:w="0" w:type="dxa"/>
              <w:left w:w="0" w:type="dxa"/>
              <w:bottom w:w="0" w:type="dxa"/>
              <w:right w:w="432" w:type="dxa"/>
            </w:tcMar>
            <w:vAlign w:val="center"/>
            <w:hideMark/>
          </w:tcPr>
          <w:p w:rsidR="003E1486" w:rsidRPr="00FD7285" w:rsidRDefault="00F47618" w:rsidP="00651F44">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FD7285">
              <w:rPr>
                <w:rFonts w:asciiTheme="minorHAnsi" w:hAnsiTheme="minorHAnsi" w:cs="Arial"/>
                <w:b/>
                <w:color w:val="FFFFFF" w:themeColor="background1"/>
                <w:kern w:val="24"/>
                <w:sz w:val="18"/>
                <w:szCs w:val="18"/>
              </w:rPr>
              <w:t xml:space="preserve"> 7.1</w:t>
            </w:r>
          </w:p>
        </w:tc>
        <w:tc>
          <w:tcPr>
            <w:tcW w:w="1471" w:type="dxa"/>
            <w:shd w:val="clear" w:color="auto" w:fill="1795D2" w:themeFill="accent1"/>
            <w:tcMar>
              <w:top w:w="0" w:type="dxa"/>
              <w:left w:w="0" w:type="dxa"/>
              <w:bottom w:w="0" w:type="dxa"/>
              <w:right w:w="432" w:type="dxa"/>
            </w:tcMar>
            <w:vAlign w:val="center"/>
            <w:hideMark/>
          </w:tcPr>
          <w:p w:rsidR="003E1486" w:rsidRPr="00FD7285" w:rsidRDefault="00F47618" w:rsidP="00651F44">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FD7285">
              <w:rPr>
                <w:rFonts w:asciiTheme="minorHAnsi" w:hAnsiTheme="minorHAnsi" w:cs="Arial"/>
                <w:b/>
                <w:color w:val="FFFFFF" w:themeColor="background1"/>
                <w:kern w:val="24"/>
                <w:sz w:val="18"/>
                <w:szCs w:val="18"/>
              </w:rPr>
              <w:t>275.3</w:t>
            </w:r>
          </w:p>
        </w:tc>
        <w:tc>
          <w:tcPr>
            <w:tcW w:w="1472" w:type="dxa"/>
            <w:shd w:val="clear" w:color="auto" w:fill="1795D2" w:themeFill="accent1"/>
            <w:tcMar>
              <w:top w:w="0" w:type="dxa"/>
              <w:left w:w="0" w:type="dxa"/>
              <w:bottom w:w="0" w:type="dxa"/>
              <w:right w:w="432" w:type="dxa"/>
            </w:tcMar>
            <w:vAlign w:val="center"/>
            <w:hideMark/>
          </w:tcPr>
          <w:p w:rsidR="003E1486" w:rsidRPr="00FD7285" w:rsidRDefault="00F47618" w:rsidP="00651F44">
            <w:pPr>
              <w:keepNext/>
              <w:keepLines/>
              <w:adjustRightInd/>
              <w:spacing w:before="40" w:after="40" w:line="240" w:lineRule="auto"/>
              <w:jc w:val="right"/>
              <w:textAlignment w:val="bottom"/>
              <w:rPr>
                <w:rFonts w:asciiTheme="minorHAnsi" w:hAnsiTheme="minorHAnsi" w:cs="Arial"/>
                <w:b/>
                <w:color w:val="FFFFFF" w:themeColor="background1"/>
                <w:sz w:val="18"/>
                <w:szCs w:val="18"/>
              </w:rPr>
            </w:pPr>
            <w:r w:rsidRPr="00FD7285">
              <w:rPr>
                <w:rFonts w:asciiTheme="minorHAnsi" w:hAnsiTheme="minorHAnsi" w:cs="Arial"/>
                <w:b/>
                <w:color w:val="FFFFFF" w:themeColor="background1"/>
                <w:kern w:val="24"/>
                <w:sz w:val="18"/>
                <w:szCs w:val="18"/>
              </w:rPr>
              <w:t>340.7</w:t>
            </w:r>
          </w:p>
        </w:tc>
      </w:tr>
    </w:tbl>
    <w:p w:rsidR="008C6A50" w:rsidRPr="003A2CA8" w:rsidRDefault="00125975" w:rsidP="0093684F">
      <w:pPr>
        <w:keepNext/>
        <w:keepLines/>
        <w:spacing w:before="120" w:line="240" w:lineRule="auto"/>
        <w:ind w:left="1080" w:right="900" w:hanging="270"/>
        <w:rPr>
          <w:rFonts w:asciiTheme="minorHAnsi" w:hAnsiTheme="minorHAnsi"/>
          <w:sz w:val="16"/>
          <w:szCs w:val="16"/>
        </w:rPr>
      </w:pPr>
      <w:r w:rsidDel="00125975">
        <w:rPr>
          <w:b/>
        </w:rPr>
        <w:t xml:space="preserve"> </w:t>
      </w:r>
      <w:r w:rsidR="008C6A50" w:rsidRPr="00AE63C5">
        <w:rPr>
          <w:rFonts w:asciiTheme="minorHAnsi" w:hAnsiTheme="minorHAnsi"/>
          <w:sz w:val="16"/>
          <w:szCs w:val="16"/>
        </w:rPr>
        <w:t>(a)</w:t>
      </w:r>
      <w:r w:rsidR="008C6A50">
        <w:rPr>
          <w:rFonts w:asciiTheme="minorHAnsi" w:hAnsiTheme="minorHAnsi"/>
          <w:b/>
          <w:sz w:val="16"/>
          <w:szCs w:val="16"/>
        </w:rPr>
        <w:t xml:space="preserve"> </w:t>
      </w:r>
      <w:r w:rsidR="002E542B">
        <w:rPr>
          <w:rFonts w:asciiTheme="minorHAnsi" w:hAnsiTheme="minorHAnsi"/>
          <w:b/>
          <w:sz w:val="16"/>
          <w:szCs w:val="16"/>
        </w:rPr>
        <w:tab/>
      </w:r>
      <w:r w:rsidR="008C6A50">
        <w:rPr>
          <w:rFonts w:asciiTheme="minorHAnsi" w:hAnsiTheme="minorHAnsi"/>
          <w:sz w:val="16"/>
          <w:szCs w:val="16"/>
        </w:rPr>
        <w:t xml:space="preserve">In this </w:t>
      </w:r>
      <w:r>
        <w:rPr>
          <w:rFonts w:asciiTheme="minorHAnsi" w:hAnsiTheme="minorHAnsi"/>
          <w:sz w:val="16"/>
          <w:szCs w:val="16"/>
        </w:rPr>
        <w:t>t</w:t>
      </w:r>
      <w:r w:rsidR="008C6A50">
        <w:rPr>
          <w:rFonts w:asciiTheme="minorHAnsi" w:hAnsiTheme="minorHAnsi"/>
          <w:sz w:val="16"/>
          <w:szCs w:val="16"/>
        </w:rPr>
        <w:t>able</w:t>
      </w:r>
      <w:r w:rsidR="008C6A50" w:rsidRPr="00D11A72">
        <w:rPr>
          <w:rFonts w:asciiTheme="minorHAnsi" w:hAnsiTheme="minorHAnsi"/>
          <w:sz w:val="16"/>
          <w:szCs w:val="16"/>
        </w:rPr>
        <w:t xml:space="preserve">, </w:t>
      </w:r>
      <w:r w:rsidR="008C6A50" w:rsidRPr="00D11A72">
        <w:rPr>
          <w:rFonts w:asciiTheme="minorHAnsi" w:hAnsiTheme="minorHAnsi"/>
          <w:i/>
          <w:sz w:val="16"/>
          <w:szCs w:val="16"/>
        </w:rPr>
        <w:t>congestion</w:t>
      </w:r>
      <w:r w:rsidR="008C6A50">
        <w:rPr>
          <w:rFonts w:asciiTheme="minorHAnsi" w:hAnsiTheme="minorHAnsi"/>
          <w:sz w:val="16"/>
          <w:szCs w:val="16"/>
        </w:rPr>
        <w:t xml:space="preserve"> equals the difference of the LMPs in the RSP bubbles bordering the interface multiplied by the transfer limit of the interface.</w:t>
      </w:r>
    </w:p>
    <w:p w:rsidR="003E1486" w:rsidRDefault="002E542B" w:rsidP="00E660C2">
      <w:r>
        <w:fldChar w:fldCharType="begin"/>
      </w:r>
      <w:r>
        <w:instrText xml:space="preserve"> REF _Ref517265867 \h </w:instrText>
      </w:r>
      <w:r>
        <w:fldChar w:fldCharType="separate"/>
      </w:r>
      <w:r w:rsidR="00872A95" w:rsidRPr="00561FA2">
        <w:t xml:space="preserve">Table </w:t>
      </w:r>
      <w:r w:rsidR="00872A95">
        <w:rPr>
          <w:noProof/>
        </w:rPr>
        <w:t>6</w:t>
      </w:r>
      <w:r w:rsidR="00872A95">
        <w:noBreakHyphen/>
      </w:r>
      <w:r w:rsidR="00872A95">
        <w:rPr>
          <w:noProof/>
        </w:rPr>
        <w:t>8</w:t>
      </w:r>
      <w:r>
        <w:fldChar w:fldCharType="end"/>
      </w:r>
      <w:r w:rsidR="00A87303">
        <w:t xml:space="preserve"> </w:t>
      </w:r>
      <w:r w:rsidR="00037B13">
        <w:t xml:space="preserve">shows transmission system flows </w:t>
      </w:r>
      <w:r w:rsidR="006F0DD8">
        <w:t>for the constrained and unconstrained scenarios</w:t>
      </w:r>
      <w:r w:rsidR="00860D3B">
        <w:t xml:space="preserve">. </w:t>
      </w:r>
      <w:r w:rsidR="006F0DD8">
        <w:t>W</w:t>
      </w:r>
      <w:r w:rsidR="006F0DD8" w:rsidRPr="006F0DD8">
        <w:t>ith the exception of the EE + Offshore scenario</w:t>
      </w:r>
      <w:r w:rsidR="006F0DD8">
        <w:t>, t</w:t>
      </w:r>
      <w:r w:rsidR="00671E06">
        <w:t>he O</w:t>
      </w:r>
      <w:r>
        <w:t>r</w:t>
      </w:r>
      <w:r w:rsidR="00671E06">
        <w:t xml:space="preserve">rington-South </w:t>
      </w:r>
      <w:r w:rsidR="00671E06" w:rsidRPr="000C354D">
        <w:t>and Surowiec South</w:t>
      </w:r>
      <w:r w:rsidR="00671E06">
        <w:t xml:space="preserve"> </w:t>
      </w:r>
      <w:r w:rsidR="00037B13">
        <w:t xml:space="preserve">interfaces </w:t>
      </w:r>
      <w:r w:rsidR="00671E06">
        <w:t>reach their limits a significant amount of time in all constrained cases</w:t>
      </w:r>
      <w:r w:rsidR="00860D3B">
        <w:t xml:space="preserve">. </w:t>
      </w:r>
      <w:r w:rsidR="006F0DD8">
        <w:t>The unconstrained cases show the three scenarios would also exceed the Maine-New Hampshire and North South interface limits</w:t>
      </w:r>
      <w:r w:rsidR="00860D3B">
        <w:t xml:space="preserve">. </w:t>
      </w:r>
      <w:r w:rsidR="006F0DD8">
        <w:t>This is because relieving the transmission limits of the two northern interfaces results in additional transmission flows to the load centers in New En</w:t>
      </w:r>
      <w:r w:rsidR="00561FA2">
        <w:t>g</w:t>
      </w:r>
      <w:r w:rsidR="006F0DD8">
        <w:t>land</w:t>
      </w:r>
      <w:r w:rsidR="00860D3B">
        <w:t>.</w:t>
      </w:r>
    </w:p>
    <w:p w:rsidR="00561FA2" w:rsidRDefault="00561FA2" w:rsidP="002607CF">
      <w:pPr>
        <w:pStyle w:val="Caption"/>
        <w:jc w:val="center"/>
      </w:pPr>
      <w:bookmarkStart w:id="302" w:name="_Ref517265867"/>
      <w:bookmarkStart w:id="303" w:name="_Toc520721043"/>
      <w:r w:rsidRPr="00561FA2">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8</w:t>
      </w:r>
      <w:r w:rsidR="00EA3757">
        <w:rPr>
          <w:noProof/>
        </w:rPr>
        <w:fldChar w:fldCharType="end"/>
      </w:r>
      <w:bookmarkEnd w:id="302"/>
      <w:r w:rsidRPr="00561FA2">
        <w:br/>
        <w:t>Percentage of Hours Interface Flow Reaches or Exceeds 100% of Rating</w:t>
      </w:r>
      <w:r w:rsidR="00D00D8D">
        <w:br/>
      </w:r>
      <w:r w:rsidRPr="004602FB">
        <w:t xml:space="preserve">in </w:t>
      </w:r>
      <w:r w:rsidR="00330AD7" w:rsidRPr="004602FB">
        <w:t xml:space="preserve">the Constrained and </w:t>
      </w:r>
      <w:r w:rsidRPr="004602FB">
        <w:t>Unconstra</w:t>
      </w:r>
      <w:r w:rsidR="004602FB">
        <w:t>i</w:t>
      </w:r>
      <w:r w:rsidRPr="004602FB">
        <w:t>ned Cases—All Scenarios, 2030</w:t>
      </w:r>
      <w:bookmarkEnd w:id="303"/>
    </w:p>
    <w:tbl>
      <w:tblPr>
        <w:tblW w:w="93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501"/>
        <w:gridCol w:w="1768"/>
        <w:gridCol w:w="1008"/>
        <w:gridCol w:w="1008"/>
        <w:gridCol w:w="1008"/>
        <w:gridCol w:w="1008"/>
        <w:gridCol w:w="1008"/>
        <w:gridCol w:w="1008"/>
      </w:tblGrid>
      <w:tr w:rsidR="00965CFA" w:rsidRPr="00561FA2" w:rsidTr="00D00D8D">
        <w:trPr>
          <w:trHeight w:val="288"/>
          <w:jc w:val="center"/>
        </w:trPr>
        <w:tc>
          <w:tcPr>
            <w:tcW w:w="1501" w:type="dxa"/>
            <w:shd w:val="clear" w:color="auto" w:fill="1795D2"/>
            <w:vAlign w:val="center"/>
          </w:tcPr>
          <w:p w:rsidR="00965CFA" w:rsidRPr="00561FA2" w:rsidRDefault="00965CFA" w:rsidP="00245E69">
            <w:pPr>
              <w:keepNext/>
              <w:keepLines/>
              <w:adjustRightInd/>
              <w:spacing w:before="40" w:after="40" w:line="240" w:lineRule="auto"/>
              <w:jc w:val="center"/>
              <w:textAlignment w:val="bottom"/>
              <w:rPr>
                <w:rFonts w:asciiTheme="majorHAnsi" w:eastAsiaTheme="minorEastAsia" w:hAnsiTheme="majorHAnsi" w:cstheme="minorBidi"/>
                <w:b/>
                <w:bCs/>
                <w:color w:val="FFFFFF" w:themeColor="background1"/>
                <w:kern w:val="24"/>
                <w:sz w:val="18"/>
                <w:szCs w:val="18"/>
              </w:rPr>
            </w:pPr>
            <w:r>
              <w:rPr>
                <w:rFonts w:asciiTheme="majorHAnsi" w:eastAsiaTheme="minorEastAsia" w:hAnsiTheme="majorHAnsi" w:cstheme="minorBidi"/>
                <w:b/>
                <w:bCs/>
                <w:color w:val="FFFFFF" w:themeColor="background1"/>
                <w:kern w:val="24"/>
                <w:sz w:val="18"/>
                <w:szCs w:val="18"/>
              </w:rPr>
              <w:t>Transmission</w:t>
            </w:r>
          </w:p>
        </w:tc>
        <w:tc>
          <w:tcPr>
            <w:tcW w:w="176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eastAsiaTheme="minorEastAsia" w:hAnsiTheme="majorHAnsi" w:cstheme="minorBidi"/>
                <w:b/>
                <w:bCs/>
                <w:color w:val="FFFFFF" w:themeColor="background1"/>
                <w:kern w:val="24"/>
                <w:sz w:val="18"/>
                <w:szCs w:val="18"/>
              </w:rPr>
              <w:t> Scenarios</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Orrington-</w:t>
            </w:r>
            <w:r>
              <w:rPr>
                <w:rFonts w:asciiTheme="majorHAnsi" w:hAnsiTheme="majorHAnsi" w:cs="Arial"/>
                <w:b/>
                <w:bCs/>
                <w:color w:val="FFFFFF" w:themeColor="background1"/>
                <w:kern w:val="24"/>
                <w:sz w:val="18"/>
                <w:szCs w:val="18"/>
              </w:rPr>
              <w:br/>
            </w:r>
            <w:r w:rsidRPr="00561FA2">
              <w:rPr>
                <w:rFonts w:asciiTheme="majorHAnsi" w:hAnsiTheme="majorHAnsi" w:cs="Arial"/>
                <w:b/>
                <w:bCs/>
                <w:color w:val="FFFFFF" w:themeColor="background1"/>
                <w:kern w:val="24"/>
                <w:sz w:val="18"/>
                <w:szCs w:val="18"/>
              </w:rPr>
              <w:t>South</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Surowiec</w:t>
            </w:r>
            <w:r>
              <w:rPr>
                <w:rFonts w:asciiTheme="majorHAnsi" w:hAnsiTheme="majorHAnsi" w:cs="Arial"/>
                <w:b/>
                <w:bCs/>
                <w:color w:val="FFFFFF" w:themeColor="background1"/>
                <w:kern w:val="24"/>
                <w:sz w:val="18"/>
                <w:szCs w:val="18"/>
              </w:rPr>
              <w:br/>
            </w:r>
            <w:r w:rsidRPr="00561FA2">
              <w:rPr>
                <w:rFonts w:asciiTheme="majorHAnsi" w:hAnsiTheme="majorHAnsi" w:cs="Arial"/>
                <w:b/>
                <w:bCs/>
                <w:color w:val="FFFFFF" w:themeColor="background1"/>
                <w:kern w:val="24"/>
                <w:sz w:val="18"/>
                <w:szCs w:val="18"/>
              </w:rPr>
              <w:t>South</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Maine-</w:t>
            </w:r>
            <w:r>
              <w:rPr>
                <w:rFonts w:asciiTheme="majorHAnsi" w:hAnsiTheme="majorHAnsi" w:cs="Arial"/>
                <w:b/>
                <w:bCs/>
                <w:color w:val="FFFFFF" w:themeColor="background1"/>
                <w:kern w:val="24"/>
                <w:sz w:val="18"/>
                <w:szCs w:val="18"/>
              </w:rPr>
              <w:br/>
            </w:r>
            <w:r w:rsidRPr="00561FA2">
              <w:rPr>
                <w:rFonts w:asciiTheme="majorHAnsi" w:hAnsiTheme="majorHAnsi" w:cs="Arial"/>
                <w:b/>
                <w:bCs/>
                <w:color w:val="FFFFFF" w:themeColor="background1"/>
                <w:kern w:val="24"/>
                <w:sz w:val="18"/>
                <w:szCs w:val="18"/>
              </w:rPr>
              <w:t>New Hampshire</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North-</w:t>
            </w:r>
            <w:r>
              <w:rPr>
                <w:rFonts w:asciiTheme="majorHAnsi" w:hAnsiTheme="majorHAnsi" w:cs="Arial"/>
                <w:b/>
                <w:bCs/>
                <w:color w:val="FFFFFF" w:themeColor="background1"/>
                <w:kern w:val="24"/>
                <w:sz w:val="18"/>
                <w:szCs w:val="18"/>
              </w:rPr>
              <w:br/>
            </w:r>
            <w:r w:rsidRPr="00561FA2">
              <w:rPr>
                <w:rFonts w:asciiTheme="majorHAnsi" w:hAnsiTheme="majorHAnsi" w:cs="Arial"/>
                <w:b/>
                <w:bCs/>
                <w:color w:val="FFFFFF" w:themeColor="background1"/>
                <w:kern w:val="24"/>
                <w:sz w:val="18"/>
                <w:szCs w:val="18"/>
              </w:rPr>
              <w:t>South</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SEMA/RI Import</w:t>
            </w:r>
            <w:r w:rsidR="004602FB" w:rsidRPr="004602FB">
              <w:rPr>
                <w:rFonts w:asciiTheme="majorHAnsi" w:hAnsiTheme="majorHAnsi" w:cs="Arial"/>
                <w:b/>
                <w:bCs/>
                <w:color w:val="FFFFFF" w:themeColor="background1"/>
                <w:kern w:val="24"/>
                <w:sz w:val="18"/>
                <w:szCs w:val="18"/>
                <w:vertAlign w:val="superscript"/>
              </w:rPr>
              <w:t>(a)</w:t>
            </w:r>
          </w:p>
        </w:tc>
        <w:tc>
          <w:tcPr>
            <w:tcW w:w="1008" w:type="dxa"/>
            <w:shd w:val="clear" w:color="auto" w:fill="1795D2"/>
            <w:tcMar>
              <w:top w:w="12" w:type="dxa"/>
              <w:left w:w="12" w:type="dxa"/>
              <w:bottom w:w="0" w:type="dxa"/>
              <w:right w:w="12" w:type="dxa"/>
            </w:tcMar>
            <w:vAlign w:val="center"/>
            <w:hideMark/>
          </w:tcPr>
          <w:p w:rsidR="00965CFA" w:rsidRPr="00561FA2" w:rsidRDefault="00965CFA" w:rsidP="00245E69">
            <w:pPr>
              <w:keepNext/>
              <w:keepLines/>
              <w:adjustRightInd/>
              <w:spacing w:before="40" w:after="40" w:line="240" w:lineRule="auto"/>
              <w:jc w:val="center"/>
              <w:textAlignment w:val="bottom"/>
              <w:rPr>
                <w:rFonts w:asciiTheme="majorHAnsi" w:hAnsiTheme="majorHAnsi" w:cs="Arial"/>
                <w:sz w:val="18"/>
                <w:szCs w:val="18"/>
              </w:rPr>
            </w:pPr>
            <w:r w:rsidRPr="00561FA2">
              <w:rPr>
                <w:rFonts w:asciiTheme="majorHAnsi" w:hAnsiTheme="majorHAnsi" w:cs="Arial"/>
                <w:b/>
                <w:bCs/>
                <w:color w:val="FFFFFF" w:themeColor="background1"/>
                <w:kern w:val="24"/>
                <w:sz w:val="18"/>
                <w:szCs w:val="18"/>
              </w:rPr>
              <w:t>SEMA/</w:t>
            </w:r>
            <w:r>
              <w:rPr>
                <w:rFonts w:asciiTheme="majorHAnsi" w:hAnsiTheme="majorHAnsi" w:cs="Arial"/>
                <w:b/>
                <w:bCs/>
                <w:color w:val="FFFFFF" w:themeColor="background1"/>
                <w:kern w:val="24"/>
                <w:sz w:val="18"/>
                <w:szCs w:val="18"/>
              </w:rPr>
              <w:br/>
            </w:r>
            <w:r w:rsidRPr="00561FA2">
              <w:rPr>
                <w:rFonts w:asciiTheme="majorHAnsi" w:hAnsiTheme="majorHAnsi" w:cs="Arial"/>
                <w:b/>
                <w:bCs/>
                <w:color w:val="FFFFFF" w:themeColor="background1"/>
                <w:kern w:val="24"/>
                <w:sz w:val="18"/>
                <w:szCs w:val="18"/>
              </w:rPr>
              <w:t>RI Export</w:t>
            </w:r>
          </w:p>
        </w:tc>
      </w:tr>
      <w:tr w:rsidR="00965CFA" w:rsidRPr="004602FB" w:rsidTr="00D00D8D">
        <w:trPr>
          <w:trHeight w:val="288"/>
          <w:jc w:val="center"/>
        </w:trPr>
        <w:tc>
          <w:tcPr>
            <w:tcW w:w="1501" w:type="dxa"/>
            <w:vMerge w:val="restart"/>
            <w:tcMar>
              <w:left w:w="115" w:type="dxa"/>
            </w:tcMar>
            <w:vAlign w:val="center"/>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r w:rsidRPr="004602FB">
              <w:rPr>
                <w:rFonts w:asciiTheme="majorHAnsi" w:hAnsiTheme="majorHAnsi"/>
                <w:b/>
                <w:bCs/>
                <w:kern w:val="24"/>
                <w:sz w:val="18"/>
                <w:szCs w:val="18"/>
              </w:rPr>
              <w:t>Constrained</w:t>
            </w:r>
          </w:p>
        </w:tc>
        <w:tc>
          <w:tcPr>
            <w:tcW w:w="1768" w:type="dxa"/>
            <w:shd w:val="clear" w:color="auto" w:fill="auto"/>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Renew Plus</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39.5</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31.9</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0.2</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1.4</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shd w:val="clear" w:color="auto" w:fill="CCEAF9" w:themeFill="accent1" w:themeFillTint="33"/>
            <w:tcMar>
              <w:left w:w="115" w:type="dxa"/>
            </w:tcMar>
            <w:vAlign w:val="center"/>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CCEAF9" w:themeFill="accent1" w:themeFillTint="33"/>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EE + Offshore</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1.6</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0.2</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0.3</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tcMar>
              <w:left w:w="115" w:type="dxa"/>
            </w:tcMar>
            <w:vAlign w:val="center"/>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auto"/>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Onshore Less EE/PV</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48.3</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48.4</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0.1</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shd w:val="clear" w:color="auto" w:fill="CCEAF9" w:themeFill="accent1" w:themeFillTint="33"/>
            <w:tcMar>
              <w:left w:w="115" w:type="dxa"/>
            </w:tcMar>
            <w:vAlign w:val="center"/>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CCEAF9" w:themeFill="accent1" w:themeFillTint="33"/>
            <w:tcMar>
              <w:top w:w="15" w:type="dxa"/>
              <w:left w:w="58" w:type="dxa"/>
              <w:bottom w:w="0" w:type="dxa"/>
              <w:right w:w="29" w:type="dxa"/>
            </w:tcMar>
            <w:vAlign w:val="center"/>
            <w:hideMark/>
          </w:tcPr>
          <w:p w:rsidR="00965CFA" w:rsidRPr="004602FB" w:rsidRDefault="00AF6389"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Pr>
                <w:rFonts w:asciiTheme="majorHAnsi" w:hAnsiTheme="majorHAnsi"/>
                <w:b/>
                <w:bCs/>
                <w:kern w:val="24"/>
                <w:sz w:val="18"/>
                <w:szCs w:val="18"/>
              </w:rPr>
              <w:t>Wind Less Nuclear</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44.2</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57.3</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0.7</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0.2</w:t>
            </w:r>
          </w:p>
        </w:tc>
      </w:tr>
      <w:tr w:rsidR="00965CFA" w:rsidRPr="004602FB" w:rsidTr="00D00D8D">
        <w:trPr>
          <w:trHeight w:val="288"/>
          <w:jc w:val="center"/>
        </w:trPr>
        <w:tc>
          <w:tcPr>
            <w:tcW w:w="1501" w:type="dxa"/>
            <w:vMerge w:val="restart"/>
            <w:shd w:val="clear" w:color="auto" w:fill="CCEAF9" w:themeFill="accent1" w:themeFillTint="33"/>
            <w:tcMar>
              <w:left w:w="115" w:type="dxa"/>
            </w:tcMar>
            <w:vAlign w:val="center"/>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r w:rsidRPr="004602FB">
              <w:rPr>
                <w:rFonts w:asciiTheme="majorHAnsi" w:hAnsiTheme="majorHAnsi"/>
                <w:b/>
                <w:bCs/>
                <w:kern w:val="24"/>
                <w:sz w:val="18"/>
                <w:szCs w:val="18"/>
              </w:rPr>
              <w:t>Unconstrained</w:t>
            </w:r>
          </w:p>
        </w:tc>
        <w:tc>
          <w:tcPr>
            <w:tcW w:w="1768" w:type="dxa"/>
            <w:shd w:val="clear" w:color="auto" w:fill="auto"/>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Renew Plus</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48.3</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45.1</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14.2</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25.0</w:t>
            </w:r>
          </w:p>
        </w:tc>
        <w:tc>
          <w:tcPr>
            <w:tcW w:w="1008" w:type="dxa"/>
            <w:shd w:val="clear" w:color="auto" w:fill="auto"/>
            <w:tcMar>
              <w:top w:w="0" w:type="dxa"/>
              <w:left w:w="0" w:type="dxa"/>
              <w:bottom w:w="0" w:type="dxa"/>
              <w:right w:w="360" w:type="dxa"/>
            </w:tcMar>
            <w:vAlign w:val="center"/>
            <w:hideMark/>
          </w:tcPr>
          <w:p w:rsidR="00965CFA" w:rsidRPr="004602FB" w:rsidRDefault="00965CFA" w:rsidP="004602FB">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17.8</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shd w:val="clear" w:color="auto" w:fill="CCEAF9" w:themeFill="accent1" w:themeFillTint="33"/>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CCEAF9" w:themeFill="accent1" w:themeFillTint="33"/>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EE + Offshore</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2.1</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1.1</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5.4</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shd w:val="clear" w:color="auto" w:fill="CCEAF9" w:themeFill="accent1" w:themeFillTint="33"/>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auto"/>
            <w:tcMar>
              <w:top w:w="15" w:type="dxa"/>
              <w:left w:w="58" w:type="dxa"/>
              <w:bottom w:w="0" w:type="dxa"/>
              <w:right w:w="29" w:type="dxa"/>
            </w:tcMar>
            <w:vAlign w:val="center"/>
            <w:hideMark/>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sidRPr="004602FB">
              <w:rPr>
                <w:rFonts w:asciiTheme="majorHAnsi" w:hAnsiTheme="majorHAnsi"/>
                <w:b/>
                <w:bCs/>
                <w:kern w:val="24"/>
                <w:sz w:val="18"/>
                <w:szCs w:val="18"/>
              </w:rPr>
              <w:t>Onshore Less EE/PV</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64.3</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63.5</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37.7</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48.9</w:t>
            </w:r>
          </w:p>
        </w:tc>
        <w:tc>
          <w:tcPr>
            <w:tcW w:w="1008" w:type="dxa"/>
            <w:shd w:val="clear" w:color="auto" w:fill="auto"/>
            <w:tcMar>
              <w:top w:w="0" w:type="dxa"/>
              <w:left w:w="0" w:type="dxa"/>
              <w:bottom w:w="0" w:type="dxa"/>
              <w:right w:w="360" w:type="dxa"/>
            </w:tcMar>
            <w:vAlign w:val="center"/>
            <w:hideMark/>
          </w:tcPr>
          <w:p w:rsidR="00965CFA" w:rsidRPr="004602FB" w:rsidRDefault="00965CFA" w:rsidP="004602FB">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5.4</w:t>
            </w:r>
          </w:p>
        </w:tc>
        <w:tc>
          <w:tcPr>
            <w:tcW w:w="1008" w:type="dxa"/>
            <w:shd w:val="clear" w:color="auto" w:fill="auto"/>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r w:rsidR="00965CFA" w:rsidRPr="004602FB" w:rsidTr="00D00D8D">
        <w:trPr>
          <w:trHeight w:val="288"/>
          <w:jc w:val="center"/>
        </w:trPr>
        <w:tc>
          <w:tcPr>
            <w:tcW w:w="1501" w:type="dxa"/>
            <w:vMerge/>
            <w:shd w:val="clear" w:color="auto" w:fill="CCEAF9" w:themeFill="accent1" w:themeFillTint="33"/>
          </w:tcPr>
          <w:p w:rsidR="00965CFA" w:rsidRPr="004602FB" w:rsidRDefault="00965CFA" w:rsidP="00DA7D6C">
            <w:pPr>
              <w:keepNext/>
              <w:keepLines/>
              <w:tabs>
                <w:tab w:val="left" w:pos="1260"/>
                <w:tab w:val="left" w:pos="9000"/>
              </w:tabs>
              <w:adjustRightInd/>
              <w:spacing w:before="40" w:after="40" w:line="240" w:lineRule="auto"/>
              <w:textAlignment w:val="auto"/>
              <w:rPr>
                <w:rFonts w:asciiTheme="majorHAnsi" w:hAnsiTheme="majorHAnsi"/>
                <w:b/>
                <w:bCs/>
                <w:kern w:val="24"/>
                <w:sz w:val="18"/>
                <w:szCs w:val="18"/>
              </w:rPr>
            </w:pPr>
          </w:p>
        </w:tc>
        <w:tc>
          <w:tcPr>
            <w:tcW w:w="1768" w:type="dxa"/>
            <w:shd w:val="clear" w:color="auto" w:fill="CCEAF9" w:themeFill="accent1" w:themeFillTint="33"/>
            <w:tcMar>
              <w:top w:w="15" w:type="dxa"/>
              <w:left w:w="58" w:type="dxa"/>
              <w:bottom w:w="0" w:type="dxa"/>
              <w:right w:w="29" w:type="dxa"/>
            </w:tcMar>
            <w:vAlign w:val="center"/>
            <w:hideMark/>
          </w:tcPr>
          <w:p w:rsidR="00965CFA" w:rsidRPr="004602FB" w:rsidRDefault="00AF6389" w:rsidP="00DA7D6C">
            <w:pPr>
              <w:keepNext/>
              <w:keepLines/>
              <w:tabs>
                <w:tab w:val="left" w:pos="1260"/>
                <w:tab w:val="left" w:pos="9000"/>
              </w:tabs>
              <w:adjustRightInd/>
              <w:spacing w:before="40" w:after="40" w:line="240" w:lineRule="auto"/>
              <w:textAlignment w:val="auto"/>
              <w:rPr>
                <w:rFonts w:asciiTheme="majorHAnsi" w:hAnsiTheme="majorHAnsi" w:cs="Arial"/>
                <w:sz w:val="18"/>
                <w:szCs w:val="18"/>
              </w:rPr>
            </w:pPr>
            <w:r>
              <w:rPr>
                <w:rFonts w:asciiTheme="majorHAnsi" w:hAnsiTheme="majorHAnsi"/>
                <w:b/>
                <w:bCs/>
                <w:kern w:val="24"/>
                <w:sz w:val="18"/>
                <w:szCs w:val="18"/>
              </w:rPr>
              <w:t>Wind Less Nuclear</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71.5</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71.7</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36.7</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56.5</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7.5</w:t>
            </w:r>
          </w:p>
        </w:tc>
        <w:tc>
          <w:tcPr>
            <w:tcW w:w="1008" w:type="dxa"/>
            <w:shd w:val="clear" w:color="auto" w:fill="CCEAF9" w:themeFill="accent1" w:themeFillTint="33"/>
            <w:tcMar>
              <w:top w:w="0" w:type="dxa"/>
              <w:left w:w="0" w:type="dxa"/>
              <w:bottom w:w="0" w:type="dxa"/>
              <w:right w:w="360" w:type="dxa"/>
            </w:tcMar>
            <w:vAlign w:val="center"/>
            <w:hideMark/>
          </w:tcPr>
          <w:p w:rsidR="00965CFA" w:rsidRPr="004602FB" w:rsidRDefault="00965CFA" w:rsidP="00DA7D6C">
            <w:pPr>
              <w:keepNext/>
              <w:keepLines/>
              <w:adjustRightInd/>
              <w:spacing w:before="40" w:after="40" w:line="240" w:lineRule="auto"/>
              <w:jc w:val="right"/>
              <w:textAlignment w:val="bottom"/>
              <w:rPr>
                <w:rFonts w:asciiTheme="majorHAnsi" w:hAnsiTheme="majorHAnsi" w:cs="Arial"/>
                <w:sz w:val="18"/>
                <w:szCs w:val="18"/>
              </w:rPr>
            </w:pPr>
            <w:r w:rsidRPr="004602FB">
              <w:rPr>
                <w:rFonts w:asciiTheme="majorHAnsi" w:hAnsiTheme="majorHAnsi" w:cs="Arial"/>
                <w:color w:val="313B3F" w:themeColor="text1" w:themeShade="80"/>
                <w:kern w:val="24"/>
                <w:sz w:val="18"/>
                <w:szCs w:val="18"/>
              </w:rPr>
              <w:t>0.0</w:t>
            </w:r>
          </w:p>
        </w:tc>
      </w:tr>
    </w:tbl>
    <w:p w:rsidR="00F3752B" w:rsidRPr="004602FB" w:rsidRDefault="00F3752B" w:rsidP="00D00D8D">
      <w:pPr>
        <w:pStyle w:val="ListParagraph"/>
        <w:keepNext/>
        <w:keepLines/>
        <w:numPr>
          <w:ilvl w:val="0"/>
          <w:numId w:val="82"/>
        </w:numPr>
        <w:spacing w:before="120" w:after="240" w:line="240" w:lineRule="auto"/>
        <w:ind w:left="360" w:hanging="270"/>
        <w:rPr>
          <w:rFonts w:asciiTheme="minorHAnsi" w:hAnsiTheme="minorHAnsi"/>
          <w:sz w:val="16"/>
          <w:szCs w:val="16"/>
        </w:rPr>
      </w:pPr>
      <w:r w:rsidRPr="004602FB">
        <w:rPr>
          <w:rFonts w:asciiTheme="minorHAnsi" w:hAnsiTheme="minorHAnsi"/>
          <w:sz w:val="16"/>
          <w:szCs w:val="16"/>
        </w:rPr>
        <w:t xml:space="preserve">Judicious interconnection points for the SEMA/RI offshore wind additions would avoid congestion </w:t>
      </w:r>
      <w:r w:rsidR="00065E26" w:rsidRPr="004602FB">
        <w:rPr>
          <w:rFonts w:asciiTheme="minorHAnsi" w:hAnsiTheme="minorHAnsi"/>
          <w:sz w:val="16"/>
          <w:szCs w:val="16"/>
        </w:rPr>
        <w:t xml:space="preserve">attributable to unit-commitment issues </w:t>
      </w:r>
      <w:r w:rsidRPr="004602FB">
        <w:rPr>
          <w:rFonts w:asciiTheme="minorHAnsi" w:hAnsiTheme="minorHAnsi"/>
          <w:sz w:val="16"/>
          <w:szCs w:val="16"/>
        </w:rPr>
        <w:t xml:space="preserve">and the need for associated congestion-relief transmission upgrades, but </w:t>
      </w:r>
      <w:r w:rsidR="002F7E6D" w:rsidRPr="004602FB">
        <w:rPr>
          <w:rFonts w:asciiTheme="minorHAnsi" w:hAnsiTheme="minorHAnsi"/>
          <w:sz w:val="16"/>
          <w:szCs w:val="16"/>
        </w:rPr>
        <w:t xml:space="preserve">this </w:t>
      </w:r>
      <w:r w:rsidRPr="004602FB">
        <w:rPr>
          <w:rFonts w:asciiTheme="minorHAnsi" w:hAnsiTheme="minorHAnsi"/>
          <w:sz w:val="16"/>
          <w:szCs w:val="16"/>
        </w:rPr>
        <w:t>could require the addition of long POI HVDC interconnections, the cost of which was assumed as part of the offshore wind annual carrying charges.</w:t>
      </w:r>
    </w:p>
    <w:p w:rsidR="00292A49" w:rsidRPr="00292A49" w:rsidRDefault="00292A49" w:rsidP="00D27B9E">
      <w:pPr>
        <w:pStyle w:val="Heading3"/>
      </w:pPr>
      <w:bookmarkStart w:id="304" w:name="_Ref516498228"/>
      <w:bookmarkStart w:id="305" w:name="_Toc528571227"/>
      <w:r w:rsidRPr="00292A49">
        <w:t>High-Order-of-Magnitude Transmission Costs</w:t>
      </w:r>
      <w:bookmarkEnd w:id="304"/>
      <w:bookmarkEnd w:id="305"/>
      <w:r w:rsidR="00FF15DE">
        <w:t xml:space="preserve"> </w:t>
      </w:r>
    </w:p>
    <w:p w:rsidR="00FF15DE" w:rsidRDefault="00D83BF6" w:rsidP="00DF0B60">
      <w:r w:rsidRPr="002E542B">
        <w:fldChar w:fldCharType="begin"/>
      </w:r>
      <w:r w:rsidRPr="002E542B">
        <w:instrText xml:space="preserve"> REF _Ref516938069 \h </w:instrText>
      </w:r>
      <w:r w:rsidR="002E542B">
        <w:instrText xml:space="preserve"> \* MERGEFORMAT </w:instrText>
      </w:r>
      <w:r w:rsidRPr="002E542B">
        <w:fldChar w:fldCharType="separate"/>
      </w:r>
      <w:r w:rsidR="00872A95">
        <w:t xml:space="preserve">Table </w:t>
      </w:r>
      <w:r w:rsidR="00872A95">
        <w:rPr>
          <w:noProof/>
        </w:rPr>
        <w:t>6</w:t>
      </w:r>
      <w:r w:rsidR="00872A95">
        <w:rPr>
          <w:noProof/>
        </w:rPr>
        <w:noBreakHyphen/>
        <w:t>9</w:t>
      </w:r>
      <w:r w:rsidRPr="002E542B">
        <w:fldChar w:fldCharType="end"/>
      </w:r>
      <w:r w:rsidR="00FF15DE" w:rsidRPr="002E542B">
        <w:t xml:space="preserve"> show</w:t>
      </w:r>
      <w:r w:rsidR="00703DB9" w:rsidRPr="002E542B">
        <w:t>s</w:t>
      </w:r>
      <w:r w:rsidR="00FF15DE" w:rsidRPr="00703DB9">
        <w:t xml:space="preserve"> the Maine interfaces, their maximum transfer capability, the maximum megawatt flows over the interfaces for the unconstrained cases, and the percentage of time the interfaces exceed their capability for the unconstrained cases. These metrics supplement the congested interface locations as inputs to developing the congestion-relief transmission system, which is designed to relieve 100% of the congestion </w:t>
      </w:r>
      <w:r w:rsidR="00FF15DE" w:rsidRPr="00B236A3">
        <w:t>during the summer and winter peak hours</w:t>
      </w:r>
      <w:r w:rsidR="00860D3B" w:rsidRPr="00B236A3">
        <w:t xml:space="preserve">. </w:t>
      </w:r>
      <w:r w:rsidR="00DF0B60" w:rsidRPr="00B236A3">
        <w:fldChar w:fldCharType="begin"/>
      </w:r>
      <w:r w:rsidR="00DF0B60" w:rsidRPr="00B236A3">
        <w:instrText xml:space="preserve"> REF _Ref526511918 \h  \* MERGEFORMAT </w:instrText>
      </w:r>
      <w:r w:rsidR="00DF0B60" w:rsidRPr="00B236A3">
        <w:fldChar w:fldCharType="separate"/>
      </w:r>
      <w:r w:rsidR="00872A95" w:rsidRPr="00DA7D6C">
        <w:t xml:space="preserve">Table </w:t>
      </w:r>
      <w:r w:rsidR="00872A95">
        <w:rPr>
          <w:noProof/>
        </w:rPr>
        <w:t>6</w:t>
      </w:r>
      <w:r w:rsidR="00872A95">
        <w:rPr>
          <w:noProof/>
        </w:rPr>
        <w:noBreakHyphen/>
        <w:t>10</w:t>
      </w:r>
      <w:r w:rsidR="00DF0B60" w:rsidRPr="00B236A3">
        <w:fldChar w:fldCharType="end"/>
      </w:r>
      <w:r w:rsidR="00DF0B60" w:rsidRPr="00B236A3">
        <w:t xml:space="preserve"> is a summary of the total high-order-of-magnitude transmission costs.</w:t>
      </w:r>
    </w:p>
    <w:p w:rsidR="00F3752B" w:rsidRPr="003F1903" w:rsidRDefault="002F7E6D" w:rsidP="002E542B">
      <w:pPr>
        <w:pStyle w:val="Caption"/>
        <w:jc w:val="center"/>
      </w:pPr>
      <w:bookmarkStart w:id="306" w:name="_Ref516938069"/>
      <w:bookmarkStart w:id="307" w:name="_Toc520721044"/>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9</w:t>
      </w:r>
      <w:r w:rsidR="00EA3757">
        <w:rPr>
          <w:noProof/>
        </w:rPr>
        <w:fldChar w:fldCharType="end"/>
      </w:r>
      <w:bookmarkEnd w:id="306"/>
      <w:r>
        <w:br/>
        <w:t>Interface Flow Statistics</w:t>
      </w:r>
      <w:bookmarkEnd w:id="307"/>
    </w:p>
    <w:tbl>
      <w:tblPr>
        <w:tblW w:w="10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60"/>
        <w:gridCol w:w="982"/>
        <w:gridCol w:w="1121"/>
        <w:gridCol w:w="1121"/>
        <w:gridCol w:w="916"/>
        <w:gridCol w:w="1080"/>
        <w:gridCol w:w="1170"/>
        <w:gridCol w:w="900"/>
        <w:gridCol w:w="1170"/>
        <w:gridCol w:w="1080"/>
      </w:tblGrid>
      <w:tr w:rsidR="002F7E6D" w:rsidRPr="002F7E6D" w:rsidTr="003A2D37">
        <w:trPr>
          <w:trHeight w:val="1240"/>
          <w:jc w:val="center"/>
        </w:trPr>
        <w:tc>
          <w:tcPr>
            <w:tcW w:w="1260" w:type="dxa"/>
            <w:vMerge w:val="restart"/>
            <w:shd w:val="clear" w:color="auto" w:fill="1795D2" w:themeFill="accent1"/>
            <w:tcMar>
              <w:top w:w="15" w:type="dxa"/>
              <w:left w:w="108" w:type="dxa"/>
              <w:bottom w:w="0" w:type="dxa"/>
              <w:right w:w="108" w:type="dxa"/>
            </w:tcMar>
            <w:vAlign w:val="center"/>
          </w:tcPr>
          <w:p w:rsidR="00F3752B" w:rsidRPr="002F7E6D" w:rsidRDefault="002F7E6D" w:rsidP="002607CF">
            <w:pPr>
              <w:keepNext/>
              <w:keepLines/>
              <w:tabs>
                <w:tab w:val="left" w:pos="1260"/>
                <w:tab w:val="left" w:pos="9000"/>
              </w:tabs>
              <w:adjustRightInd/>
              <w:spacing w:before="40" w:after="40" w:line="240" w:lineRule="auto"/>
              <w:jc w:val="center"/>
              <w:textAlignment w:val="auto"/>
              <w:rPr>
                <w:rFonts w:asciiTheme="minorHAnsi" w:hAnsiTheme="minorHAnsi" w:cs="Arial"/>
                <w:b/>
                <w:sz w:val="18"/>
                <w:szCs w:val="18"/>
              </w:rPr>
            </w:pPr>
            <w:r w:rsidRPr="002F7E6D">
              <w:rPr>
                <w:rFonts w:asciiTheme="minorHAnsi" w:hAnsiTheme="minorHAnsi" w:cs="Arial"/>
                <w:b/>
                <w:color w:val="FFFFFF" w:themeColor="background1"/>
                <w:sz w:val="18"/>
                <w:szCs w:val="18"/>
              </w:rPr>
              <w:t>Scenario</w:t>
            </w:r>
          </w:p>
        </w:tc>
        <w:tc>
          <w:tcPr>
            <w:tcW w:w="982"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Transfer Limit (MW)</w:t>
            </w:r>
          </w:p>
        </w:tc>
        <w:tc>
          <w:tcPr>
            <w:tcW w:w="1121"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Maximum MW Flow (Unconstr</w:t>
            </w:r>
            <w:r w:rsidR="002F7E6D">
              <w:rPr>
                <w:rFonts w:asciiTheme="minorHAnsi" w:hAnsiTheme="minorHAnsi" w:cs="Arial"/>
                <w:b/>
                <w:bCs/>
                <w:color w:val="FFFFFF" w:themeColor="light1"/>
                <w:kern w:val="24"/>
                <w:sz w:val="18"/>
                <w:szCs w:val="18"/>
              </w:rPr>
              <w:t xml:space="preserve">. </w:t>
            </w:r>
            <w:r w:rsidRPr="002F7E6D">
              <w:rPr>
                <w:rFonts w:asciiTheme="minorHAnsi" w:hAnsiTheme="minorHAnsi" w:cs="Arial"/>
                <w:b/>
                <w:bCs/>
                <w:color w:val="FFFFFF" w:themeColor="light1"/>
                <w:kern w:val="24"/>
                <w:sz w:val="18"/>
                <w:szCs w:val="18"/>
              </w:rPr>
              <w:t>Case)</w:t>
            </w:r>
          </w:p>
        </w:tc>
        <w:tc>
          <w:tcPr>
            <w:tcW w:w="1121"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 of Time Interface Exceeds Its Capability</w:t>
            </w:r>
          </w:p>
        </w:tc>
        <w:tc>
          <w:tcPr>
            <w:tcW w:w="916"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Transfer Limit (MW)</w:t>
            </w:r>
          </w:p>
        </w:tc>
        <w:tc>
          <w:tcPr>
            <w:tcW w:w="1080"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Maximum MW Flow (Unconstr</w:t>
            </w:r>
            <w:r w:rsidR="002F7E6D">
              <w:rPr>
                <w:rFonts w:asciiTheme="minorHAnsi" w:hAnsiTheme="minorHAnsi" w:cs="Arial"/>
                <w:b/>
                <w:bCs/>
                <w:color w:val="FFFFFF" w:themeColor="light1"/>
                <w:kern w:val="24"/>
                <w:sz w:val="18"/>
                <w:szCs w:val="18"/>
              </w:rPr>
              <w:t xml:space="preserve">. </w:t>
            </w:r>
            <w:r w:rsidRPr="002F7E6D">
              <w:rPr>
                <w:rFonts w:asciiTheme="minorHAnsi" w:hAnsiTheme="minorHAnsi" w:cs="Arial"/>
                <w:b/>
                <w:bCs/>
                <w:color w:val="FFFFFF" w:themeColor="light1"/>
                <w:kern w:val="24"/>
                <w:sz w:val="18"/>
                <w:szCs w:val="18"/>
              </w:rPr>
              <w:t>Case)</w:t>
            </w:r>
          </w:p>
        </w:tc>
        <w:tc>
          <w:tcPr>
            <w:tcW w:w="1170"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 of Time Interface Exceeds Its Capability</w:t>
            </w:r>
          </w:p>
        </w:tc>
        <w:tc>
          <w:tcPr>
            <w:tcW w:w="900"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Transfer Limit (MW)</w:t>
            </w:r>
          </w:p>
        </w:tc>
        <w:tc>
          <w:tcPr>
            <w:tcW w:w="1170"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Maximum MW Flow (Unconstr</w:t>
            </w:r>
            <w:r w:rsidR="002F7E6D">
              <w:rPr>
                <w:rFonts w:asciiTheme="minorHAnsi" w:hAnsiTheme="minorHAnsi" w:cs="Arial"/>
                <w:b/>
                <w:bCs/>
                <w:color w:val="FFFFFF" w:themeColor="light1"/>
                <w:kern w:val="24"/>
                <w:sz w:val="18"/>
                <w:szCs w:val="18"/>
              </w:rPr>
              <w:t>,</w:t>
            </w:r>
            <w:r w:rsidRPr="002F7E6D">
              <w:rPr>
                <w:rFonts w:asciiTheme="minorHAnsi" w:hAnsiTheme="minorHAnsi" w:cs="Arial"/>
                <w:b/>
                <w:bCs/>
                <w:color w:val="FFFFFF" w:themeColor="light1"/>
                <w:kern w:val="24"/>
                <w:sz w:val="18"/>
                <w:szCs w:val="18"/>
              </w:rPr>
              <w:t xml:space="preserve"> Case)</w:t>
            </w:r>
          </w:p>
        </w:tc>
        <w:tc>
          <w:tcPr>
            <w:tcW w:w="1080" w:type="dxa"/>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b/>
                <w:bCs/>
                <w:color w:val="FFFFFF" w:themeColor="light1"/>
                <w:kern w:val="24"/>
                <w:sz w:val="18"/>
                <w:szCs w:val="18"/>
              </w:rPr>
              <w:t>% of Time Interface Exceeds Its Capability</w:t>
            </w:r>
          </w:p>
        </w:tc>
      </w:tr>
      <w:tr w:rsidR="002F7E6D" w:rsidRPr="002F7E6D" w:rsidTr="003A2D37">
        <w:trPr>
          <w:trHeight w:val="453"/>
          <w:jc w:val="center"/>
        </w:trPr>
        <w:tc>
          <w:tcPr>
            <w:tcW w:w="1260" w:type="dxa"/>
            <w:vMerge/>
            <w:shd w:val="clear" w:color="auto" w:fill="1795D2" w:themeFill="accent1"/>
            <w:vAlign w:val="center"/>
            <w:hideMark/>
          </w:tcPr>
          <w:p w:rsidR="00F3752B" w:rsidRPr="002F7E6D" w:rsidRDefault="00F3752B" w:rsidP="002607CF">
            <w:pPr>
              <w:keepNext/>
              <w:keepLines/>
              <w:adjustRightInd/>
              <w:spacing w:before="40" w:after="40" w:line="240" w:lineRule="auto"/>
              <w:textAlignment w:val="auto"/>
              <w:rPr>
                <w:rFonts w:asciiTheme="minorHAnsi" w:hAnsiTheme="minorHAnsi" w:cs="Arial"/>
                <w:sz w:val="18"/>
                <w:szCs w:val="18"/>
              </w:rPr>
            </w:pPr>
          </w:p>
        </w:tc>
        <w:tc>
          <w:tcPr>
            <w:tcW w:w="3224" w:type="dxa"/>
            <w:gridSpan w:val="3"/>
            <w:shd w:val="clear" w:color="auto" w:fill="1795D2" w:themeFill="accent1"/>
            <w:tcMar>
              <w:top w:w="15" w:type="dxa"/>
              <w:left w:w="108" w:type="dxa"/>
              <w:bottom w:w="0" w:type="dxa"/>
              <w:right w:w="108" w:type="dxa"/>
            </w:tcMar>
            <w:vAlign w:val="center"/>
            <w:hideMark/>
          </w:tcPr>
          <w:p w:rsidR="00F3752B" w:rsidRPr="002F7E6D" w:rsidRDefault="00F3752B" w:rsidP="00245E69">
            <w:pPr>
              <w:keepNext/>
              <w:keepLines/>
              <w:tabs>
                <w:tab w:val="left" w:pos="1260"/>
                <w:tab w:val="left" w:pos="9000"/>
              </w:tabs>
              <w:adjustRightInd/>
              <w:spacing w:before="40" w:after="40" w:line="240" w:lineRule="auto"/>
              <w:jc w:val="center"/>
              <w:textAlignment w:val="auto"/>
              <w:rPr>
                <w:rFonts w:asciiTheme="minorHAnsi" w:hAnsiTheme="minorHAnsi" w:cs="Arial"/>
                <w:b/>
                <w:color w:val="FFFFFF" w:themeColor="background1"/>
                <w:sz w:val="18"/>
                <w:szCs w:val="18"/>
              </w:rPr>
            </w:pPr>
            <w:r w:rsidRPr="002F7E6D">
              <w:rPr>
                <w:rFonts w:asciiTheme="minorHAnsi" w:hAnsiTheme="minorHAnsi" w:cs="Arial"/>
                <w:b/>
                <w:color w:val="FFFFFF" w:themeColor="background1"/>
                <w:kern w:val="24"/>
                <w:sz w:val="18"/>
                <w:szCs w:val="18"/>
              </w:rPr>
              <w:t>Orrington</w:t>
            </w:r>
            <w:r w:rsidR="00245E69">
              <w:rPr>
                <w:rFonts w:asciiTheme="minorHAnsi" w:hAnsiTheme="minorHAnsi" w:cs="Arial"/>
                <w:b/>
                <w:color w:val="FFFFFF" w:themeColor="background1"/>
                <w:kern w:val="24"/>
                <w:sz w:val="18"/>
                <w:szCs w:val="18"/>
              </w:rPr>
              <w:t xml:space="preserve"> </w:t>
            </w:r>
            <w:r w:rsidRPr="002F7E6D">
              <w:rPr>
                <w:rFonts w:asciiTheme="minorHAnsi" w:hAnsiTheme="minorHAnsi" w:cs="Arial"/>
                <w:b/>
                <w:color w:val="FFFFFF" w:themeColor="background1"/>
                <w:kern w:val="24"/>
                <w:sz w:val="18"/>
                <w:szCs w:val="18"/>
              </w:rPr>
              <w:t>South Interface</w:t>
            </w:r>
          </w:p>
        </w:tc>
        <w:tc>
          <w:tcPr>
            <w:tcW w:w="3166" w:type="dxa"/>
            <w:gridSpan w:val="3"/>
            <w:shd w:val="clear" w:color="auto" w:fill="1795D2" w:themeFill="accent1"/>
            <w:tcMar>
              <w:top w:w="15" w:type="dxa"/>
              <w:left w:w="108" w:type="dxa"/>
              <w:bottom w:w="0" w:type="dxa"/>
              <w:right w:w="108" w:type="dxa"/>
            </w:tcMar>
            <w:vAlign w:val="center"/>
            <w:hideMark/>
          </w:tcPr>
          <w:p w:rsidR="00F3752B" w:rsidRPr="002F7E6D" w:rsidRDefault="00F3752B" w:rsidP="00245E69">
            <w:pPr>
              <w:keepNext/>
              <w:keepLines/>
              <w:tabs>
                <w:tab w:val="left" w:pos="1260"/>
                <w:tab w:val="left" w:pos="9000"/>
              </w:tabs>
              <w:adjustRightInd/>
              <w:spacing w:before="40" w:after="40" w:line="240" w:lineRule="auto"/>
              <w:jc w:val="center"/>
              <w:textAlignment w:val="auto"/>
              <w:rPr>
                <w:rFonts w:asciiTheme="minorHAnsi" w:hAnsiTheme="minorHAnsi" w:cs="Arial"/>
                <w:b/>
                <w:color w:val="FFFFFF" w:themeColor="background1"/>
                <w:sz w:val="18"/>
                <w:szCs w:val="18"/>
              </w:rPr>
            </w:pPr>
            <w:r w:rsidRPr="002F7E6D">
              <w:rPr>
                <w:rFonts w:asciiTheme="minorHAnsi" w:hAnsiTheme="minorHAnsi" w:cs="Arial"/>
                <w:b/>
                <w:color w:val="FFFFFF" w:themeColor="background1"/>
                <w:kern w:val="24"/>
                <w:sz w:val="18"/>
                <w:szCs w:val="18"/>
              </w:rPr>
              <w:t>Surowiec</w:t>
            </w:r>
            <w:r w:rsidR="00245E69">
              <w:rPr>
                <w:rFonts w:asciiTheme="minorHAnsi" w:hAnsiTheme="minorHAnsi" w:cs="Arial"/>
                <w:b/>
                <w:color w:val="FFFFFF" w:themeColor="background1"/>
                <w:kern w:val="24"/>
                <w:sz w:val="18"/>
                <w:szCs w:val="18"/>
              </w:rPr>
              <w:t xml:space="preserve"> </w:t>
            </w:r>
            <w:r w:rsidRPr="002F7E6D">
              <w:rPr>
                <w:rFonts w:asciiTheme="minorHAnsi" w:hAnsiTheme="minorHAnsi" w:cs="Arial"/>
                <w:b/>
                <w:color w:val="FFFFFF" w:themeColor="background1"/>
                <w:kern w:val="24"/>
                <w:sz w:val="18"/>
                <w:szCs w:val="18"/>
              </w:rPr>
              <w:t>South Interface</w:t>
            </w:r>
          </w:p>
        </w:tc>
        <w:tc>
          <w:tcPr>
            <w:tcW w:w="3150" w:type="dxa"/>
            <w:gridSpan w:val="3"/>
            <w:shd w:val="clear" w:color="auto" w:fill="1795D2" w:themeFill="accent1"/>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b/>
                <w:color w:val="FFFFFF" w:themeColor="background1"/>
                <w:sz w:val="18"/>
                <w:szCs w:val="18"/>
              </w:rPr>
            </w:pPr>
            <w:r w:rsidRPr="002F7E6D">
              <w:rPr>
                <w:rFonts w:asciiTheme="minorHAnsi" w:hAnsiTheme="minorHAnsi" w:cs="Arial"/>
                <w:b/>
                <w:color w:val="FFFFFF" w:themeColor="background1"/>
                <w:kern w:val="24"/>
                <w:sz w:val="18"/>
                <w:szCs w:val="18"/>
              </w:rPr>
              <w:t>Maine</w:t>
            </w:r>
            <w:r w:rsidR="00245E69" w:rsidRPr="000C354D">
              <w:rPr>
                <w:rFonts w:asciiTheme="minorHAnsi" w:hAnsiTheme="minorHAnsi" w:cs="Arial"/>
                <w:b/>
                <w:bCs/>
                <w:color w:val="FFFFFF" w:themeColor="background1"/>
                <w:kern w:val="24"/>
                <w:sz w:val="18"/>
                <w:szCs w:val="18"/>
              </w:rPr>
              <w:t>–</w:t>
            </w:r>
            <w:r w:rsidRPr="002F7E6D">
              <w:rPr>
                <w:rFonts w:asciiTheme="minorHAnsi" w:hAnsiTheme="minorHAnsi" w:cs="Arial"/>
                <w:b/>
                <w:color w:val="FFFFFF" w:themeColor="background1"/>
                <w:kern w:val="24"/>
                <w:sz w:val="18"/>
                <w:szCs w:val="18"/>
              </w:rPr>
              <w:t>New Hampshire Interface</w:t>
            </w:r>
          </w:p>
        </w:tc>
      </w:tr>
      <w:tr w:rsidR="002F7E6D" w:rsidRPr="002F7E6D" w:rsidTr="003A2D37">
        <w:trPr>
          <w:trHeight w:val="412"/>
          <w:jc w:val="center"/>
        </w:trPr>
        <w:tc>
          <w:tcPr>
            <w:tcW w:w="1260" w:type="dxa"/>
            <w:shd w:val="clear" w:color="auto" w:fill="auto"/>
            <w:tcMar>
              <w:top w:w="15" w:type="dxa"/>
              <w:left w:w="58" w:type="dxa"/>
              <w:bottom w:w="0" w:type="dxa"/>
              <w:right w:w="29" w:type="dxa"/>
            </w:tcMar>
            <w:vAlign w:val="center"/>
            <w:hideMark/>
          </w:tcPr>
          <w:p w:rsidR="00F3752B" w:rsidRPr="002F7E6D" w:rsidRDefault="00F3752B" w:rsidP="002607CF">
            <w:pPr>
              <w:keepNext/>
              <w:keepLines/>
              <w:tabs>
                <w:tab w:val="left" w:pos="1260"/>
                <w:tab w:val="left" w:pos="9000"/>
              </w:tabs>
              <w:adjustRightInd/>
              <w:spacing w:before="40" w:after="40" w:line="240" w:lineRule="auto"/>
              <w:textAlignment w:val="auto"/>
              <w:rPr>
                <w:rFonts w:asciiTheme="minorHAnsi" w:hAnsiTheme="minorHAnsi" w:cs="Arial"/>
                <w:sz w:val="18"/>
                <w:szCs w:val="18"/>
              </w:rPr>
            </w:pPr>
            <w:r w:rsidRPr="002F7E6D">
              <w:rPr>
                <w:rFonts w:asciiTheme="minorHAnsi" w:hAnsiTheme="minorHAnsi" w:cs="Arial"/>
                <w:b/>
                <w:bCs/>
                <w:kern w:val="24"/>
                <w:sz w:val="18"/>
                <w:szCs w:val="18"/>
              </w:rPr>
              <w:t>Renew Plus</w:t>
            </w:r>
          </w:p>
        </w:tc>
        <w:tc>
          <w:tcPr>
            <w:tcW w:w="982"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color w:val="313B3F" w:themeColor="text1" w:themeShade="80"/>
                <w:kern w:val="24"/>
                <w:sz w:val="18"/>
                <w:szCs w:val="18"/>
              </w:rPr>
              <w:t>1,325</w:t>
            </w:r>
          </w:p>
        </w:tc>
        <w:tc>
          <w:tcPr>
            <w:tcW w:w="1121"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3,366</w:t>
            </w:r>
          </w:p>
        </w:tc>
        <w:tc>
          <w:tcPr>
            <w:tcW w:w="1121"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48.3%</w:t>
            </w:r>
          </w:p>
        </w:tc>
        <w:tc>
          <w:tcPr>
            <w:tcW w:w="916"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1,500</w:t>
            </w:r>
          </w:p>
        </w:tc>
        <w:tc>
          <w:tcPr>
            <w:tcW w:w="108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4,114</w:t>
            </w:r>
          </w:p>
        </w:tc>
        <w:tc>
          <w:tcPr>
            <w:tcW w:w="117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45.1%</w:t>
            </w:r>
          </w:p>
        </w:tc>
        <w:tc>
          <w:tcPr>
            <w:tcW w:w="900"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1,900</w:t>
            </w:r>
          </w:p>
        </w:tc>
        <w:tc>
          <w:tcPr>
            <w:tcW w:w="117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4,695</w:t>
            </w:r>
          </w:p>
        </w:tc>
        <w:tc>
          <w:tcPr>
            <w:tcW w:w="108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14.2%</w:t>
            </w:r>
          </w:p>
        </w:tc>
      </w:tr>
      <w:tr w:rsidR="002F7E6D" w:rsidRPr="002F7E6D" w:rsidTr="003A2D37">
        <w:trPr>
          <w:trHeight w:val="430"/>
          <w:jc w:val="center"/>
        </w:trPr>
        <w:tc>
          <w:tcPr>
            <w:tcW w:w="1260" w:type="dxa"/>
            <w:shd w:val="clear" w:color="auto" w:fill="CCEAF9" w:themeFill="accent1" w:themeFillTint="33"/>
            <w:tcMar>
              <w:top w:w="15" w:type="dxa"/>
              <w:left w:w="58" w:type="dxa"/>
              <w:bottom w:w="0" w:type="dxa"/>
              <w:right w:w="29" w:type="dxa"/>
            </w:tcMar>
            <w:vAlign w:val="center"/>
            <w:hideMark/>
          </w:tcPr>
          <w:p w:rsidR="00F3752B" w:rsidRPr="002F7E6D" w:rsidRDefault="00F3752B" w:rsidP="002607CF">
            <w:pPr>
              <w:keepNext/>
              <w:keepLines/>
              <w:tabs>
                <w:tab w:val="left" w:pos="1260"/>
                <w:tab w:val="left" w:pos="9000"/>
              </w:tabs>
              <w:adjustRightInd/>
              <w:spacing w:before="40" w:after="40" w:line="240" w:lineRule="auto"/>
              <w:textAlignment w:val="auto"/>
              <w:rPr>
                <w:rFonts w:asciiTheme="minorHAnsi" w:hAnsiTheme="minorHAnsi" w:cs="Arial"/>
                <w:sz w:val="18"/>
                <w:szCs w:val="18"/>
              </w:rPr>
            </w:pPr>
            <w:r w:rsidRPr="002F7E6D">
              <w:rPr>
                <w:rFonts w:asciiTheme="minorHAnsi" w:hAnsiTheme="minorHAnsi"/>
                <w:b/>
                <w:bCs/>
                <w:kern w:val="24"/>
                <w:sz w:val="18"/>
                <w:szCs w:val="18"/>
              </w:rPr>
              <w:t>EE + Offshore</w:t>
            </w:r>
          </w:p>
        </w:tc>
        <w:tc>
          <w:tcPr>
            <w:tcW w:w="982"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color w:val="313B3F" w:themeColor="text1" w:themeShade="80"/>
                <w:kern w:val="24"/>
                <w:sz w:val="18"/>
                <w:szCs w:val="18"/>
              </w:rPr>
              <w:t>1,325</w:t>
            </w:r>
          </w:p>
        </w:tc>
        <w:tc>
          <w:tcPr>
            <w:tcW w:w="1121"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1,596</w:t>
            </w:r>
          </w:p>
        </w:tc>
        <w:tc>
          <w:tcPr>
            <w:tcW w:w="1121"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2.1%</w:t>
            </w:r>
          </w:p>
        </w:tc>
        <w:tc>
          <w:tcPr>
            <w:tcW w:w="916"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1,500</w:t>
            </w:r>
          </w:p>
        </w:tc>
        <w:tc>
          <w:tcPr>
            <w:tcW w:w="108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1,804</w:t>
            </w:r>
          </w:p>
        </w:tc>
        <w:tc>
          <w:tcPr>
            <w:tcW w:w="117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1.1%</w:t>
            </w:r>
          </w:p>
        </w:tc>
        <w:tc>
          <w:tcPr>
            <w:tcW w:w="900"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1,900</w:t>
            </w:r>
          </w:p>
        </w:tc>
        <w:tc>
          <w:tcPr>
            <w:tcW w:w="117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2,559</w:t>
            </w:r>
          </w:p>
        </w:tc>
        <w:tc>
          <w:tcPr>
            <w:tcW w:w="108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0.0%</w:t>
            </w:r>
          </w:p>
        </w:tc>
      </w:tr>
      <w:tr w:rsidR="002F7E6D" w:rsidRPr="002F7E6D" w:rsidTr="003A2D37">
        <w:trPr>
          <w:trHeight w:val="430"/>
          <w:jc w:val="center"/>
        </w:trPr>
        <w:tc>
          <w:tcPr>
            <w:tcW w:w="1260" w:type="dxa"/>
            <w:shd w:val="clear" w:color="auto" w:fill="auto"/>
            <w:tcMar>
              <w:top w:w="15" w:type="dxa"/>
              <w:left w:w="58" w:type="dxa"/>
              <w:bottom w:w="0" w:type="dxa"/>
              <w:right w:w="29" w:type="dxa"/>
            </w:tcMar>
            <w:vAlign w:val="center"/>
            <w:hideMark/>
          </w:tcPr>
          <w:p w:rsidR="00F3752B" w:rsidRPr="002F7E6D" w:rsidRDefault="00F3752B" w:rsidP="002607CF">
            <w:pPr>
              <w:keepNext/>
              <w:keepLines/>
              <w:tabs>
                <w:tab w:val="left" w:pos="1260"/>
                <w:tab w:val="left" w:pos="9000"/>
              </w:tabs>
              <w:adjustRightInd/>
              <w:spacing w:before="40" w:after="40" w:line="240" w:lineRule="auto"/>
              <w:textAlignment w:val="auto"/>
              <w:rPr>
                <w:rFonts w:asciiTheme="minorHAnsi" w:hAnsiTheme="minorHAnsi" w:cs="Arial"/>
                <w:sz w:val="18"/>
                <w:szCs w:val="18"/>
              </w:rPr>
            </w:pPr>
            <w:r w:rsidRPr="002F7E6D">
              <w:rPr>
                <w:rFonts w:asciiTheme="minorHAnsi" w:hAnsiTheme="minorHAnsi"/>
                <w:b/>
                <w:bCs/>
                <w:kern w:val="24"/>
                <w:sz w:val="18"/>
                <w:szCs w:val="18"/>
              </w:rPr>
              <w:t>Onshore Less</w:t>
            </w:r>
            <w:r w:rsidR="002F7E6D" w:rsidRPr="002F7E6D">
              <w:rPr>
                <w:rFonts w:asciiTheme="minorHAnsi" w:hAnsiTheme="minorHAnsi"/>
                <w:b/>
                <w:bCs/>
                <w:kern w:val="24"/>
                <w:sz w:val="18"/>
                <w:szCs w:val="18"/>
              </w:rPr>
              <w:t xml:space="preserve"> </w:t>
            </w:r>
            <w:r w:rsidRPr="002F7E6D">
              <w:rPr>
                <w:rFonts w:asciiTheme="minorHAnsi" w:hAnsiTheme="minorHAnsi"/>
                <w:b/>
                <w:bCs/>
                <w:kern w:val="24"/>
                <w:sz w:val="18"/>
                <w:szCs w:val="18"/>
              </w:rPr>
              <w:t xml:space="preserve"> EE/PV</w:t>
            </w:r>
          </w:p>
        </w:tc>
        <w:tc>
          <w:tcPr>
            <w:tcW w:w="982"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color w:val="313B3F" w:themeColor="text1" w:themeShade="80"/>
                <w:kern w:val="24"/>
                <w:sz w:val="18"/>
                <w:szCs w:val="18"/>
              </w:rPr>
              <w:t>1,325</w:t>
            </w:r>
          </w:p>
        </w:tc>
        <w:tc>
          <w:tcPr>
            <w:tcW w:w="1121"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4,735</w:t>
            </w:r>
          </w:p>
        </w:tc>
        <w:tc>
          <w:tcPr>
            <w:tcW w:w="1121"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64.3%</w:t>
            </w:r>
          </w:p>
        </w:tc>
        <w:tc>
          <w:tcPr>
            <w:tcW w:w="916"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1,500</w:t>
            </w:r>
          </w:p>
        </w:tc>
        <w:tc>
          <w:tcPr>
            <w:tcW w:w="108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5,917</w:t>
            </w:r>
          </w:p>
        </w:tc>
        <w:tc>
          <w:tcPr>
            <w:tcW w:w="117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63.5%</w:t>
            </w:r>
          </w:p>
        </w:tc>
        <w:tc>
          <w:tcPr>
            <w:tcW w:w="900" w:type="dxa"/>
            <w:shd w:val="clear" w:color="auto" w:fill="auto"/>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1,900</w:t>
            </w:r>
          </w:p>
        </w:tc>
        <w:tc>
          <w:tcPr>
            <w:tcW w:w="117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5,799</w:t>
            </w:r>
          </w:p>
        </w:tc>
        <w:tc>
          <w:tcPr>
            <w:tcW w:w="1080" w:type="dxa"/>
            <w:shd w:val="clear" w:color="auto" w:fill="auto"/>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37.7%</w:t>
            </w:r>
          </w:p>
        </w:tc>
      </w:tr>
      <w:tr w:rsidR="002F7E6D" w:rsidRPr="002F7E6D" w:rsidTr="003A2D37">
        <w:trPr>
          <w:trHeight w:val="448"/>
          <w:jc w:val="center"/>
        </w:trPr>
        <w:tc>
          <w:tcPr>
            <w:tcW w:w="1260" w:type="dxa"/>
            <w:shd w:val="clear" w:color="auto" w:fill="CCEAF9" w:themeFill="accent1" w:themeFillTint="33"/>
            <w:tcMar>
              <w:top w:w="15" w:type="dxa"/>
              <w:left w:w="58" w:type="dxa"/>
              <w:bottom w:w="0" w:type="dxa"/>
              <w:right w:w="29" w:type="dxa"/>
            </w:tcMar>
            <w:vAlign w:val="center"/>
            <w:hideMark/>
          </w:tcPr>
          <w:p w:rsidR="00F3752B" w:rsidRPr="002F7E6D" w:rsidRDefault="00AF6389" w:rsidP="002607CF">
            <w:pPr>
              <w:keepNext/>
              <w:keepLines/>
              <w:tabs>
                <w:tab w:val="left" w:pos="1260"/>
                <w:tab w:val="left" w:pos="9000"/>
              </w:tabs>
              <w:adjustRightInd/>
              <w:spacing w:before="40" w:after="40" w:line="240" w:lineRule="auto"/>
              <w:textAlignment w:val="auto"/>
              <w:rPr>
                <w:rFonts w:asciiTheme="minorHAnsi" w:hAnsiTheme="minorHAnsi" w:cs="Arial"/>
                <w:sz w:val="18"/>
                <w:szCs w:val="18"/>
              </w:rPr>
            </w:pPr>
            <w:r>
              <w:rPr>
                <w:rFonts w:asciiTheme="minorHAnsi" w:eastAsiaTheme="minorEastAsia" w:hAnsiTheme="minorHAnsi" w:cstheme="minorBidi"/>
                <w:b/>
                <w:bCs/>
                <w:kern w:val="24"/>
                <w:sz w:val="18"/>
                <w:szCs w:val="18"/>
              </w:rPr>
              <w:t>Wind Less Nuclear</w:t>
            </w:r>
          </w:p>
        </w:tc>
        <w:tc>
          <w:tcPr>
            <w:tcW w:w="982"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hAnsiTheme="minorHAnsi" w:cs="Arial"/>
                <w:color w:val="313B3F" w:themeColor="text1" w:themeShade="80"/>
                <w:kern w:val="24"/>
                <w:sz w:val="18"/>
                <w:szCs w:val="18"/>
              </w:rPr>
              <w:t>1,325</w:t>
            </w:r>
          </w:p>
        </w:tc>
        <w:tc>
          <w:tcPr>
            <w:tcW w:w="1121"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5,890</w:t>
            </w:r>
          </w:p>
        </w:tc>
        <w:tc>
          <w:tcPr>
            <w:tcW w:w="1121"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71.5%</w:t>
            </w:r>
          </w:p>
        </w:tc>
        <w:tc>
          <w:tcPr>
            <w:tcW w:w="916"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1,500</w:t>
            </w:r>
          </w:p>
        </w:tc>
        <w:tc>
          <w:tcPr>
            <w:tcW w:w="108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7,404</w:t>
            </w:r>
          </w:p>
        </w:tc>
        <w:tc>
          <w:tcPr>
            <w:tcW w:w="117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71.7%</w:t>
            </w:r>
          </w:p>
        </w:tc>
        <w:tc>
          <w:tcPr>
            <w:tcW w:w="900" w:type="dxa"/>
            <w:shd w:val="clear" w:color="auto" w:fill="CCEAF9" w:themeFill="accent1" w:themeFillTint="33"/>
            <w:tcMar>
              <w:top w:w="15" w:type="dxa"/>
              <w:left w:w="108" w:type="dxa"/>
              <w:bottom w:w="0" w:type="dxa"/>
              <w:right w:w="108"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auto"/>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1,900</w:t>
            </w:r>
          </w:p>
        </w:tc>
        <w:tc>
          <w:tcPr>
            <w:tcW w:w="117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center"/>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6,566</w:t>
            </w:r>
          </w:p>
        </w:tc>
        <w:tc>
          <w:tcPr>
            <w:tcW w:w="1080" w:type="dxa"/>
            <w:shd w:val="clear" w:color="auto" w:fill="CCEAF9" w:themeFill="accent1" w:themeFillTint="33"/>
            <w:tcMar>
              <w:top w:w="12" w:type="dxa"/>
              <w:left w:w="12" w:type="dxa"/>
              <w:bottom w:w="0" w:type="dxa"/>
              <w:right w:w="12" w:type="dxa"/>
            </w:tcMar>
            <w:vAlign w:val="center"/>
            <w:hideMark/>
          </w:tcPr>
          <w:p w:rsidR="00F3752B" w:rsidRPr="002F7E6D" w:rsidRDefault="00F3752B" w:rsidP="002607CF">
            <w:pPr>
              <w:keepNext/>
              <w:keepLines/>
              <w:tabs>
                <w:tab w:val="left" w:pos="1260"/>
                <w:tab w:val="left" w:pos="9000"/>
              </w:tabs>
              <w:adjustRightInd/>
              <w:spacing w:before="40" w:after="40" w:line="240" w:lineRule="auto"/>
              <w:jc w:val="center"/>
              <w:textAlignment w:val="bottom"/>
              <w:rPr>
                <w:rFonts w:asciiTheme="minorHAnsi" w:hAnsiTheme="minorHAnsi" w:cs="Arial"/>
                <w:sz w:val="18"/>
                <w:szCs w:val="18"/>
              </w:rPr>
            </w:pPr>
            <w:r w:rsidRPr="002F7E6D">
              <w:rPr>
                <w:rFonts w:asciiTheme="minorHAnsi" w:eastAsiaTheme="minorEastAsia" w:hAnsiTheme="minorHAnsi" w:cstheme="minorBidi"/>
                <w:color w:val="313B3F" w:themeColor="text1" w:themeShade="80"/>
                <w:kern w:val="24"/>
                <w:sz w:val="18"/>
                <w:szCs w:val="18"/>
              </w:rPr>
              <w:t>36.7%</w:t>
            </w:r>
          </w:p>
        </w:tc>
      </w:tr>
    </w:tbl>
    <w:p w:rsidR="00F3752B" w:rsidRDefault="00F3752B" w:rsidP="00B236A3">
      <w:pPr>
        <w:spacing w:after="120" w:line="240" w:lineRule="auto"/>
      </w:pPr>
    </w:p>
    <w:p w:rsidR="00AD2725" w:rsidRDefault="00D83BF6" w:rsidP="007A5C1B">
      <w:pPr>
        <w:pStyle w:val="Caption"/>
        <w:jc w:val="center"/>
      </w:pPr>
      <w:bookmarkStart w:id="308" w:name="_Ref526511918"/>
      <w:bookmarkStart w:id="309" w:name="_Toc520721045"/>
      <w:r w:rsidRPr="00DA7D6C">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10</w:t>
      </w:r>
      <w:r w:rsidR="00EA3757">
        <w:rPr>
          <w:noProof/>
        </w:rPr>
        <w:fldChar w:fldCharType="end"/>
      </w:r>
      <w:bookmarkEnd w:id="308"/>
      <w:r w:rsidRPr="00DA7D6C">
        <w:br/>
      </w:r>
      <w:r w:rsidR="00AD2725" w:rsidRPr="00DA7D6C">
        <w:t>Summary of Total High-Order-of-Magnitude Transmission System Costs ($</w:t>
      </w:r>
      <w:r w:rsidRPr="00DA7D6C">
        <w:t xml:space="preserve"> </w:t>
      </w:r>
      <w:r w:rsidR="00AD2725" w:rsidRPr="00DA7D6C">
        <w:t>B</w:t>
      </w:r>
      <w:r w:rsidRPr="00DA7D6C">
        <w:t>illions</w:t>
      </w:r>
      <w:r w:rsidR="00AD2725" w:rsidRPr="00DA7D6C">
        <w:t>)</w:t>
      </w:r>
      <w:bookmarkEnd w:id="309"/>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77"/>
        <w:gridCol w:w="1873"/>
        <w:gridCol w:w="1804"/>
        <w:gridCol w:w="1850"/>
        <w:gridCol w:w="1850"/>
      </w:tblGrid>
      <w:tr w:rsidR="0027485F" w:rsidRPr="0027485F" w:rsidTr="007A5C1B">
        <w:trPr>
          <w:trHeight w:val="1105"/>
          <w:jc w:val="center"/>
        </w:trPr>
        <w:tc>
          <w:tcPr>
            <w:tcW w:w="1996" w:type="dxa"/>
            <w:shd w:val="clear" w:color="auto" w:fill="1795D2" w:themeFill="accent1"/>
            <w:vAlign w:val="center"/>
            <w:hideMark/>
          </w:tcPr>
          <w:p w:rsidR="0027485F" w:rsidRPr="0027485F" w:rsidRDefault="0027485F" w:rsidP="007A5C1B">
            <w:pPr>
              <w:keepNext/>
              <w:keepLines/>
              <w:spacing w:before="40" w:after="40" w:line="240" w:lineRule="auto"/>
              <w:jc w:val="center"/>
              <w:rPr>
                <w:rFonts w:asciiTheme="majorHAnsi" w:hAnsiTheme="majorHAnsi"/>
                <w:color w:val="FFFFFF" w:themeColor="background1"/>
                <w:sz w:val="18"/>
                <w:szCs w:val="18"/>
              </w:rPr>
            </w:pPr>
          </w:p>
        </w:tc>
        <w:tc>
          <w:tcPr>
            <w:tcW w:w="1890" w:type="dxa"/>
            <w:shd w:val="clear" w:color="auto" w:fill="1795D2" w:themeFill="accent1"/>
            <w:vAlign w:val="center"/>
            <w:hideMark/>
          </w:tcPr>
          <w:p w:rsidR="0027485F" w:rsidRPr="0027485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27485F">
              <w:rPr>
                <w:rFonts w:asciiTheme="majorHAnsi" w:hAnsiTheme="majorHAnsi"/>
                <w:b/>
                <w:bCs/>
                <w:color w:val="FFFFFF" w:themeColor="background1"/>
                <w:sz w:val="18"/>
                <w:szCs w:val="18"/>
              </w:rPr>
              <w:t>Reference</w:t>
            </w:r>
            <w:r>
              <w:rPr>
                <w:rFonts w:asciiTheme="majorHAnsi" w:hAnsiTheme="majorHAnsi"/>
                <w:b/>
                <w:bCs/>
                <w:color w:val="FFFFFF" w:themeColor="background1"/>
                <w:sz w:val="18"/>
                <w:szCs w:val="18"/>
              </w:rPr>
              <w:br/>
            </w:r>
            <w:r w:rsidRPr="0027485F">
              <w:rPr>
                <w:rFonts w:asciiTheme="majorHAnsi" w:hAnsiTheme="majorHAnsi"/>
                <w:b/>
                <w:bCs/>
                <w:color w:val="FFFFFF" w:themeColor="background1"/>
                <w:sz w:val="18"/>
                <w:szCs w:val="18"/>
              </w:rPr>
              <w:t>Renewables Plus</w:t>
            </w:r>
          </w:p>
        </w:tc>
        <w:tc>
          <w:tcPr>
            <w:tcW w:w="1825" w:type="dxa"/>
            <w:shd w:val="clear" w:color="auto" w:fill="1795D2" w:themeFill="accent1"/>
            <w:vAlign w:val="center"/>
            <w:hideMark/>
          </w:tcPr>
          <w:p w:rsidR="0027485F" w:rsidRPr="0027485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27485F">
              <w:rPr>
                <w:rFonts w:asciiTheme="majorHAnsi" w:hAnsiTheme="majorHAnsi"/>
                <w:b/>
                <w:bCs/>
                <w:color w:val="FFFFFF" w:themeColor="background1"/>
                <w:sz w:val="18"/>
                <w:szCs w:val="18"/>
              </w:rPr>
              <w:t>Scenario A</w:t>
            </w:r>
            <w:r>
              <w:rPr>
                <w:rFonts w:asciiTheme="majorHAnsi" w:hAnsiTheme="majorHAnsi"/>
                <w:b/>
                <w:bCs/>
                <w:color w:val="FFFFFF" w:themeColor="background1"/>
                <w:sz w:val="18"/>
                <w:szCs w:val="18"/>
              </w:rPr>
              <w:br/>
            </w:r>
            <w:r w:rsidRPr="0027485F">
              <w:rPr>
                <w:rFonts w:asciiTheme="majorHAnsi" w:hAnsiTheme="majorHAnsi"/>
                <w:b/>
                <w:bCs/>
                <w:color w:val="FFFFFF" w:themeColor="background1"/>
                <w:sz w:val="18"/>
                <w:szCs w:val="18"/>
              </w:rPr>
              <w:t>EE + Offshore</w:t>
            </w:r>
          </w:p>
        </w:tc>
        <w:tc>
          <w:tcPr>
            <w:tcW w:w="1868" w:type="dxa"/>
            <w:shd w:val="clear" w:color="auto" w:fill="1795D2" w:themeFill="accent1"/>
            <w:vAlign w:val="center"/>
            <w:hideMark/>
          </w:tcPr>
          <w:p w:rsidR="0027485F" w:rsidRPr="0027485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27485F">
              <w:rPr>
                <w:rFonts w:asciiTheme="majorHAnsi" w:hAnsiTheme="majorHAnsi"/>
                <w:b/>
                <w:bCs/>
                <w:color w:val="FFFFFF" w:themeColor="background1"/>
                <w:sz w:val="18"/>
                <w:szCs w:val="18"/>
              </w:rPr>
              <w:t>Scenario B</w:t>
            </w:r>
            <w:r>
              <w:rPr>
                <w:rFonts w:asciiTheme="majorHAnsi" w:hAnsiTheme="majorHAnsi"/>
                <w:b/>
                <w:bCs/>
                <w:color w:val="FFFFFF" w:themeColor="background1"/>
                <w:sz w:val="18"/>
                <w:szCs w:val="18"/>
              </w:rPr>
              <w:br/>
            </w:r>
            <w:r w:rsidRPr="0027485F">
              <w:rPr>
                <w:rFonts w:asciiTheme="majorHAnsi" w:hAnsiTheme="majorHAnsi"/>
                <w:b/>
                <w:bCs/>
                <w:color w:val="FFFFFF" w:themeColor="background1"/>
                <w:sz w:val="18"/>
                <w:szCs w:val="18"/>
              </w:rPr>
              <w:t>Onshore Less EE/PV</w:t>
            </w:r>
          </w:p>
        </w:tc>
        <w:tc>
          <w:tcPr>
            <w:tcW w:w="1868" w:type="dxa"/>
            <w:shd w:val="clear" w:color="auto" w:fill="1795D2" w:themeFill="accent1"/>
            <w:vAlign w:val="center"/>
            <w:hideMark/>
          </w:tcPr>
          <w:p w:rsidR="0027485F" w:rsidRPr="0027485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27485F">
              <w:rPr>
                <w:rFonts w:asciiTheme="majorHAnsi" w:hAnsiTheme="majorHAnsi"/>
                <w:b/>
                <w:bCs/>
                <w:color w:val="FFFFFF" w:themeColor="background1"/>
                <w:sz w:val="18"/>
                <w:szCs w:val="18"/>
              </w:rPr>
              <w:t>Scenario C</w:t>
            </w:r>
            <w:r>
              <w:rPr>
                <w:rFonts w:asciiTheme="majorHAnsi" w:hAnsiTheme="majorHAnsi"/>
                <w:b/>
                <w:bCs/>
                <w:color w:val="FFFFFF" w:themeColor="background1"/>
                <w:sz w:val="18"/>
                <w:szCs w:val="18"/>
              </w:rPr>
              <w:br/>
            </w:r>
            <w:r w:rsidR="00AF6389">
              <w:rPr>
                <w:rFonts w:asciiTheme="majorHAnsi" w:hAnsiTheme="majorHAnsi"/>
                <w:b/>
                <w:bCs/>
                <w:color w:val="FFFFFF" w:themeColor="background1"/>
                <w:sz w:val="18"/>
                <w:szCs w:val="18"/>
              </w:rPr>
              <w:t>Wind Less Nuclear</w:t>
            </w:r>
          </w:p>
        </w:tc>
      </w:tr>
      <w:tr w:rsidR="00B828FA" w:rsidRPr="0027485F" w:rsidTr="007A5C1B">
        <w:trPr>
          <w:trHeight w:val="490"/>
          <w:jc w:val="center"/>
        </w:trPr>
        <w:tc>
          <w:tcPr>
            <w:tcW w:w="1996" w:type="dxa"/>
            <w:vAlign w:val="center"/>
            <w:hideMark/>
          </w:tcPr>
          <w:p w:rsidR="00B828FA" w:rsidRPr="0027485F" w:rsidRDefault="00B828FA"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2030 Maine nameplate wind injection (MW)</w:t>
            </w:r>
          </w:p>
        </w:tc>
        <w:tc>
          <w:tcPr>
            <w:tcW w:w="1890" w:type="dxa"/>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3,652</w:t>
            </w:r>
          </w:p>
        </w:tc>
        <w:tc>
          <w:tcPr>
            <w:tcW w:w="1825" w:type="dxa"/>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926</w:t>
            </w:r>
          </w:p>
        </w:tc>
        <w:tc>
          <w:tcPr>
            <w:tcW w:w="1868" w:type="dxa"/>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5,743</w:t>
            </w:r>
          </w:p>
        </w:tc>
        <w:tc>
          <w:tcPr>
            <w:tcW w:w="1868" w:type="dxa"/>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7,579</w:t>
            </w:r>
          </w:p>
        </w:tc>
      </w:tr>
      <w:tr w:rsidR="002B2D3A" w:rsidRPr="0027485F" w:rsidTr="007A5C1B">
        <w:trPr>
          <w:trHeight w:val="490"/>
          <w:jc w:val="center"/>
        </w:trPr>
        <w:tc>
          <w:tcPr>
            <w:tcW w:w="1996" w:type="dxa"/>
            <w:shd w:val="clear" w:color="auto" w:fill="auto"/>
            <w:vAlign w:val="center"/>
            <w:hideMark/>
          </w:tcPr>
          <w:p w:rsidR="00B828FA" w:rsidRPr="0027485F" w:rsidRDefault="00B828FA"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Needed congestion-relief capacity (MW)</w:t>
            </w:r>
          </w:p>
        </w:tc>
        <w:tc>
          <w:tcPr>
            <w:tcW w:w="1890"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1,839</w:t>
            </w:r>
          </w:p>
        </w:tc>
        <w:tc>
          <w:tcPr>
            <w:tcW w:w="1825" w:type="dxa"/>
            <w:shd w:val="clear" w:color="auto" w:fill="auto"/>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3,524</w:t>
            </w:r>
          </w:p>
        </w:tc>
        <w:tc>
          <w:tcPr>
            <w:tcW w:w="1868"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4,870</w:t>
            </w:r>
          </w:p>
        </w:tc>
      </w:tr>
      <w:tr w:rsidR="00B828FA" w:rsidRPr="0027485F" w:rsidTr="007A5C1B">
        <w:trPr>
          <w:trHeight w:val="490"/>
          <w:jc w:val="center"/>
        </w:trPr>
        <w:tc>
          <w:tcPr>
            <w:tcW w:w="1996" w:type="dxa"/>
            <w:shd w:val="clear" w:color="auto" w:fill="CCEAF9" w:themeFill="accent1" w:themeFillTint="33"/>
            <w:vAlign w:val="center"/>
            <w:hideMark/>
          </w:tcPr>
          <w:p w:rsidR="00B828FA" w:rsidRPr="0027485F" w:rsidRDefault="00B828FA"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Integrator system (description)</w:t>
            </w:r>
          </w:p>
        </w:tc>
        <w:tc>
          <w:tcPr>
            <w:tcW w:w="1890" w:type="dxa"/>
            <w:shd w:val="clear" w:color="auto" w:fill="CCEAF9" w:themeFill="accent1" w:themeFillTint="33"/>
            <w:vAlign w:val="center"/>
            <w:hideMark/>
          </w:tcPr>
          <w:p w:rsidR="00B828FA" w:rsidRPr="0027485F" w:rsidRDefault="00065E26" w:rsidP="00065E26">
            <w:pPr>
              <w:keepNext/>
              <w:keepLines/>
              <w:spacing w:before="40" w:after="40" w:line="240" w:lineRule="auto"/>
              <w:jc w:val="center"/>
              <w:rPr>
                <w:rFonts w:asciiTheme="majorHAnsi" w:hAnsiTheme="majorHAnsi"/>
                <w:sz w:val="18"/>
                <w:szCs w:val="18"/>
              </w:rPr>
            </w:pPr>
            <w:r>
              <w:rPr>
                <w:rFonts w:asciiTheme="majorHAnsi" w:hAnsiTheme="majorHAnsi"/>
                <w:sz w:val="18"/>
                <w:szCs w:val="18"/>
              </w:rPr>
              <w:t xml:space="preserve">1 or </w:t>
            </w:r>
            <w:r w:rsidR="00B828FA" w:rsidRPr="0027485F">
              <w:rPr>
                <w:rFonts w:asciiTheme="majorHAnsi" w:hAnsiTheme="majorHAnsi"/>
                <w:sz w:val="18"/>
                <w:szCs w:val="18"/>
              </w:rPr>
              <w:t>2 AC</w:t>
            </w:r>
            <w:r>
              <w:rPr>
                <w:rFonts w:asciiTheme="majorHAnsi" w:hAnsiTheme="majorHAnsi"/>
                <w:sz w:val="18"/>
                <w:szCs w:val="18"/>
              </w:rPr>
              <w:t>-</w:t>
            </w:r>
            <w:r w:rsidR="00B828FA" w:rsidRPr="0027485F">
              <w:rPr>
                <w:rFonts w:asciiTheme="majorHAnsi" w:hAnsiTheme="majorHAnsi"/>
                <w:sz w:val="18"/>
                <w:szCs w:val="18"/>
              </w:rPr>
              <w:t>parallel</w:t>
            </w:r>
            <w:r w:rsidR="0027485F">
              <w:rPr>
                <w:rFonts w:asciiTheme="majorHAnsi" w:hAnsiTheme="majorHAnsi"/>
                <w:sz w:val="18"/>
                <w:szCs w:val="18"/>
              </w:rPr>
              <w:br/>
            </w:r>
            <w:r w:rsidR="00B828FA" w:rsidRPr="0027485F">
              <w:rPr>
                <w:rFonts w:asciiTheme="majorHAnsi" w:hAnsiTheme="majorHAnsi"/>
                <w:sz w:val="18"/>
                <w:szCs w:val="18"/>
              </w:rPr>
              <w:t>345 kV paths</w:t>
            </w:r>
          </w:p>
        </w:tc>
        <w:tc>
          <w:tcPr>
            <w:tcW w:w="1825" w:type="dxa"/>
            <w:shd w:val="clear" w:color="auto" w:fill="CCEAF9" w:themeFill="accent1" w:themeFillTint="33"/>
            <w:vAlign w:val="center"/>
            <w:hideMark/>
          </w:tcPr>
          <w:p w:rsidR="00B828FA" w:rsidRPr="0027485F" w:rsidRDefault="00B828FA" w:rsidP="00065E26">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 xml:space="preserve">1 </w:t>
            </w:r>
            <w:r w:rsidR="00065E26">
              <w:rPr>
                <w:rFonts w:asciiTheme="majorHAnsi" w:hAnsiTheme="majorHAnsi"/>
                <w:sz w:val="18"/>
                <w:szCs w:val="18"/>
              </w:rPr>
              <w:t xml:space="preserve">or 2 </w:t>
            </w:r>
            <w:r w:rsidRPr="0027485F">
              <w:rPr>
                <w:rFonts w:asciiTheme="majorHAnsi" w:hAnsiTheme="majorHAnsi"/>
                <w:sz w:val="18"/>
                <w:szCs w:val="18"/>
              </w:rPr>
              <w:t>AC</w:t>
            </w:r>
            <w:r w:rsidR="00065E26">
              <w:rPr>
                <w:rFonts w:asciiTheme="majorHAnsi" w:hAnsiTheme="majorHAnsi"/>
                <w:sz w:val="18"/>
                <w:szCs w:val="18"/>
              </w:rPr>
              <w:t>-</w:t>
            </w:r>
            <w:r w:rsidRPr="0027485F">
              <w:rPr>
                <w:rFonts w:asciiTheme="majorHAnsi" w:hAnsiTheme="majorHAnsi"/>
                <w:sz w:val="18"/>
                <w:szCs w:val="18"/>
              </w:rPr>
              <w:t>parallel</w:t>
            </w:r>
            <w:r w:rsidR="0027485F">
              <w:rPr>
                <w:rFonts w:asciiTheme="majorHAnsi" w:hAnsiTheme="majorHAnsi"/>
                <w:sz w:val="18"/>
                <w:szCs w:val="18"/>
              </w:rPr>
              <w:br/>
            </w:r>
            <w:r w:rsidRPr="0027485F">
              <w:rPr>
                <w:rFonts w:asciiTheme="majorHAnsi" w:hAnsiTheme="majorHAnsi"/>
                <w:sz w:val="18"/>
                <w:szCs w:val="18"/>
              </w:rPr>
              <w:t>345 kV path</w:t>
            </w:r>
            <w:r w:rsidR="00065E26">
              <w:rPr>
                <w:rFonts w:asciiTheme="majorHAnsi" w:hAnsiTheme="majorHAnsi"/>
                <w:sz w:val="18"/>
                <w:szCs w:val="18"/>
              </w:rPr>
              <w:t>s</w:t>
            </w:r>
          </w:p>
        </w:tc>
        <w:tc>
          <w:tcPr>
            <w:tcW w:w="1868" w:type="dxa"/>
            <w:shd w:val="clear" w:color="auto" w:fill="CCEAF9" w:themeFill="accent1" w:themeFillTint="33"/>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CCEAF9" w:themeFill="accent1" w:themeFillTint="33"/>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r>
      <w:tr w:rsidR="002B2D3A" w:rsidRPr="0027485F" w:rsidTr="007A5C1B">
        <w:trPr>
          <w:trHeight w:val="490"/>
          <w:jc w:val="center"/>
        </w:trPr>
        <w:tc>
          <w:tcPr>
            <w:tcW w:w="1996" w:type="dxa"/>
            <w:shd w:val="clear" w:color="auto" w:fill="CCEAF9" w:themeFill="accent1" w:themeFillTint="33"/>
            <w:vAlign w:val="center"/>
            <w:hideMark/>
          </w:tcPr>
          <w:p w:rsidR="00B828FA" w:rsidRPr="0027485F" w:rsidRDefault="00B828FA"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Integrator system cost ($ billion)</w:t>
            </w:r>
          </w:p>
        </w:tc>
        <w:tc>
          <w:tcPr>
            <w:tcW w:w="1890" w:type="dxa"/>
            <w:shd w:val="clear" w:color="auto" w:fill="CCEAF9" w:themeFill="accent1" w:themeFillTint="33"/>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$1.50 to $3.00</w:t>
            </w:r>
          </w:p>
        </w:tc>
        <w:tc>
          <w:tcPr>
            <w:tcW w:w="1825" w:type="dxa"/>
            <w:shd w:val="clear" w:color="auto" w:fill="CCEAF9" w:themeFill="accent1" w:themeFillTint="33"/>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$1.50 to $3.00</w:t>
            </w:r>
          </w:p>
        </w:tc>
        <w:tc>
          <w:tcPr>
            <w:tcW w:w="1868" w:type="dxa"/>
            <w:shd w:val="clear" w:color="auto" w:fill="CCEAF9" w:themeFill="accent1" w:themeFillTint="33"/>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CCEAF9" w:themeFill="accent1" w:themeFillTint="33"/>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r>
      <w:tr w:rsidR="0027485F" w:rsidRPr="0027485F" w:rsidTr="007A5C1B">
        <w:trPr>
          <w:trHeight w:val="576"/>
          <w:jc w:val="center"/>
        </w:trPr>
        <w:tc>
          <w:tcPr>
            <w:tcW w:w="1996" w:type="dxa"/>
            <w:shd w:val="clear" w:color="auto" w:fill="CCEAF9" w:themeFill="accent1" w:themeFillTint="33"/>
            <w:vAlign w:val="center"/>
            <w:hideMark/>
          </w:tcPr>
          <w:p w:rsidR="0027485F" w:rsidRPr="0027485F" w:rsidRDefault="0027485F" w:rsidP="00E503F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Integrator system cost + 50% margin</w:t>
            </w:r>
            <w:r w:rsidR="00E503FB">
              <w:rPr>
                <w:rFonts w:asciiTheme="majorHAnsi" w:hAnsiTheme="majorHAnsi"/>
                <w:b/>
                <w:bCs/>
                <w:sz w:val="18"/>
                <w:szCs w:val="18"/>
              </w:rPr>
              <w:br/>
            </w:r>
            <w:r w:rsidRPr="0027485F">
              <w:rPr>
                <w:rFonts w:asciiTheme="majorHAnsi" w:hAnsiTheme="majorHAnsi"/>
                <w:b/>
                <w:bCs/>
                <w:sz w:val="18"/>
                <w:szCs w:val="18"/>
              </w:rPr>
              <w:t>($ billion)</w:t>
            </w:r>
          </w:p>
        </w:tc>
        <w:tc>
          <w:tcPr>
            <w:tcW w:w="1890" w:type="dxa"/>
            <w:shd w:val="clear" w:color="auto" w:fill="CCEAF9" w:themeFill="accent1" w:themeFillTint="33"/>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$2.25 to $4.50</w:t>
            </w:r>
          </w:p>
        </w:tc>
        <w:tc>
          <w:tcPr>
            <w:tcW w:w="1825" w:type="dxa"/>
            <w:shd w:val="clear" w:color="auto" w:fill="CCEAF9" w:themeFill="accent1" w:themeFillTint="33"/>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$2.25 to $4.50</w:t>
            </w:r>
          </w:p>
        </w:tc>
        <w:tc>
          <w:tcPr>
            <w:tcW w:w="1868" w:type="dxa"/>
            <w:shd w:val="clear" w:color="auto" w:fill="CCEAF9" w:themeFill="accent1" w:themeFillTint="33"/>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CCEAF9" w:themeFill="accent1" w:themeFillTint="33"/>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r>
      <w:tr w:rsidR="002B2D3A" w:rsidRPr="0027485F" w:rsidTr="007A5C1B">
        <w:trPr>
          <w:trHeight w:val="490"/>
          <w:jc w:val="center"/>
        </w:trPr>
        <w:tc>
          <w:tcPr>
            <w:tcW w:w="1996" w:type="dxa"/>
            <w:shd w:val="clear" w:color="auto" w:fill="auto"/>
            <w:vAlign w:val="center"/>
            <w:hideMark/>
          </w:tcPr>
          <w:p w:rsidR="00B828FA" w:rsidRPr="0027485F" w:rsidRDefault="00B828FA"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Congestion-relief system (description)</w:t>
            </w:r>
          </w:p>
        </w:tc>
        <w:tc>
          <w:tcPr>
            <w:tcW w:w="1890"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Connecting Larrabee 345 kV to the Hub</w:t>
            </w:r>
          </w:p>
        </w:tc>
        <w:tc>
          <w:tcPr>
            <w:tcW w:w="1825" w:type="dxa"/>
            <w:shd w:val="clear" w:color="auto" w:fill="auto"/>
            <w:vAlign w:val="center"/>
            <w:hideMark/>
          </w:tcPr>
          <w:p w:rsidR="00B828FA"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Connecting POIs directly to the Hub</w:t>
            </w:r>
          </w:p>
        </w:tc>
        <w:tc>
          <w:tcPr>
            <w:tcW w:w="1868" w:type="dxa"/>
            <w:shd w:val="clear" w:color="auto" w:fill="auto"/>
            <w:vAlign w:val="center"/>
            <w:hideMark/>
          </w:tcPr>
          <w:p w:rsidR="00B828FA" w:rsidRPr="0027485F" w:rsidRDefault="00B828FA"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Connecting POIs directly to the Hub</w:t>
            </w:r>
          </w:p>
        </w:tc>
      </w:tr>
      <w:tr w:rsidR="0027485F" w:rsidRPr="0027485F" w:rsidTr="007A5C1B">
        <w:trPr>
          <w:trHeight w:val="576"/>
          <w:jc w:val="center"/>
        </w:trPr>
        <w:tc>
          <w:tcPr>
            <w:tcW w:w="1996" w:type="dxa"/>
            <w:shd w:val="clear" w:color="auto" w:fill="auto"/>
            <w:vAlign w:val="center"/>
            <w:hideMark/>
          </w:tcPr>
          <w:p w:rsidR="0027485F" w:rsidRPr="0027485F" w:rsidRDefault="0027485F"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Congestion-relief system cost</w:t>
            </w:r>
            <w:r>
              <w:rPr>
                <w:rFonts w:asciiTheme="majorHAnsi" w:hAnsiTheme="majorHAnsi"/>
                <w:b/>
                <w:bCs/>
                <w:sz w:val="18"/>
                <w:szCs w:val="18"/>
              </w:rPr>
              <w:t xml:space="preserve"> </w:t>
            </w:r>
            <w:r w:rsidRPr="0027485F">
              <w:rPr>
                <w:rFonts w:asciiTheme="majorHAnsi" w:hAnsiTheme="majorHAnsi"/>
                <w:b/>
                <w:bCs/>
                <w:sz w:val="18"/>
                <w:szCs w:val="18"/>
              </w:rPr>
              <w:t>($ billion)</w:t>
            </w:r>
          </w:p>
        </w:tc>
        <w:tc>
          <w:tcPr>
            <w:tcW w:w="1890"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$3.73</w:t>
            </w:r>
          </w:p>
        </w:tc>
        <w:tc>
          <w:tcPr>
            <w:tcW w:w="1825"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$8.03</w:t>
            </w:r>
          </w:p>
        </w:tc>
        <w:tc>
          <w:tcPr>
            <w:tcW w:w="1868"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$10.14</w:t>
            </w:r>
          </w:p>
        </w:tc>
      </w:tr>
      <w:tr w:rsidR="0027485F" w:rsidRPr="0027485F" w:rsidTr="007A5C1B">
        <w:trPr>
          <w:trHeight w:val="20"/>
          <w:jc w:val="center"/>
        </w:trPr>
        <w:tc>
          <w:tcPr>
            <w:tcW w:w="1996" w:type="dxa"/>
            <w:shd w:val="clear" w:color="auto" w:fill="auto"/>
            <w:vAlign w:val="center"/>
            <w:hideMark/>
          </w:tcPr>
          <w:p w:rsidR="0027485F" w:rsidRPr="0027485F" w:rsidRDefault="0027485F" w:rsidP="007A5C1B">
            <w:pPr>
              <w:keepNext/>
              <w:keepLines/>
              <w:spacing w:before="40" w:after="40" w:line="240" w:lineRule="auto"/>
              <w:rPr>
                <w:rFonts w:asciiTheme="majorHAnsi" w:hAnsiTheme="majorHAnsi"/>
                <w:b/>
                <w:bCs/>
                <w:sz w:val="18"/>
                <w:szCs w:val="18"/>
              </w:rPr>
            </w:pPr>
            <w:r w:rsidRPr="0027485F">
              <w:rPr>
                <w:rFonts w:asciiTheme="majorHAnsi" w:hAnsiTheme="majorHAnsi"/>
                <w:b/>
                <w:bCs/>
                <w:sz w:val="18"/>
                <w:szCs w:val="18"/>
              </w:rPr>
              <w:t>Congestion-relief system cost + 50% margin</w:t>
            </w:r>
            <w:r>
              <w:rPr>
                <w:rFonts w:asciiTheme="majorHAnsi" w:hAnsiTheme="majorHAnsi"/>
                <w:b/>
                <w:bCs/>
                <w:sz w:val="18"/>
                <w:szCs w:val="18"/>
              </w:rPr>
              <w:t xml:space="preserve"> </w:t>
            </w:r>
            <w:r w:rsidRPr="0027485F">
              <w:rPr>
                <w:rFonts w:asciiTheme="majorHAnsi" w:hAnsiTheme="majorHAnsi"/>
                <w:b/>
                <w:bCs/>
                <w:sz w:val="18"/>
                <w:szCs w:val="18"/>
              </w:rPr>
              <w:t>($ billion)</w:t>
            </w:r>
          </w:p>
        </w:tc>
        <w:tc>
          <w:tcPr>
            <w:tcW w:w="1890"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$5.60</w:t>
            </w:r>
          </w:p>
        </w:tc>
        <w:tc>
          <w:tcPr>
            <w:tcW w:w="1825"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Pr>
                <w:rFonts w:asciiTheme="majorHAnsi" w:hAnsiTheme="majorHAnsi"/>
                <w:sz w:val="18"/>
                <w:szCs w:val="18"/>
              </w:rPr>
              <w:t>—</w:t>
            </w:r>
          </w:p>
        </w:tc>
        <w:tc>
          <w:tcPr>
            <w:tcW w:w="1868"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$12.05</w:t>
            </w:r>
          </w:p>
        </w:tc>
        <w:tc>
          <w:tcPr>
            <w:tcW w:w="1868" w:type="dxa"/>
            <w:shd w:val="clear" w:color="auto" w:fill="auto"/>
            <w:vAlign w:val="center"/>
            <w:hideMark/>
          </w:tcPr>
          <w:p w:rsidR="0027485F" w:rsidRPr="0027485F" w:rsidRDefault="0027485F" w:rsidP="007A5C1B">
            <w:pPr>
              <w:keepNext/>
              <w:keepLines/>
              <w:spacing w:before="40" w:after="40" w:line="240" w:lineRule="auto"/>
              <w:jc w:val="center"/>
              <w:rPr>
                <w:rFonts w:asciiTheme="majorHAnsi" w:hAnsiTheme="majorHAnsi"/>
                <w:sz w:val="18"/>
                <w:szCs w:val="18"/>
              </w:rPr>
            </w:pPr>
            <w:r w:rsidRPr="0027485F">
              <w:rPr>
                <w:rFonts w:asciiTheme="majorHAnsi" w:hAnsiTheme="majorHAnsi"/>
                <w:sz w:val="18"/>
                <w:szCs w:val="18"/>
              </w:rPr>
              <w:t>$15.21</w:t>
            </w:r>
          </w:p>
        </w:tc>
      </w:tr>
      <w:tr w:rsidR="0027485F" w:rsidRPr="0027485F" w:rsidTr="007A5C1B">
        <w:trPr>
          <w:trHeight w:val="20"/>
          <w:jc w:val="center"/>
        </w:trPr>
        <w:tc>
          <w:tcPr>
            <w:tcW w:w="1996" w:type="dxa"/>
            <w:shd w:val="clear" w:color="auto" w:fill="1795D2" w:themeFill="accent1"/>
            <w:vAlign w:val="center"/>
            <w:hideMark/>
          </w:tcPr>
          <w:p w:rsidR="0027485F" w:rsidRPr="0093684F" w:rsidRDefault="0027485F" w:rsidP="001128A8">
            <w:pPr>
              <w:keepNext/>
              <w:keepLines/>
              <w:spacing w:before="40" w:after="40" w:line="240" w:lineRule="auto"/>
              <w:rPr>
                <w:rFonts w:asciiTheme="majorHAnsi" w:hAnsiTheme="majorHAnsi"/>
                <w:b/>
                <w:bCs/>
                <w:color w:val="FFFFFF" w:themeColor="background1"/>
                <w:sz w:val="18"/>
                <w:szCs w:val="18"/>
              </w:rPr>
            </w:pPr>
            <w:r w:rsidRPr="0093684F">
              <w:rPr>
                <w:rFonts w:asciiTheme="majorHAnsi" w:hAnsiTheme="majorHAnsi"/>
                <w:b/>
                <w:bCs/>
                <w:color w:val="FFFFFF" w:themeColor="background1"/>
                <w:sz w:val="18"/>
                <w:szCs w:val="18"/>
              </w:rPr>
              <w:t>Total cost + 50% margin ($ billion)</w:t>
            </w:r>
          </w:p>
        </w:tc>
        <w:tc>
          <w:tcPr>
            <w:tcW w:w="1890" w:type="dxa"/>
            <w:shd w:val="clear" w:color="auto" w:fill="1795D2" w:themeFill="accent1"/>
            <w:vAlign w:val="center"/>
            <w:hideMark/>
          </w:tcPr>
          <w:p w:rsidR="0027485F" w:rsidRPr="0093684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93684F">
              <w:rPr>
                <w:rFonts w:asciiTheme="majorHAnsi" w:hAnsiTheme="majorHAnsi"/>
                <w:b/>
                <w:bCs/>
                <w:color w:val="FFFFFF" w:themeColor="background1"/>
                <w:sz w:val="18"/>
                <w:szCs w:val="18"/>
              </w:rPr>
              <w:t>$7.85 to $10.10</w:t>
            </w:r>
          </w:p>
        </w:tc>
        <w:tc>
          <w:tcPr>
            <w:tcW w:w="1825" w:type="dxa"/>
            <w:shd w:val="clear" w:color="auto" w:fill="1795D2" w:themeFill="accent1"/>
            <w:vAlign w:val="center"/>
            <w:hideMark/>
          </w:tcPr>
          <w:p w:rsidR="0027485F" w:rsidRPr="0093684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93684F">
              <w:rPr>
                <w:rFonts w:asciiTheme="majorHAnsi" w:hAnsiTheme="majorHAnsi"/>
                <w:b/>
                <w:bCs/>
                <w:color w:val="FFFFFF" w:themeColor="background1"/>
                <w:sz w:val="18"/>
                <w:szCs w:val="18"/>
              </w:rPr>
              <w:t>$2.25 to $4.50</w:t>
            </w:r>
          </w:p>
        </w:tc>
        <w:tc>
          <w:tcPr>
            <w:tcW w:w="1868" w:type="dxa"/>
            <w:shd w:val="clear" w:color="auto" w:fill="1795D2" w:themeFill="accent1"/>
            <w:vAlign w:val="center"/>
            <w:hideMark/>
          </w:tcPr>
          <w:p w:rsidR="0027485F" w:rsidRPr="0093684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93684F">
              <w:rPr>
                <w:rFonts w:asciiTheme="majorHAnsi" w:hAnsiTheme="majorHAnsi"/>
                <w:b/>
                <w:bCs/>
                <w:color w:val="FFFFFF" w:themeColor="background1"/>
                <w:sz w:val="18"/>
                <w:szCs w:val="18"/>
              </w:rPr>
              <w:t>$12.05</w:t>
            </w:r>
          </w:p>
        </w:tc>
        <w:tc>
          <w:tcPr>
            <w:tcW w:w="1868" w:type="dxa"/>
            <w:shd w:val="clear" w:color="auto" w:fill="1795D2" w:themeFill="accent1"/>
            <w:vAlign w:val="center"/>
            <w:hideMark/>
          </w:tcPr>
          <w:p w:rsidR="0027485F" w:rsidRPr="0093684F" w:rsidRDefault="0027485F" w:rsidP="007A5C1B">
            <w:pPr>
              <w:keepNext/>
              <w:keepLines/>
              <w:spacing w:before="40" w:after="40" w:line="240" w:lineRule="auto"/>
              <w:jc w:val="center"/>
              <w:rPr>
                <w:rFonts w:asciiTheme="majorHAnsi" w:hAnsiTheme="majorHAnsi"/>
                <w:b/>
                <w:bCs/>
                <w:color w:val="FFFFFF" w:themeColor="background1"/>
                <w:sz w:val="18"/>
                <w:szCs w:val="18"/>
              </w:rPr>
            </w:pPr>
            <w:r w:rsidRPr="0093684F">
              <w:rPr>
                <w:rFonts w:asciiTheme="majorHAnsi" w:hAnsiTheme="majorHAnsi"/>
                <w:b/>
                <w:bCs/>
                <w:color w:val="FFFFFF" w:themeColor="background1"/>
                <w:sz w:val="18"/>
                <w:szCs w:val="18"/>
              </w:rPr>
              <w:t>$15.21</w:t>
            </w:r>
          </w:p>
        </w:tc>
      </w:tr>
    </w:tbl>
    <w:p w:rsidR="0027485F" w:rsidRPr="00425A90" w:rsidRDefault="0027485F" w:rsidP="00B236A3">
      <w:pPr>
        <w:pStyle w:val="NormalWeb"/>
        <w:numPr>
          <w:ilvl w:val="0"/>
          <w:numId w:val="85"/>
        </w:numPr>
        <w:spacing w:before="120" w:beforeAutospacing="0" w:after="240" w:afterAutospacing="0"/>
        <w:ind w:left="270" w:hanging="270"/>
        <w:rPr>
          <w:rFonts w:asciiTheme="minorHAnsi" w:hAnsiTheme="minorHAnsi"/>
          <w:sz w:val="16"/>
          <w:szCs w:val="16"/>
        </w:rPr>
      </w:pPr>
      <w:r w:rsidRPr="00425A90">
        <w:rPr>
          <w:rFonts w:asciiTheme="minorHAnsi" w:hAnsiTheme="minorHAnsi"/>
          <w:sz w:val="16"/>
          <w:szCs w:val="16"/>
        </w:rPr>
        <w:t>Costs described here are preliminary high-level order</w:t>
      </w:r>
      <w:r>
        <w:rPr>
          <w:rFonts w:asciiTheme="minorHAnsi" w:hAnsiTheme="minorHAnsi"/>
          <w:sz w:val="16"/>
          <w:szCs w:val="16"/>
        </w:rPr>
        <w:t>-</w:t>
      </w:r>
      <w:r w:rsidRPr="00425A90">
        <w:rPr>
          <w:rFonts w:asciiTheme="minorHAnsi" w:hAnsiTheme="minorHAnsi"/>
          <w:sz w:val="16"/>
          <w:szCs w:val="16"/>
        </w:rPr>
        <w:t>of</w:t>
      </w:r>
      <w:r>
        <w:rPr>
          <w:rFonts w:asciiTheme="minorHAnsi" w:hAnsiTheme="minorHAnsi"/>
          <w:sz w:val="16"/>
          <w:szCs w:val="16"/>
        </w:rPr>
        <w:t>-</w:t>
      </w:r>
      <w:r w:rsidRPr="00425A90">
        <w:rPr>
          <w:rFonts w:asciiTheme="minorHAnsi" w:hAnsiTheme="minorHAnsi"/>
          <w:sz w:val="16"/>
          <w:szCs w:val="16"/>
        </w:rPr>
        <w:t xml:space="preserve">magnitude costs based on judgement. Also, they do not account for individual plants’ interconnection costs or potential costs from system operational issues. </w:t>
      </w:r>
    </w:p>
    <w:p w:rsidR="00C57627" w:rsidRDefault="00C57627" w:rsidP="00DF0B60">
      <w:pPr>
        <w:tabs>
          <w:tab w:val="left" w:pos="560"/>
        </w:tabs>
        <w:kinsoku w:val="0"/>
        <w:overflowPunct w:val="0"/>
        <w:adjustRightInd/>
        <w:spacing w:after="0" w:line="240" w:lineRule="auto"/>
        <w:contextualSpacing/>
      </w:pPr>
      <w:r w:rsidRPr="00F40505">
        <w:t xml:space="preserve">Transmission development costs increase with greater amounts of assumed onshore wind development. </w:t>
      </w:r>
      <w:r w:rsidR="003F30A0">
        <w:t xml:space="preserve">The dollars are </w:t>
      </w:r>
      <w:r w:rsidR="003F30A0" w:rsidRPr="00ED57D7">
        <w:t xml:space="preserve">not </w:t>
      </w:r>
      <w:r w:rsidR="003F30A0">
        <w:t xml:space="preserve">associated with specific plans but rather form an equitable basis of comparison among the scenarios. However, </w:t>
      </w:r>
      <w:r w:rsidR="003F30A0" w:rsidRPr="00EC54DE">
        <w:t xml:space="preserve">the </w:t>
      </w:r>
      <w:r w:rsidR="003F30A0" w:rsidRPr="00ED57D7">
        <w:rPr>
          <w:i/>
        </w:rPr>
        <w:t>2016 Maine Resource Integration Study</w:t>
      </w:r>
      <w:r w:rsidR="003F30A0" w:rsidRPr="00EC54DE">
        <w:t xml:space="preserve"> </w:t>
      </w:r>
      <w:r w:rsidR="003F30A0">
        <w:t>helped inform the development of the cost estimates</w:t>
      </w:r>
      <w:r w:rsidR="003F30A0" w:rsidRPr="00EC54DE">
        <w:t>.</w:t>
      </w:r>
      <w:r w:rsidR="003F30A0">
        <w:rPr>
          <w:rStyle w:val="FootnoteReference"/>
        </w:rPr>
        <w:footnoteReference w:id="58"/>
      </w:r>
      <w:r w:rsidR="003F30A0">
        <w:t xml:space="preserve"> </w:t>
      </w:r>
      <w:r w:rsidRPr="00F40505">
        <w:t>The EE + Offshore scenario results in the least expensive high-order-of-magnitude transmission development costs</w:t>
      </w:r>
      <w:r w:rsidR="00D83BF6">
        <w:t>,</w:t>
      </w:r>
      <w:r w:rsidRPr="00F40505">
        <w:t xml:space="preserve"> and the </w:t>
      </w:r>
      <w:r w:rsidR="00AF6389">
        <w:t>Wind Less Nuclear</w:t>
      </w:r>
      <w:r w:rsidRPr="00F40505">
        <w:t xml:space="preserve"> scenario resulted in the greatest costs.</w:t>
      </w:r>
    </w:p>
    <w:p w:rsidR="003F30A0" w:rsidRDefault="003F30A0" w:rsidP="00E660C2">
      <w:pPr>
        <w:tabs>
          <w:tab w:val="left" w:pos="560"/>
        </w:tabs>
        <w:kinsoku w:val="0"/>
        <w:overflowPunct w:val="0"/>
        <w:adjustRightInd/>
        <w:spacing w:after="0" w:line="240" w:lineRule="auto"/>
        <w:contextualSpacing/>
      </w:pPr>
    </w:p>
    <w:p w:rsidR="00980441" w:rsidRPr="0072013B" w:rsidRDefault="00DF12DF" w:rsidP="00B8270A">
      <w:pPr>
        <w:pStyle w:val="Heading2"/>
      </w:pPr>
      <w:bookmarkStart w:id="310" w:name="_Ref487200524"/>
      <w:bookmarkStart w:id="311" w:name="_Toc528571228"/>
      <w:r>
        <w:t>Operati</w:t>
      </w:r>
      <w:r w:rsidR="000D624E">
        <w:t>o</w:t>
      </w:r>
      <w:r>
        <w:t xml:space="preserve">n and Planning the </w:t>
      </w:r>
      <w:r w:rsidR="00980441">
        <w:t>Transmission System for High Levels of Inverter</w:t>
      </w:r>
      <w:r w:rsidR="00F76847">
        <w:t>-</w:t>
      </w:r>
      <w:r w:rsidR="00980441">
        <w:t>Based Resources</w:t>
      </w:r>
      <w:bookmarkEnd w:id="310"/>
      <w:bookmarkEnd w:id="311"/>
      <w:r w:rsidR="00B75B9D">
        <w:t xml:space="preserve"> </w:t>
      </w:r>
    </w:p>
    <w:p w:rsidR="00821707" w:rsidRDefault="00227ADC" w:rsidP="00201D25">
      <w:r>
        <w:t>The large</w:t>
      </w:r>
      <w:r w:rsidR="002964DE">
        <w:t>-</w:t>
      </w:r>
      <w:r>
        <w:t xml:space="preserve">scale development of PV can </w:t>
      </w:r>
      <w:r w:rsidR="00F76847">
        <w:t>a</w:t>
      </w:r>
      <w:r>
        <w:t xml:space="preserve">ffect the net load shape. An example of the “duck curve” is shown in </w:t>
      </w:r>
      <w:r w:rsidR="002309A3" w:rsidRPr="00FF183A">
        <w:fldChar w:fldCharType="begin"/>
      </w:r>
      <w:r w:rsidR="002309A3" w:rsidRPr="00FF183A">
        <w:instrText xml:space="preserve"> REF _Ref477166881 \h </w:instrText>
      </w:r>
      <w:r w:rsidR="00024994" w:rsidRPr="00FF183A">
        <w:instrText xml:space="preserve"> \* MERGEFORMAT </w:instrText>
      </w:r>
      <w:r w:rsidR="002309A3" w:rsidRPr="00FF183A">
        <w:fldChar w:fldCharType="separate"/>
      </w:r>
      <w:r w:rsidR="00872A95" w:rsidRPr="00872A95">
        <w:rPr>
          <w:bCs/>
        </w:rPr>
        <w:t xml:space="preserve">Figure </w:t>
      </w:r>
      <w:r w:rsidR="00872A95">
        <w:rPr>
          <w:noProof/>
        </w:rPr>
        <w:t>6</w:t>
      </w:r>
      <w:r w:rsidR="00872A95" w:rsidRPr="00821707">
        <w:rPr>
          <w:noProof/>
        </w:rPr>
        <w:noBreakHyphen/>
      </w:r>
      <w:r w:rsidR="00872A95">
        <w:rPr>
          <w:noProof/>
        </w:rPr>
        <w:t>6</w:t>
      </w:r>
      <w:r w:rsidR="002309A3" w:rsidRPr="00FF183A">
        <w:fldChar w:fldCharType="end"/>
      </w:r>
      <w:r w:rsidRPr="00FF183A">
        <w:t xml:space="preserve"> for the </w:t>
      </w:r>
      <w:r w:rsidR="007F3005" w:rsidRPr="00FF183A">
        <w:t>New England</w:t>
      </w:r>
      <w:r w:rsidRPr="00FF183A">
        <w:t xml:space="preserve"> sy</w:t>
      </w:r>
      <w:r w:rsidR="007F3005" w:rsidRPr="00FF183A">
        <w:t>s</w:t>
      </w:r>
      <w:r w:rsidRPr="00FF183A">
        <w:t>tem</w:t>
      </w:r>
      <w:r w:rsidR="007F3005" w:rsidRPr="00FF183A">
        <w:t xml:space="preserve"> that </w:t>
      </w:r>
      <w:r w:rsidR="0089386C" w:rsidRPr="00FF183A">
        <w:t xml:space="preserve">occurred </w:t>
      </w:r>
      <w:r w:rsidR="007F3005" w:rsidRPr="00FF183A">
        <w:t xml:space="preserve">on </w:t>
      </w:r>
      <w:r w:rsidR="00821707">
        <w:t>April</w:t>
      </w:r>
      <w:r w:rsidR="007F3005" w:rsidRPr="00FF183A">
        <w:t xml:space="preserve"> 2</w:t>
      </w:r>
      <w:r w:rsidR="00821707">
        <w:t>1</w:t>
      </w:r>
      <w:r w:rsidR="007F3005" w:rsidRPr="00FF183A">
        <w:t>, 201</w:t>
      </w:r>
      <w:r w:rsidR="00821707">
        <w:t>8</w:t>
      </w:r>
      <w:r w:rsidR="009E7B29" w:rsidRPr="00FF183A">
        <w:t>.</w:t>
      </w:r>
      <w:r w:rsidR="009E7B29">
        <w:t xml:space="preserve"> </w:t>
      </w:r>
      <w:r w:rsidR="007F3005">
        <w:t>The net load decreases with daylight</w:t>
      </w:r>
      <w:r w:rsidR="00024994">
        <w:t>,</w:t>
      </w:r>
      <w:r w:rsidR="007F3005">
        <w:t xml:space="preserve"> and the peak occurs after dusk when PV output drops to zero. Systems with “duck curve” characteristics must address a number of technical issues, such as the ability to ramp system resources to follow the net load.</w:t>
      </w:r>
      <w:r w:rsidR="00D05C12">
        <w:rPr>
          <w:rStyle w:val="FootnoteReference"/>
        </w:rPr>
        <w:footnoteReference w:id="59"/>
      </w:r>
      <w:r w:rsidR="007F3005">
        <w:t xml:space="preserve"> </w:t>
      </w:r>
    </w:p>
    <w:p w:rsidR="00821707" w:rsidRDefault="00821707" w:rsidP="00821707">
      <w:pPr>
        <w:spacing w:after="0" w:line="240" w:lineRule="auto"/>
        <w:jc w:val="center"/>
      </w:pPr>
      <w:r w:rsidRPr="00E65E6C">
        <w:rPr>
          <w:noProof/>
        </w:rPr>
        <w:drawing>
          <wp:inline distT="0" distB="0" distL="0" distR="0" wp14:anchorId="23D87C09" wp14:editId="431B19A5">
            <wp:extent cx="5284449" cy="3312160"/>
            <wp:effectExtent l="19050" t="19050" r="1206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226" r="15727" b="8888"/>
                    <a:stretch/>
                  </pic:blipFill>
                  <pic:spPr bwMode="auto">
                    <a:xfrm>
                      <a:off x="0" y="0"/>
                      <a:ext cx="5289112" cy="3315082"/>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2309A3" w:rsidRDefault="002309A3" w:rsidP="00821707">
      <w:pPr>
        <w:pStyle w:val="Caption"/>
        <w:spacing w:before="120" w:after="240"/>
        <w:ind w:left="540" w:right="540"/>
      </w:pPr>
      <w:bookmarkStart w:id="312" w:name="_Ref477166881"/>
      <w:bookmarkStart w:id="313" w:name="_Toc519511511"/>
      <w:r w:rsidRPr="00821707">
        <w:t xml:space="preserve">Figure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CF5BC5" w:rsidRPr="00821707">
        <w:noBreakHyphen/>
      </w:r>
      <w:r w:rsidR="00EA3757">
        <w:rPr>
          <w:noProof/>
        </w:rPr>
        <w:fldChar w:fldCharType="begin"/>
      </w:r>
      <w:r w:rsidR="00EA3757">
        <w:rPr>
          <w:noProof/>
        </w:rPr>
        <w:instrText xml:space="preserve"> SEQ Figure \* ARABIC \s 1 </w:instrText>
      </w:r>
      <w:r w:rsidR="00EA3757">
        <w:rPr>
          <w:noProof/>
        </w:rPr>
        <w:fldChar w:fldCharType="separate"/>
      </w:r>
      <w:r w:rsidR="00872A95">
        <w:rPr>
          <w:noProof/>
        </w:rPr>
        <w:t>6</w:t>
      </w:r>
      <w:r w:rsidR="00EA3757">
        <w:rPr>
          <w:noProof/>
        </w:rPr>
        <w:fldChar w:fldCharType="end"/>
      </w:r>
      <w:bookmarkEnd w:id="312"/>
      <w:r w:rsidRPr="00821707">
        <w:t xml:space="preserve">: </w:t>
      </w:r>
      <w:r w:rsidR="00216DD9" w:rsidRPr="00821707">
        <w:t>E</w:t>
      </w:r>
      <w:r w:rsidRPr="00821707">
        <w:t xml:space="preserve">xample of a daily system load </w:t>
      </w:r>
      <w:r w:rsidR="00216DD9" w:rsidRPr="00821707">
        <w:t xml:space="preserve">in real time </w:t>
      </w:r>
      <w:r w:rsidRPr="00821707">
        <w:t xml:space="preserve">with and without solar </w:t>
      </w:r>
      <w:r w:rsidR="00216DD9" w:rsidRPr="00821707">
        <w:t>power</w:t>
      </w:r>
      <w:r w:rsidR="004A52FA" w:rsidRPr="00821707">
        <w:t xml:space="preserve">, </w:t>
      </w:r>
      <w:r w:rsidR="00821707" w:rsidRPr="00821707">
        <w:t>April 21, 2018</w:t>
      </w:r>
      <w:r w:rsidR="008A0509" w:rsidRPr="00821707">
        <w:t xml:space="preserve"> </w:t>
      </w:r>
      <w:r w:rsidRPr="00821707">
        <w:t>(MW</w:t>
      </w:r>
      <w:r w:rsidR="008A0509" w:rsidRPr="00821707">
        <w:t>).</w:t>
      </w:r>
      <w:bookmarkEnd w:id="313"/>
    </w:p>
    <w:p w:rsidR="00E11B6B" w:rsidRDefault="00024994" w:rsidP="00201D25">
      <w:r>
        <w:fldChar w:fldCharType="begin"/>
      </w:r>
      <w:r>
        <w:instrText xml:space="preserve"> REF _Ref480885500 \h </w:instrText>
      </w:r>
      <w:r>
        <w:fldChar w:fldCharType="separate"/>
      </w:r>
      <w:r w:rsidR="00872A95">
        <w:t xml:space="preserve">Figure </w:t>
      </w:r>
      <w:r w:rsidR="00872A95">
        <w:rPr>
          <w:noProof/>
        </w:rPr>
        <w:t>6</w:t>
      </w:r>
      <w:r w:rsidR="00872A95">
        <w:noBreakHyphen/>
      </w:r>
      <w:r w:rsidR="00872A95">
        <w:rPr>
          <w:noProof/>
        </w:rPr>
        <w:t>7</w:t>
      </w:r>
      <w:r>
        <w:fldChar w:fldCharType="end"/>
      </w:r>
      <w:r w:rsidR="00E11B6B">
        <w:t xml:space="preserve"> shows </w:t>
      </w:r>
      <w:r w:rsidR="00F81227">
        <w:t>hours</w:t>
      </w:r>
      <w:r w:rsidR="00E11B6B">
        <w:t xml:space="preserve"> in </w:t>
      </w:r>
      <w:r w:rsidR="00BD0BE0">
        <w:t>t</w:t>
      </w:r>
      <w:r w:rsidR="001651B0">
        <w:t>he Renew Plus s</w:t>
      </w:r>
      <w:r w:rsidR="00F81227">
        <w:t xml:space="preserve">cenario where </w:t>
      </w:r>
      <w:r w:rsidR="005A2A65">
        <w:t xml:space="preserve">the system is operating with only three nuclear </w:t>
      </w:r>
      <w:r w:rsidR="005A2A65" w:rsidRPr="00731662">
        <w:t>units</w:t>
      </w:r>
      <w:r w:rsidR="009E7B29" w:rsidRPr="00731662">
        <w:t xml:space="preserve">. </w:t>
      </w:r>
      <w:r w:rsidR="00300BFD" w:rsidRPr="00BD2B3A">
        <w:t xml:space="preserve">Similar issues were evident with the three </w:t>
      </w:r>
      <w:r w:rsidR="00541B42" w:rsidRPr="00BD2B3A">
        <w:t xml:space="preserve">new </w:t>
      </w:r>
      <w:r w:rsidR="00300BFD" w:rsidRPr="00BD2B3A">
        <w:t xml:space="preserve">scenarios discussed in this report. </w:t>
      </w:r>
      <w:r w:rsidR="00227ADC" w:rsidRPr="00BD2B3A">
        <w:t>The net load shape</w:t>
      </w:r>
      <w:r w:rsidR="00227ADC">
        <w:t xml:space="preserve"> peaks during night hours and ramps down during the morning and up during the evening hours</w:t>
      </w:r>
      <w:r w:rsidR="00D05C12">
        <w:t>,</w:t>
      </w:r>
      <w:r w:rsidR="00227ADC">
        <w:t xml:space="preserve"> primarily as a result of high PV output. </w:t>
      </w:r>
      <w:r w:rsidR="007F3005">
        <w:t xml:space="preserve">The fuel mix shows that storage resources supply the system during evening hours and charge during the daylight for this particular day. </w:t>
      </w:r>
    </w:p>
    <w:p w:rsidR="007F0082" w:rsidRDefault="007F0082" w:rsidP="000851D0">
      <w:pPr>
        <w:keepNext/>
        <w:keepLines/>
        <w:spacing w:after="0" w:line="240" w:lineRule="auto"/>
        <w:jc w:val="center"/>
      </w:pPr>
      <w:r w:rsidRPr="007F0082">
        <w:rPr>
          <w:noProof/>
        </w:rPr>
        <w:drawing>
          <wp:inline distT="0" distB="0" distL="0" distR="0" wp14:anchorId="01B3A783" wp14:editId="642DF486">
            <wp:extent cx="4341038" cy="2548128"/>
            <wp:effectExtent l="0" t="0" r="2540" b="508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2573" cy="2549029"/>
                    </a:xfrm>
                    <a:prstGeom prst="rect">
                      <a:avLst/>
                    </a:prstGeom>
                    <a:noFill/>
                    <a:ln>
                      <a:noFill/>
                    </a:ln>
                  </pic:spPr>
                </pic:pic>
              </a:graphicData>
            </a:graphic>
          </wp:inline>
        </w:drawing>
      </w:r>
    </w:p>
    <w:p w:rsidR="009041E2" w:rsidRDefault="00024994" w:rsidP="002C6BF4">
      <w:pPr>
        <w:pStyle w:val="Caption"/>
        <w:spacing w:before="120" w:after="80"/>
        <w:ind w:left="1267" w:right="1267"/>
      </w:pPr>
      <w:bookmarkStart w:id="314" w:name="_Ref480885500"/>
      <w:bookmarkStart w:id="315" w:name="_Toc519511512"/>
      <w:r>
        <w:t xml:space="preserve">Figure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CF5BC5">
        <w:noBreakHyphen/>
      </w:r>
      <w:r w:rsidR="00EA3757">
        <w:rPr>
          <w:noProof/>
        </w:rPr>
        <w:fldChar w:fldCharType="begin"/>
      </w:r>
      <w:r w:rsidR="00EA3757">
        <w:rPr>
          <w:noProof/>
        </w:rPr>
        <w:instrText xml:space="preserve"> SEQ Figure \* ARABIC \s 1 </w:instrText>
      </w:r>
      <w:r w:rsidR="00EA3757">
        <w:rPr>
          <w:noProof/>
        </w:rPr>
        <w:fldChar w:fldCharType="separate"/>
      </w:r>
      <w:r w:rsidR="00872A95">
        <w:rPr>
          <w:noProof/>
        </w:rPr>
        <w:t>7</w:t>
      </w:r>
      <w:r w:rsidR="00EA3757">
        <w:rPr>
          <w:noProof/>
        </w:rPr>
        <w:fldChar w:fldCharType="end"/>
      </w:r>
      <w:bookmarkEnd w:id="314"/>
      <w:r>
        <w:t xml:space="preserve">: </w:t>
      </w:r>
      <w:r w:rsidRPr="005C4068">
        <w:t xml:space="preserve">Energy by </w:t>
      </w:r>
      <w:r w:rsidR="003536FD">
        <w:t>s</w:t>
      </w:r>
      <w:r w:rsidRPr="005C4068">
        <w:t xml:space="preserve">ource for </w:t>
      </w:r>
      <w:r w:rsidR="001651B0">
        <w:t xml:space="preserve">the </w:t>
      </w:r>
      <w:r w:rsidRPr="005C4068">
        <w:t>Renewables Plus</w:t>
      </w:r>
      <w:r w:rsidR="001651B0">
        <w:t xml:space="preserve"> Scenario</w:t>
      </w:r>
      <w:r w:rsidRPr="005C4068">
        <w:t xml:space="preserve">, May 7, 2030, </w:t>
      </w:r>
      <w:r w:rsidR="003536FD">
        <w:t>u</w:t>
      </w:r>
      <w:r w:rsidRPr="005C4068">
        <w:t>nconstrained (MW).</w:t>
      </w:r>
      <w:bookmarkEnd w:id="315"/>
    </w:p>
    <w:p w:rsidR="00024994" w:rsidRPr="00DF1188" w:rsidRDefault="009041E2" w:rsidP="00B616F8">
      <w:pPr>
        <w:pStyle w:val="Caption"/>
        <w:keepNext w:val="0"/>
        <w:keepLines w:val="0"/>
        <w:spacing w:after="240"/>
        <w:ind w:left="1267" w:right="1267"/>
        <w:rPr>
          <w:b w:val="0"/>
          <w:sz w:val="16"/>
          <w:szCs w:val="16"/>
        </w:rPr>
      </w:pPr>
      <w:r w:rsidRPr="00FF183A">
        <w:rPr>
          <w:sz w:val="16"/>
          <w:szCs w:val="16"/>
        </w:rPr>
        <w:t>Note:</w:t>
      </w:r>
      <w:r w:rsidR="005C4068" w:rsidRPr="00FF183A">
        <w:rPr>
          <w:sz w:val="16"/>
          <w:szCs w:val="16"/>
        </w:rPr>
        <w:t xml:space="preserve"> </w:t>
      </w:r>
      <w:r w:rsidR="005C4068" w:rsidRPr="00FF183A">
        <w:rPr>
          <w:b w:val="0"/>
          <w:sz w:val="16"/>
          <w:szCs w:val="16"/>
        </w:rPr>
        <w:t xml:space="preserve">GT </w:t>
      </w:r>
      <w:r w:rsidR="001651B0">
        <w:rPr>
          <w:b w:val="0"/>
          <w:sz w:val="16"/>
          <w:szCs w:val="16"/>
        </w:rPr>
        <w:t>=</w:t>
      </w:r>
      <w:r w:rsidR="005C4068" w:rsidRPr="00FF183A">
        <w:rPr>
          <w:b w:val="0"/>
          <w:sz w:val="16"/>
          <w:szCs w:val="16"/>
        </w:rPr>
        <w:t xml:space="preserve"> gas turbine</w:t>
      </w:r>
      <w:r w:rsidRPr="00FF183A">
        <w:rPr>
          <w:b w:val="0"/>
          <w:sz w:val="16"/>
          <w:szCs w:val="16"/>
        </w:rPr>
        <w:t xml:space="preserve">; </w:t>
      </w:r>
      <w:r w:rsidR="00725964" w:rsidRPr="00FF183A">
        <w:rPr>
          <w:b w:val="0"/>
          <w:sz w:val="16"/>
          <w:szCs w:val="16"/>
        </w:rPr>
        <w:t xml:space="preserve">IC </w:t>
      </w:r>
      <w:r w:rsidRPr="00FF183A">
        <w:rPr>
          <w:b w:val="0"/>
          <w:sz w:val="16"/>
          <w:szCs w:val="16"/>
        </w:rPr>
        <w:t xml:space="preserve">= </w:t>
      </w:r>
      <w:r w:rsidR="00725964" w:rsidRPr="00FF183A">
        <w:rPr>
          <w:b w:val="0"/>
          <w:sz w:val="16"/>
          <w:szCs w:val="16"/>
        </w:rPr>
        <w:t>internal combustion</w:t>
      </w:r>
      <w:r w:rsidRPr="00FF183A">
        <w:rPr>
          <w:b w:val="0"/>
          <w:sz w:val="16"/>
          <w:szCs w:val="16"/>
        </w:rPr>
        <w:t>; CC = combined cycle.</w:t>
      </w:r>
      <w:r w:rsidR="00DF1188">
        <w:rPr>
          <w:b w:val="0"/>
          <w:sz w:val="16"/>
          <w:szCs w:val="16"/>
        </w:rPr>
        <w:t xml:space="preserve"> </w:t>
      </w:r>
      <w:r w:rsidR="00DF1188" w:rsidRPr="00DF1188">
        <w:rPr>
          <w:b w:val="0"/>
          <w:sz w:val="16"/>
          <w:szCs w:val="16"/>
        </w:rPr>
        <w:t>The net demand shown = gross demand + PHEV + storage charge – EE – PV.</w:t>
      </w:r>
    </w:p>
    <w:p w:rsidR="005801D0" w:rsidRPr="00DA7D6C" w:rsidRDefault="000E39E2" w:rsidP="00B616F8">
      <w:r w:rsidRPr="002B2D3A">
        <w:t>The large</w:t>
      </w:r>
      <w:r w:rsidR="00EC54DE" w:rsidRPr="002B2D3A">
        <w:t>-</w:t>
      </w:r>
      <w:r w:rsidRPr="002B2D3A">
        <w:t xml:space="preserve">scale addition of asynchronous resources (PV, wind, and HVDC imports) </w:t>
      </w:r>
      <w:r w:rsidR="00D35FB8" w:rsidRPr="002B2D3A">
        <w:t xml:space="preserve">and energy efficiency </w:t>
      </w:r>
      <w:r w:rsidR="00CE303E" w:rsidRPr="002B2D3A">
        <w:t>requires</w:t>
      </w:r>
      <w:r w:rsidRPr="002B2D3A">
        <w:t xml:space="preserve"> physical </w:t>
      </w:r>
      <w:r w:rsidR="00CE303E" w:rsidRPr="002B2D3A">
        <w:t>improvements to</w:t>
      </w:r>
      <w:r w:rsidR="00EC54DE" w:rsidRPr="002B2D3A">
        <w:t xml:space="preserve"> the system</w:t>
      </w:r>
      <w:r w:rsidR="00977848" w:rsidRPr="002B2D3A">
        <w:t>.</w:t>
      </w:r>
      <w:r w:rsidR="00977848" w:rsidRPr="002B2D3A">
        <w:rPr>
          <w:rStyle w:val="FootnoteReference"/>
        </w:rPr>
        <w:footnoteReference w:id="60"/>
      </w:r>
      <w:r w:rsidR="001D0873" w:rsidRPr="002B2D3A">
        <w:t xml:space="preserve"> </w:t>
      </w:r>
      <w:r w:rsidR="00EC54DE" w:rsidRPr="002B2D3A">
        <w:t xml:space="preserve">Loads, net of wind, PV, EE, hydro, and nuclear, may be exceedingly low, which presents voltage and stability issues. </w:t>
      </w:r>
      <w:r w:rsidRPr="002B2D3A">
        <w:t>Special control systems may be required, especially to stabilize the system</w:t>
      </w:r>
      <w:r w:rsidR="00216DD9" w:rsidRPr="002B2D3A">
        <w:t xml:space="preserve"> and</w:t>
      </w:r>
      <w:r w:rsidRPr="002B2D3A">
        <w:t xml:space="preserve"> provide frequency control, ramping, and reserves. Many other technical issues must be addressed to ensure proper power quality and voltage regulation. </w:t>
      </w:r>
    </w:p>
    <w:p w:rsidR="00D940A9" w:rsidRPr="00FF183A" w:rsidRDefault="005801D0" w:rsidP="00B616F8">
      <w:r w:rsidRPr="00DA7D6C">
        <w:t xml:space="preserve">Protection-system issues that arise from the lack of short-circuit availability, and special equipment such as synchronous condensers and flexible alternating-current transmission systems (FACTS) needed to address </w:t>
      </w:r>
      <w:r w:rsidR="0013387A" w:rsidRPr="00DA7D6C">
        <w:t xml:space="preserve">other </w:t>
      </w:r>
      <w:r w:rsidRPr="00DA7D6C">
        <w:t>technical issues</w:t>
      </w:r>
      <w:r w:rsidR="0013387A" w:rsidRPr="00DA7D6C">
        <w:t>,</w:t>
      </w:r>
      <w:r w:rsidRPr="00DA7D6C">
        <w:t xml:space="preserve"> could require major capital investment. </w:t>
      </w:r>
      <w:r w:rsidR="00216DD9" w:rsidRPr="002B2D3A">
        <w:t xml:space="preserve">Because of the limited scope of this part of the analysis, </w:t>
      </w:r>
      <w:r w:rsidR="00DC27DA" w:rsidRPr="002B2D3A">
        <w:t xml:space="preserve"> the development of the high</w:t>
      </w:r>
      <w:r w:rsidR="00543810" w:rsidRPr="002B2D3A">
        <w:t>-</w:t>
      </w:r>
      <w:r w:rsidR="00DC27DA" w:rsidRPr="002B2D3A">
        <w:t>order</w:t>
      </w:r>
      <w:r w:rsidR="00216DD9" w:rsidRPr="002B2D3A">
        <w:t>-</w:t>
      </w:r>
      <w:r w:rsidR="00DC27DA" w:rsidRPr="002B2D3A">
        <w:t xml:space="preserve">of magnitude cost estimates </w:t>
      </w:r>
      <w:r w:rsidR="00216DD9" w:rsidRPr="002B2D3A">
        <w:t>(</w:t>
      </w:r>
      <w:r w:rsidR="00216DD9" w:rsidRPr="00DA7D6C">
        <w:t xml:space="preserve">see </w:t>
      </w:r>
      <w:r w:rsidR="007F5623" w:rsidRPr="00DA7D6C">
        <w:t xml:space="preserve">Section </w:t>
      </w:r>
      <w:r w:rsidR="0013387A" w:rsidRPr="00DA7D6C">
        <w:fldChar w:fldCharType="begin"/>
      </w:r>
      <w:r w:rsidR="0013387A" w:rsidRPr="00DA7D6C">
        <w:instrText xml:space="preserve"> REF _Ref516498228 \r \h </w:instrText>
      </w:r>
      <w:r w:rsidR="002B2D3A">
        <w:instrText xml:space="preserve"> \* MERGEFORMAT </w:instrText>
      </w:r>
      <w:r w:rsidR="0013387A" w:rsidRPr="00DA7D6C">
        <w:fldChar w:fldCharType="separate"/>
      </w:r>
      <w:r w:rsidR="00872A95">
        <w:t>6.1.6</w:t>
      </w:r>
      <w:r w:rsidR="0013387A" w:rsidRPr="00DA7D6C">
        <w:fldChar w:fldCharType="end"/>
      </w:r>
      <w:r w:rsidR="00216DD9" w:rsidRPr="002B2D3A">
        <w:t>)</w:t>
      </w:r>
      <w:r w:rsidR="005C7469" w:rsidRPr="002B2D3A">
        <w:t xml:space="preserve"> only partially reflected</w:t>
      </w:r>
      <w:r w:rsidR="00216DD9" w:rsidRPr="002B2D3A">
        <w:t xml:space="preserve"> </w:t>
      </w:r>
      <w:r w:rsidR="00DC27DA" w:rsidRPr="002B2D3A">
        <w:t>the costs of special equipment</w:t>
      </w:r>
      <w:r w:rsidR="00D940A9" w:rsidRPr="002B2D3A">
        <w:t>.</w:t>
      </w:r>
    </w:p>
    <w:p w:rsidR="004E55C6" w:rsidRPr="00F46156" w:rsidRDefault="004E55C6" w:rsidP="00B8270A">
      <w:pPr>
        <w:pStyle w:val="Heading2"/>
      </w:pPr>
      <w:bookmarkStart w:id="316" w:name="_Ref480453086"/>
      <w:bookmarkStart w:id="317" w:name="_Toc528571229"/>
      <w:r w:rsidRPr="00F46156">
        <w:t>Relative Annual Resource Costs</w:t>
      </w:r>
      <w:bookmarkEnd w:id="316"/>
      <w:bookmarkEnd w:id="317"/>
    </w:p>
    <w:p w:rsidR="001E37B3" w:rsidRDefault="00AA4729" w:rsidP="001E37B3">
      <w:r>
        <w:t xml:space="preserve">The relative annual resource cost (RARC) metric is a means of comparing the total </w:t>
      </w:r>
      <w:r w:rsidR="001E37B3">
        <w:t xml:space="preserve">annual </w:t>
      </w:r>
      <w:r>
        <w:t>costs of all three scenarios with the constrained case for Renewable</w:t>
      </w:r>
      <w:r w:rsidR="00E9557B">
        <w:t>s</w:t>
      </w:r>
      <w:r>
        <w:t xml:space="preserve"> Plus. The RARC accounts for the annual systemwide production costs, which can be thought of as </w:t>
      </w:r>
      <w:r w:rsidR="001E37B3">
        <w:t xml:space="preserve">yearly </w:t>
      </w:r>
      <w:r>
        <w:t>operating costs, plus it captures the annual costs of capital additions by including the annualized carrying costs for new resources and high-order-of-magnitude transmission-development costs</w:t>
      </w:r>
      <w:r w:rsidR="00860D3B">
        <w:t xml:space="preserve">. </w:t>
      </w:r>
      <w:r>
        <w:t>RARC is thus a measure of the relative total costs for all scenarios, expressed in billions of dollars and as cents per kilowatt-hour (kWh)</w:t>
      </w:r>
      <w:r w:rsidR="00860D3B">
        <w:t>.</w:t>
      </w:r>
    </w:p>
    <w:p w:rsidR="00C20A1E" w:rsidRPr="00B64774" w:rsidRDefault="00C20A1E" w:rsidP="00C20A1E">
      <w:r>
        <w:t xml:space="preserve">The addition of price-taking resources (simulated at $0/MWh) reduces the production cost in the simulations. For example, larger amounts of renewable resources and imports </w:t>
      </w:r>
      <w:r w:rsidRPr="007F5623">
        <w:t xml:space="preserve">result in lower production </w:t>
      </w:r>
      <w:r w:rsidRPr="0013387A">
        <w:t>costs (see Section</w:t>
      </w:r>
      <w:r w:rsidR="0013387A" w:rsidRPr="00DA7D6C">
        <w:t xml:space="preserve"> </w:t>
      </w:r>
      <w:r w:rsidR="0013387A" w:rsidRPr="00DA7D6C">
        <w:fldChar w:fldCharType="begin"/>
      </w:r>
      <w:r w:rsidR="0013387A" w:rsidRPr="00DA7D6C">
        <w:instrText xml:space="preserve"> REF _Ref517102940 \r \h </w:instrText>
      </w:r>
      <w:r w:rsidR="0013387A">
        <w:instrText xml:space="preserve"> \* MERGEFORMAT </w:instrText>
      </w:r>
      <w:r w:rsidR="0013387A" w:rsidRPr="00DA7D6C">
        <w:fldChar w:fldCharType="separate"/>
      </w:r>
      <w:r w:rsidR="00872A95">
        <w:t>6.1.2</w:t>
      </w:r>
      <w:r w:rsidR="0013387A" w:rsidRPr="00DA7D6C">
        <w:fldChar w:fldCharType="end"/>
      </w:r>
      <w:r w:rsidRPr="0013387A">
        <w:t>). However, resource additions increase capital costs t</w:t>
      </w:r>
      <w:r w:rsidRPr="00EF41C5">
        <w:t>o the scenarios, which can be very substantial for the large-scale addition of price-</w:t>
      </w:r>
      <w:r>
        <w:t xml:space="preserve">taking resources. Similarly, relieving congestion by </w:t>
      </w:r>
      <w:r w:rsidRPr="00B64774">
        <w:t>releasing bottled generation reduces production costs but adds transmission costs.</w:t>
      </w:r>
    </w:p>
    <w:p w:rsidR="00AA4729" w:rsidRPr="009E5B67" w:rsidRDefault="00F266E1" w:rsidP="00461A62">
      <w:r w:rsidRPr="00B64774">
        <w:fldChar w:fldCharType="begin"/>
      </w:r>
      <w:r w:rsidRPr="00B64774">
        <w:instrText xml:space="preserve"> REF _Ref516939624 \h </w:instrText>
      </w:r>
      <w:r w:rsidR="0013387A" w:rsidRPr="00B64774">
        <w:instrText xml:space="preserve"> \* MERGEFORMAT </w:instrText>
      </w:r>
      <w:r w:rsidRPr="00B64774">
        <w:fldChar w:fldCharType="separate"/>
      </w:r>
      <w:r w:rsidR="00872A95">
        <w:t xml:space="preserve">Figure </w:t>
      </w:r>
      <w:r w:rsidR="00872A95">
        <w:rPr>
          <w:noProof/>
        </w:rPr>
        <w:t>6</w:t>
      </w:r>
      <w:r w:rsidR="00872A95">
        <w:rPr>
          <w:noProof/>
        </w:rPr>
        <w:noBreakHyphen/>
        <w:t>8</w:t>
      </w:r>
      <w:r w:rsidRPr="00B64774">
        <w:fldChar w:fldCharType="end"/>
      </w:r>
      <w:r w:rsidR="00AA4729" w:rsidRPr="00B64774">
        <w:t xml:space="preserve"> and </w:t>
      </w:r>
      <w:r w:rsidRPr="00B64774">
        <w:fldChar w:fldCharType="begin"/>
      </w:r>
      <w:r w:rsidRPr="00B64774">
        <w:instrText xml:space="preserve"> REF _Ref516939637 \h </w:instrText>
      </w:r>
      <w:r w:rsidR="0013387A" w:rsidRPr="00B64774">
        <w:instrText xml:space="preserve"> \* MERGEFORMAT </w:instrText>
      </w:r>
      <w:r w:rsidRPr="00B64774">
        <w:fldChar w:fldCharType="separate"/>
      </w:r>
      <w:r w:rsidR="00872A95">
        <w:t xml:space="preserve">Figure </w:t>
      </w:r>
      <w:r w:rsidR="00872A95">
        <w:rPr>
          <w:noProof/>
        </w:rPr>
        <w:t>6</w:t>
      </w:r>
      <w:r w:rsidR="00872A95">
        <w:rPr>
          <w:noProof/>
        </w:rPr>
        <w:noBreakHyphen/>
        <w:t>9</w:t>
      </w:r>
      <w:r w:rsidRPr="00B64774">
        <w:fldChar w:fldCharType="end"/>
      </w:r>
      <w:r w:rsidR="00AA4729" w:rsidRPr="00B64774">
        <w:t xml:space="preserve"> summarize the RARCs</w:t>
      </w:r>
      <w:r w:rsidR="000B228A" w:rsidRPr="00A44DF0">
        <w:t>;</w:t>
      </w:r>
      <w:r w:rsidR="00892468" w:rsidRPr="00B64774">
        <w:t xml:space="preserve"> scenarios with positive values reflect higher costs than the constrained case for the Renewables Plus scenario, and negative values reflect lower costs. </w:t>
      </w:r>
      <w:r w:rsidR="00115140">
        <w:fldChar w:fldCharType="begin"/>
      </w:r>
      <w:r w:rsidR="00115140">
        <w:instrText xml:space="preserve"> REF _Ref520720330 \h </w:instrText>
      </w:r>
      <w:r w:rsidR="00115140">
        <w:fldChar w:fldCharType="separate"/>
      </w:r>
      <w:r w:rsidR="00872A95" w:rsidRPr="00D241ED">
        <w:t xml:space="preserve">Table </w:t>
      </w:r>
      <w:r w:rsidR="00872A95">
        <w:rPr>
          <w:noProof/>
        </w:rPr>
        <w:t>6</w:t>
      </w:r>
      <w:r w:rsidR="00872A95">
        <w:noBreakHyphen/>
      </w:r>
      <w:r w:rsidR="00872A95">
        <w:rPr>
          <w:noProof/>
        </w:rPr>
        <w:t>11</w:t>
      </w:r>
      <w:r w:rsidR="00115140">
        <w:fldChar w:fldCharType="end"/>
      </w:r>
      <w:r w:rsidR="000B228A" w:rsidRPr="00B64774">
        <w:t xml:space="preserve"> and </w:t>
      </w:r>
      <w:r w:rsidR="000B228A" w:rsidRPr="00B64774">
        <w:fldChar w:fldCharType="begin"/>
      </w:r>
      <w:r w:rsidR="000B228A" w:rsidRPr="00B64774">
        <w:instrText xml:space="preserve"> REF _Ref518297391 \h  \* MERGEFORMAT </w:instrText>
      </w:r>
      <w:r w:rsidR="000B228A" w:rsidRPr="00B64774">
        <w:fldChar w:fldCharType="separate"/>
      </w:r>
      <w:r w:rsidR="00872A95" w:rsidRPr="00872A95">
        <w:rPr>
          <w:bCs/>
          <w:szCs w:val="20"/>
        </w:rPr>
        <w:t xml:space="preserve">Table </w:t>
      </w:r>
      <w:r w:rsidR="00872A95">
        <w:rPr>
          <w:noProof/>
        </w:rPr>
        <w:t>6</w:t>
      </w:r>
      <w:r w:rsidR="00872A95">
        <w:rPr>
          <w:noProof/>
        </w:rPr>
        <w:noBreakHyphen/>
        <w:t>12</w:t>
      </w:r>
      <w:r w:rsidR="000B228A" w:rsidRPr="00B64774">
        <w:fldChar w:fldCharType="end"/>
      </w:r>
      <w:r w:rsidR="000B228A" w:rsidRPr="00B64774">
        <w:t xml:space="preserve"> show the detailed results</w:t>
      </w:r>
      <w:r w:rsidR="00AA4729" w:rsidRPr="00B64774">
        <w:t xml:space="preserve">. </w:t>
      </w:r>
      <w:r w:rsidR="009D2EFD" w:rsidRPr="00B64774">
        <w:fldChar w:fldCharType="begin"/>
      </w:r>
      <w:r w:rsidR="009D2EFD" w:rsidRPr="00B64774">
        <w:instrText xml:space="preserve"> REF _Ref516939624 \h </w:instrText>
      </w:r>
      <w:r w:rsidR="00B64774">
        <w:instrText xml:space="preserve"> \* MERGEFORMAT </w:instrText>
      </w:r>
      <w:r w:rsidR="009D2EFD" w:rsidRPr="00B64774">
        <w:fldChar w:fldCharType="separate"/>
      </w:r>
      <w:r w:rsidR="00872A95">
        <w:t xml:space="preserve">Figure </w:t>
      </w:r>
      <w:r w:rsidR="00872A95">
        <w:rPr>
          <w:noProof/>
        </w:rPr>
        <w:t>6</w:t>
      </w:r>
      <w:r w:rsidR="00872A95">
        <w:rPr>
          <w:noProof/>
        </w:rPr>
        <w:noBreakHyphen/>
        <w:t>8</w:t>
      </w:r>
      <w:r w:rsidR="009D2EFD" w:rsidRPr="00B64774">
        <w:fldChar w:fldCharType="end"/>
      </w:r>
      <w:r w:rsidR="009D2EFD" w:rsidRPr="00B64774">
        <w:t xml:space="preserve"> </w:t>
      </w:r>
      <w:r w:rsidR="00892468" w:rsidRPr="00B64774">
        <w:t xml:space="preserve">and </w:t>
      </w:r>
      <w:r w:rsidR="009D2EFD" w:rsidRPr="00B64774">
        <w:fldChar w:fldCharType="begin"/>
      </w:r>
      <w:r w:rsidR="009D2EFD" w:rsidRPr="00B64774">
        <w:instrText xml:space="preserve"> REF _Ref520720330 \h </w:instrText>
      </w:r>
      <w:r w:rsidR="00B64774">
        <w:instrText xml:space="preserve"> \* MERGEFORMAT </w:instrText>
      </w:r>
      <w:r w:rsidR="009D2EFD" w:rsidRPr="00B64774">
        <w:fldChar w:fldCharType="separate"/>
      </w:r>
      <w:r w:rsidR="00872A95" w:rsidRPr="00D241ED">
        <w:t xml:space="preserve">Table </w:t>
      </w:r>
      <w:r w:rsidR="00872A95">
        <w:rPr>
          <w:noProof/>
        </w:rPr>
        <w:t>6</w:t>
      </w:r>
      <w:r w:rsidR="00872A95">
        <w:rPr>
          <w:noProof/>
        </w:rPr>
        <w:noBreakHyphen/>
        <w:t>11</w:t>
      </w:r>
      <w:r w:rsidR="009D2EFD" w:rsidRPr="00B64774">
        <w:fldChar w:fldCharType="end"/>
      </w:r>
      <w:r w:rsidR="009D2EFD" w:rsidRPr="00B64774">
        <w:t xml:space="preserve"> s</w:t>
      </w:r>
      <w:r w:rsidR="00892468" w:rsidRPr="00B64774">
        <w:t xml:space="preserve">ummarize the relative total operating costs and capital costs of the scenarios expressed in billions of dollars,  and </w:t>
      </w:r>
      <w:r w:rsidR="009D2EFD" w:rsidRPr="00B64774">
        <w:fldChar w:fldCharType="begin"/>
      </w:r>
      <w:r w:rsidR="009D2EFD" w:rsidRPr="00B64774">
        <w:instrText xml:space="preserve"> REF _Ref516939637 \h </w:instrText>
      </w:r>
      <w:r w:rsidR="00B64774">
        <w:instrText xml:space="preserve"> \* MERGEFORMAT </w:instrText>
      </w:r>
      <w:r w:rsidR="009D2EFD" w:rsidRPr="00B64774">
        <w:fldChar w:fldCharType="separate"/>
      </w:r>
      <w:r w:rsidR="00872A95">
        <w:t xml:space="preserve">Figure </w:t>
      </w:r>
      <w:r w:rsidR="00872A95">
        <w:rPr>
          <w:noProof/>
        </w:rPr>
        <w:t>6</w:t>
      </w:r>
      <w:r w:rsidR="00872A95">
        <w:rPr>
          <w:noProof/>
        </w:rPr>
        <w:noBreakHyphen/>
        <w:t>9</w:t>
      </w:r>
      <w:r w:rsidR="009D2EFD" w:rsidRPr="00B64774">
        <w:fldChar w:fldCharType="end"/>
      </w:r>
      <w:r w:rsidR="00892468" w:rsidRPr="00B64774">
        <w:t xml:space="preserve"> and </w:t>
      </w:r>
      <w:r w:rsidR="009D2EFD" w:rsidRPr="00B64774">
        <w:fldChar w:fldCharType="begin"/>
      </w:r>
      <w:r w:rsidR="009D2EFD" w:rsidRPr="00B64774">
        <w:instrText xml:space="preserve"> REF _Ref518297391 \h </w:instrText>
      </w:r>
      <w:r w:rsidR="00B64774">
        <w:instrText xml:space="preserve"> \* MERGEFORMAT </w:instrText>
      </w:r>
      <w:r w:rsidR="009D2EFD" w:rsidRPr="00B64774">
        <w:fldChar w:fldCharType="separate"/>
      </w:r>
      <w:r w:rsidR="00872A95" w:rsidRPr="009E5B67">
        <w:t xml:space="preserve">Table </w:t>
      </w:r>
      <w:r w:rsidR="00872A95">
        <w:rPr>
          <w:noProof/>
        </w:rPr>
        <w:t>6</w:t>
      </w:r>
      <w:r w:rsidR="00872A95">
        <w:rPr>
          <w:noProof/>
        </w:rPr>
        <w:noBreakHyphen/>
        <w:t>12</w:t>
      </w:r>
      <w:r w:rsidR="009D2EFD" w:rsidRPr="00B64774">
        <w:fldChar w:fldCharType="end"/>
      </w:r>
      <w:r w:rsidR="00892468" w:rsidRPr="00B64774">
        <w:t xml:space="preserve"> summarize the RARCs shown as cents per kilowatt-hour (kWh). </w:t>
      </w:r>
      <w:r w:rsidR="00AA4729" w:rsidRPr="00B64774">
        <w:t xml:space="preserve">The white dashes in the figures compare the total annual costs of all cases with the constrained case for </w:t>
      </w:r>
      <w:r w:rsidRPr="00B64774">
        <w:t xml:space="preserve">the </w:t>
      </w:r>
      <w:r w:rsidR="00AA4729" w:rsidRPr="00B64774">
        <w:t>Renew Plus</w:t>
      </w:r>
      <w:r w:rsidRPr="00B64774">
        <w:t xml:space="preserve"> scenario</w:t>
      </w:r>
      <w:r w:rsidR="00AA4729" w:rsidRPr="00B64774">
        <w:t>. Scenarios with lower RARCs show lower total operating and annual fixed costs and may be viewed as more economical relative to the other scenarios. Annual carrying costs for resource mixes drive the main differences in the total RARCs with resource additions increasing costs and fewer new resources reducing costs</w:t>
      </w:r>
      <w:r w:rsidR="00860D3B" w:rsidRPr="00B64774">
        <w:t xml:space="preserve">. </w:t>
      </w:r>
      <w:r w:rsidR="00AA4729" w:rsidRPr="00B64774">
        <w:t>Lower scenario production costs reduce the total RARC</w:t>
      </w:r>
      <w:r w:rsidR="00954AA8" w:rsidRPr="00B64774">
        <w:t>.</w:t>
      </w:r>
    </w:p>
    <w:p w:rsidR="00C82D40" w:rsidRDefault="00C82D40" w:rsidP="008D648D">
      <w:pPr>
        <w:spacing w:after="0" w:line="240" w:lineRule="auto"/>
        <w:jc w:val="center"/>
      </w:pPr>
      <w:r w:rsidRPr="00C82D40">
        <w:rPr>
          <w:noProof/>
        </w:rPr>
        <w:drawing>
          <wp:inline distT="0" distB="0" distL="0" distR="0" wp14:anchorId="520AB1C4" wp14:editId="7F528B0F">
            <wp:extent cx="4852985" cy="3088640"/>
            <wp:effectExtent l="19050" t="19050" r="2413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2651" cy="3094792"/>
                    </a:xfrm>
                    <a:prstGeom prst="rect">
                      <a:avLst/>
                    </a:prstGeom>
                    <a:noFill/>
                    <a:ln w="3175">
                      <a:solidFill>
                        <a:schemeClr val="tx1">
                          <a:lumMod val="50000"/>
                        </a:schemeClr>
                      </a:solidFill>
                    </a:ln>
                  </pic:spPr>
                </pic:pic>
              </a:graphicData>
            </a:graphic>
          </wp:inline>
        </w:drawing>
      </w:r>
    </w:p>
    <w:p w:rsidR="00AA4729" w:rsidRDefault="00F266E1" w:rsidP="00D241ED">
      <w:pPr>
        <w:pStyle w:val="Caption"/>
        <w:tabs>
          <w:tab w:val="left" w:pos="8460"/>
        </w:tabs>
        <w:spacing w:before="80" w:after="80"/>
        <w:ind w:left="907" w:right="907"/>
      </w:pPr>
      <w:bookmarkStart w:id="318" w:name="_Ref516939624"/>
      <w:bookmarkStart w:id="319" w:name="_Ref517274570"/>
      <w:bookmarkStart w:id="320" w:name="_Toc519511513"/>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8</w:t>
      </w:r>
      <w:r w:rsidR="00E930AF">
        <w:rPr>
          <w:noProof/>
        </w:rPr>
        <w:fldChar w:fldCharType="end"/>
      </w:r>
      <w:bookmarkEnd w:id="318"/>
      <w:bookmarkEnd w:id="319"/>
      <w:r w:rsidR="00AA4729">
        <w:t>: Total relative annual resource costs, 2030 (constrained and unconstrained), showing changes compared with 2030 Scenario 3 (constrained) ($ billions)</w:t>
      </w:r>
      <w:r w:rsidR="004A52FA">
        <w:t>.</w:t>
      </w:r>
      <w:bookmarkEnd w:id="320"/>
      <w:r w:rsidR="00AA4729">
        <w:t xml:space="preserve"> </w:t>
      </w:r>
    </w:p>
    <w:p w:rsidR="00DB6C29" w:rsidRDefault="00AA4729" w:rsidP="00B236A3">
      <w:pPr>
        <w:tabs>
          <w:tab w:val="left" w:pos="8460"/>
        </w:tabs>
        <w:spacing w:line="240" w:lineRule="auto"/>
        <w:ind w:left="907" w:right="907"/>
        <w:rPr>
          <w:rFonts w:asciiTheme="majorHAnsi" w:hAnsiTheme="majorHAnsi"/>
          <w:sz w:val="16"/>
          <w:szCs w:val="16"/>
        </w:rPr>
      </w:pPr>
      <w:r w:rsidRPr="00665464">
        <w:rPr>
          <w:rFonts w:asciiTheme="majorHAnsi" w:hAnsiTheme="majorHAnsi"/>
          <w:b/>
          <w:sz w:val="16"/>
          <w:szCs w:val="16"/>
        </w:rPr>
        <w:t>Notes:</w:t>
      </w:r>
      <w:r w:rsidRPr="00665464">
        <w:rPr>
          <w:rFonts w:asciiTheme="majorHAnsi" w:hAnsiTheme="majorHAnsi"/>
          <w:sz w:val="16"/>
          <w:szCs w:val="16"/>
        </w:rPr>
        <w:t xml:space="preserve">  Energy efficiency and solar include costs resulting from individual customer investments that do not reflect </w:t>
      </w:r>
      <w:r w:rsidR="00F266E1">
        <w:rPr>
          <w:rFonts w:asciiTheme="majorHAnsi" w:hAnsiTheme="majorHAnsi"/>
          <w:sz w:val="16"/>
          <w:szCs w:val="16"/>
        </w:rPr>
        <w:t xml:space="preserve">the </w:t>
      </w:r>
      <w:r w:rsidRPr="00665464">
        <w:rPr>
          <w:rFonts w:asciiTheme="majorHAnsi" w:hAnsiTheme="majorHAnsi"/>
          <w:sz w:val="16"/>
          <w:szCs w:val="16"/>
        </w:rPr>
        <w:t>benefits the owners would receive. Production costs reflect the price of carbon emissions at $24/ton.</w:t>
      </w:r>
    </w:p>
    <w:p w:rsidR="000B228A" w:rsidRDefault="000B228A" w:rsidP="00AB39C3">
      <w:pPr>
        <w:pStyle w:val="Caption"/>
        <w:jc w:val="center"/>
      </w:pPr>
      <w:bookmarkStart w:id="321" w:name="_Ref520720330"/>
      <w:bookmarkStart w:id="322" w:name="_Toc520721046"/>
      <w:r w:rsidRPr="00D241ED">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11</w:t>
      </w:r>
      <w:r w:rsidR="00EA3757">
        <w:rPr>
          <w:noProof/>
        </w:rPr>
        <w:fldChar w:fldCharType="end"/>
      </w:r>
      <w:bookmarkEnd w:id="321"/>
      <w:r w:rsidRPr="00D241ED">
        <w:br/>
        <w:t>Relative Annual Resource Costs, 2030 ($ Millions)</w:t>
      </w:r>
      <w:bookmarkEnd w:id="322"/>
      <w:r w:rsidR="000A76BF" w:rsidRPr="005D493A">
        <w:rPr>
          <w:vertAlign w:val="superscript"/>
        </w:rPr>
        <w:t>(a)</w:t>
      </w:r>
    </w:p>
    <w:tbl>
      <w:tblPr>
        <w:tblW w:w="105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260"/>
        <w:gridCol w:w="1488"/>
        <w:gridCol w:w="951"/>
        <w:gridCol w:w="721"/>
        <w:gridCol w:w="721"/>
        <w:gridCol w:w="721"/>
        <w:gridCol w:w="722"/>
        <w:gridCol w:w="721"/>
        <w:gridCol w:w="721"/>
        <w:gridCol w:w="883"/>
        <w:gridCol w:w="810"/>
        <w:gridCol w:w="817"/>
      </w:tblGrid>
      <w:tr w:rsidR="000B228A" w:rsidRPr="00D241ED" w:rsidTr="000B228A">
        <w:trPr>
          <w:jc w:val="center"/>
        </w:trPr>
        <w:tc>
          <w:tcPr>
            <w:tcW w:w="1260"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 xml:space="preserve">Transmission </w:t>
            </w:r>
          </w:p>
        </w:tc>
        <w:tc>
          <w:tcPr>
            <w:tcW w:w="1488"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Scenario</w:t>
            </w:r>
          </w:p>
        </w:tc>
        <w:tc>
          <w:tcPr>
            <w:tcW w:w="95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Production Cost</w:t>
            </w:r>
          </w:p>
        </w:tc>
        <w:tc>
          <w:tcPr>
            <w:tcW w:w="72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Transm. Cost</w:t>
            </w:r>
          </w:p>
        </w:tc>
        <w:tc>
          <w:tcPr>
            <w:tcW w:w="72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Ties</w:t>
            </w:r>
          </w:p>
        </w:tc>
        <w:tc>
          <w:tcPr>
            <w:tcW w:w="72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Comb.  Cycle</w:t>
            </w:r>
          </w:p>
        </w:tc>
        <w:tc>
          <w:tcPr>
            <w:tcW w:w="722"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New Onshore Wind</w:t>
            </w:r>
          </w:p>
        </w:tc>
        <w:tc>
          <w:tcPr>
            <w:tcW w:w="72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New Offshore Wind</w:t>
            </w:r>
          </w:p>
        </w:tc>
        <w:tc>
          <w:tcPr>
            <w:tcW w:w="721"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Solar</w:t>
            </w:r>
          </w:p>
        </w:tc>
        <w:tc>
          <w:tcPr>
            <w:tcW w:w="883"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Energy Efficiency</w:t>
            </w:r>
          </w:p>
        </w:tc>
        <w:tc>
          <w:tcPr>
            <w:tcW w:w="810"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15% Battery</w:t>
            </w:r>
          </w:p>
        </w:tc>
        <w:tc>
          <w:tcPr>
            <w:tcW w:w="817" w:type="dxa"/>
            <w:shd w:val="clear" w:color="auto" w:fill="1795D2" w:themeFill="accent1"/>
            <w:vAlign w:val="center"/>
          </w:tcPr>
          <w:p w:rsidR="000B228A" w:rsidRPr="00D241ED" w:rsidRDefault="000B228A" w:rsidP="00AB39C3">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D241ED">
              <w:rPr>
                <w:rFonts w:asciiTheme="majorHAnsi" w:eastAsia="Calibri" w:hAnsiTheme="majorHAnsi"/>
                <w:b/>
                <w:color w:val="FFFFFF" w:themeColor="background1"/>
                <w:sz w:val="18"/>
                <w:szCs w:val="18"/>
              </w:rPr>
              <w:t>Total</w:t>
            </w:r>
          </w:p>
        </w:tc>
      </w:tr>
      <w:tr w:rsidR="000B228A" w:rsidRPr="00D241ED" w:rsidTr="000B228A">
        <w:trPr>
          <w:jc w:val="center"/>
        </w:trPr>
        <w:tc>
          <w:tcPr>
            <w:tcW w:w="1260" w:type="dxa"/>
            <w:vMerge w:val="restart"/>
            <w:shd w:val="clear" w:color="auto" w:fill="auto"/>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b/>
                <w:sz w:val="18"/>
                <w:szCs w:val="18"/>
              </w:rPr>
            </w:pPr>
            <w:r w:rsidRPr="00D241ED">
              <w:rPr>
                <w:rFonts w:asciiTheme="majorHAnsi" w:eastAsia="Calibri" w:hAnsiTheme="majorHAnsi"/>
                <w:b/>
                <w:sz w:val="18"/>
                <w:szCs w:val="18"/>
              </w:rPr>
              <w:t xml:space="preserve"> Constrained</w:t>
            </w:r>
          </w:p>
        </w:tc>
        <w:tc>
          <w:tcPr>
            <w:tcW w:w="1488" w:type="dxa"/>
            <w:shd w:val="clear" w:color="auto" w:fill="auto"/>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Renew Plus</w:t>
            </w:r>
          </w:p>
        </w:tc>
        <w:tc>
          <w:tcPr>
            <w:tcW w:w="95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r>
      <w:tr w:rsidR="000B228A" w:rsidRPr="00D241ED" w:rsidTr="000B228A">
        <w:trPr>
          <w:jc w:val="center"/>
        </w:trPr>
        <w:tc>
          <w:tcPr>
            <w:tcW w:w="1260" w:type="dxa"/>
            <w:vMerge/>
            <w:shd w:val="clear" w:color="auto" w:fill="auto"/>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EE + Offshore</w:t>
            </w:r>
          </w:p>
        </w:tc>
        <w:tc>
          <w:tcPr>
            <w:tcW w:w="95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352</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-338</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1,047</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974</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863</w:t>
            </w:r>
          </w:p>
        </w:tc>
        <w:tc>
          <w:tcPr>
            <w:tcW w:w="810"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124</w:t>
            </w:r>
          </w:p>
        </w:tc>
      </w:tr>
      <w:tr w:rsidR="000B228A" w:rsidRPr="00D241ED" w:rsidTr="000B228A">
        <w:trPr>
          <w:jc w:val="center"/>
        </w:trPr>
        <w:tc>
          <w:tcPr>
            <w:tcW w:w="1260" w:type="dxa"/>
            <w:vMerge/>
            <w:shd w:val="clear" w:color="auto" w:fill="auto"/>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Onshore Less EE/PV</w:t>
            </w:r>
          </w:p>
        </w:tc>
        <w:tc>
          <w:tcPr>
            <w:tcW w:w="95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968</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219</w:t>
            </w:r>
          </w:p>
        </w:tc>
        <w:tc>
          <w:tcPr>
            <w:tcW w:w="722"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803</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3,013</w:t>
            </w:r>
          </w:p>
        </w:tc>
        <w:tc>
          <w:tcPr>
            <w:tcW w:w="883"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980</w:t>
            </w:r>
          </w:p>
        </w:tc>
        <w:tc>
          <w:tcPr>
            <w:tcW w:w="810"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-375</w:t>
            </w:r>
          </w:p>
        </w:tc>
        <w:tc>
          <w:tcPr>
            <w:tcW w:w="817"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2,603</w:t>
            </w:r>
          </w:p>
        </w:tc>
      </w:tr>
      <w:tr w:rsidR="000B228A" w:rsidRPr="00D241ED" w:rsidTr="000B228A">
        <w:trPr>
          <w:jc w:val="center"/>
        </w:trPr>
        <w:tc>
          <w:tcPr>
            <w:tcW w:w="1260" w:type="dxa"/>
            <w:vMerge/>
            <w:shd w:val="clear" w:color="auto" w:fill="auto"/>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auto"/>
            <w:tcMar>
              <w:left w:w="58" w:type="dxa"/>
              <w:right w:w="0" w:type="dxa"/>
            </w:tcMar>
            <w:vAlign w:val="center"/>
          </w:tcPr>
          <w:p w:rsidR="000B228A" w:rsidRPr="00D241ED" w:rsidRDefault="00AF6389" w:rsidP="00AB39C3">
            <w:pPr>
              <w:keepNext/>
              <w:keepLines/>
              <w:adjustRightInd/>
              <w:spacing w:before="40" w:after="40" w:line="240" w:lineRule="auto"/>
              <w:textAlignment w:val="auto"/>
              <w:rPr>
                <w:rFonts w:asciiTheme="majorHAnsi" w:eastAsia="Calibri" w:hAnsiTheme="majorHAnsi"/>
                <w:sz w:val="18"/>
                <w:szCs w:val="18"/>
              </w:rPr>
            </w:pPr>
            <w:r>
              <w:rPr>
                <w:rFonts w:asciiTheme="majorHAnsi" w:eastAsia="Calibri" w:hAnsiTheme="majorHAnsi"/>
                <w:sz w:val="18"/>
                <w:szCs w:val="18"/>
              </w:rPr>
              <w:t>Wind Less Nuclear</w:t>
            </w:r>
          </w:p>
        </w:tc>
        <w:tc>
          <w:tcPr>
            <w:tcW w:w="95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396</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338</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1,508</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1,560</w:t>
            </w:r>
          </w:p>
        </w:tc>
        <w:tc>
          <w:tcPr>
            <w:tcW w:w="721"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auto"/>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3,802</w:t>
            </w:r>
          </w:p>
        </w:tc>
      </w:tr>
      <w:tr w:rsidR="000B228A" w:rsidRPr="00D241ED" w:rsidTr="000B228A">
        <w:trPr>
          <w:jc w:val="center"/>
        </w:trPr>
        <w:tc>
          <w:tcPr>
            <w:tcW w:w="1260" w:type="dxa"/>
            <w:vMerge w:val="restart"/>
            <w:shd w:val="clear" w:color="auto" w:fill="CCEAF9" w:themeFill="accent1" w:themeFillTint="33"/>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b/>
                <w:sz w:val="18"/>
                <w:szCs w:val="18"/>
              </w:rPr>
            </w:pPr>
            <w:r w:rsidRPr="00D241ED">
              <w:rPr>
                <w:rFonts w:asciiTheme="majorHAnsi" w:eastAsia="Calibri" w:hAnsiTheme="majorHAnsi"/>
                <w:b/>
                <w:sz w:val="18"/>
                <w:szCs w:val="18"/>
              </w:rPr>
              <w:t xml:space="preserve"> Unconstrained</w:t>
            </w:r>
          </w:p>
        </w:tc>
        <w:tc>
          <w:tcPr>
            <w:tcW w:w="1488" w:type="dxa"/>
            <w:shd w:val="clear" w:color="auto" w:fill="CCEAF9" w:themeFill="accent1" w:themeFillTint="33"/>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Renew Plus</w:t>
            </w:r>
          </w:p>
        </w:tc>
        <w:tc>
          <w:tcPr>
            <w:tcW w:w="95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167</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825</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658</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EE + Offshore</w:t>
            </w:r>
          </w:p>
        </w:tc>
        <w:tc>
          <w:tcPr>
            <w:tcW w:w="95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358</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-338</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1,047</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974</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863</w:t>
            </w:r>
          </w:p>
        </w:tc>
        <w:tc>
          <w:tcPr>
            <w:tcW w:w="810"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130</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0B228A" w:rsidP="00AB39C3">
            <w:pPr>
              <w:keepNext/>
              <w:keepLines/>
              <w:adjustRightInd/>
              <w:spacing w:before="40" w:after="40" w:line="240" w:lineRule="auto"/>
              <w:textAlignment w:val="auto"/>
              <w:rPr>
                <w:rFonts w:asciiTheme="majorHAnsi" w:eastAsia="Calibri" w:hAnsiTheme="majorHAnsi"/>
                <w:sz w:val="18"/>
                <w:szCs w:val="18"/>
              </w:rPr>
            </w:pPr>
            <w:r w:rsidRPr="00D241ED">
              <w:rPr>
                <w:rFonts w:asciiTheme="majorHAnsi" w:eastAsia="Calibri" w:hAnsiTheme="majorHAnsi"/>
                <w:sz w:val="18"/>
                <w:szCs w:val="18"/>
              </w:rPr>
              <w:t>Onshore Less EE/PV</w:t>
            </w:r>
          </w:p>
        </w:tc>
        <w:tc>
          <w:tcPr>
            <w:tcW w:w="95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624</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1,133</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225</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219</w:t>
            </w:r>
          </w:p>
        </w:tc>
        <w:tc>
          <w:tcPr>
            <w:tcW w:w="722"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803</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3,013</w:t>
            </w:r>
          </w:p>
        </w:tc>
        <w:tc>
          <w:tcPr>
            <w:tcW w:w="883"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980</w:t>
            </w:r>
          </w:p>
        </w:tc>
        <w:tc>
          <w:tcPr>
            <w:tcW w:w="810"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-375</w:t>
            </w:r>
          </w:p>
        </w:tc>
        <w:tc>
          <w:tcPr>
            <w:tcW w:w="817"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1,814</w:t>
            </w:r>
          </w:p>
        </w:tc>
      </w:tr>
      <w:tr w:rsidR="000B228A" w:rsidRPr="00D241ED" w:rsidTr="000B228A">
        <w:trPr>
          <w:jc w:val="center"/>
        </w:trPr>
        <w:tc>
          <w:tcPr>
            <w:tcW w:w="1260" w:type="dxa"/>
            <w:vMerge/>
            <w:shd w:val="clear" w:color="auto" w:fill="CCEAF9" w:themeFill="accent1" w:themeFillTint="33"/>
            <w:vAlign w:val="center"/>
          </w:tcPr>
          <w:p w:rsidR="000B228A" w:rsidRPr="00D241ED" w:rsidRDefault="000B228A" w:rsidP="00AB39C3">
            <w:pPr>
              <w:keepNext/>
              <w:keepLines/>
              <w:spacing w:before="40" w:after="40" w:line="240" w:lineRule="auto"/>
              <w:jc w:val="center"/>
              <w:rPr>
                <w:rFonts w:asciiTheme="majorHAnsi" w:eastAsia="Calibri" w:hAnsiTheme="majorHAnsi"/>
                <w:b/>
                <w:sz w:val="18"/>
                <w:szCs w:val="18"/>
              </w:rPr>
            </w:pPr>
          </w:p>
        </w:tc>
        <w:tc>
          <w:tcPr>
            <w:tcW w:w="1488" w:type="dxa"/>
            <w:shd w:val="clear" w:color="auto" w:fill="CCEAF9" w:themeFill="accent1" w:themeFillTint="33"/>
            <w:tcMar>
              <w:left w:w="58" w:type="dxa"/>
              <w:right w:w="0" w:type="dxa"/>
            </w:tcMar>
            <w:vAlign w:val="center"/>
          </w:tcPr>
          <w:p w:rsidR="000B228A" w:rsidRPr="00D241ED" w:rsidRDefault="00AF6389" w:rsidP="00AB39C3">
            <w:pPr>
              <w:keepNext/>
              <w:keepLines/>
              <w:adjustRightInd/>
              <w:spacing w:before="40" w:after="40" w:line="240" w:lineRule="auto"/>
              <w:textAlignment w:val="auto"/>
              <w:rPr>
                <w:rFonts w:asciiTheme="majorHAnsi" w:eastAsia="Calibri" w:hAnsiTheme="majorHAnsi"/>
                <w:sz w:val="18"/>
                <w:szCs w:val="18"/>
              </w:rPr>
            </w:pPr>
            <w:r>
              <w:rPr>
                <w:rFonts w:asciiTheme="majorHAnsi" w:eastAsia="Calibri" w:hAnsiTheme="majorHAnsi"/>
                <w:sz w:val="18"/>
                <w:szCs w:val="18"/>
              </w:rPr>
              <w:t>Wind Less Nuclear</w:t>
            </w:r>
          </w:p>
        </w:tc>
        <w:tc>
          <w:tcPr>
            <w:tcW w:w="95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Pr="00D241ED">
              <w:rPr>
                <w:rFonts w:asciiTheme="majorHAnsi" w:hAnsiTheme="majorHAnsi"/>
                <w:sz w:val="18"/>
                <w:szCs w:val="18"/>
              </w:rPr>
              <w:t>152</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1,607</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722"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1,508</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1,560</w:t>
            </w:r>
          </w:p>
        </w:tc>
        <w:tc>
          <w:tcPr>
            <w:tcW w:w="721"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83"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0"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0</w:t>
            </w:r>
          </w:p>
        </w:tc>
        <w:tc>
          <w:tcPr>
            <w:tcW w:w="817" w:type="dxa"/>
            <w:shd w:val="clear" w:color="auto" w:fill="CCEAF9" w:themeFill="accent1" w:themeFillTint="33"/>
            <w:tcMar>
              <w:left w:w="0" w:type="dxa"/>
              <w:right w:w="115" w:type="dxa"/>
            </w:tcMar>
            <w:vAlign w:val="center"/>
          </w:tcPr>
          <w:p w:rsidR="000B228A" w:rsidRPr="00D241ED" w:rsidRDefault="000B228A" w:rsidP="00AB39C3">
            <w:pPr>
              <w:keepNext/>
              <w:keepLines/>
              <w:spacing w:before="40" w:after="40" w:line="240" w:lineRule="auto"/>
              <w:jc w:val="right"/>
              <w:rPr>
                <w:rFonts w:asciiTheme="majorHAnsi" w:hAnsiTheme="majorHAnsi"/>
                <w:sz w:val="18"/>
                <w:szCs w:val="18"/>
              </w:rPr>
            </w:pPr>
            <w:r w:rsidRPr="00D241ED">
              <w:rPr>
                <w:rFonts w:asciiTheme="majorHAnsi" w:hAnsiTheme="majorHAnsi"/>
                <w:sz w:val="18"/>
                <w:szCs w:val="18"/>
              </w:rPr>
              <w:t>4,524</w:t>
            </w:r>
          </w:p>
        </w:tc>
      </w:tr>
    </w:tbl>
    <w:p w:rsidR="00176330" w:rsidRPr="005D493A" w:rsidRDefault="00176330" w:rsidP="005D493A">
      <w:pPr>
        <w:pStyle w:val="ListParagraph"/>
        <w:numPr>
          <w:ilvl w:val="0"/>
          <w:numId w:val="93"/>
        </w:numPr>
        <w:spacing w:before="120" w:after="360" w:line="240" w:lineRule="auto"/>
        <w:ind w:left="-273" w:hanging="274"/>
        <w:rPr>
          <w:rFonts w:asciiTheme="minorHAnsi" w:hAnsiTheme="minorHAnsi"/>
          <w:sz w:val="16"/>
          <w:szCs w:val="16"/>
        </w:rPr>
      </w:pPr>
      <w:r w:rsidRPr="005D493A">
        <w:rPr>
          <w:rFonts w:asciiTheme="minorHAnsi" w:hAnsiTheme="minorHAnsi"/>
          <w:sz w:val="16"/>
          <w:szCs w:val="16"/>
        </w:rPr>
        <w:t xml:space="preserve">Numbers may not add due to rounding. </w:t>
      </w:r>
    </w:p>
    <w:p w:rsidR="001F27B8" w:rsidRDefault="001F27B8" w:rsidP="00B236A3">
      <w:pPr>
        <w:keepNext/>
        <w:keepLines/>
        <w:spacing w:after="0" w:line="240" w:lineRule="auto"/>
        <w:jc w:val="center"/>
      </w:pPr>
      <w:r w:rsidRPr="001F27B8">
        <w:rPr>
          <w:noProof/>
        </w:rPr>
        <w:drawing>
          <wp:inline distT="0" distB="0" distL="0" distR="0" wp14:anchorId="1CADBD01" wp14:editId="5038A142">
            <wp:extent cx="4560966" cy="3413897"/>
            <wp:effectExtent l="19050" t="19050" r="1143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6542" cy="3425556"/>
                    </a:xfrm>
                    <a:prstGeom prst="rect">
                      <a:avLst/>
                    </a:prstGeom>
                    <a:noFill/>
                    <a:ln w="0">
                      <a:solidFill>
                        <a:schemeClr val="tx1">
                          <a:lumMod val="50000"/>
                        </a:schemeClr>
                      </a:solidFill>
                    </a:ln>
                  </pic:spPr>
                </pic:pic>
              </a:graphicData>
            </a:graphic>
          </wp:inline>
        </w:drawing>
      </w:r>
    </w:p>
    <w:p w:rsidR="00AA4729" w:rsidRDefault="00F266E1" w:rsidP="00B236A3">
      <w:pPr>
        <w:pStyle w:val="Caption"/>
        <w:spacing w:before="80" w:after="80"/>
        <w:ind w:left="1080" w:right="994"/>
      </w:pPr>
      <w:bookmarkStart w:id="323" w:name="_Ref516939637"/>
      <w:bookmarkStart w:id="324" w:name="_Ref517274579"/>
      <w:bookmarkStart w:id="325" w:name="_Toc519511514"/>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9</w:t>
      </w:r>
      <w:r w:rsidR="00E930AF">
        <w:rPr>
          <w:noProof/>
        </w:rPr>
        <w:fldChar w:fldCharType="end"/>
      </w:r>
      <w:bookmarkEnd w:id="323"/>
      <w:bookmarkEnd w:id="324"/>
      <w:r w:rsidR="00AA4729">
        <w:t>: Total relative annual resource costs, 2030 (constrained and unconstrained), showing changes compared with 2030 Scenario 3 (constrained) (¢/kWh).</w:t>
      </w:r>
      <w:bookmarkEnd w:id="325"/>
    </w:p>
    <w:p w:rsidR="00AA4729" w:rsidRPr="00A56CFD" w:rsidRDefault="00AA4729" w:rsidP="00B236A3">
      <w:pPr>
        <w:spacing w:after="0" w:line="240" w:lineRule="auto"/>
        <w:ind w:left="1080" w:right="994"/>
        <w:rPr>
          <w:rFonts w:asciiTheme="minorHAnsi" w:hAnsiTheme="minorHAnsi"/>
          <w:sz w:val="16"/>
          <w:szCs w:val="16"/>
        </w:rPr>
      </w:pPr>
      <w:r w:rsidRPr="00665464">
        <w:rPr>
          <w:rFonts w:asciiTheme="minorHAnsi" w:hAnsiTheme="minorHAnsi"/>
          <w:b/>
          <w:sz w:val="16"/>
          <w:szCs w:val="16"/>
        </w:rPr>
        <w:t>Notes:</w:t>
      </w:r>
      <w:r w:rsidRPr="00665464">
        <w:rPr>
          <w:rFonts w:asciiTheme="minorHAnsi" w:hAnsiTheme="minorHAnsi"/>
          <w:sz w:val="16"/>
          <w:szCs w:val="16"/>
        </w:rPr>
        <w:t xml:space="preserve">  Energy efficiency and solar include costs resulting from individual customer investments that do not reflect </w:t>
      </w:r>
      <w:r w:rsidR="00F266E1">
        <w:rPr>
          <w:rFonts w:asciiTheme="minorHAnsi" w:hAnsiTheme="minorHAnsi"/>
          <w:sz w:val="16"/>
          <w:szCs w:val="16"/>
        </w:rPr>
        <w:t xml:space="preserve">the </w:t>
      </w:r>
      <w:r w:rsidRPr="00665464">
        <w:rPr>
          <w:rFonts w:asciiTheme="minorHAnsi" w:hAnsiTheme="minorHAnsi"/>
          <w:sz w:val="16"/>
          <w:szCs w:val="16"/>
        </w:rPr>
        <w:t xml:space="preserve">benefits the owners would </w:t>
      </w:r>
      <w:r w:rsidRPr="00A56CFD">
        <w:rPr>
          <w:rFonts w:asciiTheme="minorHAnsi" w:hAnsiTheme="minorHAnsi"/>
          <w:sz w:val="16"/>
          <w:szCs w:val="16"/>
        </w:rPr>
        <w:t>receive. Production costs reflect the price of carbon emissions at $19/ton.</w:t>
      </w:r>
    </w:p>
    <w:p w:rsidR="00DA7D6C" w:rsidRDefault="00DA7D6C" w:rsidP="00320F15">
      <w:pPr>
        <w:pStyle w:val="Caption"/>
        <w:jc w:val="center"/>
      </w:pPr>
      <w:bookmarkStart w:id="326" w:name="_Ref518297391"/>
      <w:bookmarkStart w:id="327" w:name="_Toc520721047"/>
      <w:r w:rsidRPr="009E5B67">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12</w:t>
      </w:r>
      <w:r w:rsidR="00EA3757">
        <w:rPr>
          <w:noProof/>
        </w:rPr>
        <w:fldChar w:fldCharType="end"/>
      </w:r>
      <w:bookmarkEnd w:id="326"/>
      <w:r w:rsidR="0090587C" w:rsidRPr="009E5B67">
        <w:br/>
        <w:t>Relative Annual Resource Costs, 2030 (¢/kWh)</w:t>
      </w:r>
      <w:bookmarkEnd w:id="327"/>
      <w:r w:rsidR="000A76BF" w:rsidRPr="005D493A">
        <w:rPr>
          <w:vertAlign w:val="superscript"/>
        </w:rPr>
        <w:t>(a)</w:t>
      </w:r>
    </w:p>
    <w:tbl>
      <w:tblPr>
        <w:tblW w:w="106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58" w:type="dxa"/>
        </w:tblCellMar>
        <w:tblLook w:val="04A0" w:firstRow="1" w:lastRow="0" w:firstColumn="1" w:lastColumn="0" w:noHBand="0" w:noVBand="1"/>
      </w:tblPr>
      <w:tblGrid>
        <w:gridCol w:w="1260"/>
        <w:gridCol w:w="1620"/>
        <w:gridCol w:w="955"/>
        <w:gridCol w:w="721"/>
        <w:gridCol w:w="721"/>
        <w:gridCol w:w="721"/>
        <w:gridCol w:w="842"/>
        <w:gridCol w:w="810"/>
        <w:gridCol w:w="720"/>
        <w:gridCol w:w="813"/>
        <w:gridCol w:w="810"/>
        <w:gridCol w:w="679"/>
      </w:tblGrid>
      <w:tr w:rsidR="00200E20" w:rsidRPr="009E5B67" w:rsidTr="00200E20">
        <w:trPr>
          <w:cantSplit/>
          <w:jc w:val="center"/>
        </w:trPr>
        <w:tc>
          <w:tcPr>
            <w:tcW w:w="1260"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 xml:space="preserve">Transmission </w:t>
            </w:r>
          </w:p>
        </w:tc>
        <w:tc>
          <w:tcPr>
            <w:tcW w:w="1620"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Scenario</w:t>
            </w:r>
          </w:p>
        </w:tc>
        <w:tc>
          <w:tcPr>
            <w:tcW w:w="955"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Production Cost</w:t>
            </w:r>
          </w:p>
        </w:tc>
        <w:tc>
          <w:tcPr>
            <w:tcW w:w="721"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Transm. Cost</w:t>
            </w:r>
          </w:p>
        </w:tc>
        <w:tc>
          <w:tcPr>
            <w:tcW w:w="721"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Ties</w:t>
            </w:r>
          </w:p>
        </w:tc>
        <w:tc>
          <w:tcPr>
            <w:tcW w:w="721"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Comb.  Cycle</w:t>
            </w:r>
          </w:p>
        </w:tc>
        <w:tc>
          <w:tcPr>
            <w:tcW w:w="842"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New Onshore Wind</w:t>
            </w:r>
          </w:p>
        </w:tc>
        <w:tc>
          <w:tcPr>
            <w:tcW w:w="810"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New Offshore Wind</w:t>
            </w:r>
          </w:p>
        </w:tc>
        <w:tc>
          <w:tcPr>
            <w:tcW w:w="720"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Solar</w:t>
            </w:r>
          </w:p>
        </w:tc>
        <w:tc>
          <w:tcPr>
            <w:tcW w:w="813"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Energy Efficiency</w:t>
            </w:r>
          </w:p>
        </w:tc>
        <w:tc>
          <w:tcPr>
            <w:tcW w:w="810"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15% Battery</w:t>
            </w:r>
          </w:p>
        </w:tc>
        <w:tc>
          <w:tcPr>
            <w:tcW w:w="679" w:type="dxa"/>
            <w:shd w:val="clear" w:color="auto" w:fill="1795D2" w:themeFill="accent1"/>
            <w:vAlign w:val="center"/>
          </w:tcPr>
          <w:p w:rsidR="0090587C" w:rsidRPr="009E5B67" w:rsidRDefault="0090587C" w:rsidP="00320F15">
            <w:pPr>
              <w:keepNext/>
              <w:keepLines/>
              <w:adjustRightInd/>
              <w:spacing w:before="40" w:after="40" w:line="240" w:lineRule="auto"/>
              <w:jc w:val="center"/>
              <w:textAlignment w:val="auto"/>
              <w:rPr>
                <w:rFonts w:asciiTheme="majorHAnsi" w:eastAsia="Calibri" w:hAnsiTheme="majorHAnsi"/>
                <w:b/>
                <w:color w:val="FFFFFF" w:themeColor="background1"/>
                <w:sz w:val="18"/>
                <w:szCs w:val="18"/>
              </w:rPr>
            </w:pPr>
            <w:r w:rsidRPr="009E5B67">
              <w:rPr>
                <w:rFonts w:asciiTheme="majorHAnsi" w:eastAsia="Calibri" w:hAnsiTheme="majorHAnsi"/>
                <w:b/>
                <w:color w:val="FFFFFF" w:themeColor="background1"/>
                <w:sz w:val="18"/>
                <w:szCs w:val="18"/>
              </w:rPr>
              <w:t>Total</w:t>
            </w:r>
          </w:p>
        </w:tc>
      </w:tr>
      <w:tr w:rsidR="00200E20" w:rsidRPr="009E5B67" w:rsidTr="00200E20">
        <w:trPr>
          <w:cantSplit/>
          <w:jc w:val="center"/>
        </w:trPr>
        <w:tc>
          <w:tcPr>
            <w:tcW w:w="1260" w:type="dxa"/>
            <w:vMerge w:val="restart"/>
            <w:shd w:val="clear" w:color="auto" w:fill="auto"/>
            <w:vAlign w:val="center"/>
          </w:tcPr>
          <w:p w:rsidR="0090587C" w:rsidRPr="009E5B67" w:rsidRDefault="0090587C" w:rsidP="00320F15">
            <w:pPr>
              <w:keepNext/>
              <w:keepLines/>
              <w:adjustRightInd/>
              <w:spacing w:before="40" w:after="40" w:line="240" w:lineRule="auto"/>
              <w:textAlignment w:val="auto"/>
              <w:rPr>
                <w:rFonts w:asciiTheme="majorHAnsi" w:eastAsia="Calibri" w:hAnsiTheme="majorHAnsi"/>
                <w:b/>
                <w:sz w:val="18"/>
                <w:szCs w:val="18"/>
              </w:rPr>
            </w:pPr>
            <w:r w:rsidRPr="009E5B67">
              <w:rPr>
                <w:rFonts w:asciiTheme="majorHAnsi" w:eastAsia="Calibri" w:hAnsiTheme="majorHAnsi"/>
                <w:b/>
                <w:sz w:val="18"/>
                <w:szCs w:val="18"/>
              </w:rPr>
              <w:t>Constrained</w:t>
            </w:r>
          </w:p>
        </w:tc>
        <w:tc>
          <w:tcPr>
            <w:tcW w:w="1620" w:type="dxa"/>
            <w:shd w:val="clear" w:color="auto" w:fill="auto"/>
            <w:tcMar>
              <w:left w:w="58" w:type="dxa"/>
              <w:right w:w="0" w:type="dxa"/>
            </w:tcMar>
            <w:vAlign w:val="center"/>
          </w:tcPr>
          <w:p w:rsidR="0090587C" w:rsidRPr="009E5B67" w:rsidRDefault="0090587C" w:rsidP="00320F15">
            <w:pPr>
              <w:keepNext/>
              <w:keepLines/>
              <w:spacing w:before="40" w:after="40" w:line="240" w:lineRule="auto"/>
              <w:rPr>
                <w:rFonts w:asciiTheme="majorHAnsi" w:hAnsiTheme="majorHAnsi"/>
                <w:sz w:val="18"/>
                <w:szCs w:val="18"/>
              </w:rPr>
            </w:pPr>
            <w:r w:rsidRPr="009E5B67">
              <w:rPr>
                <w:rFonts w:asciiTheme="majorHAnsi" w:hAnsiTheme="majorHAnsi"/>
                <w:sz w:val="18"/>
                <w:szCs w:val="18"/>
              </w:rPr>
              <w:t>Renew Plus</w:t>
            </w:r>
          </w:p>
        </w:tc>
        <w:tc>
          <w:tcPr>
            <w:tcW w:w="955"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r>
      <w:tr w:rsidR="00200E20" w:rsidRPr="009E5B67" w:rsidTr="00200E20">
        <w:trPr>
          <w:cantSplit/>
          <w:jc w:val="center"/>
        </w:trPr>
        <w:tc>
          <w:tcPr>
            <w:tcW w:w="1260" w:type="dxa"/>
            <w:vMerge/>
            <w:shd w:val="clear" w:color="auto" w:fill="auto"/>
            <w:vAlign w:val="center"/>
          </w:tcPr>
          <w:p w:rsidR="0090587C" w:rsidRPr="009E5B67" w:rsidRDefault="0090587C" w:rsidP="00320F15">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90587C" w:rsidRPr="009E5B67" w:rsidRDefault="0090587C" w:rsidP="00320F15">
            <w:pPr>
              <w:keepNext/>
              <w:keepLines/>
              <w:spacing w:before="40" w:after="40" w:line="240" w:lineRule="auto"/>
              <w:rPr>
                <w:rFonts w:asciiTheme="majorHAnsi" w:hAnsiTheme="majorHAnsi"/>
                <w:sz w:val="18"/>
                <w:szCs w:val="18"/>
              </w:rPr>
            </w:pPr>
            <w:r w:rsidRPr="009E5B67">
              <w:rPr>
                <w:rFonts w:asciiTheme="majorHAnsi" w:hAnsiTheme="majorHAnsi"/>
                <w:sz w:val="18"/>
                <w:szCs w:val="18"/>
              </w:rPr>
              <w:t>EE + Offshore</w:t>
            </w:r>
          </w:p>
        </w:tc>
        <w:tc>
          <w:tcPr>
            <w:tcW w:w="955"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0.21</w:t>
            </w:r>
          </w:p>
        </w:tc>
        <w:tc>
          <w:tcPr>
            <w:tcW w:w="721"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0.20</w:t>
            </w:r>
          </w:p>
        </w:tc>
        <w:tc>
          <w:tcPr>
            <w:tcW w:w="721"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0.13</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0.61</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72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0.51</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0.07</w:t>
            </w:r>
          </w:p>
        </w:tc>
      </w:tr>
      <w:tr w:rsidR="00200E20" w:rsidRPr="009E5B67" w:rsidTr="00200E20">
        <w:trPr>
          <w:cantSplit/>
          <w:jc w:val="center"/>
        </w:trPr>
        <w:tc>
          <w:tcPr>
            <w:tcW w:w="1260" w:type="dxa"/>
            <w:vMerge/>
            <w:shd w:val="clear" w:color="auto" w:fill="auto"/>
            <w:vAlign w:val="center"/>
          </w:tcPr>
          <w:p w:rsidR="0090587C" w:rsidRPr="009E5B67" w:rsidRDefault="0090587C" w:rsidP="00320F15">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90587C" w:rsidRPr="009E5B67" w:rsidRDefault="0090587C" w:rsidP="00320F15">
            <w:pPr>
              <w:keepNext/>
              <w:keepLines/>
              <w:spacing w:before="40" w:after="40" w:line="240" w:lineRule="auto"/>
              <w:rPr>
                <w:rFonts w:asciiTheme="majorHAnsi" w:hAnsiTheme="majorHAnsi"/>
                <w:sz w:val="18"/>
                <w:szCs w:val="18"/>
              </w:rPr>
            </w:pPr>
            <w:r w:rsidRPr="009E5B67">
              <w:rPr>
                <w:rFonts w:asciiTheme="majorHAnsi" w:hAnsiTheme="majorHAnsi"/>
                <w:sz w:val="18"/>
                <w:szCs w:val="18"/>
              </w:rPr>
              <w:t>Onshore Less EE/PV</w:t>
            </w:r>
          </w:p>
        </w:tc>
        <w:tc>
          <w:tcPr>
            <w:tcW w:w="955"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0.67</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0.03</w:t>
            </w:r>
          </w:p>
        </w:tc>
        <w:tc>
          <w:tcPr>
            <w:tcW w:w="721"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0.12</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0.14</w:t>
            </w:r>
          </w:p>
        </w:tc>
        <w:tc>
          <w:tcPr>
            <w:tcW w:w="842"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0.09</w:t>
            </w:r>
          </w:p>
        </w:tc>
        <w:tc>
          <w:tcPr>
            <w:tcW w:w="720"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1.70</w:t>
            </w:r>
          </w:p>
        </w:tc>
        <w:tc>
          <w:tcPr>
            <w:tcW w:w="813"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0.48</w:t>
            </w:r>
          </w:p>
        </w:tc>
        <w:tc>
          <w:tcPr>
            <w:tcW w:w="810"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0.22</w:t>
            </w:r>
          </w:p>
        </w:tc>
        <w:tc>
          <w:tcPr>
            <w:tcW w:w="679" w:type="dxa"/>
            <w:shd w:val="clear" w:color="auto" w:fill="auto"/>
            <w:tcMar>
              <w:left w:w="0" w:type="dxa"/>
              <w:right w:w="115" w:type="dxa"/>
            </w:tcMar>
            <w:vAlign w:val="center"/>
          </w:tcPr>
          <w:p w:rsidR="0090587C" w:rsidRPr="009E5B67" w:rsidRDefault="009E5B67" w:rsidP="00320F15">
            <w:pPr>
              <w:keepNext/>
              <w:keepLines/>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1.01</w:t>
            </w:r>
          </w:p>
        </w:tc>
      </w:tr>
      <w:tr w:rsidR="00200E20" w:rsidRPr="009E5B67" w:rsidTr="00200E20">
        <w:trPr>
          <w:cantSplit/>
          <w:jc w:val="center"/>
        </w:trPr>
        <w:tc>
          <w:tcPr>
            <w:tcW w:w="1260" w:type="dxa"/>
            <w:vMerge/>
            <w:shd w:val="clear" w:color="auto" w:fill="auto"/>
            <w:vAlign w:val="center"/>
          </w:tcPr>
          <w:p w:rsidR="0090587C" w:rsidRPr="009E5B67" w:rsidRDefault="0090587C" w:rsidP="00320F15">
            <w:pPr>
              <w:keepNext/>
              <w:keepLines/>
              <w:spacing w:before="40" w:after="40" w:line="240" w:lineRule="auto"/>
              <w:jc w:val="center"/>
              <w:rPr>
                <w:rFonts w:asciiTheme="majorHAnsi" w:eastAsia="Calibri" w:hAnsiTheme="majorHAnsi"/>
                <w:b/>
                <w:sz w:val="18"/>
                <w:szCs w:val="18"/>
              </w:rPr>
            </w:pPr>
          </w:p>
        </w:tc>
        <w:tc>
          <w:tcPr>
            <w:tcW w:w="1620" w:type="dxa"/>
            <w:shd w:val="clear" w:color="auto" w:fill="auto"/>
            <w:tcMar>
              <w:left w:w="58" w:type="dxa"/>
              <w:right w:w="0" w:type="dxa"/>
            </w:tcMar>
            <w:vAlign w:val="center"/>
          </w:tcPr>
          <w:p w:rsidR="0090587C" w:rsidRPr="009E5B67" w:rsidRDefault="00AF6389" w:rsidP="00320F15">
            <w:pPr>
              <w:keepNext/>
              <w:keepLines/>
              <w:spacing w:before="40" w:after="40" w:line="240" w:lineRule="auto"/>
              <w:rPr>
                <w:rFonts w:asciiTheme="majorHAnsi" w:hAnsiTheme="majorHAnsi"/>
                <w:sz w:val="18"/>
                <w:szCs w:val="18"/>
              </w:rPr>
            </w:pPr>
            <w:r>
              <w:rPr>
                <w:rFonts w:asciiTheme="majorHAnsi" w:hAnsiTheme="majorHAnsi"/>
                <w:sz w:val="18"/>
                <w:szCs w:val="18"/>
              </w:rPr>
              <w:t>Wind Less Nuclear</w:t>
            </w:r>
          </w:p>
        </w:tc>
        <w:tc>
          <w:tcPr>
            <w:tcW w:w="955"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0.23</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0.20</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0.89</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0.92</w:t>
            </w:r>
          </w:p>
        </w:tc>
        <w:tc>
          <w:tcPr>
            <w:tcW w:w="72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auto"/>
            <w:tcMar>
              <w:left w:w="0" w:type="dxa"/>
              <w:right w:w="115" w:type="dxa"/>
            </w:tcMar>
            <w:vAlign w:val="center"/>
          </w:tcPr>
          <w:p w:rsidR="0090587C" w:rsidRPr="009E5B67" w:rsidRDefault="0090587C" w:rsidP="00320F15">
            <w:pPr>
              <w:keepNext/>
              <w:keepLines/>
              <w:spacing w:before="40" w:after="40" w:line="240" w:lineRule="auto"/>
              <w:jc w:val="right"/>
              <w:rPr>
                <w:rFonts w:asciiTheme="majorHAnsi" w:hAnsiTheme="majorHAnsi"/>
                <w:sz w:val="18"/>
                <w:szCs w:val="18"/>
              </w:rPr>
            </w:pPr>
            <w:r w:rsidRPr="009E5B67">
              <w:rPr>
                <w:rFonts w:asciiTheme="majorHAnsi" w:hAnsiTheme="majorHAnsi"/>
                <w:sz w:val="18"/>
                <w:szCs w:val="18"/>
              </w:rPr>
              <w:t>2.23</w:t>
            </w:r>
          </w:p>
        </w:tc>
      </w:tr>
      <w:tr w:rsidR="00200E20" w:rsidRPr="009E5B67" w:rsidTr="00200E20">
        <w:trPr>
          <w:cantSplit/>
          <w:jc w:val="center"/>
        </w:trPr>
        <w:tc>
          <w:tcPr>
            <w:tcW w:w="1260" w:type="dxa"/>
            <w:vMerge w:val="restart"/>
            <w:shd w:val="clear" w:color="auto" w:fill="CCEAF9" w:themeFill="accent1" w:themeFillTint="33"/>
            <w:vAlign w:val="center"/>
          </w:tcPr>
          <w:p w:rsidR="0090587C" w:rsidRPr="009E5B67" w:rsidRDefault="0090587C" w:rsidP="009E5B67">
            <w:pPr>
              <w:keepNext/>
              <w:keepLines/>
              <w:adjustRightInd/>
              <w:spacing w:before="40" w:after="40" w:line="240" w:lineRule="auto"/>
              <w:jc w:val="center"/>
              <w:textAlignment w:val="auto"/>
              <w:rPr>
                <w:rFonts w:asciiTheme="majorHAnsi" w:eastAsia="Calibri" w:hAnsiTheme="majorHAnsi"/>
                <w:b/>
                <w:sz w:val="18"/>
                <w:szCs w:val="18"/>
              </w:rPr>
            </w:pPr>
            <w:r w:rsidRPr="009E5B67">
              <w:rPr>
                <w:rFonts w:asciiTheme="majorHAnsi" w:eastAsia="Calibri" w:hAnsiTheme="majorHAnsi"/>
                <w:b/>
                <w:sz w:val="18"/>
                <w:szCs w:val="18"/>
              </w:rPr>
              <w:t>Unconstrained</w:t>
            </w:r>
          </w:p>
        </w:tc>
        <w:tc>
          <w:tcPr>
            <w:tcW w:w="1620" w:type="dxa"/>
            <w:shd w:val="clear" w:color="auto" w:fill="CCEAF9" w:themeFill="accent1" w:themeFillTint="33"/>
            <w:tcMar>
              <w:left w:w="58" w:type="dxa"/>
              <w:right w:w="0" w:type="dxa"/>
            </w:tcMar>
            <w:vAlign w:val="center"/>
          </w:tcPr>
          <w:p w:rsidR="0090587C" w:rsidRPr="009E5B67" w:rsidRDefault="0090587C" w:rsidP="009E5B67">
            <w:pPr>
              <w:spacing w:before="40" w:after="40" w:line="240" w:lineRule="auto"/>
              <w:rPr>
                <w:rFonts w:asciiTheme="majorHAnsi" w:hAnsiTheme="majorHAnsi"/>
                <w:sz w:val="18"/>
                <w:szCs w:val="18"/>
              </w:rPr>
            </w:pPr>
            <w:r w:rsidRPr="009E5B67">
              <w:rPr>
                <w:rFonts w:asciiTheme="majorHAnsi" w:hAnsiTheme="majorHAnsi"/>
                <w:sz w:val="18"/>
                <w:szCs w:val="18"/>
              </w:rPr>
              <w:t>Renew Plus</w:t>
            </w:r>
          </w:p>
        </w:tc>
        <w:tc>
          <w:tcPr>
            <w:tcW w:w="955"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0.10</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0.48</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0.39</w:t>
            </w:r>
          </w:p>
        </w:tc>
      </w:tr>
      <w:tr w:rsidR="00200E20" w:rsidRPr="009E5B67" w:rsidTr="00200E20">
        <w:trPr>
          <w:cantSplit/>
          <w:jc w:val="center"/>
        </w:trPr>
        <w:tc>
          <w:tcPr>
            <w:tcW w:w="1260" w:type="dxa"/>
            <w:vMerge/>
            <w:shd w:val="clear" w:color="auto" w:fill="CCEAF9" w:themeFill="accent1" w:themeFillTint="33"/>
            <w:vAlign w:val="center"/>
          </w:tcPr>
          <w:p w:rsidR="0090587C" w:rsidRPr="009E5B67" w:rsidRDefault="0090587C" w:rsidP="009E5B67">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90587C" w:rsidRPr="009E5B67" w:rsidRDefault="0090587C" w:rsidP="009E5B67">
            <w:pPr>
              <w:spacing w:before="40" w:after="40" w:line="240" w:lineRule="auto"/>
              <w:rPr>
                <w:rFonts w:asciiTheme="majorHAnsi" w:hAnsiTheme="majorHAnsi"/>
                <w:sz w:val="18"/>
                <w:szCs w:val="18"/>
              </w:rPr>
            </w:pPr>
            <w:r w:rsidRPr="009E5B67">
              <w:rPr>
                <w:rFonts w:asciiTheme="majorHAnsi" w:hAnsiTheme="majorHAnsi"/>
                <w:sz w:val="18"/>
                <w:szCs w:val="18"/>
              </w:rPr>
              <w:t>EE + Offshore</w:t>
            </w:r>
          </w:p>
        </w:tc>
        <w:tc>
          <w:tcPr>
            <w:tcW w:w="955"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0.21</w:t>
            </w:r>
          </w:p>
        </w:tc>
        <w:tc>
          <w:tcPr>
            <w:tcW w:w="721"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0.20</w:t>
            </w:r>
          </w:p>
        </w:tc>
        <w:tc>
          <w:tcPr>
            <w:tcW w:w="721"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0.13</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0.61</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72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0.51</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90587C" w:rsidRPr="009E5B67" w:rsidRDefault="009A790A"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0.08</w:t>
            </w:r>
          </w:p>
        </w:tc>
      </w:tr>
      <w:tr w:rsidR="00200E20" w:rsidRPr="009E5B67" w:rsidTr="00200E20">
        <w:trPr>
          <w:cantSplit/>
          <w:jc w:val="center"/>
        </w:trPr>
        <w:tc>
          <w:tcPr>
            <w:tcW w:w="1260" w:type="dxa"/>
            <w:vMerge/>
            <w:shd w:val="clear" w:color="auto" w:fill="CCEAF9" w:themeFill="accent1" w:themeFillTint="33"/>
            <w:vAlign w:val="center"/>
          </w:tcPr>
          <w:p w:rsidR="0090587C" w:rsidRPr="009E5B67" w:rsidRDefault="0090587C" w:rsidP="009E5B67">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90587C" w:rsidRPr="009E5B67" w:rsidRDefault="0090587C" w:rsidP="009E5B67">
            <w:pPr>
              <w:spacing w:before="40" w:after="40" w:line="240" w:lineRule="auto"/>
              <w:rPr>
                <w:rFonts w:asciiTheme="majorHAnsi" w:hAnsiTheme="majorHAnsi"/>
                <w:sz w:val="18"/>
                <w:szCs w:val="18"/>
              </w:rPr>
            </w:pPr>
            <w:r w:rsidRPr="009E5B67">
              <w:rPr>
                <w:rFonts w:asciiTheme="majorHAnsi" w:hAnsiTheme="majorHAnsi"/>
                <w:sz w:val="18"/>
                <w:szCs w:val="18"/>
              </w:rPr>
              <w:t>Onshore Less EE/PV</w:t>
            </w:r>
          </w:p>
        </w:tc>
        <w:tc>
          <w:tcPr>
            <w:tcW w:w="955"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0.45</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0.75</w:t>
            </w:r>
          </w:p>
        </w:tc>
        <w:tc>
          <w:tcPr>
            <w:tcW w:w="721"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0.12</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0.14</w:t>
            </w:r>
          </w:p>
        </w:tc>
        <w:tc>
          <w:tcPr>
            <w:tcW w:w="842"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0.57</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0.09</w:t>
            </w:r>
          </w:p>
        </w:tc>
        <w:tc>
          <w:tcPr>
            <w:tcW w:w="720"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1.70</w:t>
            </w:r>
          </w:p>
        </w:tc>
        <w:tc>
          <w:tcPr>
            <w:tcW w:w="813"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w:t>
            </w:r>
            <w:r w:rsidR="009E5B67">
              <w:rPr>
                <w:rFonts w:asciiTheme="majorHAnsi" w:hAnsiTheme="majorHAnsi"/>
                <w:sz w:val="18"/>
                <w:szCs w:val="18"/>
              </w:rPr>
              <w:t>−</w:t>
            </w:r>
            <w:r w:rsidRPr="009E5B67">
              <w:rPr>
                <w:rFonts w:asciiTheme="majorHAnsi" w:hAnsiTheme="majorHAnsi"/>
                <w:sz w:val="18"/>
                <w:szCs w:val="18"/>
              </w:rPr>
              <w:t>0.48</w:t>
            </w:r>
          </w:p>
        </w:tc>
        <w:tc>
          <w:tcPr>
            <w:tcW w:w="810"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0.22</w:t>
            </w:r>
          </w:p>
        </w:tc>
        <w:tc>
          <w:tcPr>
            <w:tcW w:w="679" w:type="dxa"/>
            <w:shd w:val="clear" w:color="auto" w:fill="CCEAF9" w:themeFill="accent1" w:themeFillTint="33"/>
            <w:tcMar>
              <w:left w:w="0" w:type="dxa"/>
              <w:right w:w="115" w:type="dxa"/>
            </w:tcMar>
            <w:vAlign w:val="center"/>
          </w:tcPr>
          <w:p w:rsidR="0090587C" w:rsidRPr="009E5B67" w:rsidRDefault="009A790A"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0.51</w:t>
            </w:r>
          </w:p>
        </w:tc>
      </w:tr>
      <w:tr w:rsidR="00200E20" w:rsidRPr="009E5B67" w:rsidTr="00200E20">
        <w:trPr>
          <w:cantSplit/>
          <w:jc w:val="center"/>
        </w:trPr>
        <w:tc>
          <w:tcPr>
            <w:tcW w:w="1260" w:type="dxa"/>
            <w:vMerge/>
            <w:shd w:val="clear" w:color="auto" w:fill="CCEAF9" w:themeFill="accent1" w:themeFillTint="33"/>
            <w:vAlign w:val="center"/>
          </w:tcPr>
          <w:p w:rsidR="0090587C" w:rsidRPr="009E5B67" w:rsidRDefault="0090587C" w:rsidP="009E5B67">
            <w:pPr>
              <w:keepNext/>
              <w:keepLines/>
              <w:spacing w:before="40" w:after="40" w:line="240" w:lineRule="auto"/>
              <w:jc w:val="center"/>
              <w:rPr>
                <w:rFonts w:asciiTheme="majorHAnsi" w:eastAsia="Calibri" w:hAnsiTheme="majorHAnsi"/>
                <w:sz w:val="18"/>
                <w:szCs w:val="18"/>
              </w:rPr>
            </w:pPr>
          </w:p>
        </w:tc>
        <w:tc>
          <w:tcPr>
            <w:tcW w:w="1620" w:type="dxa"/>
            <w:shd w:val="clear" w:color="auto" w:fill="CCEAF9" w:themeFill="accent1" w:themeFillTint="33"/>
            <w:tcMar>
              <w:left w:w="58" w:type="dxa"/>
              <w:right w:w="0" w:type="dxa"/>
            </w:tcMar>
            <w:vAlign w:val="center"/>
          </w:tcPr>
          <w:p w:rsidR="0090587C" w:rsidRPr="009E5B67" w:rsidRDefault="00AF6389" w:rsidP="009E5B67">
            <w:pPr>
              <w:spacing w:before="40" w:after="40" w:line="240" w:lineRule="auto"/>
              <w:rPr>
                <w:rFonts w:asciiTheme="majorHAnsi" w:hAnsiTheme="majorHAnsi"/>
                <w:sz w:val="18"/>
                <w:szCs w:val="18"/>
              </w:rPr>
            </w:pPr>
            <w:r>
              <w:rPr>
                <w:rFonts w:asciiTheme="majorHAnsi" w:hAnsiTheme="majorHAnsi"/>
                <w:sz w:val="18"/>
                <w:szCs w:val="18"/>
              </w:rPr>
              <w:t>Wind Less Nuclear</w:t>
            </w:r>
          </w:p>
        </w:tc>
        <w:tc>
          <w:tcPr>
            <w:tcW w:w="955" w:type="dxa"/>
            <w:shd w:val="clear" w:color="auto" w:fill="CCEAF9" w:themeFill="accent1" w:themeFillTint="33"/>
            <w:tcMar>
              <w:left w:w="0" w:type="dxa"/>
              <w:right w:w="115" w:type="dxa"/>
            </w:tcMar>
            <w:vAlign w:val="center"/>
          </w:tcPr>
          <w:p w:rsidR="0090587C" w:rsidRPr="009E5B67" w:rsidRDefault="009E5B67" w:rsidP="008A7837">
            <w:pPr>
              <w:spacing w:before="40" w:after="40" w:line="240" w:lineRule="auto"/>
              <w:jc w:val="right"/>
              <w:rPr>
                <w:rFonts w:asciiTheme="majorHAnsi" w:hAnsiTheme="majorHAnsi"/>
                <w:sz w:val="18"/>
                <w:szCs w:val="18"/>
              </w:rPr>
            </w:pPr>
            <w:r>
              <w:rPr>
                <w:rFonts w:asciiTheme="majorHAnsi" w:hAnsiTheme="majorHAnsi"/>
                <w:sz w:val="18"/>
                <w:szCs w:val="18"/>
              </w:rPr>
              <w:t>−</w:t>
            </w:r>
            <w:r w:rsidR="0090587C" w:rsidRPr="009E5B67">
              <w:rPr>
                <w:rFonts w:asciiTheme="majorHAnsi" w:hAnsiTheme="majorHAnsi"/>
                <w:sz w:val="18"/>
                <w:szCs w:val="18"/>
              </w:rPr>
              <w:t>0.09</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0.94</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721"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42"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0.89</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0.92</w:t>
            </w:r>
          </w:p>
        </w:tc>
        <w:tc>
          <w:tcPr>
            <w:tcW w:w="72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3"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810"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0.00</w:t>
            </w:r>
          </w:p>
        </w:tc>
        <w:tc>
          <w:tcPr>
            <w:tcW w:w="679" w:type="dxa"/>
            <w:shd w:val="clear" w:color="auto" w:fill="CCEAF9" w:themeFill="accent1" w:themeFillTint="33"/>
            <w:tcMar>
              <w:left w:w="0" w:type="dxa"/>
              <w:right w:w="115" w:type="dxa"/>
            </w:tcMar>
            <w:vAlign w:val="center"/>
          </w:tcPr>
          <w:p w:rsidR="0090587C" w:rsidRPr="009E5B67" w:rsidRDefault="0090587C" w:rsidP="008A7837">
            <w:pPr>
              <w:spacing w:before="40" w:after="40" w:line="240" w:lineRule="auto"/>
              <w:jc w:val="right"/>
              <w:rPr>
                <w:rFonts w:asciiTheme="majorHAnsi" w:hAnsiTheme="majorHAnsi"/>
                <w:sz w:val="18"/>
                <w:szCs w:val="18"/>
              </w:rPr>
            </w:pPr>
            <w:r w:rsidRPr="009E5B67">
              <w:rPr>
                <w:rFonts w:asciiTheme="majorHAnsi" w:hAnsiTheme="majorHAnsi"/>
                <w:sz w:val="18"/>
                <w:szCs w:val="18"/>
              </w:rPr>
              <w:t>2.66</w:t>
            </w:r>
          </w:p>
        </w:tc>
      </w:tr>
    </w:tbl>
    <w:p w:rsidR="00176330" w:rsidRPr="005D493A" w:rsidRDefault="00176330" w:rsidP="005D493A">
      <w:pPr>
        <w:pStyle w:val="ListParagraph"/>
        <w:numPr>
          <w:ilvl w:val="0"/>
          <w:numId w:val="94"/>
        </w:numPr>
        <w:spacing w:before="120" w:after="240" w:line="240" w:lineRule="auto"/>
        <w:ind w:left="-360" w:hanging="274"/>
        <w:rPr>
          <w:rFonts w:asciiTheme="majorHAnsi" w:hAnsiTheme="majorHAnsi"/>
          <w:sz w:val="16"/>
          <w:szCs w:val="16"/>
        </w:rPr>
      </w:pPr>
      <w:r w:rsidRPr="005D493A">
        <w:rPr>
          <w:rFonts w:asciiTheme="majorHAnsi" w:hAnsiTheme="majorHAnsi"/>
          <w:sz w:val="16"/>
          <w:szCs w:val="16"/>
        </w:rPr>
        <w:t xml:space="preserve">Numbers may not add due to rounding. </w:t>
      </w:r>
    </w:p>
    <w:p w:rsidR="00F266E1" w:rsidRDefault="00F266E1" w:rsidP="00F266E1">
      <w:r w:rsidRPr="00A56CFD">
        <w:fldChar w:fldCharType="begin"/>
      </w:r>
      <w:r w:rsidRPr="00A56CFD">
        <w:instrText xml:space="preserve"> REF _Ref516939624 \h </w:instrText>
      </w:r>
      <w:r w:rsidR="0013387A">
        <w:instrText xml:space="preserve"> \* MERGEFORMAT </w:instrText>
      </w:r>
      <w:r w:rsidRPr="00A56CFD">
        <w:fldChar w:fldCharType="separate"/>
      </w:r>
      <w:r w:rsidR="00872A95">
        <w:t xml:space="preserve">Figure </w:t>
      </w:r>
      <w:r w:rsidR="00872A95">
        <w:rPr>
          <w:noProof/>
        </w:rPr>
        <w:t>6</w:t>
      </w:r>
      <w:r w:rsidR="00872A95">
        <w:rPr>
          <w:noProof/>
        </w:rPr>
        <w:noBreakHyphen/>
        <w:t>8</w:t>
      </w:r>
      <w:r w:rsidRPr="00A56CFD">
        <w:fldChar w:fldCharType="end"/>
      </w:r>
      <w:r w:rsidRPr="00A56CFD">
        <w:t xml:space="preserve"> and </w:t>
      </w:r>
      <w:r w:rsidRPr="00A56CFD">
        <w:fldChar w:fldCharType="begin"/>
      </w:r>
      <w:r w:rsidRPr="00A56CFD">
        <w:instrText xml:space="preserve"> REF _Ref516939637 \h </w:instrText>
      </w:r>
      <w:r w:rsidR="0013387A">
        <w:instrText xml:space="preserve"> \* MERGEFORMAT </w:instrText>
      </w:r>
      <w:r w:rsidRPr="00A56CFD">
        <w:fldChar w:fldCharType="separate"/>
      </w:r>
      <w:r w:rsidR="00872A95">
        <w:t xml:space="preserve">Figure </w:t>
      </w:r>
      <w:r w:rsidR="00872A95">
        <w:rPr>
          <w:noProof/>
        </w:rPr>
        <w:t>6</w:t>
      </w:r>
      <w:r w:rsidR="00872A95">
        <w:rPr>
          <w:noProof/>
        </w:rPr>
        <w:noBreakHyphen/>
        <w:t>9</w:t>
      </w:r>
      <w:r w:rsidRPr="00A56CFD">
        <w:fldChar w:fldCharType="end"/>
      </w:r>
      <w:r w:rsidR="000B228A">
        <w:t xml:space="preserve"> and</w:t>
      </w:r>
      <w:r w:rsidR="000A76BF">
        <w:t xml:space="preserve"> </w:t>
      </w:r>
      <w:r w:rsidR="000A76BF">
        <w:fldChar w:fldCharType="begin"/>
      </w:r>
      <w:r w:rsidR="000A76BF">
        <w:instrText xml:space="preserve"> REF _Ref520720330 \h </w:instrText>
      </w:r>
      <w:r w:rsidR="000A76BF">
        <w:fldChar w:fldCharType="separate"/>
      </w:r>
      <w:r w:rsidR="00872A95" w:rsidRPr="00D241ED">
        <w:t xml:space="preserve">Table </w:t>
      </w:r>
      <w:r w:rsidR="00872A95">
        <w:rPr>
          <w:noProof/>
        </w:rPr>
        <w:t>6</w:t>
      </w:r>
      <w:r w:rsidR="00872A95">
        <w:noBreakHyphen/>
      </w:r>
      <w:r w:rsidR="00872A95">
        <w:rPr>
          <w:noProof/>
        </w:rPr>
        <w:t>11</w:t>
      </w:r>
      <w:r w:rsidR="000A76BF">
        <w:fldChar w:fldCharType="end"/>
      </w:r>
      <w:r w:rsidR="003E4A2F">
        <w:t xml:space="preserve"> </w:t>
      </w:r>
      <w:r w:rsidR="000B228A" w:rsidRPr="009E5B67">
        <w:t xml:space="preserve">and </w:t>
      </w:r>
      <w:r w:rsidR="000B228A" w:rsidRPr="009E5B67">
        <w:fldChar w:fldCharType="begin"/>
      </w:r>
      <w:r w:rsidR="000B228A" w:rsidRPr="009E5B67">
        <w:instrText xml:space="preserve"> REF _Ref518297391 \h  \* MERGEFORMAT </w:instrText>
      </w:r>
      <w:r w:rsidR="000B228A" w:rsidRPr="009E5B67">
        <w:fldChar w:fldCharType="separate"/>
      </w:r>
      <w:r w:rsidR="00872A95" w:rsidRPr="00872A95">
        <w:rPr>
          <w:bCs/>
          <w:szCs w:val="20"/>
        </w:rPr>
        <w:t xml:space="preserve">Table </w:t>
      </w:r>
      <w:r w:rsidR="00872A95">
        <w:rPr>
          <w:noProof/>
        </w:rPr>
        <w:t>6</w:t>
      </w:r>
      <w:r w:rsidR="00872A95">
        <w:rPr>
          <w:noProof/>
        </w:rPr>
        <w:noBreakHyphen/>
        <w:t>12</w:t>
      </w:r>
      <w:r w:rsidR="000B228A" w:rsidRPr="009E5B67">
        <w:fldChar w:fldCharType="end"/>
      </w:r>
      <w:r w:rsidRPr="0013387A">
        <w:t xml:space="preserve"> illustrate differences among the scenarios for 2030. The Onshore Less</w:t>
      </w:r>
      <w:r>
        <w:t xml:space="preserve"> EE/PV scenario, which requires the lowest investment in new resources development, has the lowest total RARC. Although the production costs are higher for this scenario than the other scenarios with other mixes of large penetrations of renewable resources, the figures show significantly higher total RARCs for the Renew Plus, EE +Offshore, and </w:t>
      </w:r>
      <w:r w:rsidR="00AF6389">
        <w:t>Wind Less Nuclear</w:t>
      </w:r>
      <w:r>
        <w:t xml:space="preserve"> </w:t>
      </w:r>
      <w:r w:rsidR="00954AA8">
        <w:t>scenarios</w:t>
      </w:r>
      <w:r w:rsidR="004A03E8">
        <w:t xml:space="preserve"> </w:t>
      </w:r>
      <w:r>
        <w:t xml:space="preserve">as a result of their higher annual carrying charges for new resources. </w:t>
      </w:r>
      <w:r w:rsidR="004A03E8">
        <w:t xml:space="preserve">The </w:t>
      </w:r>
      <w:r w:rsidR="00AF6389">
        <w:t>Wind Less Nuclear</w:t>
      </w:r>
      <w:r w:rsidR="004A03E8">
        <w:t xml:space="preserve"> s</w:t>
      </w:r>
      <w:r>
        <w:t xml:space="preserve">cenario results in the highest RARC due to higher resource and transmission development costs. Although </w:t>
      </w:r>
      <w:r w:rsidR="004A03E8">
        <w:t xml:space="preserve">the </w:t>
      </w:r>
      <w:r>
        <w:t xml:space="preserve">EE + Offshore </w:t>
      </w:r>
      <w:r w:rsidR="004A03E8">
        <w:t xml:space="preserve">scenario </w:t>
      </w:r>
      <w:r>
        <w:t xml:space="preserve">has the lowest production costs across all scenarios, its total RARC is only slightly lower than </w:t>
      </w:r>
      <w:r w:rsidR="004A03E8">
        <w:t xml:space="preserve">the </w:t>
      </w:r>
      <w:r>
        <w:t xml:space="preserve">Renew Plus </w:t>
      </w:r>
      <w:r w:rsidR="004A03E8">
        <w:t xml:space="preserve">scenario </w:t>
      </w:r>
      <w:r>
        <w:t>after consideration of all annual capital costs.</w:t>
      </w:r>
    </w:p>
    <w:p w:rsidR="008112DE" w:rsidRDefault="00634FD2" w:rsidP="004E55C6">
      <w:r>
        <w:t xml:space="preserve">At approximately </w:t>
      </w:r>
      <w:r w:rsidRPr="00665464">
        <w:t>171 TWh, t</w:t>
      </w:r>
      <w:r w:rsidR="00D47725" w:rsidRPr="00665464">
        <w:t>he</w:t>
      </w:r>
      <w:r w:rsidR="0005329B">
        <w:t xml:space="preserve"> </w:t>
      </w:r>
      <w:r w:rsidR="00D47725">
        <w:t>demand forecast, BTM</w:t>
      </w:r>
      <w:r w:rsidR="00051BFC">
        <w:t xml:space="preserve"> </w:t>
      </w:r>
      <w:r w:rsidR="00D47725">
        <w:t xml:space="preserve">PV, </w:t>
      </w:r>
      <w:r>
        <w:t xml:space="preserve">and </w:t>
      </w:r>
      <w:r w:rsidR="00D47725">
        <w:t>EE</w:t>
      </w:r>
      <w:r>
        <w:t xml:space="preserve"> result in the same net systemwide demand for </w:t>
      </w:r>
      <w:r w:rsidR="004A03E8">
        <w:t xml:space="preserve">the Renew Plus, EE + Offshore, and </w:t>
      </w:r>
      <w:r w:rsidR="00AF6389">
        <w:t>Wind Less Nuclear</w:t>
      </w:r>
      <w:r w:rsidR="004A03E8">
        <w:t xml:space="preserve"> s</w:t>
      </w:r>
      <w:r w:rsidR="003A2597">
        <w:t>cenario</w:t>
      </w:r>
      <w:r w:rsidR="00044C62">
        <w:t>s</w:t>
      </w:r>
      <w:r w:rsidR="00860D3B">
        <w:t xml:space="preserve">. </w:t>
      </w:r>
      <w:r>
        <w:t xml:space="preserve">As such, the </w:t>
      </w:r>
      <w:r w:rsidR="00C20A1E">
        <w:t xml:space="preserve">cents per kilowatt-hour </w:t>
      </w:r>
      <w:r>
        <w:t>metric uses the same denominator for these three cases</w:t>
      </w:r>
      <w:r w:rsidR="00EF6887">
        <w:t xml:space="preserve">, which is directly proportional to the </w:t>
      </w:r>
      <w:r>
        <w:t>RARC</w:t>
      </w:r>
      <w:r w:rsidR="00EF6887">
        <w:t xml:space="preserve"> expressed in billions of dollars</w:t>
      </w:r>
      <w:r>
        <w:t xml:space="preserve">. </w:t>
      </w:r>
      <w:r w:rsidR="00D47725">
        <w:t xml:space="preserve">The </w:t>
      </w:r>
      <w:r>
        <w:t xml:space="preserve">demand in the Onshore Less EE/PV </w:t>
      </w:r>
      <w:r w:rsidR="004A03E8">
        <w:t xml:space="preserve">scenario </w:t>
      </w:r>
      <w:r>
        <w:t xml:space="preserve">was approximately </w:t>
      </w:r>
      <w:r w:rsidR="004A03E8">
        <w:t>158 </w:t>
      </w:r>
      <w:r>
        <w:t>TWh</w:t>
      </w:r>
      <w:r w:rsidR="00EF6887">
        <w:t>, which</w:t>
      </w:r>
      <w:r>
        <w:t xml:space="preserve"> increase</w:t>
      </w:r>
      <w:r w:rsidR="00EF6887">
        <w:t>s</w:t>
      </w:r>
      <w:r>
        <w:t xml:space="preserve"> the </w:t>
      </w:r>
      <w:r w:rsidR="00C20A1E">
        <w:t xml:space="preserve">cents per kilowatt-hour </w:t>
      </w:r>
      <w:r>
        <w:t>RARC metric</w:t>
      </w:r>
      <w:r w:rsidR="00EF6887">
        <w:t xml:space="preserve"> compared </w:t>
      </w:r>
      <w:r w:rsidR="004A03E8">
        <w:t>with</w:t>
      </w:r>
      <w:r w:rsidR="00EF6887">
        <w:t xml:space="preserve"> </w:t>
      </w:r>
      <w:r w:rsidR="004A03E8">
        <w:t xml:space="preserve">the </w:t>
      </w:r>
      <w:r w:rsidR="00EF6887">
        <w:t>other cases</w:t>
      </w:r>
      <w:r w:rsidR="00860D3B">
        <w:t xml:space="preserve">. </w:t>
      </w:r>
      <w:r w:rsidR="00EF6887">
        <w:t xml:space="preserve">Although </w:t>
      </w:r>
      <w:r w:rsidR="00051BFC">
        <w:t>the</w:t>
      </w:r>
      <w:r w:rsidR="00D47725">
        <w:t xml:space="preserve"> </w:t>
      </w:r>
      <w:r w:rsidR="00A11E63">
        <w:t>Onshore Less EE/PV</w:t>
      </w:r>
      <w:r w:rsidR="008112DE" w:rsidRPr="00E660C2">
        <w:rPr>
          <w:color w:val="FF0000"/>
        </w:rPr>
        <w:t xml:space="preserve"> </w:t>
      </w:r>
      <w:r w:rsidR="004A03E8" w:rsidRPr="00954AA8">
        <w:t>scenario</w:t>
      </w:r>
      <w:r w:rsidR="004A03E8">
        <w:rPr>
          <w:color w:val="FF0000"/>
        </w:rPr>
        <w:t xml:space="preserve"> </w:t>
      </w:r>
      <w:r w:rsidR="00EF6887">
        <w:t>resulted in</w:t>
      </w:r>
      <w:r>
        <w:t xml:space="preserve"> the </w:t>
      </w:r>
      <w:r w:rsidR="00EF38BD">
        <w:t>highest production costs</w:t>
      </w:r>
      <w:r>
        <w:t>, especially for the constrained case</w:t>
      </w:r>
      <w:r w:rsidR="00EF6887">
        <w:t xml:space="preserve">, it </w:t>
      </w:r>
      <w:r w:rsidR="00C20A1E">
        <w:t>shows</w:t>
      </w:r>
      <w:r w:rsidR="00EF6887">
        <w:t xml:space="preserve"> the lowest total RARC expressed both in billions of dollars and </w:t>
      </w:r>
      <w:r w:rsidR="00C20A1E">
        <w:t>cents per kilowatt-hour because</w:t>
      </w:r>
      <w:r w:rsidR="00EF6887">
        <w:t xml:space="preserve"> it ha</w:t>
      </w:r>
      <w:r w:rsidR="00C20A1E">
        <w:t>s</w:t>
      </w:r>
      <w:r w:rsidR="00EF6887">
        <w:t xml:space="preserve"> </w:t>
      </w:r>
      <w:r w:rsidR="00EF38BD">
        <w:t xml:space="preserve">the lowest </w:t>
      </w:r>
      <w:r w:rsidR="001320BC">
        <w:t>annual fixed</w:t>
      </w:r>
      <w:r w:rsidR="00EF38BD">
        <w:t xml:space="preserve"> costs across all cases</w:t>
      </w:r>
      <w:r w:rsidR="00860D3B">
        <w:t>.</w:t>
      </w:r>
    </w:p>
    <w:p w:rsidR="0053379A" w:rsidRPr="004766D0" w:rsidRDefault="0053379A">
      <w:pPr>
        <w:pStyle w:val="Heading2"/>
      </w:pPr>
      <w:bookmarkStart w:id="328" w:name="_Toc528571230"/>
      <w:r w:rsidRPr="004766D0">
        <w:t>Environmental Results</w:t>
      </w:r>
      <w:bookmarkEnd w:id="328"/>
    </w:p>
    <w:p w:rsidR="0053379A" w:rsidRPr="004766D0" w:rsidRDefault="00C45BAB" w:rsidP="0053379A">
      <w:r>
        <w:t xml:space="preserve">The results for the metrics that </w:t>
      </w:r>
      <w:r w:rsidR="0053379A" w:rsidRPr="00E33A68">
        <w:t>assess</w:t>
      </w:r>
      <w:r>
        <w:t>ed t</w:t>
      </w:r>
      <w:r w:rsidR="0053379A" w:rsidRPr="00E33A68">
        <w:t>he environmental impacts associated with the different scenarios</w:t>
      </w:r>
      <w:r w:rsidR="009E35A0">
        <w:t xml:space="preserve"> </w:t>
      </w:r>
      <w:r w:rsidR="0053379A" w:rsidRPr="00E33A68">
        <w:t>provide some insight on future emission trends.</w:t>
      </w:r>
      <w:r w:rsidR="0083676A">
        <w:t xml:space="preserve"> </w:t>
      </w:r>
      <w:r w:rsidR="00BF5E8A">
        <w:t>The</w:t>
      </w:r>
      <w:r w:rsidR="0053379A" w:rsidRPr="00E33A68">
        <w:t xml:space="preserve"> </w:t>
      </w:r>
      <w:r w:rsidR="00BF5E8A">
        <w:t xml:space="preserve">total </w:t>
      </w:r>
      <w:r w:rsidR="0053379A" w:rsidRPr="00E33A68">
        <w:t>CO</w:t>
      </w:r>
      <w:r w:rsidR="0053379A" w:rsidRPr="00E33A68">
        <w:rPr>
          <w:vertAlign w:val="subscript"/>
        </w:rPr>
        <w:t>2</w:t>
      </w:r>
      <w:r w:rsidR="0053379A" w:rsidRPr="00E33A68">
        <w:t xml:space="preserve"> emissions associated with the different scenarios</w:t>
      </w:r>
      <w:r w:rsidR="0053379A" w:rsidRPr="00712F7A">
        <w:t xml:space="preserve"> are</w:t>
      </w:r>
      <w:r w:rsidR="0053379A" w:rsidRPr="00E33A68">
        <w:t xml:space="preserve"> </w:t>
      </w:r>
      <w:r w:rsidR="0053379A" w:rsidRPr="00954AA8">
        <w:t>directly tied to the type and amount of fossil fuel</w:t>
      </w:r>
      <w:r w:rsidR="009E35A0" w:rsidRPr="00954AA8">
        <w:t>s</w:t>
      </w:r>
      <w:r w:rsidR="0053379A" w:rsidRPr="00954AA8">
        <w:t xml:space="preserve"> </w:t>
      </w:r>
      <w:r w:rsidR="00E91240" w:rsidRPr="00954AA8">
        <w:t xml:space="preserve">the different scenarios </w:t>
      </w:r>
      <w:r w:rsidR="0053379A" w:rsidRPr="00954AA8">
        <w:t>use</w:t>
      </w:r>
      <w:r w:rsidR="00E91240" w:rsidRPr="00954AA8">
        <w:t xml:space="preserve"> </w:t>
      </w:r>
      <w:r w:rsidR="0053379A" w:rsidRPr="00954AA8">
        <w:t>to generate electricity.</w:t>
      </w:r>
      <w:r w:rsidR="00DB3E8C" w:rsidRPr="00954AA8">
        <w:t xml:space="preserve"> </w:t>
      </w:r>
      <w:r w:rsidR="006C53A2" w:rsidRPr="00954AA8">
        <w:t xml:space="preserve">Assumed </w:t>
      </w:r>
      <w:r w:rsidR="00155151" w:rsidRPr="00954AA8">
        <w:t>CO</w:t>
      </w:r>
      <w:r w:rsidR="00155151" w:rsidRPr="00954AA8">
        <w:rPr>
          <w:vertAlign w:val="subscript"/>
        </w:rPr>
        <w:t>2</w:t>
      </w:r>
      <w:r w:rsidR="00B76C5F" w:rsidRPr="00954AA8">
        <w:t xml:space="preserve"> allowance </w:t>
      </w:r>
      <w:r w:rsidR="00155151" w:rsidRPr="00954AA8">
        <w:t>prices</w:t>
      </w:r>
      <w:r w:rsidR="00831EE8" w:rsidRPr="00954AA8">
        <w:t xml:space="preserve"> based on</w:t>
      </w:r>
      <w:r w:rsidRPr="00954AA8">
        <w:t xml:space="preserve"> </w:t>
      </w:r>
      <w:r w:rsidR="0065781B" w:rsidRPr="00954AA8">
        <w:t>the Regional Greenhouse Gas Initiative</w:t>
      </w:r>
      <w:r w:rsidR="00155151" w:rsidRPr="00954AA8">
        <w:t xml:space="preserve"> are key drivers of</w:t>
      </w:r>
      <w:r w:rsidR="00155151" w:rsidRPr="00712F7A">
        <w:t xml:space="preserve"> production costs</w:t>
      </w:r>
      <w:r w:rsidRPr="00712F7A">
        <w:t>,</w:t>
      </w:r>
      <w:r w:rsidR="00155151" w:rsidRPr="00712F7A">
        <w:t xml:space="preserve"> and CO</w:t>
      </w:r>
      <w:r w:rsidR="00155151" w:rsidRPr="00712F7A">
        <w:rPr>
          <w:vertAlign w:val="subscript"/>
        </w:rPr>
        <w:t>2</w:t>
      </w:r>
      <w:r w:rsidR="00155151" w:rsidRPr="00712F7A">
        <w:t xml:space="preserve"> emissions pose a potential regulatory constraint</w:t>
      </w:r>
      <w:r w:rsidR="00E91240" w:rsidRPr="00712F7A">
        <w:t xml:space="preserve"> during the study years</w:t>
      </w:r>
      <w:r w:rsidR="009E7B29" w:rsidRPr="00712F7A">
        <w:t>.</w:t>
      </w:r>
      <w:r w:rsidR="009E7B29">
        <w:rPr>
          <w:u w:val="single"/>
        </w:rPr>
        <w:t xml:space="preserve"> </w:t>
      </w:r>
    </w:p>
    <w:p w:rsidR="0083676A" w:rsidRDefault="000554D4" w:rsidP="00D27B9E">
      <w:pPr>
        <w:pStyle w:val="Heading3"/>
      </w:pPr>
      <w:bookmarkStart w:id="329" w:name="_Toc528571231"/>
      <w:r>
        <w:t>Ability of the System to Meet Renewable Portfolio Standards</w:t>
      </w:r>
      <w:bookmarkEnd w:id="329"/>
      <w:r w:rsidR="00122AC3">
        <w:t xml:space="preserve"> </w:t>
      </w:r>
    </w:p>
    <w:p w:rsidR="007F0082" w:rsidRDefault="00BF5E8A" w:rsidP="00954AA8">
      <w:pPr>
        <w:keepNext/>
        <w:keepLines/>
      </w:pPr>
      <w:r>
        <w:rPr>
          <w:noProof/>
        </w:rPr>
        <w:t xml:space="preserve">The </w:t>
      </w:r>
      <w:r w:rsidR="006C53A2">
        <w:rPr>
          <w:noProof/>
        </w:rPr>
        <w:t xml:space="preserve">2017 </w:t>
      </w:r>
      <w:r>
        <w:rPr>
          <w:noProof/>
        </w:rPr>
        <w:t xml:space="preserve">Economic Study request accounted for </w:t>
      </w:r>
      <w:r w:rsidR="006C53A2">
        <w:rPr>
          <w:noProof/>
        </w:rPr>
        <w:t>an</w:t>
      </w:r>
      <w:r>
        <w:rPr>
          <w:noProof/>
        </w:rPr>
        <w:t xml:space="preserve"> </w:t>
      </w:r>
      <w:r w:rsidR="006C53A2">
        <w:rPr>
          <w:noProof/>
        </w:rPr>
        <w:t>increase in</w:t>
      </w:r>
      <w:r>
        <w:rPr>
          <w:noProof/>
        </w:rPr>
        <w:t xml:space="preserve"> the regional goal for renewable resources in effect at the time assumptions were made for the 2016 </w:t>
      </w:r>
      <w:r w:rsidR="006C53A2">
        <w:rPr>
          <w:noProof/>
        </w:rPr>
        <w:t>NEPOOL Scenario Analysis</w:t>
      </w:r>
      <w:r>
        <w:rPr>
          <w:noProof/>
        </w:rPr>
        <w:t xml:space="preserve">. The 2016 </w:t>
      </w:r>
      <w:r w:rsidR="006C53A2">
        <w:rPr>
          <w:noProof/>
        </w:rPr>
        <w:t>s</w:t>
      </w:r>
      <w:r>
        <w:rPr>
          <w:noProof/>
        </w:rPr>
        <w:t xml:space="preserve">tudy showed </w:t>
      </w:r>
      <w:r w:rsidR="006C53A2">
        <w:rPr>
          <w:noProof/>
        </w:rPr>
        <w:t xml:space="preserve">that the </w:t>
      </w:r>
      <w:r>
        <w:rPr>
          <w:noProof/>
        </w:rPr>
        <w:t xml:space="preserve">resource assumptions used for </w:t>
      </w:r>
      <w:r w:rsidR="006C53A2">
        <w:rPr>
          <w:noProof/>
        </w:rPr>
        <w:t>the Renew Plus s</w:t>
      </w:r>
      <w:r>
        <w:rPr>
          <w:noProof/>
        </w:rPr>
        <w:t xml:space="preserve">cenario exceeded the physical requirements of </w:t>
      </w:r>
      <w:r w:rsidR="006C53A2">
        <w:rPr>
          <w:noProof/>
        </w:rPr>
        <w:t xml:space="preserve">the </w:t>
      </w:r>
      <w:r>
        <w:rPr>
          <w:noProof/>
        </w:rPr>
        <w:t xml:space="preserve">RPS goals for new resources. </w:t>
      </w:r>
      <w:r w:rsidR="006C53A2">
        <w:rPr>
          <w:noProof/>
        </w:rPr>
        <w:t>The three new s</w:t>
      </w:r>
      <w:r>
        <w:rPr>
          <w:noProof/>
        </w:rPr>
        <w:t>cenario</w:t>
      </w:r>
      <w:r w:rsidR="006C53A2">
        <w:rPr>
          <w:noProof/>
        </w:rPr>
        <w:t xml:space="preserve">s of the 2017 study </w:t>
      </w:r>
      <w:r>
        <w:rPr>
          <w:noProof/>
        </w:rPr>
        <w:t>reflect different mixes of renewable resources that would also physically exceed the regional RPS goals.</w:t>
      </w:r>
    </w:p>
    <w:p w:rsidR="0053379A" w:rsidRDefault="0053379A" w:rsidP="00D27B9E">
      <w:pPr>
        <w:pStyle w:val="Heading3"/>
      </w:pPr>
      <w:bookmarkStart w:id="330" w:name="_Toc528571232"/>
      <w:r w:rsidRPr="008E2AA0">
        <w:t>Carbon Dioxide Emissions and RGGI Goals</w:t>
      </w:r>
      <w:bookmarkEnd w:id="330"/>
    </w:p>
    <w:p w:rsidR="00AF716F" w:rsidRDefault="00345E85" w:rsidP="0053379A">
      <w:r>
        <w:t>At the time the study was conducted</w:t>
      </w:r>
      <w:r w:rsidR="006C53A2">
        <w:t>,</w:t>
      </w:r>
      <w:r>
        <w:t xml:space="preserve"> t</w:t>
      </w:r>
      <w:r w:rsidR="00DB3E8C">
        <w:t xml:space="preserve">he </w:t>
      </w:r>
      <w:r w:rsidR="00453B15">
        <w:t>p</w:t>
      </w:r>
      <w:r w:rsidR="0053379A" w:rsidRPr="00CD4AA6">
        <w:t xml:space="preserve">otential RGGI targets for </w:t>
      </w:r>
      <w:r w:rsidR="00D53DCB">
        <w:t>total CO</w:t>
      </w:r>
      <w:r w:rsidR="00D53DCB" w:rsidRPr="00751E7F">
        <w:rPr>
          <w:vertAlign w:val="subscript"/>
        </w:rPr>
        <w:t>2</w:t>
      </w:r>
      <w:r w:rsidR="00D53DCB">
        <w:t xml:space="preserve"> emissions  in </w:t>
      </w:r>
      <w:r w:rsidR="0053379A" w:rsidRPr="00CD4AA6">
        <w:t xml:space="preserve">the New England states </w:t>
      </w:r>
      <w:r w:rsidR="0053379A">
        <w:t xml:space="preserve">for </w:t>
      </w:r>
      <w:r>
        <w:t xml:space="preserve">2030 </w:t>
      </w:r>
      <w:r w:rsidR="005D5A9E">
        <w:t>range</w:t>
      </w:r>
      <w:r>
        <w:t>d</w:t>
      </w:r>
      <w:r w:rsidR="005D5A9E">
        <w:t xml:space="preserve"> from </w:t>
      </w:r>
      <w:r w:rsidR="0091286A">
        <w:t>13.3</w:t>
      </w:r>
      <w:r w:rsidR="0053379A" w:rsidRPr="00CD4AA6">
        <w:t xml:space="preserve"> </w:t>
      </w:r>
      <w:r w:rsidR="0053379A">
        <w:t>million short tons (5.0%</w:t>
      </w:r>
      <w:r w:rsidR="00700820">
        <w:t xml:space="preserve"> reduction</w:t>
      </w:r>
      <w:r w:rsidR="0053379A">
        <w:t xml:space="preserve">) to </w:t>
      </w:r>
      <w:r w:rsidR="0091286A">
        <w:t>19.9</w:t>
      </w:r>
      <w:r w:rsidR="00AF3971">
        <w:t> </w:t>
      </w:r>
      <w:r w:rsidR="0053379A" w:rsidRPr="00CD4AA6">
        <w:t>million short tons</w:t>
      </w:r>
      <w:r w:rsidR="0053379A">
        <w:t xml:space="preserve"> (2.5%</w:t>
      </w:r>
      <w:r w:rsidR="00700820">
        <w:t xml:space="preserve"> reduction</w:t>
      </w:r>
      <w:r w:rsidR="0053379A">
        <w:t>)</w:t>
      </w:r>
      <w:r w:rsidR="0053379A" w:rsidRPr="00CD4AA6">
        <w:t>.</w:t>
      </w:r>
      <w:r w:rsidR="0053379A">
        <w:rPr>
          <w:rStyle w:val="FootnoteReference"/>
        </w:rPr>
        <w:footnoteReference w:id="61"/>
      </w:r>
      <w:r w:rsidR="0053379A">
        <w:t xml:space="preserve"> </w:t>
      </w:r>
      <w:r w:rsidR="0053379A" w:rsidRPr="00CD4AA6">
        <w:t>RGGI currently permits the use of allowances</w:t>
      </w:r>
      <w:r w:rsidR="0053379A">
        <w:t>,</w:t>
      </w:r>
      <w:r w:rsidR="0053379A" w:rsidRPr="00CD4AA6">
        <w:t xml:space="preserve"> regardless of source or issuing </w:t>
      </w:r>
      <w:r w:rsidR="0053379A">
        <w:t>s</w:t>
      </w:r>
      <w:r w:rsidR="0053379A" w:rsidRPr="00CD4AA6">
        <w:t>tate</w:t>
      </w:r>
      <w:r w:rsidR="0053379A">
        <w:t xml:space="preserve">, </w:t>
      </w:r>
      <w:r w:rsidR="0053379A" w:rsidRPr="00CD4AA6">
        <w:t xml:space="preserve">and offsets to meet compliance obligations in any </w:t>
      </w:r>
      <w:r w:rsidR="0053379A">
        <w:t>s</w:t>
      </w:r>
      <w:r w:rsidR="0053379A" w:rsidRPr="00CD4AA6">
        <w:t>tate</w:t>
      </w:r>
      <w:r w:rsidR="0053379A">
        <w:t xml:space="preserve">. </w:t>
      </w:r>
      <w:r w:rsidR="0053379A" w:rsidRPr="00CD4AA6">
        <w:t xml:space="preserve">Allowances may be available from primary </w:t>
      </w:r>
      <w:r w:rsidR="0053379A">
        <w:t xml:space="preserve">or </w:t>
      </w:r>
      <w:r w:rsidR="0053379A" w:rsidRPr="00CD4AA6">
        <w:t>secondary markets</w:t>
      </w:r>
      <w:r w:rsidR="0053379A">
        <w:t xml:space="preserve"> or neighboring states, </w:t>
      </w:r>
      <w:r w:rsidR="0053379A" w:rsidRPr="001E1293">
        <w:t xml:space="preserve">or they may be banked </w:t>
      </w:r>
      <w:r w:rsidR="00032B2D" w:rsidRPr="001E1293">
        <w:t xml:space="preserve">and used in future compliance periods. The states also may release </w:t>
      </w:r>
      <w:r w:rsidR="0053379A" w:rsidRPr="001E1293">
        <w:t>cost-containment reserves</w:t>
      </w:r>
      <w:r w:rsidR="00032B2D" w:rsidRPr="001E1293">
        <w:t xml:space="preserve">, which are </w:t>
      </w:r>
      <w:r w:rsidR="00B265F6" w:rsidRPr="001E1293">
        <w:t>additional CO</w:t>
      </w:r>
      <w:r w:rsidR="00B265F6" w:rsidRPr="001E1293">
        <w:rPr>
          <w:vertAlign w:val="subscript"/>
        </w:rPr>
        <w:t>2</w:t>
      </w:r>
      <w:r w:rsidR="00B265F6" w:rsidRPr="001E1293">
        <w:t xml:space="preserve"> allowances </w:t>
      </w:r>
      <w:r w:rsidR="00032B2D" w:rsidRPr="001E1293">
        <w:t xml:space="preserve">issued </w:t>
      </w:r>
      <w:r w:rsidR="00B265F6" w:rsidRPr="001E1293">
        <w:t>if auction prices exceed certain thre</w:t>
      </w:r>
      <w:r w:rsidR="00E669C7" w:rsidRPr="001E1293">
        <w:t>s</w:t>
      </w:r>
      <w:r w:rsidR="00B265F6" w:rsidRPr="001E1293">
        <w:t>holds</w:t>
      </w:r>
      <w:r w:rsidR="009E7B29" w:rsidRPr="001E1293">
        <w:t xml:space="preserve">. </w:t>
      </w:r>
      <w:r w:rsidR="0053379A" w:rsidRPr="00CD4AA6">
        <w:t xml:space="preserve">RGGI excludes generators </w:t>
      </w:r>
      <w:r w:rsidR="0057471F">
        <w:t xml:space="preserve">smaller than </w:t>
      </w:r>
      <w:r w:rsidR="0053379A" w:rsidRPr="00CD4AA6">
        <w:t>25 MW and municipal solid</w:t>
      </w:r>
      <w:r w:rsidR="0065781B">
        <w:t xml:space="preserve"> </w:t>
      </w:r>
      <w:r w:rsidR="0053379A" w:rsidRPr="00CD4AA6">
        <w:t xml:space="preserve">waste </w:t>
      </w:r>
      <w:r w:rsidR="0053379A" w:rsidRPr="006C53A2">
        <w:t>units.</w:t>
      </w:r>
      <w:r w:rsidR="006C53A2" w:rsidRPr="006C53A2">
        <w:t xml:space="preserve"> </w:t>
      </w:r>
      <w:r w:rsidR="00080AD6" w:rsidRPr="006C53A2">
        <w:fldChar w:fldCharType="begin"/>
      </w:r>
      <w:r w:rsidR="00080AD6" w:rsidRPr="006C53A2">
        <w:instrText xml:space="preserve"> REF _Ref516941131 \h </w:instrText>
      </w:r>
      <w:r w:rsidR="00080AD6">
        <w:instrText xml:space="preserve"> \* MERGEFORMAT </w:instrText>
      </w:r>
      <w:r w:rsidR="00080AD6" w:rsidRPr="006C53A2">
        <w:fldChar w:fldCharType="separate"/>
      </w:r>
      <w:r w:rsidR="00872A95">
        <w:t xml:space="preserve">Figure </w:t>
      </w:r>
      <w:r w:rsidR="00872A95">
        <w:rPr>
          <w:noProof/>
        </w:rPr>
        <w:t>6</w:t>
      </w:r>
      <w:r w:rsidR="00872A95">
        <w:rPr>
          <w:noProof/>
        </w:rPr>
        <w:noBreakHyphen/>
        <w:t>10</w:t>
      </w:r>
      <w:r w:rsidR="00080AD6" w:rsidRPr="006C53A2">
        <w:fldChar w:fldCharType="end"/>
      </w:r>
      <w:r w:rsidR="006C53A2" w:rsidRPr="006C53A2">
        <w:t xml:space="preserve"> </w:t>
      </w:r>
      <w:r w:rsidR="00AF716F" w:rsidRPr="006C53A2">
        <w:t>compare</w:t>
      </w:r>
      <w:r w:rsidRPr="006C53A2">
        <w:t>s</w:t>
      </w:r>
      <w:r w:rsidR="00AF716F" w:rsidRPr="006C53A2">
        <w:t xml:space="preserve"> the total CO</w:t>
      </w:r>
      <w:r w:rsidR="00AF716F" w:rsidRPr="006C53A2">
        <w:rPr>
          <w:vertAlign w:val="subscript"/>
        </w:rPr>
        <w:t>2</w:t>
      </w:r>
      <w:r w:rsidR="00AF716F" w:rsidRPr="006C53A2">
        <w:t xml:space="preserve"> emissions for the scenarios with</w:t>
      </w:r>
      <w:r w:rsidR="00AF716F">
        <w:t xml:space="preserve"> the potential </w:t>
      </w:r>
      <w:r w:rsidR="00F2575A">
        <w:t xml:space="preserve">annual </w:t>
      </w:r>
      <w:r w:rsidR="00AF716F">
        <w:t>RGGI emission limits for the New England region.</w:t>
      </w:r>
      <w:r w:rsidR="00BF2F4B">
        <w:t xml:space="preserve"> The figure shows total regional CO</w:t>
      </w:r>
      <w:r w:rsidR="00BF2F4B" w:rsidRPr="00954AA8">
        <w:rPr>
          <w:vertAlign w:val="subscript"/>
        </w:rPr>
        <w:t>2</w:t>
      </w:r>
      <w:r w:rsidR="00BF2F4B">
        <w:t xml:space="preserve"> emissions for all generating units and for units subject to RGGI requirements</w:t>
      </w:r>
      <w:r w:rsidR="00860D3B" w:rsidRPr="00954AA8">
        <w:t>.</w:t>
      </w:r>
    </w:p>
    <w:p w:rsidR="00BB5915" w:rsidRDefault="00BB5915" w:rsidP="00BB5915">
      <w:pPr>
        <w:spacing w:after="0" w:line="240" w:lineRule="auto"/>
        <w:jc w:val="center"/>
      </w:pPr>
      <w:r w:rsidRPr="008F265A">
        <w:rPr>
          <w:noProof/>
        </w:rPr>
        <w:drawing>
          <wp:inline distT="0" distB="0" distL="0" distR="0" wp14:anchorId="278F4F46" wp14:editId="3FE0F24B">
            <wp:extent cx="5557520" cy="3014480"/>
            <wp:effectExtent l="19050" t="19050" r="2413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9390" cy="3020918"/>
                    </a:xfrm>
                    <a:prstGeom prst="rect">
                      <a:avLst/>
                    </a:prstGeom>
                    <a:noFill/>
                    <a:ln w="3175">
                      <a:solidFill>
                        <a:srgbClr val="03131B"/>
                      </a:solidFill>
                    </a:ln>
                  </pic:spPr>
                </pic:pic>
              </a:graphicData>
            </a:graphic>
          </wp:inline>
        </w:drawing>
      </w:r>
    </w:p>
    <w:p w:rsidR="00345E85" w:rsidRDefault="00345E85" w:rsidP="00654C47">
      <w:pPr>
        <w:pStyle w:val="Caption"/>
        <w:spacing w:before="120" w:after="240"/>
        <w:ind w:left="360" w:right="180"/>
        <w:jc w:val="both"/>
      </w:pPr>
      <w:bookmarkStart w:id="331" w:name="_Ref516941131"/>
      <w:bookmarkStart w:id="332" w:name="_Toc519511515"/>
      <w:r>
        <w:t xml:space="preserve">Figure </w:t>
      </w:r>
      <w:r w:rsidR="00E930AF">
        <w:rPr>
          <w:noProof/>
        </w:rPr>
        <w:fldChar w:fldCharType="begin"/>
      </w:r>
      <w:r w:rsidR="00E930AF">
        <w:rPr>
          <w:noProof/>
        </w:rPr>
        <w:instrText xml:space="preserve"> STYLEREF 1 \s </w:instrText>
      </w:r>
      <w:r w:rsidR="00E930AF">
        <w:rPr>
          <w:noProof/>
        </w:rPr>
        <w:fldChar w:fldCharType="separate"/>
      </w:r>
      <w:r w:rsidR="00872A95">
        <w:rPr>
          <w:noProof/>
        </w:rPr>
        <w:t>6</w:t>
      </w:r>
      <w:r w:rsidR="00E930AF">
        <w:rPr>
          <w:noProof/>
        </w:rPr>
        <w:fldChar w:fldCharType="end"/>
      </w:r>
      <w:r w:rsidR="00CF5BC5">
        <w:noBreakHyphen/>
      </w:r>
      <w:r w:rsidR="00E930AF">
        <w:rPr>
          <w:noProof/>
        </w:rPr>
        <w:fldChar w:fldCharType="begin"/>
      </w:r>
      <w:r w:rsidR="00E930AF">
        <w:rPr>
          <w:noProof/>
        </w:rPr>
        <w:instrText xml:space="preserve"> SEQ Figure \* ARABIC \s 1 </w:instrText>
      </w:r>
      <w:r w:rsidR="00E930AF">
        <w:rPr>
          <w:noProof/>
        </w:rPr>
        <w:fldChar w:fldCharType="separate"/>
      </w:r>
      <w:r w:rsidR="00872A95">
        <w:rPr>
          <w:noProof/>
        </w:rPr>
        <w:t>10</w:t>
      </w:r>
      <w:r w:rsidR="00E930AF">
        <w:rPr>
          <w:noProof/>
        </w:rPr>
        <w:fldChar w:fldCharType="end"/>
      </w:r>
      <w:bookmarkEnd w:id="331"/>
      <w:r w:rsidR="006C53A2">
        <w:t xml:space="preserve">: </w:t>
      </w:r>
      <w:r w:rsidRPr="000B0055">
        <w:t>CO</w:t>
      </w:r>
      <w:r w:rsidRPr="001E1293">
        <w:rPr>
          <w:vertAlign w:val="subscript"/>
        </w:rPr>
        <w:t>2</w:t>
      </w:r>
      <w:r w:rsidRPr="000B0055">
        <w:t xml:space="preserve"> </w:t>
      </w:r>
      <w:r>
        <w:t>e</w:t>
      </w:r>
      <w:r w:rsidRPr="000B0055">
        <w:t>missions</w:t>
      </w:r>
      <w:r>
        <w:t xml:space="preserve">, </w:t>
      </w:r>
      <w:r w:rsidRPr="000B0055">
        <w:t>20</w:t>
      </w:r>
      <w:r>
        <w:t>30</w:t>
      </w:r>
      <w:r w:rsidRPr="000B0055">
        <w:t xml:space="preserve"> (</w:t>
      </w:r>
      <w:r>
        <w:t>m</w:t>
      </w:r>
      <w:r w:rsidRPr="000B0055">
        <w:t xml:space="preserve">illions of </w:t>
      </w:r>
      <w:r>
        <w:t>s</w:t>
      </w:r>
      <w:r w:rsidRPr="000B0055">
        <w:t xml:space="preserve">hort </w:t>
      </w:r>
      <w:r>
        <w:t>t</w:t>
      </w:r>
      <w:r w:rsidRPr="000B0055">
        <w:t>ons</w:t>
      </w:r>
      <w:r>
        <w:t>, %</w:t>
      </w:r>
      <w:r w:rsidRPr="000B0055">
        <w:t>)</w:t>
      </w:r>
      <w:r w:rsidR="0091286A">
        <w:t xml:space="preserve"> compared with range of RGGI limits</w:t>
      </w:r>
      <w:r>
        <w:t>.</w:t>
      </w:r>
      <w:bookmarkEnd w:id="332"/>
    </w:p>
    <w:p w:rsidR="002C2A27" w:rsidRDefault="0014044E" w:rsidP="00E660C2">
      <w:pPr>
        <w:spacing w:after="0" w:line="240" w:lineRule="auto"/>
        <w:rPr>
          <w:rFonts w:cs="Calibri"/>
          <w:color w:val="000000"/>
          <w:szCs w:val="20"/>
        </w:rPr>
      </w:pPr>
      <w:r w:rsidRPr="00A56CFD">
        <w:fldChar w:fldCharType="begin"/>
      </w:r>
      <w:r w:rsidRPr="00A56CFD">
        <w:instrText xml:space="preserve"> REF _Ref516944604 \h </w:instrText>
      </w:r>
      <w:r>
        <w:instrText xml:space="preserve"> \* MERGEFORMAT </w:instrText>
      </w:r>
      <w:r w:rsidRPr="00A56CFD">
        <w:fldChar w:fldCharType="separate"/>
      </w:r>
      <w:r w:rsidR="00872A95" w:rsidRPr="001E0E83">
        <w:t xml:space="preserve">Table </w:t>
      </w:r>
      <w:r w:rsidR="00872A95">
        <w:rPr>
          <w:noProof/>
        </w:rPr>
        <w:t>6</w:t>
      </w:r>
      <w:r w:rsidR="00872A95">
        <w:rPr>
          <w:noProof/>
        </w:rPr>
        <w:noBreakHyphen/>
        <w:t>13</w:t>
      </w:r>
      <w:r w:rsidRPr="00A56CFD">
        <w:fldChar w:fldCharType="end"/>
      </w:r>
      <w:r w:rsidR="007F5623" w:rsidRPr="00DE7ADD">
        <w:t xml:space="preserve"> </w:t>
      </w:r>
      <w:r w:rsidR="002C2A27" w:rsidRPr="00DE7ADD">
        <w:t>show</w:t>
      </w:r>
      <w:r w:rsidR="002370F7" w:rsidRPr="00DE7ADD">
        <w:t>s</w:t>
      </w:r>
      <w:r w:rsidR="002C2A27" w:rsidRPr="00DE7ADD">
        <w:t xml:space="preserve"> more detailed CO</w:t>
      </w:r>
      <w:r w:rsidR="002C2A27" w:rsidRPr="00DE7ADD">
        <w:rPr>
          <w:vertAlign w:val="subscript"/>
        </w:rPr>
        <w:t>2</w:t>
      </w:r>
      <w:r w:rsidR="002C2A27" w:rsidRPr="00DE7ADD">
        <w:t xml:space="preserve"> emission results </w:t>
      </w:r>
      <w:r w:rsidR="002370F7" w:rsidRPr="00DE7ADD">
        <w:t xml:space="preserve">for 2030 </w:t>
      </w:r>
      <w:r w:rsidR="002C2A27" w:rsidRPr="00DE7ADD">
        <w:t>and compare</w:t>
      </w:r>
      <w:r w:rsidR="002370F7" w:rsidRPr="00DE7ADD">
        <w:t>s</w:t>
      </w:r>
      <w:r w:rsidR="002C2A27" w:rsidRPr="00DE7ADD">
        <w:t xml:space="preserve"> New England CO</w:t>
      </w:r>
      <w:r w:rsidR="002C2A27" w:rsidRPr="00DE7ADD">
        <w:rPr>
          <w:vertAlign w:val="subscript"/>
        </w:rPr>
        <w:t>2</w:t>
      </w:r>
      <w:r w:rsidR="002C2A27">
        <w:t xml:space="preserve"> emissions with the total </w:t>
      </w:r>
      <w:r w:rsidR="00F2575A">
        <w:t xml:space="preserve">annual </w:t>
      </w:r>
      <w:r w:rsidR="002C2A27">
        <w:t xml:space="preserve">emission </w:t>
      </w:r>
      <w:r w:rsidR="00B65F51">
        <w:t>targets</w:t>
      </w:r>
      <w:r w:rsidR="002C2A27">
        <w:t xml:space="preserve"> for </w:t>
      </w:r>
      <w:r w:rsidR="00F04184">
        <w:t xml:space="preserve">New England and for </w:t>
      </w:r>
      <w:r w:rsidR="002C2A27">
        <w:t>the entire RGGI region</w:t>
      </w:r>
      <w:r w:rsidR="002C2A27" w:rsidRPr="00444710">
        <w:t xml:space="preserve">. </w:t>
      </w:r>
      <w:r w:rsidR="002C2A27" w:rsidRPr="00444710">
        <w:rPr>
          <w:rFonts w:cs="Arial"/>
          <w:color w:val="000000"/>
          <w:szCs w:val="20"/>
        </w:rPr>
        <w:t>The s</w:t>
      </w:r>
      <w:r w:rsidR="002C2A27" w:rsidRPr="00444710">
        <w:rPr>
          <w:rFonts w:cs="Calibri"/>
          <w:color w:val="000000"/>
          <w:szCs w:val="20"/>
        </w:rPr>
        <w:t xml:space="preserve">cenarios with the large-scale development </w:t>
      </w:r>
      <w:r w:rsidR="00444710" w:rsidRPr="00E660C2">
        <w:rPr>
          <w:rFonts w:cs="Calibri"/>
          <w:color w:val="000000"/>
          <w:szCs w:val="20"/>
        </w:rPr>
        <w:t xml:space="preserve">and production </w:t>
      </w:r>
      <w:r w:rsidR="002C2A27" w:rsidRPr="00444710">
        <w:rPr>
          <w:rFonts w:cs="Calibri"/>
          <w:color w:val="000000"/>
          <w:szCs w:val="20"/>
        </w:rPr>
        <w:t>of zero-emitting resources result in lower CO</w:t>
      </w:r>
      <w:r w:rsidR="002C2A27" w:rsidRPr="00444710">
        <w:rPr>
          <w:rFonts w:cs="Calibri"/>
          <w:color w:val="000000"/>
          <w:szCs w:val="20"/>
          <w:vertAlign w:val="subscript"/>
        </w:rPr>
        <w:t>2</w:t>
      </w:r>
      <w:r w:rsidR="002C2A27" w:rsidRPr="00444710">
        <w:rPr>
          <w:rFonts w:cs="Calibri"/>
          <w:color w:val="000000"/>
          <w:szCs w:val="20"/>
        </w:rPr>
        <w:t xml:space="preserve"> emissions. </w:t>
      </w:r>
      <w:r w:rsidR="0004079C">
        <w:rPr>
          <w:rFonts w:cs="Calibri"/>
          <w:color w:val="000000"/>
          <w:szCs w:val="20"/>
        </w:rPr>
        <w:t>Key</w:t>
      </w:r>
      <w:r w:rsidR="0091286A">
        <w:rPr>
          <w:rFonts w:cs="Calibri"/>
          <w:color w:val="000000"/>
          <w:szCs w:val="20"/>
        </w:rPr>
        <w:t xml:space="preserve"> observations are as follows:</w:t>
      </w:r>
    </w:p>
    <w:p w:rsidR="0091286A" w:rsidRDefault="0091286A" w:rsidP="00E660C2">
      <w:pPr>
        <w:spacing w:after="0" w:line="240" w:lineRule="auto"/>
        <w:rPr>
          <w:rFonts w:cs="Calibri"/>
          <w:color w:val="000000"/>
          <w:szCs w:val="20"/>
        </w:rPr>
      </w:pPr>
    </w:p>
    <w:p w:rsidR="0091286A" w:rsidRDefault="0091286A" w:rsidP="0091286A">
      <w:pPr>
        <w:pStyle w:val="ListParagraph"/>
        <w:numPr>
          <w:ilvl w:val="0"/>
          <w:numId w:val="69"/>
        </w:numPr>
      </w:pPr>
      <w:r>
        <w:t xml:space="preserve">The Renew Plus and EE + </w:t>
      </w:r>
      <w:r w:rsidR="009C595E">
        <w:t xml:space="preserve">Offshore </w:t>
      </w:r>
      <w:r>
        <w:t xml:space="preserve">scenarios </w:t>
      </w:r>
      <w:r w:rsidRPr="00EE1BB2">
        <w:t>satisf</w:t>
      </w:r>
      <w:r>
        <w:t>y</w:t>
      </w:r>
      <w:r w:rsidRPr="00EE1BB2">
        <w:t xml:space="preserve"> both the New England 2.5% and 5.0% reduction targets by 2030, with or without the transmission system constraints modeled.</w:t>
      </w:r>
      <w:r>
        <w:t xml:space="preserve"> </w:t>
      </w:r>
    </w:p>
    <w:p w:rsidR="0091286A" w:rsidRDefault="0091286A" w:rsidP="0091286A">
      <w:pPr>
        <w:pStyle w:val="ListParagraph"/>
        <w:numPr>
          <w:ilvl w:val="0"/>
          <w:numId w:val="69"/>
        </w:numPr>
      </w:pPr>
      <w:r>
        <w:rPr>
          <w:rFonts w:cs="Calibri"/>
          <w:color w:val="000000"/>
          <w:szCs w:val="20"/>
        </w:rPr>
        <w:t>The EE + Offshore</w:t>
      </w:r>
      <w:r w:rsidRPr="00444710">
        <w:rPr>
          <w:rFonts w:cs="Calibri"/>
          <w:color w:val="000000"/>
          <w:szCs w:val="20"/>
        </w:rPr>
        <w:t xml:space="preserve"> </w:t>
      </w:r>
      <w:r w:rsidR="0014044E">
        <w:rPr>
          <w:rFonts w:cs="Calibri"/>
          <w:color w:val="000000"/>
          <w:szCs w:val="20"/>
        </w:rPr>
        <w:t xml:space="preserve">scenario </w:t>
      </w:r>
      <w:r w:rsidRPr="00444710">
        <w:rPr>
          <w:rFonts w:cs="Calibri"/>
          <w:color w:val="000000"/>
          <w:szCs w:val="20"/>
        </w:rPr>
        <w:t>results in the lowest overall emissions.</w:t>
      </w:r>
    </w:p>
    <w:p w:rsidR="0091286A" w:rsidRDefault="0014044E" w:rsidP="0091286A">
      <w:pPr>
        <w:pStyle w:val="ListParagraph"/>
        <w:numPr>
          <w:ilvl w:val="0"/>
          <w:numId w:val="69"/>
        </w:numPr>
      </w:pPr>
      <w:r>
        <w:t xml:space="preserve">The </w:t>
      </w:r>
      <w:r w:rsidR="00AF6389">
        <w:t>Wind Less Nuclear</w:t>
      </w:r>
      <w:r w:rsidR="0091286A">
        <w:t xml:space="preserve"> </w:t>
      </w:r>
      <w:r>
        <w:t xml:space="preserve">scenario </w:t>
      </w:r>
      <w:r w:rsidR="0091286A">
        <w:t xml:space="preserve">produces more carbon emissions compared </w:t>
      </w:r>
      <w:r>
        <w:t>with</w:t>
      </w:r>
      <w:r w:rsidR="0091286A">
        <w:t xml:space="preserve"> the Renewables Plus </w:t>
      </w:r>
      <w:r>
        <w:t>scenario</w:t>
      </w:r>
      <w:r w:rsidR="0091286A">
        <w:t xml:space="preserve">. When the transmission system is unconstrained, carbon emissions of the </w:t>
      </w:r>
      <w:r w:rsidR="00AF6389">
        <w:t>Wind Less Nuclear</w:t>
      </w:r>
      <w:r w:rsidR="0091286A">
        <w:t xml:space="preserve"> scenario satisfy both the New England 2.5% and 5% reduction targets. When the transmission system is constrained, carbon emission</w:t>
      </w:r>
      <w:r w:rsidR="00261F85">
        <w:t>s</w:t>
      </w:r>
      <w:r w:rsidR="0091286A">
        <w:t xml:space="preserve"> of the </w:t>
      </w:r>
      <w:r w:rsidR="00AF6389">
        <w:t>Wind Less Nuclear</w:t>
      </w:r>
      <w:r w:rsidR="0091286A">
        <w:t xml:space="preserve"> scenario satisf</w:t>
      </w:r>
      <w:r w:rsidR="00261F85">
        <w:t>y</w:t>
      </w:r>
      <w:r w:rsidR="0091286A">
        <w:t xml:space="preserve"> the New England 2.5% reduction target but exceed the New England 5.0% reduction target.</w:t>
      </w:r>
    </w:p>
    <w:p w:rsidR="0091286A" w:rsidRPr="00EE1BB2" w:rsidRDefault="0014044E" w:rsidP="0091286A">
      <w:pPr>
        <w:pStyle w:val="ListParagraph"/>
        <w:numPr>
          <w:ilvl w:val="0"/>
          <w:numId w:val="69"/>
        </w:numPr>
      </w:pPr>
      <w:r>
        <w:t xml:space="preserve">The </w:t>
      </w:r>
      <w:r w:rsidR="0091286A" w:rsidRPr="0039051B">
        <w:t xml:space="preserve">Onshore Less EE/PV </w:t>
      </w:r>
      <w:r>
        <w:t xml:space="preserve">scenario </w:t>
      </w:r>
      <w:r w:rsidR="0091286A" w:rsidRPr="0039051B">
        <w:t xml:space="preserve">produces the most carbon emissions due to the </w:t>
      </w:r>
      <w:r w:rsidR="0091286A">
        <w:t>retirement of zero</w:t>
      </w:r>
      <w:r>
        <w:t>-</w:t>
      </w:r>
      <w:r w:rsidR="0091286A">
        <w:t xml:space="preserve">emitting nuclear generation and the </w:t>
      </w:r>
      <w:r w:rsidR="0091286A" w:rsidRPr="0039051B">
        <w:t>addition of 1,378 MW of NGCC units. Carbon emission</w:t>
      </w:r>
      <w:r w:rsidR="0091286A">
        <w:t>s</w:t>
      </w:r>
      <w:r w:rsidR="0091286A" w:rsidRPr="0039051B">
        <w:t xml:space="preserve"> f</w:t>
      </w:r>
      <w:r w:rsidR="0091286A">
        <w:t>or this scenario satisfy</w:t>
      </w:r>
      <w:r w:rsidR="0091286A" w:rsidRPr="0039051B">
        <w:t xml:space="preserve"> the New England 2.5% reduction target but exceed the New England 5.0% reduction target, under both </w:t>
      </w:r>
      <w:r>
        <w:t xml:space="preserve">a constrained and unconstrained </w:t>
      </w:r>
      <w:r w:rsidR="0091286A" w:rsidRPr="0039051B">
        <w:t>transmission system.</w:t>
      </w:r>
    </w:p>
    <w:p w:rsidR="00444710" w:rsidRDefault="00444710" w:rsidP="00AB39C3">
      <w:pPr>
        <w:pStyle w:val="Caption"/>
        <w:spacing w:after="100"/>
        <w:jc w:val="center"/>
      </w:pPr>
      <w:bookmarkStart w:id="333" w:name="_Ref516944604"/>
      <w:bookmarkStart w:id="334" w:name="_Toc520721048"/>
      <w:r w:rsidRPr="001E0E83">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13</w:t>
      </w:r>
      <w:r w:rsidR="00EA3757">
        <w:rPr>
          <w:noProof/>
        </w:rPr>
        <w:fldChar w:fldCharType="end"/>
      </w:r>
      <w:bookmarkEnd w:id="333"/>
      <w:r w:rsidRPr="001E0E83">
        <w:br/>
      </w:r>
      <w:r>
        <w:t>CO</w:t>
      </w:r>
      <w:r w:rsidRPr="00287FD9">
        <w:rPr>
          <w:vertAlign w:val="subscript"/>
        </w:rPr>
        <w:t>2</w:t>
      </w:r>
      <w:r>
        <w:t xml:space="preserve"> Emissions Compared with RGGI Targets, 2030 (Millions of Short Tons </w:t>
      </w:r>
      <w:r w:rsidRPr="000773BE">
        <w:t>and %)</w:t>
      </w:r>
      <w:r w:rsidR="00722B7B" w:rsidRPr="00954AA8">
        <w:rPr>
          <w:rFonts w:asciiTheme="majorHAnsi" w:hAnsiTheme="majorHAnsi"/>
          <w:b w:val="0"/>
          <w:sz w:val="16"/>
          <w:szCs w:val="16"/>
          <w:vertAlign w:val="superscript"/>
        </w:rPr>
        <w:t>(a)</w:t>
      </w:r>
      <w:bookmarkEnd w:id="334"/>
    </w:p>
    <w:tbl>
      <w:tblPr>
        <w:tblW w:w="10620" w:type="dxa"/>
        <w:tblInd w:w="-4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50"/>
        <w:gridCol w:w="1620"/>
        <w:gridCol w:w="1170"/>
        <w:gridCol w:w="1080"/>
        <w:gridCol w:w="90"/>
        <w:gridCol w:w="1260"/>
        <w:gridCol w:w="1350"/>
        <w:gridCol w:w="1350"/>
        <w:gridCol w:w="1350"/>
      </w:tblGrid>
      <w:tr w:rsidR="00F562C1" w:rsidRPr="0014044E" w:rsidTr="00D00D8D">
        <w:trPr>
          <w:trHeight w:val="1471"/>
        </w:trPr>
        <w:tc>
          <w:tcPr>
            <w:tcW w:w="1350" w:type="dxa"/>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Transmission</w:t>
            </w:r>
          </w:p>
        </w:tc>
        <w:tc>
          <w:tcPr>
            <w:tcW w:w="1620" w:type="dxa"/>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Scenario</w:t>
            </w:r>
          </w:p>
        </w:tc>
        <w:tc>
          <w:tcPr>
            <w:tcW w:w="1170" w:type="dxa"/>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All Sources New England</w:t>
            </w:r>
            <w:r w:rsidR="0014044E">
              <w:rPr>
                <w:rFonts w:asciiTheme="minorHAnsi" w:hAnsiTheme="minorHAnsi" w:cs="Arial"/>
                <w:b/>
                <w:bCs/>
                <w:color w:val="FFFFFF" w:themeColor="light1"/>
                <w:kern w:val="24"/>
                <w:sz w:val="18"/>
                <w:szCs w:val="18"/>
              </w:rPr>
              <w:br/>
            </w:r>
            <w:r w:rsidRPr="0014044E">
              <w:rPr>
                <w:rFonts w:asciiTheme="minorHAnsi" w:hAnsiTheme="minorHAnsi" w:cs="Arial"/>
                <w:b/>
                <w:bCs/>
                <w:color w:val="FFFFFF" w:themeColor="light1"/>
                <w:kern w:val="24"/>
                <w:sz w:val="18"/>
                <w:szCs w:val="18"/>
              </w:rPr>
              <w:t>(M Short Tons)</w:t>
            </w:r>
          </w:p>
        </w:tc>
        <w:tc>
          <w:tcPr>
            <w:tcW w:w="1080" w:type="dxa"/>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New England RGGI Sources</w:t>
            </w:r>
            <w:r w:rsidR="0014044E">
              <w:rPr>
                <w:rFonts w:asciiTheme="minorHAnsi" w:hAnsiTheme="minorHAnsi" w:cs="Arial"/>
                <w:b/>
                <w:bCs/>
                <w:color w:val="FFFFFF" w:themeColor="light1"/>
                <w:kern w:val="24"/>
                <w:sz w:val="18"/>
                <w:szCs w:val="18"/>
              </w:rPr>
              <w:br/>
            </w:r>
            <w:r w:rsidRPr="0014044E">
              <w:rPr>
                <w:rFonts w:asciiTheme="minorHAnsi" w:hAnsiTheme="minorHAnsi" w:cs="Arial"/>
                <w:b/>
                <w:bCs/>
                <w:color w:val="FFFFFF" w:themeColor="light1"/>
                <w:kern w:val="24"/>
                <w:sz w:val="18"/>
                <w:szCs w:val="18"/>
              </w:rPr>
              <w:t>(M Short Tons)</w:t>
            </w:r>
          </w:p>
        </w:tc>
        <w:tc>
          <w:tcPr>
            <w:tcW w:w="1350" w:type="dxa"/>
            <w:gridSpan w:val="2"/>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New England RGGI Sources</w:t>
            </w:r>
            <w:r w:rsidR="004B1520">
              <w:rPr>
                <w:rFonts w:asciiTheme="minorHAnsi" w:hAnsiTheme="minorHAnsi" w:cs="Arial"/>
                <w:b/>
                <w:bCs/>
                <w:color w:val="FFFFFF" w:themeColor="light1"/>
                <w:kern w:val="24"/>
                <w:sz w:val="18"/>
                <w:szCs w:val="18"/>
              </w:rPr>
              <w:t>’</w:t>
            </w:r>
            <w:r w:rsidRPr="0014044E">
              <w:rPr>
                <w:rFonts w:asciiTheme="minorHAnsi" w:hAnsiTheme="minorHAnsi" w:cs="Arial"/>
                <w:b/>
                <w:bCs/>
                <w:color w:val="FFFFFF" w:themeColor="light1"/>
                <w:kern w:val="24"/>
                <w:sz w:val="18"/>
                <w:szCs w:val="18"/>
              </w:rPr>
              <w:t xml:space="preserve"> Percentage of</w:t>
            </w:r>
            <w:r w:rsidR="0014044E">
              <w:rPr>
                <w:rFonts w:asciiTheme="minorHAnsi" w:hAnsiTheme="minorHAnsi" w:cs="Arial"/>
                <w:b/>
                <w:bCs/>
                <w:color w:val="FFFFFF" w:themeColor="light1"/>
                <w:kern w:val="24"/>
                <w:sz w:val="18"/>
                <w:szCs w:val="18"/>
              </w:rPr>
              <w:t xml:space="preserve"> </w:t>
            </w:r>
            <w:r w:rsidRPr="0014044E">
              <w:rPr>
                <w:rFonts w:asciiTheme="minorHAnsi" w:hAnsiTheme="minorHAnsi" w:cs="Arial"/>
                <w:b/>
                <w:bCs/>
                <w:color w:val="FFFFFF" w:themeColor="light1"/>
                <w:kern w:val="24"/>
                <w:sz w:val="18"/>
                <w:szCs w:val="18"/>
              </w:rPr>
              <w:t xml:space="preserve">New England 2.5% Reduction </w:t>
            </w:r>
            <w:r w:rsidR="004B1520">
              <w:rPr>
                <w:rFonts w:asciiTheme="minorHAnsi" w:hAnsiTheme="minorHAnsi" w:cs="Arial"/>
                <w:b/>
                <w:bCs/>
                <w:color w:val="FFFFFF" w:themeColor="light1"/>
                <w:kern w:val="24"/>
                <w:sz w:val="18"/>
                <w:szCs w:val="18"/>
              </w:rPr>
              <w:br/>
            </w:r>
            <w:r w:rsidRPr="0014044E">
              <w:rPr>
                <w:rFonts w:asciiTheme="minorHAnsi" w:hAnsiTheme="minorHAnsi" w:cs="Arial"/>
                <w:b/>
                <w:bCs/>
                <w:color w:val="FFFFFF" w:themeColor="light1"/>
                <w:kern w:val="24"/>
                <w:sz w:val="18"/>
                <w:szCs w:val="18"/>
              </w:rPr>
              <w:t>(%)</w:t>
            </w:r>
          </w:p>
        </w:tc>
        <w:tc>
          <w:tcPr>
            <w:tcW w:w="1350" w:type="dxa"/>
            <w:shd w:val="clear" w:color="auto" w:fill="1795D2"/>
            <w:tcMar>
              <w:top w:w="0" w:type="dxa"/>
              <w:left w:w="58" w:type="dxa"/>
              <w:bottom w:w="0" w:type="dxa"/>
              <w:right w:w="58" w:type="dxa"/>
            </w:tcMar>
            <w:vAlign w:val="center"/>
            <w:hideMark/>
          </w:tcPr>
          <w:p w:rsidR="00444710" w:rsidRPr="0014044E" w:rsidRDefault="00444710" w:rsidP="00AB39C3">
            <w:pPr>
              <w:keepNext/>
              <w:keepLines/>
              <w:adjustRightInd/>
              <w:spacing w:before="40" w:after="40" w:line="240" w:lineRule="auto"/>
              <w:jc w:val="center"/>
              <w:textAlignment w:val="auto"/>
              <w:rPr>
                <w:rFonts w:asciiTheme="minorHAnsi" w:hAnsiTheme="minorHAnsi" w:cs="Arial"/>
                <w:sz w:val="18"/>
                <w:szCs w:val="18"/>
              </w:rPr>
            </w:pPr>
            <w:r w:rsidRPr="0014044E">
              <w:rPr>
                <w:rFonts w:asciiTheme="minorHAnsi" w:hAnsiTheme="minorHAnsi" w:cs="Arial"/>
                <w:b/>
                <w:bCs/>
                <w:color w:val="FFFFFF" w:themeColor="light1"/>
                <w:kern w:val="24"/>
                <w:sz w:val="18"/>
                <w:szCs w:val="18"/>
              </w:rPr>
              <w:t>New England RGGI Sources</w:t>
            </w:r>
            <w:r w:rsidR="004B1520">
              <w:rPr>
                <w:rFonts w:asciiTheme="minorHAnsi" w:hAnsiTheme="minorHAnsi" w:cs="Arial"/>
                <w:b/>
                <w:bCs/>
                <w:color w:val="FFFFFF" w:themeColor="light1"/>
                <w:kern w:val="24"/>
                <w:sz w:val="18"/>
                <w:szCs w:val="18"/>
              </w:rPr>
              <w:t>’</w:t>
            </w:r>
            <w:r w:rsidRPr="0014044E">
              <w:rPr>
                <w:rFonts w:asciiTheme="minorHAnsi" w:hAnsiTheme="minorHAnsi" w:cs="Arial"/>
                <w:b/>
                <w:bCs/>
                <w:color w:val="FFFFFF" w:themeColor="light1"/>
                <w:kern w:val="24"/>
                <w:sz w:val="18"/>
                <w:szCs w:val="18"/>
              </w:rPr>
              <w:t xml:space="preserve"> Percentage of</w:t>
            </w:r>
            <w:r w:rsidR="0014044E">
              <w:rPr>
                <w:rFonts w:asciiTheme="minorHAnsi" w:hAnsiTheme="minorHAnsi" w:cs="Arial"/>
                <w:b/>
                <w:bCs/>
                <w:color w:val="FFFFFF" w:themeColor="light1"/>
                <w:kern w:val="24"/>
                <w:sz w:val="18"/>
                <w:szCs w:val="18"/>
              </w:rPr>
              <w:t xml:space="preserve"> </w:t>
            </w:r>
            <w:r w:rsidRPr="0014044E">
              <w:rPr>
                <w:rFonts w:asciiTheme="minorHAnsi" w:hAnsiTheme="minorHAnsi" w:cs="Arial"/>
                <w:b/>
                <w:bCs/>
                <w:color w:val="FFFFFF" w:themeColor="light1"/>
                <w:kern w:val="24"/>
                <w:sz w:val="18"/>
                <w:szCs w:val="18"/>
              </w:rPr>
              <w:t>New England 5.0% Reduction</w:t>
            </w:r>
            <w:r w:rsidR="004B1520">
              <w:rPr>
                <w:rFonts w:asciiTheme="minorHAnsi" w:hAnsiTheme="minorHAnsi" w:cs="Arial"/>
                <w:b/>
                <w:bCs/>
                <w:color w:val="FFFFFF" w:themeColor="light1"/>
                <w:kern w:val="24"/>
                <w:sz w:val="18"/>
                <w:szCs w:val="18"/>
              </w:rPr>
              <w:br/>
            </w:r>
            <w:r w:rsidRPr="0014044E">
              <w:rPr>
                <w:rFonts w:asciiTheme="minorHAnsi" w:hAnsiTheme="minorHAnsi" w:cs="Arial"/>
                <w:b/>
                <w:bCs/>
                <w:color w:val="FFFFFF" w:themeColor="light1"/>
                <w:kern w:val="24"/>
                <w:sz w:val="18"/>
                <w:szCs w:val="18"/>
              </w:rPr>
              <w:t>(%)</w:t>
            </w:r>
          </w:p>
        </w:tc>
        <w:tc>
          <w:tcPr>
            <w:tcW w:w="1350" w:type="dxa"/>
            <w:shd w:val="clear" w:color="auto" w:fill="1795D2"/>
            <w:tcMar>
              <w:top w:w="0" w:type="dxa"/>
              <w:left w:w="58" w:type="dxa"/>
              <w:bottom w:w="0" w:type="dxa"/>
              <w:right w:w="58" w:type="dxa"/>
            </w:tcMar>
            <w:vAlign w:val="center"/>
            <w:hideMark/>
          </w:tcPr>
          <w:p w:rsidR="00722B7B" w:rsidRPr="00954AA8" w:rsidRDefault="00444710" w:rsidP="00AB39C3">
            <w:pPr>
              <w:keepNext/>
              <w:keepLines/>
              <w:adjustRightInd/>
              <w:spacing w:before="40" w:after="40" w:line="240" w:lineRule="auto"/>
              <w:jc w:val="center"/>
              <w:textAlignment w:val="auto"/>
              <w:rPr>
                <w:rFonts w:asciiTheme="minorHAnsi" w:hAnsiTheme="minorHAnsi" w:cs="Arial"/>
                <w:b/>
                <w:color w:val="FFFFFF" w:themeColor="background1"/>
                <w:sz w:val="18"/>
                <w:szCs w:val="18"/>
                <w:vertAlign w:val="superscript"/>
              </w:rPr>
            </w:pPr>
            <w:r w:rsidRPr="00954AA8">
              <w:rPr>
                <w:rFonts w:asciiTheme="minorHAnsi" w:hAnsiTheme="minorHAnsi" w:cs="Arial"/>
                <w:b/>
                <w:bCs/>
                <w:color w:val="FFFFFF" w:themeColor="background1"/>
                <w:kern w:val="24"/>
                <w:sz w:val="18"/>
                <w:szCs w:val="18"/>
              </w:rPr>
              <w:t>New England RGGI Sources</w:t>
            </w:r>
            <w:r w:rsidR="004B1520">
              <w:rPr>
                <w:rFonts w:asciiTheme="minorHAnsi" w:hAnsiTheme="minorHAnsi" w:cs="Arial"/>
                <w:b/>
                <w:bCs/>
                <w:color w:val="FFFFFF" w:themeColor="background1"/>
                <w:kern w:val="24"/>
                <w:sz w:val="18"/>
                <w:szCs w:val="18"/>
              </w:rPr>
              <w:t>’</w:t>
            </w:r>
            <w:r w:rsidRPr="00954AA8">
              <w:rPr>
                <w:rFonts w:asciiTheme="minorHAnsi" w:hAnsiTheme="minorHAnsi" w:cs="Arial"/>
                <w:b/>
                <w:bCs/>
                <w:color w:val="FFFFFF" w:themeColor="background1"/>
                <w:kern w:val="24"/>
                <w:sz w:val="18"/>
                <w:szCs w:val="18"/>
              </w:rPr>
              <w:t xml:space="preserve"> Percentage of</w:t>
            </w:r>
            <w:r w:rsidR="00954AA8" w:rsidRPr="00954AA8">
              <w:rPr>
                <w:rFonts w:asciiTheme="minorHAnsi" w:hAnsiTheme="minorHAnsi" w:cs="Arial"/>
                <w:b/>
                <w:bCs/>
                <w:color w:val="FFFFFF" w:themeColor="background1"/>
                <w:kern w:val="24"/>
                <w:sz w:val="18"/>
                <w:szCs w:val="18"/>
              </w:rPr>
              <w:br/>
            </w:r>
            <w:r w:rsidRPr="00954AA8">
              <w:rPr>
                <w:rFonts w:asciiTheme="minorHAnsi" w:hAnsiTheme="minorHAnsi" w:cs="Arial"/>
                <w:b/>
                <w:bCs/>
                <w:color w:val="FFFFFF" w:themeColor="background1"/>
                <w:kern w:val="24"/>
                <w:sz w:val="18"/>
                <w:szCs w:val="18"/>
              </w:rPr>
              <w:t>9 RGGI States</w:t>
            </w:r>
            <w:r w:rsidR="00F562C1" w:rsidRPr="00954AA8">
              <w:rPr>
                <w:rFonts w:asciiTheme="minorHAnsi" w:hAnsiTheme="minorHAnsi" w:cs="Arial"/>
                <w:b/>
                <w:bCs/>
                <w:color w:val="FFFFFF" w:themeColor="background1"/>
                <w:kern w:val="24"/>
                <w:sz w:val="18"/>
                <w:szCs w:val="18"/>
              </w:rPr>
              <w:t>’</w:t>
            </w:r>
            <w:r w:rsidRPr="00954AA8">
              <w:rPr>
                <w:rFonts w:asciiTheme="minorHAnsi" w:hAnsiTheme="minorHAnsi" w:cs="Arial"/>
                <w:b/>
                <w:bCs/>
                <w:color w:val="FFFFFF" w:themeColor="background1"/>
                <w:kern w:val="24"/>
                <w:sz w:val="18"/>
                <w:szCs w:val="18"/>
              </w:rPr>
              <w:t xml:space="preserve"> 2.5% Reduction (%)</w:t>
            </w:r>
            <w:r w:rsidR="00722B7B" w:rsidRPr="00954AA8">
              <w:rPr>
                <w:rFonts w:asciiTheme="majorHAnsi" w:hAnsiTheme="majorHAnsi"/>
                <w:b/>
                <w:color w:val="FFFFFF" w:themeColor="background1"/>
                <w:sz w:val="16"/>
                <w:szCs w:val="16"/>
                <w:vertAlign w:val="superscript"/>
              </w:rPr>
              <w:t>(b)</w:t>
            </w:r>
          </w:p>
        </w:tc>
        <w:tc>
          <w:tcPr>
            <w:tcW w:w="1350" w:type="dxa"/>
            <w:shd w:val="clear" w:color="auto" w:fill="1795D2"/>
            <w:tcMar>
              <w:top w:w="0" w:type="dxa"/>
              <w:left w:w="58" w:type="dxa"/>
              <w:bottom w:w="0" w:type="dxa"/>
              <w:right w:w="58" w:type="dxa"/>
            </w:tcMar>
            <w:vAlign w:val="center"/>
            <w:hideMark/>
          </w:tcPr>
          <w:p w:rsidR="00722B7B" w:rsidRPr="00954AA8" w:rsidRDefault="00444710" w:rsidP="00AB39C3">
            <w:pPr>
              <w:keepNext/>
              <w:keepLines/>
              <w:adjustRightInd/>
              <w:spacing w:before="40" w:after="40" w:line="240" w:lineRule="auto"/>
              <w:jc w:val="center"/>
              <w:textAlignment w:val="auto"/>
              <w:rPr>
                <w:rFonts w:asciiTheme="minorHAnsi" w:hAnsiTheme="minorHAnsi" w:cs="Arial"/>
                <w:b/>
                <w:color w:val="FFFFFF" w:themeColor="background1"/>
                <w:sz w:val="18"/>
                <w:szCs w:val="18"/>
                <w:vertAlign w:val="superscript"/>
              </w:rPr>
            </w:pPr>
            <w:r w:rsidRPr="00954AA8">
              <w:rPr>
                <w:rFonts w:asciiTheme="minorHAnsi" w:hAnsiTheme="minorHAnsi" w:cs="Arial"/>
                <w:b/>
                <w:bCs/>
                <w:color w:val="FFFFFF" w:themeColor="background1"/>
                <w:kern w:val="24"/>
                <w:sz w:val="18"/>
                <w:szCs w:val="18"/>
              </w:rPr>
              <w:t>New England RGGI Sources</w:t>
            </w:r>
            <w:r w:rsidR="004B1520">
              <w:rPr>
                <w:rFonts w:asciiTheme="minorHAnsi" w:hAnsiTheme="minorHAnsi" w:cs="Arial"/>
                <w:b/>
                <w:bCs/>
                <w:color w:val="FFFFFF" w:themeColor="background1"/>
                <w:kern w:val="24"/>
                <w:sz w:val="18"/>
                <w:szCs w:val="18"/>
              </w:rPr>
              <w:t>’</w:t>
            </w:r>
            <w:r w:rsidRPr="00954AA8">
              <w:rPr>
                <w:rFonts w:asciiTheme="minorHAnsi" w:hAnsiTheme="minorHAnsi" w:cs="Arial"/>
                <w:b/>
                <w:bCs/>
                <w:color w:val="FFFFFF" w:themeColor="background1"/>
                <w:kern w:val="24"/>
                <w:sz w:val="18"/>
                <w:szCs w:val="18"/>
              </w:rPr>
              <w:t xml:space="preserve"> Percentage of</w:t>
            </w:r>
            <w:r w:rsidR="004B1520">
              <w:rPr>
                <w:rFonts w:asciiTheme="minorHAnsi" w:hAnsiTheme="minorHAnsi" w:cs="Arial"/>
                <w:b/>
                <w:bCs/>
                <w:color w:val="FFFFFF" w:themeColor="background1"/>
                <w:kern w:val="24"/>
                <w:sz w:val="18"/>
                <w:szCs w:val="18"/>
              </w:rPr>
              <w:br/>
            </w:r>
            <w:r w:rsidRPr="00954AA8">
              <w:rPr>
                <w:rFonts w:asciiTheme="minorHAnsi" w:hAnsiTheme="minorHAnsi" w:cs="Arial"/>
                <w:b/>
                <w:bCs/>
                <w:color w:val="FFFFFF" w:themeColor="background1"/>
                <w:kern w:val="24"/>
                <w:sz w:val="18"/>
                <w:szCs w:val="18"/>
              </w:rPr>
              <w:t>9 RGGI States</w:t>
            </w:r>
            <w:r w:rsidR="00F562C1" w:rsidRPr="00954AA8">
              <w:rPr>
                <w:rFonts w:asciiTheme="minorHAnsi" w:hAnsiTheme="minorHAnsi" w:cs="Arial"/>
                <w:b/>
                <w:bCs/>
                <w:color w:val="FFFFFF" w:themeColor="background1"/>
                <w:kern w:val="24"/>
                <w:sz w:val="18"/>
                <w:szCs w:val="18"/>
              </w:rPr>
              <w:t xml:space="preserve">’ </w:t>
            </w:r>
            <w:r w:rsidRPr="00954AA8">
              <w:rPr>
                <w:rFonts w:asciiTheme="minorHAnsi" w:hAnsiTheme="minorHAnsi" w:cs="Arial"/>
                <w:b/>
                <w:bCs/>
                <w:color w:val="FFFFFF" w:themeColor="background1"/>
                <w:kern w:val="24"/>
                <w:sz w:val="18"/>
                <w:szCs w:val="18"/>
              </w:rPr>
              <w:t>5.0% Reduction (%)</w:t>
            </w:r>
            <w:r w:rsidR="00722B7B" w:rsidRPr="00954AA8">
              <w:rPr>
                <w:rFonts w:asciiTheme="majorHAnsi" w:hAnsiTheme="majorHAnsi"/>
                <w:b/>
                <w:color w:val="FFFFFF" w:themeColor="background1"/>
                <w:sz w:val="16"/>
                <w:szCs w:val="16"/>
                <w:vertAlign w:val="superscript"/>
              </w:rPr>
              <w:t>(b)</w:t>
            </w:r>
          </w:p>
        </w:tc>
      </w:tr>
      <w:tr w:rsidR="00F562C1" w:rsidRPr="0014044E" w:rsidTr="004B1520">
        <w:trPr>
          <w:trHeight w:val="288"/>
        </w:trPr>
        <w:tc>
          <w:tcPr>
            <w:tcW w:w="1350" w:type="dxa"/>
            <w:vMerge w:val="restart"/>
            <w:shd w:val="clear" w:color="auto" w:fill="auto"/>
            <w:tcMar>
              <w:top w:w="29" w:type="dxa"/>
              <w:left w:w="58" w:type="dxa"/>
              <w:bottom w:w="29" w:type="dxa"/>
              <w:right w:w="115"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r w:rsidRPr="007A5C1B">
              <w:rPr>
                <w:rFonts w:asciiTheme="minorHAnsi" w:hAnsiTheme="minorHAnsi" w:cs="Arial"/>
                <w:b/>
                <w:bCs/>
                <w:kern w:val="24"/>
                <w:sz w:val="18"/>
                <w:szCs w:val="18"/>
              </w:rPr>
              <w:t>Unconstrained</w:t>
            </w:r>
          </w:p>
        </w:tc>
        <w:tc>
          <w:tcPr>
            <w:tcW w:w="1620" w:type="dxa"/>
            <w:shd w:val="clear" w:color="auto" w:fill="auto"/>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Renew Plus</w:t>
            </w:r>
          </w:p>
        </w:tc>
        <w:tc>
          <w:tcPr>
            <w:tcW w:w="117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13.1</w:t>
            </w:r>
          </w:p>
        </w:tc>
        <w:tc>
          <w:tcPr>
            <w:tcW w:w="1170" w:type="dxa"/>
            <w:gridSpan w:val="2"/>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10.1</w:t>
            </w:r>
          </w:p>
        </w:tc>
        <w:tc>
          <w:tcPr>
            <w:tcW w:w="126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51%</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76%</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17%</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26%</w:t>
            </w:r>
          </w:p>
        </w:tc>
      </w:tr>
      <w:tr w:rsidR="00F562C1" w:rsidRPr="00DE7ADD" w:rsidTr="004B1520">
        <w:trPr>
          <w:trHeight w:val="288"/>
        </w:trPr>
        <w:tc>
          <w:tcPr>
            <w:tcW w:w="1350" w:type="dxa"/>
            <w:vMerge/>
            <w:shd w:val="clear" w:color="auto" w:fill="auto"/>
            <w:tcMar>
              <w:left w:w="58"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CCEAF9" w:themeFill="accent1" w:themeFillTint="33"/>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EE + Offshore</w:t>
            </w:r>
          </w:p>
        </w:tc>
        <w:tc>
          <w:tcPr>
            <w:tcW w:w="117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11.2</w:t>
            </w:r>
          </w:p>
        </w:tc>
        <w:tc>
          <w:tcPr>
            <w:tcW w:w="1170" w:type="dxa"/>
            <w:gridSpan w:val="2"/>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8.4</w:t>
            </w:r>
          </w:p>
        </w:tc>
        <w:tc>
          <w:tcPr>
            <w:tcW w:w="126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42%</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63%</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14%</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21%</w:t>
            </w:r>
          </w:p>
        </w:tc>
      </w:tr>
      <w:tr w:rsidR="00F562C1" w:rsidRPr="00DE7ADD" w:rsidTr="004B1520">
        <w:trPr>
          <w:trHeight w:val="288"/>
        </w:trPr>
        <w:tc>
          <w:tcPr>
            <w:tcW w:w="1350" w:type="dxa"/>
            <w:vMerge/>
            <w:shd w:val="clear" w:color="auto" w:fill="auto"/>
            <w:tcMar>
              <w:left w:w="58"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auto"/>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Onshore Less EE/PV</w:t>
            </w:r>
          </w:p>
        </w:tc>
        <w:tc>
          <w:tcPr>
            <w:tcW w:w="117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19.7</w:t>
            </w:r>
          </w:p>
        </w:tc>
        <w:tc>
          <w:tcPr>
            <w:tcW w:w="1170" w:type="dxa"/>
            <w:gridSpan w:val="2"/>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16.5</w:t>
            </w:r>
          </w:p>
        </w:tc>
        <w:tc>
          <w:tcPr>
            <w:tcW w:w="126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83%</w:t>
            </w:r>
          </w:p>
        </w:tc>
        <w:tc>
          <w:tcPr>
            <w:tcW w:w="1350" w:type="dxa"/>
            <w:shd w:val="clear" w:color="auto" w:fill="auto"/>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b/>
                <w:sz w:val="18"/>
                <w:szCs w:val="18"/>
              </w:rPr>
            </w:pPr>
            <w:r w:rsidRPr="004B1520">
              <w:rPr>
                <w:rFonts w:asciiTheme="minorHAnsi" w:hAnsiTheme="minorHAnsi" w:cs="Arial"/>
                <w:b/>
                <w:kern w:val="24"/>
                <w:sz w:val="18"/>
                <w:szCs w:val="18"/>
              </w:rPr>
              <w:t>124%</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28%</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42%</w:t>
            </w:r>
          </w:p>
        </w:tc>
      </w:tr>
      <w:tr w:rsidR="00F562C1" w:rsidRPr="00DE7ADD" w:rsidTr="004B1520">
        <w:trPr>
          <w:trHeight w:val="288"/>
        </w:trPr>
        <w:tc>
          <w:tcPr>
            <w:tcW w:w="1350" w:type="dxa"/>
            <w:vMerge/>
            <w:shd w:val="clear" w:color="auto" w:fill="auto"/>
            <w:tcMar>
              <w:left w:w="58"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CCEAF9" w:themeFill="accent1" w:themeFillTint="33"/>
            <w:tcMar>
              <w:top w:w="12" w:type="dxa"/>
              <w:left w:w="58" w:type="dxa"/>
              <w:bottom w:w="0" w:type="dxa"/>
              <w:right w:w="12" w:type="dxa"/>
            </w:tcMar>
            <w:vAlign w:val="center"/>
            <w:hideMark/>
          </w:tcPr>
          <w:p w:rsidR="00444710" w:rsidRPr="007A5C1B" w:rsidRDefault="00AF6389" w:rsidP="00AB39C3">
            <w:pPr>
              <w:keepNext/>
              <w:keepLines/>
              <w:adjustRightInd/>
              <w:spacing w:before="40" w:after="40" w:line="240" w:lineRule="auto"/>
              <w:textAlignment w:val="bottom"/>
              <w:rPr>
                <w:rFonts w:asciiTheme="minorHAnsi" w:hAnsiTheme="minorHAnsi" w:cs="Arial"/>
                <w:sz w:val="18"/>
                <w:szCs w:val="18"/>
              </w:rPr>
            </w:pPr>
            <w:r>
              <w:rPr>
                <w:rFonts w:asciiTheme="minorHAnsi" w:hAnsiTheme="minorHAnsi" w:cs="Arial"/>
                <w:color w:val="313B3F" w:themeColor="text1" w:themeShade="80"/>
                <w:kern w:val="24"/>
                <w:sz w:val="18"/>
                <w:szCs w:val="18"/>
              </w:rPr>
              <w:t>Wind Less Nuclear</w:t>
            </w:r>
          </w:p>
        </w:tc>
        <w:tc>
          <w:tcPr>
            <w:tcW w:w="117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13.1</w:t>
            </w:r>
          </w:p>
        </w:tc>
        <w:tc>
          <w:tcPr>
            <w:tcW w:w="1170" w:type="dxa"/>
            <w:gridSpan w:val="2"/>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10.4</w:t>
            </w:r>
          </w:p>
        </w:tc>
        <w:tc>
          <w:tcPr>
            <w:tcW w:w="126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52%</w:t>
            </w:r>
          </w:p>
        </w:tc>
        <w:tc>
          <w:tcPr>
            <w:tcW w:w="135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kern w:val="24"/>
                <w:sz w:val="18"/>
                <w:szCs w:val="18"/>
              </w:rPr>
              <w:t>78%</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18%</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27%</w:t>
            </w:r>
          </w:p>
        </w:tc>
      </w:tr>
      <w:tr w:rsidR="00F562C1" w:rsidRPr="00DE7ADD" w:rsidTr="004B1520">
        <w:trPr>
          <w:trHeight w:val="288"/>
        </w:trPr>
        <w:tc>
          <w:tcPr>
            <w:tcW w:w="1350" w:type="dxa"/>
            <w:vMerge w:val="restart"/>
            <w:shd w:val="clear" w:color="auto" w:fill="CCEAF9" w:themeFill="accent1" w:themeFillTint="33"/>
            <w:tcMar>
              <w:top w:w="29" w:type="dxa"/>
              <w:left w:w="58" w:type="dxa"/>
              <w:bottom w:w="29" w:type="dxa"/>
              <w:right w:w="115"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r w:rsidRPr="007A5C1B">
              <w:rPr>
                <w:rFonts w:asciiTheme="minorHAnsi" w:hAnsiTheme="minorHAnsi" w:cs="Arial"/>
                <w:b/>
                <w:bCs/>
                <w:kern w:val="24"/>
                <w:sz w:val="18"/>
                <w:szCs w:val="18"/>
              </w:rPr>
              <w:t>Constrained</w:t>
            </w:r>
          </w:p>
        </w:tc>
        <w:tc>
          <w:tcPr>
            <w:tcW w:w="1620" w:type="dxa"/>
            <w:shd w:val="clear" w:color="auto" w:fill="auto"/>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Renew Plus</w:t>
            </w:r>
          </w:p>
        </w:tc>
        <w:tc>
          <w:tcPr>
            <w:tcW w:w="117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14.3</w:t>
            </w:r>
          </w:p>
        </w:tc>
        <w:tc>
          <w:tcPr>
            <w:tcW w:w="1170" w:type="dxa"/>
            <w:gridSpan w:val="2"/>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11.1</w:t>
            </w:r>
          </w:p>
        </w:tc>
        <w:tc>
          <w:tcPr>
            <w:tcW w:w="126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56%</w:t>
            </w:r>
          </w:p>
        </w:tc>
        <w:tc>
          <w:tcPr>
            <w:tcW w:w="1350" w:type="dxa"/>
            <w:shd w:val="clear" w:color="auto" w:fill="auto"/>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kern w:val="24"/>
                <w:sz w:val="18"/>
                <w:szCs w:val="18"/>
              </w:rPr>
              <w:t>83%</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19%</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28%</w:t>
            </w:r>
          </w:p>
        </w:tc>
      </w:tr>
      <w:tr w:rsidR="00F562C1" w:rsidRPr="00DE7ADD" w:rsidTr="004B1520">
        <w:trPr>
          <w:trHeight w:val="288"/>
        </w:trPr>
        <w:tc>
          <w:tcPr>
            <w:tcW w:w="1350" w:type="dxa"/>
            <w:vMerge/>
            <w:shd w:val="clear" w:color="auto" w:fill="CCEAF9" w:themeFill="accent1" w:themeFillTint="33"/>
            <w:tcMar>
              <w:left w:w="58"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CCEAF9" w:themeFill="accent1" w:themeFillTint="33"/>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EE + Offshore</w:t>
            </w:r>
          </w:p>
        </w:tc>
        <w:tc>
          <w:tcPr>
            <w:tcW w:w="117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11.1</w:t>
            </w:r>
          </w:p>
        </w:tc>
        <w:tc>
          <w:tcPr>
            <w:tcW w:w="1170" w:type="dxa"/>
            <w:gridSpan w:val="2"/>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8.4</w:t>
            </w:r>
          </w:p>
        </w:tc>
        <w:tc>
          <w:tcPr>
            <w:tcW w:w="126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42%</w:t>
            </w:r>
          </w:p>
        </w:tc>
        <w:tc>
          <w:tcPr>
            <w:tcW w:w="135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kern w:val="24"/>
                <w:sz w:val="18"/>
                <w:szCs w:val="18"/>
              </w:rPr>
              <w:t>63%</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14%</w:t>
            </w:r>
          </w:p>
        </w:tc>
        <w:tc>
          <w:tcPr>
            <w:tcW w:w="1350" w:type="dxa"/>
            <w:shd w:val="clear" w:color="auto" w:fill="CCEAF9" w:themeFill="accent1" w:themeFillTint="33"/>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21%</w:t>
            </w:r>
          </w:p>
        </w:tc>
      </w:tr>
      <w:tr w:rsidR="00F562C1" w:rsidRPr="00DE7ADD" w:rsidTr="004B1520">
        <w:trPr>
          <w:trHeight w:val="288"/>
        </w:trPr>
        <w:tc>
          <w:tcPr>
            <w:tcW w:w="1350" w:type="dxa"/>
            <w:vMerge/>
            <w:shd w:val="clear" w:color="auto" w:fill="CCEAF9" w:themeFill="accent1" w:themeFillTint="33"/>
            <w:tcMar>
              <w:left w:w="58" w:type="dxa"/>
            </w:tcMar>
            <w:vAlign w:val="center"/>
            <w:hideMark/>
          </w:tcPr>
          <w:p w:rsidR="00444710" w:rsidRPr="007A5C1B"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auto"/>
            <w:tcMar>
              <w:top w:w="12" w:type="dxa"/>
              <w:left w:w="58" w:type="dxa"/>
              <w:bottom w:w="0" w:type="dxa"/>
              <w:right w:w="12" w:type="dxa"/>
            </w:tcMar>
            <w:vAlign w:val="center"/>
            <w:hideMark/>
          </w:tcPr>
          <w:p w:rsidR="00444710" w:rsidRPr="007A5C1B" w:rsidRDefault="00444710" w:rsidP="00AB39C3">
            <w:pPr>
              <w:keepNext/>
              <w:keepLines/>
              <w:adjustRightInd/>
              <w:spacing w:before="40" w:after="40" w:line="240" w:lineRule="auto"/>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Onshore Less EE/PV</w:t>
            </w:r>
          </w:p>
        </w:tc>
        <w:tc>
          <w:tcPr>
            <w:tcW w:w="117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22.4</w:t>
            </w:r>
          </w:p>
        </w:tc>
        <w:tc>
          <w:tcPr>
            <w:tcW w:w="1170" w:type="dxa"/>
            <w:gridSpan w:val="2"/>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18.9</w:t>
            </w:r>
          </w:p>
        </w:tc>
        <w:tc>
          <w:tcPr>
            <w:tcW w:w="126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95%</w:t>
            </w:r>
          </w:p>
        </w:tc>
        <w:tc>
          <w:tcPr>
            <w:tcW w:w="1350" w:type="dxa"/>
            <w:shd w:val="clear" w:color="auto" w:fill="auto"/>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b/>
                <w:sz w:val="18"/>
                <w:szCs w:val="18"/>
              </w:rPr>
            </w:pPr>
            <w:r w:rsidRPr="004B1520">
              <w:rPr>
                <w:rFonts w:asciiTheme="minorHAnsi" w:hAnsiTheme="minorHAnsi" w:cs="Arial"/>
                <w:b/>
                <w:kern w:val="24"/>
                <w:sz w:val="18"/>
                <w:szCs w:val="18"/>
              </w:rPr>
              <w:t>142%</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32%</w:t>
            </w:r>
          </w:p>
        </w:tc>
        <w:tc>
          <w:tcPr>
            <w:tcW w:w="1350" w:type="dxa"/>
            <w:shd w:val="clear" w:color="auto" w:fill="auto"/>
            <w:tcMar>
              <w:top w:w="12" w:type="dxa"/>
              <w:left w:w="12" w:type="dxa"/>
              <w:bottom w:w="0" w:type="dxa"/>
              <w:right w:w="12" w:type="dxa"/>
            </w:tcMar>
            <w:vAlign w:val="center"/>
            <w:hideMark/>
          </w:tcPr>
          <w:p w:rsidR="00444710" w:rsidRPr="007A5C1B"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7A5C1B">
              <w:rPr>
                <w:rFonts w:asciiTheme="minorHAnsi" w:hAnsiTheme="minorHAnsi" w:cs="Arial"/>
                <w:color w:val="313B3F" w:themeColor="text1" w:themeShade="80"/>
                <w:kern w:val="24"/>
                <w:sz w:val="18"/>
                <w:szCs w:val="18"/>
              </w:rPr>
              <w:t>48%</w:t>
            </w:r>
          </w:p>
        </w:tc>
      </w:tr>
      <w:tr w:rsidR="00F562C1" w:rsidRPr="00DE7ADD" w:rsidTr="004B1520">
        <w:trPr>
          <w:trHeight w:val="288"/>
        </w:trPr>
        <w:tc>
          <w:tcPr>
            <w:tcW w:w="1350" w:type="dxa"/>
            <w:vMerge/>
            <w:shd w:val="clear" w:color="auto" w:fill="CCEAF9" w:themeFill="accent1" w:themeFillTint="33"/>
            <w:tcMar>
              <w:left w:w="58" w:type="dxa"/>
            </w:tcMar>
            <w:vAlign w:val="center"/>
            <w:hideMark/>
          </w:tcPr>
          <w:p w:rsidR="00444710" w:rsidRPr="004B1520" w:rsidRDefault="00444710" w:rsidP="00AB39C3">
            <w:pPr>
              <w:keepNext/>
              <w:keepLines/>
              <w:adjustRightInd/>
              <w:spacing w:before="40" w:after="40" w:line="240" w:lineRule="auto"/>
              <w:textAlignment w:val="auto"/>
              <w:rPr>
                <w:rFonts w:asciiTheme="minorHAnsi" w:hAnsiTheme="minorHAnsi" w:cs="Arial"/>
                <w:sz w:val="18"/>
                <w:szCs w:val="18"/>
              </w:rPr>
            </w:pPr>
          </w:p>
        </w:tc>
        <w:tc>
          <w:tcPr>
            <w:tcW w:w="1620" w:type="dxa"/>
            <w:shd w:val="clear" w:color="auto" w:fill="CCEAF9" w:themeFill="accent1" w:themeFillTint="33"/>
            <w:tcMar>
              <w:top w:w="12" w:type="dxa"/>
              <w:left w:w="58" w:type="dxa"/>
              <w:bottom w:w="0" w:type="dxa"/>
              <w:right w:w="12" w:type="dxa"/>
            </w:tcMar>
            <w:vAlign w:val="center"/>
            <w:hideMark/>
          </w:tcPr>
          <w:p w:rsidR="00444710" w:rsidRPr="004B1520" w:rsidRDefault="00AF6389" w:rsidP="00AB39C3">
            <w:pPr>
              <w:keepNext/>
              <w:keepLines/>
              <w:adjustRightInd/>
              <w:spacing w:before="40" w:after="40" w:line="240" w:lineRule="auto"/>
              <w:textAlignment w:val="bottom"/>
              <w:rPr>
                <w:rFonts w:asciiTheme="minorHAnsi" w:hAnsiTheme="minorHAnsi" w:cs="Arial"/>
                <w:sz w:val="18"/>
                <w:szCs w:val="18"/>
              </w:rPr>
            </w:pPr>
            <w:r>
              <w:rPr>
                <w:rFonts w:asciiTheme="minorHAnsi" w:hAnsiTheme="minorHAnsi" w:cs="Arial"/>
                <w:color w:val="313B3F" w:themeColor="text1" w:themeShade="80"/>
                <w:kern w:val="24"/>
                <w:sz w:val="18"/>
                <w:szCs w:val="18"/>
              </w:rPr>
              <w:t>Wind Less Nuclear</w:t>
            </w:r>
          </w:p>
        </w:tc>
        <w:tc>
          <w:tcPr>
            <w:tcW w:w="117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color w:val="313B3F" w:themeColor="text1" w:themeShade="80"/>
                <w:kern w:val="24"/>
                <w:sz w:val="18"/>
                <w:szCs w:val="18"/>
              </w:rPr>
              <w:t>17.7</w:t>
            </w:r>
          </w:p>
        </w:tc>
        <w:tc>
          <w:tcPr>
            <w:tcW w:w="1170" w:type="dxa"/>
            <w:gridSpan w:val="2"/>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color w:val="313B3F" w:themeColor="text1" w:themeShade="80"/>
                <w:kern w:val="24"/>
                <w:sz w:val="18"/>
                <w:szCs w:val="18"/>
              </w:rPr>
              <w:t>14.3</w:t>
            </w:r>
          </w:p>
        </w:tc>
        <w:tc>
          <w:tcPr>
            <w:tcW w:w="126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color w:val="313B3F" w:themeColor="text1" w:themeShade="80"/>
                <w:kern w:val="24"/>
                <w:sz w:val="18"/>
                <w:szCs w:val="18"/>
              </w:rPr>
              <w:t>72%</w:t>
            </w:r>
          </w:p>
        </w:tc>
        <w:tc>
          <w:tcPr>
            <w:tcW w:w="135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b/>
                <w:kern w:val="24"/>
                <w:sz w:val="18"/>
                <w:szCs w:val="18"/>
              </w:rPr>
              <w:t>108%</w:t>
            </w:r>
          </w:p>
        </w:tc>
        <w:tc>
          <w:tcPr>
            <w:tcW w:w="135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color w:val="313B3F" w:themeColor="text1" w:themeShade="80"/>
                <w:kern w:val="24"/>
                <w:sz w:val="18"/>
                <w:szCs w:val="18"/>
              </w:rPr>
              <w:t>24%</w:t>
            </w:r>
          </w:p>
        </w:tc>
        <w:tc>
          <w:tcPr>
            <w:tcW w:w="1350" w:type="dxa"/>
            <w:shd w:val="clear" w:color="auto" w:fill="CCEAF9" w:themeFill="accent1" w:themeFillTint="33"/>
            <w:tcMar>
              <w:top w:w="12" w:type="dxa"/>
              <w:left w:w="12" w:type="dxa"/>
              <w:bottom w:w="0" w:type="dxa"/>
              <w:right w:w="12" w:type="dxa"/>
            </w:tcMar>
            <w:vAlign w:val="center"/>
            <w:hideMark/>
          </w:tcPr>
          <w:p w:rsidR="00444710" w:rsidRPr="004B1520" w:rsidRDefault="00444710" w:rsidP="00AB39C3">
            <w:pPr>
              <w:keepNext/>
              <w:keepLines/>
              <w:adjustRightInd/>
              <w:spacing w:before="40" w:after="40" w:line="240" w:lineRule="auto"/>
              <w:jc w:val="center"/>
              <w:textAlignment w:val="bottom"/>
              <w:rPr>
                <w:rFonts w:asciiTheme="minorHAnsi" w:hAnsiTheme="minorHAnsi" w:cs="Arial"/>
                <w:sz w:val="18"/>
                <w:szCs w:val="18"/>
              </w:rPr>
            </w:pPr>
            <w:r w:rsidRPr="004B1520">
              <w:rPr>
                <w:rFonts w:asciiTheme="minorHAnsi" w:hAnsiTheme="minorHAnsi" w:cs="Arial"/>
                <w:color w:val="313B3F" w:themeColor="text1" w:themeShade="80"/>
                <w:kern w:val="24"/>
                <w:sz w:val="18"/>
                <w:szCs w:val="18"/>
              </w:rPr>
              <w:t>37%</w:t>
            </w:r>
          </w:p>
        </w:tc>
      </w:tr>
    </w:tbl>
    <w:p w:rsidR="005507B4" w:rsidRPr="00954AA8" w:rsidRDefault="00F562C1" w:rsidP="003A3A26">
      <w:pPr>
        <w:pStyle w:val="Caption"/>
        <w:tabs>
          <w:tab w:val="clear" w:pos="9000"/>
        </w:tabs>
        <w:spacing w:before="120" w:after="80"/>
        <w:ind w:left="-180" w:right="-810" w:hanging="266"/>
        <w:rPr>
          <w:rFonts w:asciiTheme="majorHAnsi" w:hAnsiTheme="majorHAnsi"/>
          <w:b w:val="0"/>
          <w:sz w:val="16"/>
          <w:szCs w:val="16"/>
        </w:rPr>
      </w:pPr>
      <w:r>
        <w:rPr>
          <w:rFonts w:asciiTheme="majorHAnsi" w:hAnsiTheme="majorHAnsi"/>
          <w:b w:val="0"/>
          <w:sz w:val="16"/>
          <w:szCs w:val="16"/>
        </w:rPr>
        <w:t xml:space="preserve">(a) </w:t>
      </w:r>
      <w:r w:rsidR="00D00D8D">
        <w:rPr>
          <w:rFonts w:asciiTheme="majorHAnsi" w:hAnsiTheme="majorHAnsi"/>
          <w:b w:val="0"/>
          <w:sz w:val="16"/>
          <w:szCs w:val="16"/>
        </w:rPr>
        <w:tab/>
      </w:r>
      <w:r w:rsidR="00921FE2" w:rsidRPr="00954AA8">
        <w:rPr>
          <w:rFonts w:asciiTheme="majorHAnsi" w:hAnsiTheme="majorHAnsi"/>
          <w:b w:val="0"/>
          <w:sz w:val="16"/>
          <w:szCs w:val="16"/>
        </w:rPr>
        <w:t>The proposed RGGI caps used were under consideration by</w:t>
      </w:r>
      <w:r w:rsidR="00DE7ADD">
        <w:rPr>
          <w:rFonts w:asciiTheme="majorHAnsi" w:hAnsiTheme="majorHAnsi"/>
          <w:b w:val="0"/>
          <w:sz w:val="16"/>
          <w:szCs w:val="16"/>
        </w:rPr>
        <w:t xml:space="preserve"> the</w:t>
      </w:r>
      <w:r w:rsidR="00921FE2" w:rsidRPr="00954AA8">
        <w:rPr>
          <w:rFonts w:asciiTheme="majorHAnsi" w:hAnsiTheme="majorHAnsi"/>
          <w:b w:val="0"/>
          <w:sz w:val="16"/>
          <w:szCs w:val="16"/>
        </w:rPr>
        <w:t xml:space="preserve"> RGGI states in 2017</w:t>
      </w:r>
      <w:r w:rsidR="00860D3B" w:rsidRPr="00954AA8">
        <w:rPr>
          <w:rFonts w:asciiTheme="majorHAnsi" w:hAnsiTheme="majorHAnsi"/>
          <w:b w:val="0"/>
          <w:sz w:val="16"/>
          <w:szCs w:val="16"/>
        </w:rPr>
        <w:t xml:space="preserve">. </w:t>
      </w:r>
      <w:r w:rsidR="00921FE2" w:rsidRPr="00954AA8">
        <w:rPr>
          <w:rFonts w:asciiTheme="majorHAnsi" w:hAnsiTheme="majorHAnsi"/>
          <w:b w:val="0"/>
          <w:sz w:val="16"/>
          <w:szCs w:val="16"/>
        </w:rPr>
        <w:t xml:space="preserve">The RGGI </w:t>
      </w:r>
      <w:r>
        <w:rPr>
          <w:rFonts w:asciiTheme="majorHAnsi" w:hAnsiTheme="majorHAnsi"/>
          <w:b w:val="0"/>
          <w:sz w:val="16"/>
          <w:szCs w:val="16"/>
        </w:rPr>
        <w:t>s</w:t>
      </w:r>
      <w:r w:rsidR="00921FE2" w:rsidRPr="00954AA8">
        <w:rPr>
          <w:rFonts w:asciiTheme="majorHAnsi" w:hAnsiTheme="majorHAnsi"/>
          <w:b w:val="0"/>
          <w:sz w:val="16"/>
          <w:szCs w:val="16"/>
        </w:rPr>
        <w:t>tates agreed to final annual caps for 2021 th</w:t>
      </w:r>
      <w:r>
        <w:rPr>
          <w:rFonts w:asciiTheme="majorHAnsi" w:hAnsiTheme="majorHAnsi"/>
          <w:b w:val="0"/>
          <w:sz w:val="16"/>
          <w:szCs w:val="16"/>
        </w:rPr>
        <w:t>r</w:t>
      </w:r>
      <w:r w:rsidR="00921FE2" w:rsidRPr="00954AA8">
        <w:rPr>
          <w:rFonts w:asciiTheme="majorHAnsi" w:hAnsiTheme="majorHAnsi"/>
          <w:b w:val="0"/>
          <w:sz w:val="16"/>
          <w:szCs w:val="16"/>
        </w:rPr>
        <w:t>ough 2030 in a model rule text announced on December 19, 2017</w:t>
      </w:r>
      <w:r w:rsidR="00860D3B" w:rsidRPr="00954AA8">
        <w:rPr>
          <w:rFonts w:asciiTheme="majorHAnsi" w:hAnsiTheme="majorHAnsi"/>
          <w:b w:val="0"/>
          <w:sz w:val="16"/>
          <w:szCs w:val="16"/>
        </w:rPr>
        <w:t xml:space="preserve">. </w:t>
      </w:r>
      <w:r w:rsidR="00921FE2" w:rsidRPr="00954AA8">
        <w:rPr>
          <w:rFonts w:asciiTheme="majorHAnsi" w:hAnsiTheme="majorHAnsi"/>
          <w:b w:val="0"/>
          <w:sz w:val="16"/>
          <w:szCs w:val="16"/>
        </w:rPr>
        <w:t>The final caps differ slightly from the proposed caps used in this analysis</w:t>
      </w:r>
      <w:r w:rsidR="003A3A26">
        <w:rPr>
          <w:rFonts w:asciiTheme="majorHAnsi" w:hAnsiTheme="majorHAnsi"/>
          <w:b w:val="0"/>
          <w:sz w:val="16"/>
          <w:szCs w:val="16"/>
        </w:rPr>
        <w:t>:</w:t>
      </w:r>
      <w:r w:rsidR="00EA5738">
        <w:rPr>
          <w:rFonts w:asciiTheme="majorHAnsi" w:hAnsiTheme="majorHAnsi"/>
          <w:b w:val="0"/>
          <w:sz w:val="16"/>
          <w:szCs w:val="16"/>
        </w:rPr>
        <w:t xml:space="preserve"> </w:t>
      </w:r>
      <w:r w:rsidR="003A3A26">
        <w:rPr>
          <w:rFonts w:asciiTheme="majorHAnsi" w:hAnsiTheme="majorHAnsi"/>
          <w:b w:val="0"/>
          <w:sz w:val="16"/>
          <w:szCs w:val="16"/>
        </w:rPr>
        <w:t>the final 2030 caps total</w:t>
      </w:r>
      <w:r w:rsidR="003A3A26" w:rsidRPr="003A3A26">
        <w:rPr>
          <w:rFonts w:asciiTheme="majorHAnsi" w:hAnsiTheme="majorHAnsi"/>
          <w:b w:val="0"/>
          <w:sz w:val="16"/>
          <w:szCs w:val="16"/>
        </w:rPr>
        <w:t xml:space="preserve"> </w:t>
      </w:r>
      <w:r w:rsidR="003A3A26">
        <w:rPr>
          <w:rFonts w:asciiTheme="majorHAnsi" w:hAnsiTheme="majorHAnsi"/>
          <w:b w:val="0"/>
          <w:sz w:val="16"/>
          <w:szCs w:val="16"/>
        </w:rPr>
        <w:t>54.7</w:t>
      </w:r>
      <w:r w:rsidR="003A3A26" w:rsidRPr="003A3A26">
        <w:rPr>
          <w:rFonts w:asciiTheme="majorHAnsi" w:hAnsiTheme="majorHAnsi"/>
          <w:b w:val="0"/>
          <w:sz w:val="16"/>
          <w:szCs w:val="16"/>
        </w:rPr>
        <w:t xml:space="preserve"> million short tons for </w:t>
      </w:r>
      <w:r w:rsidR="003A3A26">
        <w:rPr>
          <w:rFonts w:asciiTheme="majorHAnsi" w:hAnsiTheme="majorHAnsi"/>
          <w:b w:val="0"/>
          <w:sz w:val="16"/>
          <w:szCs w:val="16"/>
        </w:rPr>
        <w:t>all nine states and 1</w:t>
      </w:r>
      <w:r w:rsidR="00D26D85">
        <w:rPr>
          <w:rFonts w:asciiTheme="majorHAnsi" w:hAnsiTheme="majorHAnsi"/>
          <w:b w:val="0"/>
          <w:sz w:val="16"/>
          <w:szCs w:val="16"/>
        </w:rPr>
        <w:t>8</w:t>
      </w:r>
      <w:r w:rsidR="003A3A26">
        <w:rPr>
          <w:rFonts w:asciiTheme="majorHAnsi" w:hAnsiTheme="majorHAnsi"/>
          <w:b w:val="0"/>
          <w:sz w:val="16"/>
          <w:szCs w:val="16"/>
        </w:rPr>
        <w:t>.</w:t>
      </w:r>
      <w:r w:rsidR="00D26D85">
        <w:rPr>
          <w:rFonts w:asciiTheme="majorHAnsi" w:hAnsiTheme="majorHAnsi"/>
          <w:b w:val="0"/>
          <w:sz w:val="16"/>
          <w:szCs w:val="16"/>
        </w:rPr>
        <w:t>5</w:t>
      </w:r>
      <w:r w:rsidR="003A3A26">
        <w:rPr>
          <w:rFonts w:asciiTheme="majorHAnsi" w:hAnsiTheme="majorHAnsi"/>
          <w:b w:val="0"/>
          <w:sz w:val="16"/>
          <w:szCs w:val="16"/>
        </w:rPr>
        <w:t xml:space="preserve"> million short tons for New England</w:t>
      </w:r>
      <w:r w:rsidR="00D26D85">
        <w:rPr>
          <w:rFonts w:asciiTheme="majorHAnsi" w:hAnsiTheme="majorHAnsi"/>
          <w:b w:val="0"/>
          <w:sz w:val="16"/>
          <w:szCs w:val="16"/>
        </w:rPr>
        <w:t xml:space="preserve"> (moving from a given percentage reduction to a fixed 2.275 million tons of CO</w:t>
      </w:r>
      <w:r w:rsidR="00D26D85" w:rsidRPr="00EA5738">
        <w:rPr>
          <w:rFonts w:asciiTheme="majorHAnsi" w:hAnsiTheme="majorHAnsi"/>
          <w:b w:val="0"/>
          <w:sz w:val="16"/>
          <w:szCs w:val="16"/>
          <w:vertAlign w:val="subscript"/>
        </w:rPr>
        <w:t>2</w:t>
      </w:r>
      <w:r w:rsidR="00D26D85">
        <w:rPr>
          <w:rFonts w:asciiTheme="majorHAnsi" w:hAnsiTheme="majorHAnsi"/>
          <w:b w:val="0"/>
          <w:sz w:val="16"/>
          <w:szCs w:val="16"/>
        </w:rPr>
        <w:t xml:space="preserve"> reduction per year</w:t>
      </w:r>
      <w:r w:rsidR="00CE5FA8">
        <w:rPr>
          <w:rFonts w:asciiTheme="majorHAnsi" w:hAnsiTheme="majorHAnsi"/>
          <w:b w:val="0"/>
          <w:sz w:val="16"/>
          <w:szCs w:val="16"/>
        </w:rPr>
        <w:t>)</w:t>
      </w:r>
      <w:r w:rsidR="003A3A26">
        <w:rPr>
          <w:rFonts w:asciiTheme="majorHAnsi" w:hAnsiTheme="majorHAnsi"/>
          <w:b w:val="0"/>
          <w:sz w:val="16"/>
          <w:szCs w:val="16"/>
        </w:rPr>
        <w:t xml:space="preserve">. By comparison, for a </w:t>
      </w:r>
      <w:r w:rsidR="00AC403D">
        <w:rPr>
          <w:rFonts w:asciiTheme="majorHAnsi" w:hAnsiTheme="majorHAnsi"/>
          <w:b w:val="0"/>
          <w:sz w:val="16"/>
          <w:szCs w:val="16"/>
        </w:rPr>
        <w:t>2.</w:t>
      </w:r>
      <w:r w:rsidR="003A3A26">
        <w:rPr>
          <w:rFonts w:asciiTheme="majorHAnsi" w:hAnsiTheme="majorHAnsi"/>
          <w:b w:val="0"/>
          <w:sz w:val="16"/>
          <w:szCs w:val="16"/>
        </w:rPr>
        <w:t>5% reduction, the 2030 caps used in this analysis total 58.6</w:t>
      </w:r>
      <w:r w:rsidR="003A3A26" w:rsidRPr="003A3A26">
        <w:rPr>
          <w:rFonts w:asciiTheme="majorHAnsi" w:hAnsiTheme="majorHAnsi"/>
          <w:b w:val="0"/>
          <w:sz w:val="16"/>
          <w:szCs w:val="16"/>
        </w:rPr>
        <w:t xml:space="preserve"> million short tons for </w:t>
      </w:r>
      <w:r w:rsidR="003A3A26">
        <w:rPr>
          <w:rFonts w:asciiTheme="majorHAnsi" w:hAnsiTheme="majorHAnsi"/>
          <w:b w:val="0"/>
          <w:sz w:val="16"/>
          <w:szCs w:val="16"/>
        </w:rPr>
        <w:t>all nine states and 19.</w:t>
      </w:r>
      <w:r w:rsidR="00AC403D">
        <w:rPr>
          <w:rFonts w:asciiTheme="majorHAnsi" w:hAnsiTheme="majorHAnsi"/>
          <w:b w:val="0"/>
          <w:sz w:val="16"/>
          <w:szCs w:val="16"/>
        </w:rPr>
        <w:t>9</w:t>
      </w:r>
      <w:r w:rsidR="003A3A26">
        <w:rPr>
          <w:rFonts w:asciiTheme="majorHAnsi" w:hAnsiTheme="majorHAnsi"/>
          <w:b w:val="0"/>
          <w:sz w:val="16"/>
          <w:szCs w:val="16"/>
        </w:rPr>
        <w:t xml:space="preserve"> million short tons for New England.</w:t>
      </w:r>
      <w:r w:rsidR="00FE22A1">
        <w:rPr>
          <w:rFonts w:asciiTheme="majorHAnsi" w:hAnsiTheme="majorHAnsi"/>
          <w:b w:val="0"/>
          <w:sz w:val="16"/>
          <w:szCs w:val="16"/>
        </w:rPr>
        <w:t xml:space="preserve"> The total and New England regional caps will likely change again with the planned additions of N</w:t>
      </w:r>
      <w:r w:rsidR="00CE5FA8">
        <w:rPr>
          <w:rFonts w:asciiTheme="majorHAnsi" w:hAnsiTheme="majorHAnsi"/>
          <w:b w:val="0"/>
          <w:sz w:val="16"/>
          <w:szCs w:val="16"/>
        </w:rPr>
        <w:t xml:space="preserve">ew </w:t>
      </w:r>
      <w:r w:rsidR="00FE22A1">
        <w:rPr>
          <w:rFonts w:asciiTheme="majorHAnsi" w:hAnsiTheme="majorHAnsi"/>
          <w:b w:val="0"/>
          <w:sz w:val="16"/>
          <w:szCs w:val="16"/>
        </w:rPr>
        <w:t>J</w:t>
      </w:r>
      <w:r w:rsidR="00CE5FA8">
        <w:rPr>
          <w:rFonts w:asciiTheme="majorHAnsi" w:hAnsiTheme="majorHAnsi"/>
          <w:b w:val="0"/>
          <w:sz w:val="16"/>
          <w:szCs w:val="16"/>
        </w:rPr>
        <w:t>ersey</w:t>
      </w:r>
      <w:r w:rsidR="00FE22A1">
        <w:rPr>
          <w:rFonts w:asciiTheme="majorHAnsi" w:hAnsiTheme="majorHAnsi"/>
          <w:b w:val="0"/>
          <w:sz w:val="16"/>
          <w:szCs w:val="16"/>
        </w:rPr>
        <w:t xml:space="preserve"> and V</w:t>
      </w:r>
      <w:r w:rsidR="00CE5FA8">
        <w:rPr>
          <w:rFonts w:asciiTheme="majorHAnsi" w:hAnsiTheme="majorHAnsi"/>
          <w:b w:val="0"/>
          <w:sz w:val="16"/>
          <w:szCs w:val="16"/>
        </w:rPr>
        <w:t>irginia</w:t>
      </w:r>
      <w:r w:rsidR="00FE22A1">
        <w:rPr>
          <w:rFonts w:asciiTheme="majorHAnsi" w:hAnsiTheme="majorHAnsi"/>
          <w:b w:val="0"/>
          <w:sz w:val="16"/>
          <w:szCs w:val="16"/>
        </w:rPr>
        <w:t xml:space="preserve"> to RGGI.</w:t>
      </w:r>
    </w:p>
    <w:p w:rsidR="00921FE2" w:rsidRPr="00954AA8" w:rsidRDefault="00F562C1" w:rsidP="00AB39C3">
      <w:pPr>
        <w:pStyle w:val="ListParagraph"/>
        <w:keepNext/>
        <w:keepLines/>
        <w:spacing w:after="240" w:line="240" w:lineRule="auto"/>
        <w:ind w:left="-180" w:right="-810" w:hanging="266"/>
        <w:rPr>
          <w:rFonts w:asciiTheme="majorHAnsi" w:hAnsiTheme="majorHAnsi"/>
          <w:b/>
          <w:sz w:val="16"/>
          <w:szCs w:val="16"/>
        </w:rPr>
      </w:pPr>
      <w:r w:rsidRPr="00BD2B3A">
        <w:rPr>
          <w:rFonts w:asciiTheme="majorHAnsi" w:hAnsiTheme="majorHAnsi"/>
          <w:sz w:val="16"/>
          <w:szCs w:val="16"/>
        </w:rPr>
        <w:t xml:space="preserve">(b) </w:t>
      </w:r>
      <w:r w:rsidR="00D00D8D" w:rsidRPr="00320F15">
        <w:rPr>
          <w:rFonts w:asciiTheme="majorHAnsi" w:hAnsiTheme="majorHAnsi"/>
          <w:sz w:val="16"/>
          <w:szCs w:val="16"/>
        </w:rPr>
        <w:tab/>
      </w:r>
      <w:r w:rsidR="00921FE2" w:rsidRPr="00320F15">
        <w:rPr>
          <w:rFonts w:asciiTheme="majorHAnsi" w:hAnsiTheme="majorHAnsi"/>
          <w:sz w:val="16"/>
          <w:szCs w:val="16"/>
        </w:rPr>
        <w:t xml:space="preserve">The assumed RGGI caps for all </w:t>
      </w:r>
      <w:r w:rsidRPr="00320F15">
        <w:rPr>
          <w:rFonts w:asciiTheme="majorHAnsi" w:hAnsiTheme="majorHAnsi"/>
          <w:sz w:val="16"/>
          <w:szCs w:val="16"/>
        </w:rPr>
        <w:t>nine</w:t>
      </w:r>
      <w:r w:rsidR="00921FE2" w:rsidRPr="00320F15">
        <w:rPr>
          <w:rFonts w:asciiTheme="majorHAnsi" w:hAnsiTheme="majorHAnsi"/>
          <w:sz w:val="16"/>
          <w:szCs w:val="16"/>
        </w:rPr>
        <w:t xml:space="preserve"> states total </w:t>
      </w:r>
      <w:r w:rsidR="00F86B31" w:rsidRPr="00320F15">
        <w:rPr>
          <w:rFonts w:asciiTheme="majorHAnsi" w:hAnsiTheme="majorHAnsi"/>
          <w:sz w:val="16"/>
          <w:szCs w:val="16"/>
        </w:rPr>
        <w:t>58.6</w:t>
      </w:r>
      <w:r w:rsidR="00921FE2" w:rsidRPr="00320F15">
        <w:rPr>
          <w:rFonts w:asciiTheme="majorHAnsi" w:hAnsiTheme="majorHAnsi"/>
          <w:sz w:val="16"/>
          <w:szCs w:val="16"/>
        </w:rPr>
        <w:t xml:space="preserve"> million short tons for a 2.5% annual reduction and </w:t>
      </w:r>
      <w:r w:rsidR="00F86B31" w:rsidRPr="00320F15">
        <w:rPr>
          <w:rFonts w:asciiTheme="majorHAnsi" w:hAnsiTheme="majorHAnsi"/>
          <w:sz w:val="16"/>
          <w:szCs w:val="16"/>
        </w:rPr>
        <w:t>39.1</w:t>
      </w:r>
      <w:r w:rsidR="00921FE2" w:rsidRPr="00320F15">
        <w:rPr>
          <w:rFonts w:asciiTheme="majorHAnsi" w:hAnsiTheme="majorHAnsi"/>
          <w:sz w:val="16"/>
          <w:szCs w:val="16"/>
        </w:rPr>
        <w:t xml:space="preserve"> million short tons for a 5% reduction.</w:t>
      </w:r>
      <w:r w:rsidR="00921FE2" w:rsidRPr="00954AA8">
        <w:rPr>
          <w:rFonts w:asciiTheme="majorHAnsi" w:hAnsiTheme="majorHAnsi"/>
          <w:sz w:val="16"/>
          <w:szCs w:val="16"/>
        </w:rPr>
        <w:t xml:space="preserve"> </w:t>
      </w:r>
    </w:p>
    <w:p w:rsidR="00E976C7" w:rsidRPr="007F5623" w:rsidRDefault="00E976C7" w:rsidP="00D27B9E">
      <w:pPr>
        <w:pStyle w:val="Heading3"/>
      </w:pPr>
      <w:bookmarkStart w:id="335" w:name="_Toc528571233"/>
      <w:r w:rsidRPr="007F5623">
        <w:t>Spilled Renewable Resource Energy</w:t>
      </w:r>
      <w:bookmarkEnd w:id="335"/>
      <w:r w:rsidRPr="007F5623">
        <w:t xml:space="preserve"> </w:t>
      </w:r>
      <w:r w:rsidR="007405D4" w:rsidRPr="00292A49">
        <w:t xml:space="preserve"> </w:t>
      </w:r>
    </w:p>
    <w:p w:rsidR="002922F4" w:rsidRDefault="003A3EE5" w:rsidP="004B1520">
      <w:r w:rsidRPr="00CE71C0">
        <w:fldChar w:fldCharType="begin"/>
      </w:r>
      <w:r w:rsidRPr="00CE71C0">
        <w:instrText xml:space="preserve"> REF _Ref516947479 \h </w:instrText>
      </w:r>
      <w:r>
        <w:instrText xml:space="preserve"> \* MERGEFORMAT </w:instrText>
      </w:r>
      <w:r w:rsidRPr="00CE71C0">
        <w:fldChar w:fldCharType="separate"/>
      </w:r>
      <w:r w:rsidR="00872A95" w:rsidRPr="00D00D8D">
        <w:t xml:space="preserve">Figure </w:t>
      </w:r>
      <w:r w:rsidR="00872A95">
        <w:rPr>
          <w:noProof/>
        </w:rPr>
        <w:t>6</w:t>
      </w:r>
      <w:r w:rsidR="00872A95" w:rsidRPr="00D00D8D">
        <w:rPr>
          <w:noProof/>
        </w:rPr>
        <w:noBreakHyphen/>
      </w:r>
      <w:r w:rsidR="00872A95">
        <w:rPr>
          <w:noProof/>
        </w:rPr>
        <w:t>11</w:t>
      </w:r>
      <w:r w:rsidRPr="00CE71C0">
        <w:fldChar w:fldCharType="end"/>
      </w:r>
      <w:r w:rsidR="002922F4" w:rsidRPr="00CE71C0">
        <w:t xml:space="preserve"> and </w:t>
      </w:r>
      <w:r w:rsidR="004B1520">
        <w:fldChar w:fldCharType="begin"/>
      </w:r>
      <w:r w:rsidR="004B1520">
        <w:instrText xml:space="preserve"> REF _Ref518546354 \h </w:instrText>
      </w:r>
      <w:r w:rsidR="004B1520">
        <w:fldChar w:fldCharType="separate"/>
      </w:r>
      <w:r w:rsidR="00872A95">
        <w:t xml:space="preserve">Table </w:t>
      </w:r>
      <w:r w:rsidR="00872A95">
        <w:rPr>
          <w:noProof/>
        </w:rPr>
        <w:t>6</w:t>
      </w:r>
      <w:r w:rsidR="00872A95">
        <w:noBreakHyphen/>
      </w:r>
      <w:r w:rsidR="00872A95">
        <w:rPr>
          <w:noProof/>
        </w:rPr>
        <w:t>14</w:t>
      </w:r>
      <w:r w:rsidR="004B1520">
        <w:fldChar w:fldCharType="end"/>
      </w:r>
      <w:r w:rsidR="00E976C7" w:rsidRPr="003A3EE5">
        <w:t xml:space="preserve"> show the total amount of spilled renewable resource energy,</w:t>
      </w:r>
      <w:r w:rsidR="00E976C7" w:rsidRPr="00BE5DAE">
        <w:t xml:space="preserve"> including photovoltaics, onshore</w:t>
      </w:r>
      <w:r w:rsidR="00E976C7">
        <w:t xml:space="preserve"> wind, offshore wind, New England hydro, and imports on existing and new ties from Québec and the Maritimes assumed to be supplied by hydroelectric energy. The highest amount of renewable spillage occurs in </w:t>
      </w:r>
      <w:r>
        <w:t xml:space="preserve">the </w:t>
      </w:r>
      <w:r w:rsidR="00AF6389">
        <w:t>Wind Less Nuclear</w:t>
      </w:r>
      <w:r w:rsidR="00216A04">
        <w:t xml:space="preserve"> </w:t>
      </w:r>
      <w:r w:rsidR="00E976C7" w:rsidRPr="008501BD">
        <w:t xml:space="preserve">(transmission constrained) </w:t>
      </w:r>
      <w:r>
        <w:t xml:space="preserve">scenario </w:t>
      </w:r>
      <w:r w:rsidR="00E976C7" w:rsidRPr="008501BD">
        <w:t xml:space="preserve">at </w:t>
      </w:r>
      <w:r w:rsidR="00216A04" w:rsidRPr="00E660C2">
        <w:t>16,664</w:t>
      </w:r>
      <w:r w:rsidR="00E976C7" w:rsidRPr="008501BD">
        <w:t> GWh</w:t>
      </w:r>
      <w:r w:rsidR="00873FFE" w:rsidRPr="008501BD">
        <w:t>,</w:t>
      </w:r>
      <w:r w:rsidR="00E976C7" w:rsidRPr="008501BD">
        <w:t xml:space="preserve"> or </w:t>
      </w:r>
      <w:r w:rsidR="00216A04" w:rsidRPr="00E660C2">
        <w:t>18.01</w:t>
      </w:r>
      <w:r w:rsidR="00E976C7" w:rsidRPr="008501BD">
        <w:t>%</w:t>
      </w:r>
      <w:r w:rsidR="00E976C7">
        <w:t xml:space="preserve"> of all </w:t>
      </w:r>
      <w:r>
        <w:t xml:space="preserve">production by </w:t>
      </w:r>
      <w:r w:rsidR="00E976C7">
        <w:t>renewable</w:t>
      </w:r>
      <w:r>
        <w:t>s</w:t>
      </w:r>
      <w:r w:rsidR="00E976C7">
        <w:t xml:space="preserve">. Most of the spillage is the direct result of transmission constraints in Maine, especially north of </w:t>
      </w:r>
      <w:r w:rsidR="00E976C7" w:rsidRPr="00245E69">
        <w:t xml:space="preserve">the Surowiec South </w:t>
      </w:r>
      <w:r w:rsidRPr="00245E69">
        <w:t>i</w:t>
      </w:r>
      <w:r w:rsidR="00E976C7" w:rsidRPr="00245E69">
        <w:t>nterface</w:t>
      </w:r>
      <w:r w:rsidR="00E976C7">
        <w:t xml:space="preserve">. Relieving the Surowiec South and Orrington South interfaces allows the delivery of </w:t>
      </w:r>
      <w:r>
        <w:t xml:space="preserve">electric energy produced by </w:t>
      </w:r>
      <w:r w:rsidR="00E976C7">
        <w:t xml:space="preserve">renewable </w:t>
      </w:r>
      <w:r>
        <w:t>resources</w:t>
      </w:r>
      <w:r w:rsidR="00E976C7">
        <w:t xml:space="preserve"> to the load centers in southern New England. </w:t>
      </w:r>
    </w:p>
    <w:p w:rsidR="001F27B8" w:rsidRPr="00E660C2" w:rsidRDefault="001F27B8" w:rsidP="00954AA8">
      <w:pPr>
        <w:keepNext/>
        <w:keepLines/>
        <w:spacing w:after="0" w:line="240" w:lineRule="auto"/>
        <w:jc w:val="center"/>
        <w:rPr>
          <w:b/>
        </w:rPr>
      </w:pPr>
      <w:r w:rsidRPr="001F27B8">
        <w:rPr>
          <w:noProof/>
        </w:rPr>
        <w:drawing>
          <wp:inline distT="0" distB="0" distL="0" distR="0" wp14:anchorId="33BBF420" wp14:editId="4C913109">
            <wp:extent cx="5830812" cy="2840313"/>
            <wp:effectExtent l="19050" t="19050" r="17780" b="1778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051" cy="2849685"/>
                    </a:xfrm>
                    <a:prstGeom prst="rect">
                      <a:avLst/>
                    </a:prstGeom>
                    <a:noFill/>
                    <a:ln w="3175">
                      <a:solidFill>
                        <a:schemeClr val="tx1">
                          <a:lumMod val="50000"/>
                        </a:schemeClr>
                      </a:solidFill>
                    </a:ln>
                  </pic:spPr>
                </pic:pic>
              </a:graphicData>
            </a:graphic>
          </wp:inline>
        </w:drawing>
      </w:r>
    </w:p>
    <w:p w:rsidR="00954AA8" w:rsidRPr="00D00D8D" w:rsidRDefault="00CF5BC5" w:rsidP="004B1520">
      <w:pPr>
        <w:pStyle w:val="Caption"/>
        <w:keepNext w:val="0"/>
        <w:keepLines w:val="0"/>
        <w:spacing w:before="120" w:after="240"/>
        <w:ind w:left="90" w:right="90"/>
      </w:pPr>
      <w:bookmarkStart w:id="336" w:name="_Ref516947479"/>
      <w:bookmarkStart w:id="337" w:name="_Ref516947472"/>
      <w:bookmarkStart w:id="338" w:name="_Toc519511516"/>
      <w:r w:rsidRPr="00D00D8D">
        <w:t xml:space="preserve">Figure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Pr="00D00D8D">
        <w:noBreakHyphen/>
      </w:r>
      <w:r w:rsidR="00EA3757">
        <w:rPr>
          <w:noProof/>
        </w:rPr>
        <w:fldChar w:fldCharType="begin"/>
      </w:r>
      <w:r w:rsidR="00EA3757">
        <w:rPr>
          <w:noProof/>
        </w:rPr>
        <w:instrText xml:space="preserve"> SEQ Figure \* ARABIC \s 1 </w:instrText>
      </w:r>
      <w:r w:rsidR="00EA3757">
        <w:rPr>
          <w:noProof/>
        </w:rPr>
        <w:fldChar w:fldCharType="separate"/>
      </w:r>
      <w:r w:rsidR="00872A95">
        <w:rPr>
          <w:noProof/>
        </w:rPr>
        <w:t>11</w:t>
      </w:r>
      <w:r w:rsidR="00EA3757">
        <w:rPr>
          <w:noProof/>
        </w:rPr>
        <w:fldChar w:fldCharType="end"/>
      </w:r>
      <w:bookmarkEnd w:id="336"/>
      <w:r w:rsidRPr="00D00D8D">
        <w:t xml:space="preserve">: </w:t>
      </w:r>
      <w:r w:rsidR="00DE7ADD" w:rsidRPr="00D00D8D">
        <w:t xml:space="preserve">Total </w:t>
      </w:r>
      <w:r w:rsidRPr="00D00D8D">
        <w:t>a</w:t>
      </w:r>
      <w:r w:rsidR="00DE7ADD" w:rsidRPr="00D00D8D">
        <w:t>mount of “</w:t>
      </w:r>
      <w:r w:rsidRPr="00D00D8D">
        <w:t>s</w:t>
      </w:r>
      <w:r w:rsidR="00DE7ADD" w:rsidRPr="00D00D8D">
        <w:t xml:space="preserve">pilled” </w:t>
      </w:r>
      <w:r w:rsidR="003A3EE5" w:rsidRPr="00D00D8D">
        <w:t xml:space="preserve">energy produced by </w:t>
      </w:r>
      <w:r w:rsidRPr="00D00D8D">
        <w:t>r</w:t>
      </w:r>
      <w:r w:rsidR="00DE7ADD" w:rsidRPr="00D00D8D">
        <w:t xml:space="preserve">enewable </w:t>
      </w:r>
      <w:r w:rsidRPr="00D00D8D">
        <w:t>r</w:t>
      </w:r>
      <w:r w:rsidR="00DE7ADD" w:rsidRPr="00D00D8D">
        <w:t>esource</w:t>
      </w:r>
      <w:r w:rsidRPr="00D00D8D">
        <w:t>s</w:t>
      </w:r>
      <w:r w:rsidR="00DE7ADD" w:rsidRPr="00D00D8D">
        <w:t>, 2030</w:t>
      </w:r>
      <w:r w:rsidRPr="00D00D8D">
        <w:t xml:space="preserve"> </w:t>
      </w:r>
      <w:r w:rsidR="00DE7ADD" w:rsidRPr="00D00D8D">
        <w:t>(</w:t>
      </w:r>
      <w:r w:rsidR="0092572D">
        <w:t>u</w:t>
      </w:r>
      <w:r w:rsidR="00DE7ADD" w:rsidRPr="00D00D8D">
        <w:t xml:space="preserve">nconstrained and </w:t>
      </w:r>
      <w:r w:rsidR="0092572D">
        <w:t>c</w:t>
      </w:r>
      <w:r w:rsidR="00DE7ADD" w:rsidRPr="00D00D8D">
        <w:t xml:space="preserve">onstrained </w:t>
      </w:r>
      <w:r w:rsidR="0092572D">
        <w:t>c</w:t>
      </w:r>
      <w:r w:rsidR="00DE7ADD" w:rsidRPr="00D00D8D">
        <w:t>ases) (GWh, %)</w:t>
      </w:r>
      <w:bookmarkStart w:id="339" w:name="_Ref516947621"/>
      <w:bookmarkEnd w:id="337"/>
      <w:r w:rsidR="00847291" w:rsidRPr="00D00D8D">
        <w:t>.</w:t>
      </w:r>
      <w:bookmarkEnd w:id="338"/>
    </w:p>
    <w:p w:rsidR="002922F4" w:rsidRDefault="003A3EE5" w:rsidP="00842970">
      <w:pPr>
        <w:pStyle w:val="Caption"/>
        <w:suppressAutoHyphens/>
        <w:jc w:val="center"/>
        <w:rPr>
          <w:rFonts w:asciiTheme="minorHAnsi" w:eastAsia="Calibri" w:hAnsiTheme="minorHAnsi"/>
          <w:color w:val="FFFFFF" w:themeColor="background1"/>
          <w:sz w:val="18"/>
          <w:szCs w:val="18"/>
        </w:rPr>
      </w:pPr>
      <w:bookmarkStart w:id="340" w:name="_Ref518546354"/>
      <w:bookmarkStart w:id="341" w:name="_Toc520721049"/>
      <w:r>
        <w:t xml:space="preserve">Table </w:t>
      </w:r>
      <w:r w:rsidR="00EA3757">
        <w:rPr>
          <w:noProof/>
        </w:rPr>
        <w:fldChar w:fldCharType="begin"/>
      </w:r>
      <w:r w:rsidR="00EA3757">
        <w:rPr>
          <w:noProof/>
        </w:rPr>
        <w:instrText xml:space="preserve"> STYLEREF 1 \s </w:instrText>
      </w:r>
      <w:r w:rsidR="00EA3757">
        <w:rPr>
          <w:noProof/>
        </w:rPr>
        <w:fldChar w:fldCharType="separate"/>
      </w:r>
      <w:r w:rsidR="00872A95">
        <w:rPr>
          <w:noProof/>
        </w:rPr>
        <w:t>6</w:t>
      </w:r>
      <w:r w:rsidR="00EA3757">
        <w:rPr>
          <w:noProof/>
        </w:rPr>
        <w:fldChar w:fldCharType="end"/>
      </w:r>
      <w:r w:rsidR="004602FB">
        <w:noBreakHyphen/>
      </w:r>
      <w:r w:rsidR="00EA3757">
        <w:rPr>
          <w:noProof/>
        </w:rPr>
        <w:fldChar w:fldCharType="begin"/>
      </w:r>
      <w:r w:rsidR="00EA3757">
        <w:rPr>
          <w:noProof/>
        </w:rPr>
        <w:instrText xml:space="preserve"> SEQ Table \* ARABIC \s 1 </w:instrText>
      </w:r>
      <w:r w:rsidR="00EA3757">
        <w:rPr>
          <w:noProof/>
        </w:rPr>
        <w:fldChar w:fldCharType="separate"/>
      </w:r>
      <w:r w:rsidR="00872A95">
        <w:rPr>
          <w:noProof/>
        </w:rPr>
        <w:t>14</w:t>
      </w:r>
      <w:r w:rsidR="00EA3757">
        <w:rPr>
          <w:noProof/>
        </w:rPr>
        <w:fldChar w:fldCharType="end"/>
      </w:r>
      <w:bookmarkEnd w:id="339"/>
      <w:bookmarkEnd w:id="340"/>
      <w:r>
        <w:br/>
      </w:r>
      <w:r w:rsidR="00E976C7" w:rsidRPr="00842970">
        <w:t xml:space="preserve">Total Amount of “Spilled” </w:t>
      </w:r>
      <w:r w:rsidRPr="00842970">
        <w:t xml:space="preserve">Energy Produced by </w:t>
      </w:r>
      <w:r w:rsidR="00E976C7" w:rsidRPr="00842970">
        <w:t>Renewable Resource</w:t>
      </w:r>
      <w:r w:rsidRPr="00842970">
        <w:t>s</w:t>
      </w:r>
      <w:r w:rsidR="00E976C7" w:rsidRPr="00842970">
        <w:t>, 2030</w:t>
      </w:r>
      <w:r w:rsidR="00E976C7">
        <w:br/>
        <w:t>(Unconstrained and Constrained Cases)</w:t>
      </w:r>
      <w:r w:rsidR="00C26A3A">
        <w:t xml:space="preserve"> </w:t>
      </w:r>
      <w:r w:rsidR="00E976C7">
        <w:t>(GWh, %)</w:t>
      </w:r>
      <w:bookmarkEnd w:id="341"/>
    </w:p>
    <w:tbl>
      <w:tblPr>
        <w:tblW w:w="101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14"/>
        <w:gridCol w:w="1171"/>
        <w:gridCol w:w="1077"/>
        <w:gridCol w:w="1043"/>
        <w:gridCol w:w="1077"/>
        <w:gridCol w:w="1350"/>
        <w:gridCol w:w="1049"/>
        <w:gridCol w:w="1091"/>
        <w:gridCol w:w="1091"/>
      </w:tblGrid>
      <w:tr w:rsidR="00C96088" w:rsidRPr="003A3EE5" w:rsidTr="007E50AE">
        <w:trPr>
          <w:trHeight w:val="1826"/>
          <w:jc w:val="center"/>
        </w:trPr>
        <w:tc>
          <w:tcPr>
            <w:tcW w:w="1170"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Transmission</w:t>
            </w:r>
          </w:p>
        </w:tc>
        <w:tc>
          <w:tcPr>
            <w:tcW w:w="1186"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Scenario</w:t>
            </w:r>
          </w:p>
        </w:tc>
        <w:tc>
          <w:tcPr>
            <w:tcW w:w="1081"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Renewable Energy Profile (GWh)</w:t>
            </w:r>
          </w:p>
        </w:tc>
        <w:tc>
          <w:tcPr>
            <w:tcW w:w="1052"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Total Spilled (GWh)</w:t>
            </w:r>
          </w:p>
        </w:tc>
        <w:tc>
          <w:tcPr>
            <w:tcW w:w="1081"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 of Total Renewable Spilled (%)</w:t>
            </w:r>
            <w:r w:rsidR="00842970" w:rsidRPr="00245E69">
              <w:rPr>
                <w:rFonts w:asciiTheme="minorHAnsi" w:hAnsiTheme="minorHAnsi" w:cs="Arial"/>
                <w:b/>
                <w:bCs/>
                <w:color w:val="FFFFFF" w:themeColor="light1"/>
                <w:kern w:val="24"/>
                <w:position w:val="7"/>
                <w:sz w:val="18"/>
                <w:szCs w:val="18"/>
                <w:vertAlign w:val="superscript"/>
              </w:rPr>
              <w:t>(a)</w:t>
            </w:r>
          </w:p>
        </w:tc>
        <w:tc>
          <w:tcPr>
            <w:tcW w:w="1350" w:type="dxa"/>
            <w:shd w:val="clear" w:color="auto" w:fill="1795D2"/>
            <w:tcMar>
              <w:top w:w="14" w:type="dxa"/>
              <w:left w:w="58" w:type="dxa"/>
              <w:bottom w:w="14" w:type="dxa"/>
              <w:right w:w="58" w:type="dxa"/>
            </w:tcMar>
            <w:vAlign w:val="center"/>
            <w:hideMark/>
          </w:tcPr>
          <w:p w:rsidR="002922F4" w:rsidRPr="00245E69" w:rsidRDefault="002922F4" w:rsidP="00654C47">
            <w:pPr>
              <w:keepNext/>
              <w:keepLines/>
              <w:suppressAutoHyphens/>
              <w:adjustRightInd/>
              <w:spacing w:before="40" w:after="40" w:line="260" w:lineRule="exact"/>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Total Spilled Due to Transmission Constraints (GWh)</w:t>
            </w:r>
            <w:r w:rsidR="00842970" w:rsidRPr="00245E69">
              <w:rPr>
                <w:rFonts w:asciiTheme="minorHAnsi" w:hAnsiTheme="minorHAnsi" w:cs="Arial"/>
                <w:b/>
                <w:bCs/>
                <w:color w:val="FFFFFF" w:themeColor="light1"/>
                <w:kern w:val="24"/>
                <w:position w:val="7"/>
                <w:sz w:val="18"/>
                <w:szCs w:val="18"/>
                <w:vertAlign w:val="superscript"/>
              </w:rPr>
              <w:t>(b)</w:t>
            </w:r>
          </w:p>
        </w:tc>
        <w:tc>
          <w:tcPr>
            <w:tcW w:w="1057"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Total Spilled North of Surowiec</w:t>
            </w:r>
            <w:r w:rsidR="00245E69">
              <w:rPr>
                <w:rFonts w:asciiTheme="minorHAnsi" w:hAnsiTheme="minorHAnsi" w:cs="Arial"/>
                <w:b/>
                <w:bCs/>
                <w:color w:val="FFFFFF" w:themeColor="light1"/>
                <w:kern w:val="24"/>
                <w:sz w:val="18"/>
                <w:szCs w:val="18"/>
              </w:rPr>
              <w:br/>
            </w:r>
            <w:r w:rsidRPr="00245E69">
              <w:rPr>
                <w:rFonts w:asciiTheme="minorHAnsi" w:hAnsiTheme="minorHAnsi" w:cs="Arial"/>
                <w:b/>
                <w:bCs/>
                <w:color w:val="FFFFFF" w:themeColor="light1"/>
                <w:kern w:val="24"/>
                <w:sz w:val="18"/>
                <w:szCs w:val="18"/>
              </w:rPr>
              <w:t xml:space="preserve"> South</w:t>
            </w:r>
            <w:r w:rsidR="00842970">
              <w:rPr>
                <w:rFonts w:asciiTheme="minorHAnsi" w:hAnsiTheme="minorHAnsi" w:cs="Arial"/>
                <w:b/>
                <w:bCs/>
                <w:color w:val="FFFFFF" w:themeColor="light1"/>
                <w:kern w:val="24"/>
                <w:sz w:val="18"/>
                <w:szCs w:val="18"/>
              </w:rPr>
              <w:t xml:space="preserve"> </w:t>
            </w:r>
            <w:r w:rsidRPr="00245E69">
              <w:rPr>
                <w:rFonts w:asciiTheme="minorHAnsi" w:hAnsiTheme="minorHAnsi" w:cs="Arial"/>
                <w:b/>
                <w:bCs/>
                <w:color w:val="FFFFFF" w:themeColor="light1"/>
                <w:kern w:val="24"/>
                <w:sz w:val="18"/>
                <w:szCs w:val="18"/>
              </w:rPr>
              <w:t>(GWh)</w:t>
            </w:r>
          </w:p>
        </w:tc>
        <w:tc>
          <w:tcPr>
            <w:tcW w:w="1093"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Total Renewable</w:t>
            </w:r>
            <w:r w:rsidR="00C96088">
              <w:rPr>
                <w:rFonts w:asciiTheme="minorHAnsi" w:hAnsiTheme="minorHAnsi" w:cs="Arial"/>
                <w:b/>
                <w:bCs/>
                <w:color w:val="FFFFFF" w:themeColor="light1"/>
                <w:kern w:val="24"/>
                <w:sz w:val="18"/>
                <w:szCs w:val="18"/>
              </w:rPr>
              <w:t>s</w:t>
            </w:r>
            <w:r w:rsidRPr="00245E69">
              <w:rPr>
                <w:rFonts w:asciiTheme="minorHAnsi" w:hAnsiTheme="minorHAnsi" w:cs="Arial"/>
                <w:b/>
                <w:bCs/>
                <w:color w:val="FFFFFF" w:themeColor="light1"/>
                <w:kern w:val="24"/>
                <w:sz w:val="18"/>
                <w:szCs w:val="18"/>
              </w:rPr>
              <w:t xml:space="preserve"> North of Surowiec</w:t>
            </w:r>
            <w:r w:rsidR="00245E69">
              <w:rPr>
                <w:rFonts w:asciiTheme="minorHAnsi" w:hAnsiTheme="minorHAnsi" w:cs="Arial"/>
                <w:b/>
                <w:bCs/>
                <w:color w:val="FFFFFF" w:themeColor="light1"/>
                <w:kern w:val="24"/>
                <w:sz w:val="18"/>
                <w:szCs w:val="18"/>
              </w:rPr>
              <w:br/>
            </w:r>
            <w:r w:rsidRPr="00245E69">
              <w:rPr>
                <w:rFonts w:asciiTheme="minorHAnsi" w:hAnsiTheme="minorHAnsi" w:cs="Arial"/>
                <w:b/>
                <w:bCs/>
                <w:color w:val="FFFFFF" w:themeColor="light1"/>
                <w:kern w:val="24"/>
                <w:sz w:val="18"/>
                <w:szCs w:val="18"/>
              </w:rPr>
              <w:t xml:space="preserve"> South (GWh)</w:t>
            </w:r>
          </w:p>
        </w:tc>
        <w:tc>
          <w:tcPr>
            <w:tcW w:w="1093" w:type="dxa"/>
            <w:shd w:val="clear" w:color="auto" w:fill="1795D2"/>
            <w:tcMar>
              <w:top w:w="14" w:type="dxa"/>
              <w:left w:w="58" w:type="dxa"/>
              <w:bottom w:w="14" w:type="dxa"/>
              <w:right w:w="58" w:type="dxa"/>
            </w:tcMar>
            <w:vAlign w:val="center"/>
            <w:hideMark/>
          </w:tcPr>
          <w:p w:rsidR="002922F4" w:rsidRPr="00245E69" w:rsidRDefault="002922F4" w:rsidP="00842970">
            <w:pPr>
              <w:keepNext/>
              <w:keepLines/>
              <w:suppressAutoHyphens/>
              <w:adjustRightInd/>
              <w:spacing w:before="40" w:after="40" w:line="260" w:lineRule="exact"/>
              <w:jc w:val="center"/>
              <w:textAlignment w:val="auto"/>
              <w:rPr>
                <w:rFonts w:asciiTheme="minorHAnsi" w:hAnsiTheme="minorHAnsi" w:cs="Arial"/>
                <w:sz w:val="18"/>
                <w:szCs w:val="18"/>
              </w:rPr>
            </w:pPr>
            <w:r w:rsidRPr="00245E69">
              <w:rPr>
                <w:rFonts w:asciiTheme="minorHAnsi" w:hAnsiTheme="minorHAnsi" w:cs="Arial"/>
                <w:b/>
                <w:bCs/>
                <w:color w:val="FFFFFF" w:themeColor="light1"/>
                <w:kern w:val="24"/>
                <w:sz w:val="18"/>
                <w:szCs w:val="18"/>
              </w:rPr>
              <w:t>% of Total Renewable</w:t>
            </w:r>
            <w:r w:rsidR="00C96088">
              <w:rPr>
                <w:rFonts w:asciiTheme="minorHAnsi" w:hAnsiTheme="minorHAnsi" w:cs="Arial"/>
                <w:b/>
                <w:bCs/>
                <w:color w:val="FFFFFF" w:themeColor="light1"/>
                <w:kern w:val="24"/>
                <w:sz w:val="18"/>
                <w:szCs w:val="18"/>
              </w:rPr>
              <w:t>s</w:t>
            </w:r>
            <w:r w:rsidRPr="00245E69">
              <w:rPr>
                <w:rFonts w:asciiTheme="minorHAnsi" w:hAnsiTheme="minorHAnsi" w:cs="Arial"/>
                <w:b/>
                <w:bCs/>
                <w:color w:val="FFFFFF" w:themeColor="light1"/>
                <w:kern w:val="24"/>
                <w:sz w:val="18"/>
                <w:szCs w:val="18"/>
              </w:rPr>
              <w:t xml:space="preserve"> Spilled North of Surowiec</w:t>
            </w:r>
            <w:r w:rsidR="00245E69">
              <w:rPr>
                <w:rFonts w:asciiTheme="minorHAnsi" w:hAnsiTheme="minorHAnsi" w:cs="Arial"/>
                <w:b/>
                <w:bCs/>
                <w:color w:val="FFFFFF" w:themeColor="light1"/>
                <w:kern w:val="24"/>
                <w:sz w:val="18"/>
                <w:szCs w:val="18"/>
              </w:rPr>
              <w:br/>
            </w:r>
            <w:r w:rsidRPr="00245E69">
              <w:rPr>
                <w:rFonts w:asciiTheme="minorHAnsi" w:hAnsiTheme="minorHAnsi" w:cs="Arial"/>
                <w:b/>
                <w:bCs/>
                <w:color w:val="FFFFFF" w:themeColor="light1"/>
                <w:kern w:val="24"/>
                <w:sz w:val="18"/>
                <w:szCs w:val="18"/>
              </w:rPr>
              <w:t xml:space="preserve"> South (%)</w:t>
            </w:r>
            <w:r w:rsidR="00842970" w:rsidRPr="00245E69">
              <w:rPr>
                <w:rFonts w:asciiTheme="minorHAnsi" w:hAnsiTheme="minorHAnsi" w:cs="Arial"/>
                <w:b/>
                <w:bCs/>
                <w:color w:val="FFFFFF" w:themeColor="light1"/>
                <w:kern w:val="24"/>
                <w:position w:val="7"/>
                <w:sz w:val="18"/>
                <w:szCs w:val="18"/>
                <w:vertAlign w:val="superscript"/>
              </w:rPr>
              <w:t>(c)</w:t>
            </w:r>
          </w:p>
        </w:tc>
      </w:tr>
      <w:tr w:rsidR="00C96088" w:rsidRPr="003A3EE5" w:rsidTr="007E50AE">
        <w:trPr>
          <w:trHeight w:val="288"/>
          <w:jc w:val="center"/>
        </w:trPr>
        <w:tc>
          <w:tcPr>
            <w:tcW w:w="1170" w:type="dxa"/>
            <w:vMerge w:val="restart"/>
            <w:shd w:val="clear" w:color="auto" w:fill="auto"/>
            <w:tcMar>
              <w:top w:w="14" w:type="dxa"/>
              <w:left w:w="58" w:type="dxa"/>
              <w:bottom w:w="14" w:type="dxa"/>
              <w:right w:w="58"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hAnsiTheme="minorHAnsi" w:cs="Arial"/>
                <w:b/>
                <w:bCs/>
                <w:kern w:val="24"/>
                <w:sz w:val="18"/>
                <w:szCs w:val="18"/>
              </w:rPr>
              <w:t>Unconstrained</w:t>
            </w:r>
          </w:p>
        </w:tc>
        <w:tc>
          <w:tcPr>
            <w:tcW w:w="1186" w:type="dxa"/>
            <w:shd w:val="clear" w:color="auto" w:fill="auto"/>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Renew Plus</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73,237</w:t>
            </w:r>
          </w:p>
        </w:tc>
        <w:tc>
          <w:tcPr>
            <w:tcW w:w="1052"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3,296</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4.50%</w:t>
            </w:r>
          </w:p>
        </w:tc>
        <w:tc>
          <w:tcPr>
            <w:tcW w:w="1350" w:type="dxa"/>
            <w:shd w:val="clear" w:color="auto" w:fill="auto"/>
            <w:tcMar>
              <w:top w:w="0" w:type="dxa"/>
              <w:left w:w="58" w:type="dxa"/>
              <w:bottom w:w="0" w:type="dxa"/>
              <w:right w:w="216" w:type="dxa"/>
            </w:tcMar>
            <w:vAlign w:val="center"/>
            <w:hideMark/>
          </w:tcPr>
          <w:p w:rsidR="002922F4" w:rsidRPr="00842970" w:rsidRDefault="002922F4" w:rsidP="00654C47">
            <w:pPr>
              <w:keepNext/>
              <w:keepLines/>
              <w:suppressAutoHyphens/>
              <w:adjustRightInd/>
              <w:spacing w:after="0" w:line="240" w:lineRule="auto"/>
              <w:textAlignment w:val="bottom"/>
              <w:rPr>
                <w:rFonts w:asciiTheme="minorHAnsi" w:hAnsiTheme="minorHAnsi" w:cs="Arial"/>
                <w:sz w:val="18"/>
                <w:szCs w:val="18"/>
              </w:rPr>
            </w:pPr>
            <w:r w:rsidRPr="00842970">
              <w:rPr>
                <w:rFonts w:asciiTheme="minorHAnsi" w:hAnsiTheme="minorHAnsi" w:cs="Arial"/>
                <w:kern w:val="24"/>
                <w:sz w:val="18"/>
                <w:szCs w:val="18"/>
              </w:rPr>
              <w:t>Unconstrained reference</w:t>
            </w:r>
          </w:p>
        </w:tc>
        <w:tc>
          <w:tcPr>
            <w:tcW w:w="1057"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766</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18,692</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23.26%</w:t>
            </w:r>
          </w:p>
        </w:tc>
      </w:tr>
      <w:tr w:rsidR="00C96088" w:rsidRPr="003A3EE5" w:rsidTr="007E50AE">
        <w:trPr>
          <w:trHeight w:val="577"/>
          <w:jc w:val="center"/>
        </w:trPr>
        <w:tc>
          <w:tcPr>
            <w:tcW w:w="1170" w:type="dxa"/>
            <w:vMerge/>
            <w:shd w:val="clear" w:color="auto" w:fill="auto"/>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CCEAF9" w:themeFill="accent1" w:themeFillTint="33"/>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EE + Offshore</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62,686</w:t>
            </w:r>
          </w:p>
        </w:tc>
        <w:tc>
          <w:tcPr>
            <w:tcW w:w="1052"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4,285</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6.83%</w:t>
            </w:r>
          </w:p>
        </w:tc>
        <w:tc>
          <w:tcPr>
            <w:tcW w:w="1350" w:type="dxa"/>
            <w:shd w:val="clear" w:color="auto" w:fill="CCEAF9" w:themeFill="accent1" w:themeFillTint="33"/>
            <w:tcMar>
              <w:top w:w="0" w:type="dxa"/>
              <w:left w:w="58" w:type="dxa"/>
              <w:bottom w:w="0" w:type="dxa"/>
              <w:right w:w="216" w:type="dxa"/>
            </w:tcMar>
            <w:vAlign w:val="center"/>
            <w:hideMark/>
          </w:tcPr>
          <w:p w:rsidR="002922F4" w:rsidRPr="00842970" w:rsidRDefault="002922F4" w:rsidP="00654C47">
            <w:pPr>
              <w:keepNext/>
              <w:keepLines/>
              <w:suppressAutoHyphens/>
              <w:adjustRightInd/>
              <w:spacing w:after="0" w:line="240" w:lineRule="auto"/>
              <w:textAlignment w:val="bottom"/>
              <w:rPr>
                <w:rFonts w:asciiTheme="minorHAnsi" w:hAnsiTheme="minorHAnsi" w:cs="Arial"/>
                <w:sz w:val="18"/>
                <w:szCs w:val="18"/>
              </w:rPr>
            </w:pPr>
            <w:r w:rsidRPr="00842970">
              <w:rPr>
                <w:rFonts w:asciiTheme="minorHAnsi" w:hAnsiTheme="minorHAnsi" w:cs="Arial"/>
                <w:kern w:val="24"/>
                <w:sz w:val="18"/>
                <w:szCs w:val="18"/>
              </w:rPr>
              <w:t>Unconstrained reference</w:t>
            </w:r>
          </w:p>
        </w:tc>
        <w:tc>
          <w:tcPr>
            <w:tcW w:w="1057"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916</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10,162</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21.37%</w:t>
            </w:r>
          </w:p>
        </w:tc>
      </w:tr>
      <w:tr w:rsidR="00C96088" w:rsidRPr="003A3EE5" w:rsidTr="007E50AE">
        <w:trPr>
          <w:trHeight w:val="288"/>
          <w:jc w:val="center"/>
        </w:trPr>
        <w:tc>
          <w:tcPr>
            <w:tcW w:w="1170" w:type="dxa"/>
            <w:vMerge/>
            <w:shd w:val="clear" w:color="auto" w:fill="auto"/>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auto"/>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Onshore Less EE/PV</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63,983</w:t>
            </w:r>
          </w:p>
        </w:tc>
        <w:tc>
          <w:tcPr>
            <w:tcW w:w="1052"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4,011</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6.27%</w:t>
            </w:r>
          </w:p>
        </w:tc>
        <w:tc>
          <w:tcPr>
            <w:tcW w:w="1350" w:type="dxa"/>
            <w:shd w:val="clear" w:color="auto" w:fill="auto"/>
            <w:tcMar>
              <w:top w:w="0" w:type="dxa"/>
              <w:left w:w="58" w:type="dxa"/>
              <w:bottom w:w="0" w:type="dxa"/>
              <w:right w:w="216" w:type="dxa"/>
            </w:tcMar>
            <w:vAlign w:val="center"/>
            <w:hideMark/>
          </w:tcPr>
          <w:p w:rsidR="002922F4" w:rsidRPr="00842970" w:rsidRDefault="002922F4" w:rsidP="00654C47">
            <w:pPr>
              <w:keepNext/>
              <w:keepLines/>
              <w:suppressAutoHyphens/>
              <w:adjustRightInd/>
              <w:spacing w:after="0" w:line="240" w:lineRule="auto"/>
              <w:textAlignment w:val="bottom"/>
              <w:rPr>
                <w:rFonts w:asciiTheme="minorHAnsi" w:hAnsiTheme="minorHAnsi" w:cs="Arial"/>
                <w:sz w:val="18"/>
                <w:szCs w:val="18"/>
              </w:rPr>
            </w:pPr>
            <w:r w:rsidRPr="00842970">
              <w:rPr>
                <w:rFonts w:asciiTheme="minorHAnsi" w:hAnsiTheme="minorHAnsi" w:cs="Arial"/>
                <w:kern w:val="24"/>
                <w:sz w:val="18"/>
                <w:szCs w:val="18"/>
              </w:rPr>
              <w:t>Unconstrained reference</w:t>
            </w:r>
          </w:p>
        </w:tc>
        <w:tc>
          <w:tcPr>
            <w:tcW w:w="1057"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1,251</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25,060</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31.19%</w:t>
            </w:r>
          </w:p>
        </w:tc>
      </w:tr>
      <w:tr w:rsidR="00C96088" w:rsidRPr="003A3EE5" w:rsidTr="007E50AE">
        <w:trPr>
          <w:trHeight w:val="288"/>
          <w:jc w:val="center"/>
        </w:trPr>
        <w:tc>
          <w:tcPr>
            <w:tcW w:w="1170" w:type="dxa"/>
            <w:vMerge/>
            <w:shd w:val="clear" w:color="auto" w:fill="auto"/>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CCEAF9" w:themeFill="accent1" w:themeFillTint="33"/>
            <w:tcMar>
              <w:top w:w="12" w:type="dxa"/>
              <w:left w:w="58" w:type="dxa"/>
              <w:bottom w:w="0" w:type="dxa"/>
              <w:right w:w="12" w:type="dxa"/>
            </w:tcMar>
            <w:vAlign w:val="center"/>
            <w:hideMark/>
          </w:tcPr>
          <w:p w:rsidR="002922F4" w:rsidRPr="00842970" w:rsidRDefault="00AF6389" w:rsidP="00842970">
            <w:pPr>
              <w:keepNext/>
              <w:keepLines/>
              <w:suppressAutoHyphens/>
              <w:adjustRightInd/>
              <w:spacing w:before="40" w:after="40" w:line="260" w:lineRule="exact"/>
              <w:textAlignment w:val="auto"/>
              <w:rPr>
                <w:rFonts w:asciiTheme="minorHAnsi" w:hAnsiTheme="minorHAnsi" w:cs="Arial"/>
                <w:sz w:val="18"/>
                <w:szCs w:val="18"/>
              </w:rPr>
            </w:pPr>
            <w:r>
              <w:rPr>
                <w:rFonts w:asciiTheme="minorHAnsi" w:eastAsiaTheme="minorEastAsia" w:hAnsiTheme="minorHAnsi" w:cstheme="minorBidi"/>
                <w:kern w:val="24"/>
                <w:sz w:val="18"/>
                <w:szCs w:val="18"/>
              </w:rPr>
              <w:t>Wind Less Nuclear</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92,517</w:t>
            </w:r>
          </w:p>
        </w:tc>
        <w:tc>
          <w:tcPr>
            <w:tcW w:w="1052"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6,516</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7.04%</w:t>
            </w:r>
          </w:p>
        </w:tc>
        <w:tc>
          <w:tcPr>
            <w:tcW w:w="1350" w:type="dxa"/>
            <w:shd w:val="clear" w:color="auto" w:fill="CCEAF9" w:themeFill="accent1" w:themeFillTint="33"/>
            <w:tcMar>
              <w:top w:w="0" w:type="dxa"/>
              <w:left w:w="58" w:type="dxa"/>
              <w:bottom w:w="0" w:type="dxa"/>
              <w:right w:w="216" w:type="dxa"/>
            </w:tcMar>
            <w:vAlign w:val="center"/>
            <w:hideMark/>
          </w:tcPr>
          <w:p w:rsidR="002922F4" w:rsidRPr="00842970" w:rsidRDefault="002922F4" w:rsidP="00654C47">
            <w:pPr>
              <w:keepNext/>
              <w:keepLines/>
              <w:suppressAutoHyphens/>
              <w:adjustRightInd/>
              <w:spacing w:after="0" w:line="240" w:lineRule="auto"/>
              <w:textAlignment w:val="bottom"/>
              <w:rPr>
                <w:rFonts w:asciiTheme="minorHAnsi" w:hAnsiTheme="minorHAnsi" w:cs="Arial"/>
                <w:sz w:val="18"/>
                <w:szCs w:val="18"/>
              </w:rPr>
            </w:pPr>
            <w:r w:rsidRPr="00842970">
              <w:rPr>
                <w:rFonts w:asciiTheme="minorHAnsi" w:hAnsiTheme="minorHAnsi" w:cs="Arial"/>
                <w:kern w:val="24"/>
                <w:sz w:val="18"/>
                <w:szCs w:val="18"/>
              </w:rPr>
              <w:t>Unconstrained reference</w:t>
            </w:r>
          </w:p>
        </w:tc>
        <w:tc>
          <w:tcPr>
            <w:tcW w:w="1057"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1,778</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31,099</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27.29%</w:t>
            </w:r>
          </w:p>
        </w:tc>
      </w:tr>
      <w:tr w:rsidR="00C96088" w:rsidRPr="003A3EE5" w:rsidTr="007E50AE">
        <w:trPr>
          <w:trHeight w:val="288"/>
          <w:jc w:val="center"/>
        </w:trPr>
        <w:tc>
          <w:tcPr>
            <w:tcW w:w="1170" w:type="dxa"/>
            <w:vMerge w:val="restart"/>
            <w:shd w:val="clear" w:color="auto" w:fill="CCEAF9" w:themeFill="accent1" w:themeFillTint="33"/>
            <w:tcMar>
              <w:top w:w="14" w:type="dxa"/>
              <w:left w:w="58" w:type="dxa"/>
              <w:bottom w:w="14" w:type="dxa"/>
              <w:right w:w="58"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hAnsiTheme="minorHAnsi" w:cs="Arial"/>
                <w:b/>
                <w:bCs/>
                <w:kern w:val="24"/>
                <w:sz w:val="18"/>
                <w:szCs w:val="18"/>
              </w:rPr>
              <w:t>Constrained</w:t>
            </w:r>
          </w:p>
        </w:tc>
        <w:tc>
          <w:tcPr>
            <w:tcW w:w="1186" w:type="dxa"/>
            <w:shd w:val="clear" w:color="auto" w:fill="auto"/>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Renew Plus</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73,237</w:t>
            </w:r>
          </w:p>
        </w:tc>
        <w:tc>
          <w:tcPr>
            <w:tcW w:w="1052"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6,270</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8.56%</w:t>
            </w:r>
          </w:p>
        </w:tc>
        <w:tc>
          <w:tcPr>
            <w:tcW w:w="1350"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2,974</w:t>
            </w:r>
          </w:p>
        </w:tc>
        <w:tc>
          <w:tcPr>
            <w:tcW w:w="1057"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4,261</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18,692</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67.96%</w:t>
            </w:r>
          </w:p>
        </w:tc>
      </w:tr>
      <w:tr w:rsidR="00C96088" w:rsidRPr="003A3EE5" w:rsidTr="007E50AE">
        <w:trPr>
          <w:trHeight w:val="288"/>
          <w:jc w:val="center"/>
        </w:trPr>
        <w:tc>
          <w:tcPr>
            <w:tcW w:w="1170" w:type="dxa"/>
            <w:vMerge/>
            <w:shd w:val="clear" w:color="auto" w:fill="CCEAF9" w:themeFill="accent1" w:themeFillTint="33"/>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CCEAF9" w:themeFill="accent1" w:themeFillTint="33"/>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EE + Offshore</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62,686</w:t>
            </w:r>
          </w:p>
        </w:tc>
        <w:tc>
          <w:tcPr>
            <w:tcW w:w="1052"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4,358</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6.95%</w:t>
            </w:r>
          </w:p>
        </w:tc>
        <w:tc>
          <w:tcPr>
            <w:tcW w:w="1350"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73</w:t>
            </w:r>
          </w:p>
        </w:tc>
        <w:tc>
          <w:tcPr>
            <w:tcW w:w="1057"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942</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10,162</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21.62%</w:t>
            </w:r>
          </w:p>
        </w:tc>
      </w:tr>
      <w:tr w:rsidR="00C96088" w:rsidRPr="003A3EE5" w:rsidTr="007E50AE">
        <w:trPr>
          <w:trHeight w:val="288"/>
          <w:jc w:val="center"/>
        </w:trPr>
        <w:tc>
          <w:tcPr>
            <w:tcW w:w="1170" w:type="dxa"/>
            <w:vMerge/>
            <w:shd w:val="clear" w:color="auto" w:fill="CCEAF9" w:themeFill="accent1" w:themeFillTint="33"/>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auto"/>
            <w:tcMar>
              <w:top w:w="12" w:type="dxa"/>
              <w:left w:w="58" w:type="dxa"/>
              <w:bottom w:w="0" w:type="dxa"/>
              <w:right w:w="12" w:type="dxa"/>
            </w:tcMar>
            <w:vAlign w:val="center"/>
            <w:hideMark/>
          </w:tcPr>
          <w:p w:rsidR="002922F4" w:rsidRPr="00842970" w:rsidRDefault="002922F4" w:rsidP="00842970">
            <w:pPr>
              <w:keepNext/>
              <w:keepLines/>
              <w:suppressAutoHyphens/>
              <w:adjustRightInd/>
              <w:spacing w:before="40" w:after="40" w:line="260" w:lineRule="exact"/>
              <w:textAlignment w:val="auto"/>
              <w:rPr>
                <w:rFonts w:asciiTheme="minorHAnsi" w:hAnsiTheme="minorHAnsi" w:cs="Arial"/>
                <w:sz w:val="18"/>
                <w:szCs w:val="18"/>
              </w:rPr>
            </w:pPr>
            <w:r w:rsidRPr="00842970">
              <w:rPr>
                <w:rFonts w:asciiTheme="minorHAnsi" w:eastAsiaTheme="minorEastAsia" w:hAnsiTheme="minorHAnsi" w:cstheme="minorBidi"/>
                <w:kern w:val="24"/>
                <w:sz w:val="18"/>
                <w:szCs w:val="18"/>
              </w:rPr>
              <w:t>Onshore Less EE/PV</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63,983</w:t>
            </w:r>
          </w:p>
        </w:tc>
        <w:tc>
          <w:tcPr>
            <w:tcW w:w="1052"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10,358</w:t>
            </w:r>
          </w:p>
        </w:tc>
        <w:tc>
          <w:tcPr>
            <w:tcW w:w="1081"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16.19%</w:t>
            </w:r>
          </w:p>
        </w:tc>
        <w:tc>
          <w:tcPr>
            <w:tcW w:w="1350"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6,346</w:t>
            </w:r>
          </w:p>
        </w:tc>
        <w:tc>
          <w:tcPr>
            <w:tcW w:w="1057"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9,209</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25,060</w:t>
            </w:r>
          </w:p>
        </w:tc>
        <w:tc>
          <w:tcPr>
            <w:tcW w:w="1093" w:type="dxa"/>
            <w:shd w:val="clear" w:color="auto" w:fill="auto"/>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88.91%</w:t>
            </w:r>
          </w:p>
        </w:tc>
      </w:tr>
      <w:tr w:rsidR="00C96088" w:rsidRPr="003A3EE5" w:rsidTr="007E50AE">
        <w:trPr>
          <w:trHeight w:val="288"/>
          <w:jc w:val="center"/>
        </w:trPr>
        <w:tc>
          <w:tcPr>
            <w:tcW w:w="1170" w:type="dxa"/>
            <w:vMerge/>
            <w:shd w:val="clear" w:color="auto" w:fill="CCEAF9" w:themeFill="accent1" w:themeFillTint="33"/>
            <w:tcMar>
              <w:left w:w="58" w:type="dxa"/>
            </w:tcMar>
            <w:vAlign w:val="center"/>
            <w:hideMark/>
          </w:tcPr>
          <w:p w:rsidR="002922F4" w:rsidRPr="00842970" w:rsidRDefault="002922F4" w:rsidP="00842970">
            <w:pPr>
              <w:keepNext/>
              <w:keepLines/>
              <w:suppressAutoHyphens/>
              <w:adjustRightInd/>
              <w:spacing w:after="0" w:line="240" w:lineRule="auto"/>
              <w:textAlignment w:val="auto"/>
              <w:rPr>
                <w:rFonts w:asciiTheme="minorHAnsi" w:hAnsiTheme="minorHAnsi" w:cs="Arial"/>
                <w:sz w:val="18"/>
                <w:szCs w:val="18"/>
              </w:rPr>
            </w:pPr>
          </w:p>
        </w:tc>
        <w:tc>
          <w:tcPr>
            <w:tcW w:w="1186" w:type="dxa"/>
            <w:shd w:val="clear" w:color="auto" w:fill="CCEAF9" w:themeFill="accent1" w:themeFillTint="33"/>
            <w:tcMar>
              <w:top w:w="12" w:type="dxa"/>
              <w:left w:w="58" w:type="dxa"/>
              <w:bottom w:w="0" w:type="dxa"/>
              <w:right w:w="12" w:type="dxa"/>
            </w:tcMar>
            <w:vAlign w:val="center"/>
            <w:hideMark/>
          </w:tcPr>
          <w:p w:rsidR="002922F4" w:rsidRPr="00842970" w:rsidRDefault="00AF6389" w:rsidP="00842970">
            <w:pPr>
              <w:keepNext/>
              <w:keepLines/>
              <w:suppressAutoHyphens/>
              <w:adjustRightInd/>
              <w:spacing w:before="40" w:after="40" w:line="260" w:lineRule="exact"/>
              <w:textAlignment w:val="auto"/>
              <w:rPr>
                <w:rFonts w:asciiTheme="minorHAnsi" w:hAnsiTheme="minorHAnsi" w:cs="Arial"/>
                <w:sz w:val="18"/>
                <w:szCs w:val="18"/>
              </w:rPr>
            </w:pPr>
            <w:r>
              <w:rPr>
                <w:rFonts w:asciiTheme="minorHAnsi" w:eastAsiaTheme="minorEastAsia" w:hAnsiTheme="minorHAnsi" w:cstheme="minorBidi"/>
                <w:kern w:val="24"/>
                <w:sz w:val="18"/>
                <w:szCs w:val="18"/>
              </w:rPr>
              <w:t>Wind Less Nuclear</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92,517</w:t>
            </w:r>
          </w:p>
        </w:tc>
        <w:tc>
          <w:tcPr>
            <w:tcW w:w="1052"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16,664</w:t>
            </w:r>
          </w:p>
        </w:tc>
        <w:tc>
          <w:tcPr>
            <w:tcW w:w="1081"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18.01%</w:t>
            </w:r>
          </w:p>
        </w:tc>
        <w:tc>
          <w:tcPr>
            <w:tcW w:w="1350"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10,148</w:t>
            </w:r>
          </w:p>
        </w:tc>
        <w:tc>
          <w:tcPr>
            <w:tcW w:w="1057"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14,466</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31,099</w:t>
            </w:r>
          </w:p>
        </w:tc>
        <w:tc>
          <w:tcPr>
            <w:tcW w:w="1093" w:type="dxa"/>
            <w:shd w:val="clear" w:color="auto" w:fill="CCEAF9" w:themeFill="accent1" w:themeFillTint="33"/>
            <w:tcMar>
              <w:top w:w="0" w:type="dxa"/>
              <w:left w:w="58" w:type="dxa"/>
              <w:bottom w:w="0" w:type="dxa"/>
              <w:right w:w="216" w:type="dxa"/>
            </w:tcMar>
            <w:vAlign w:val="center"/>
            <w:hideMark/>
          </w:tcPr>
          <w:p w:rsidR="002922F4" w:rsidRPr="00842970" w:rsidRDefault="002922F4" w:rsidP="00842970">
            <w:pPr>
              <w:keepNext/>
              <w:keepLines/>
              <w:suppressAutoHyphens/>
              <w:adjustRightInd/>
              <w:spacing w:after="0" w:line="240" w:lineRule="auto"/>
              <w:jc w:val="right"/>
              <w:textAlignment w:val="bottom"/>
              <w:rPr>
                <w:rFonts w:asciiTheme="minorHAnsi" w:hAnsiTheme="minorHAnsi" w:cs="Arial"/>
                <w:sz w:val="18"/>
                <w:szCs w:val="18"/>
              </w:rPr>
            </w:pPr>
            <w:r w:rsidRPr="00842970">
              <w:rPr>
                <w:rFonts w:asciiTheme="minorHAnsi" w:hAnsiTheme="minorHAnsi" w:cs="Arial"/>
                <w:kern w:val="24"/>
                <w:sz w:val="18"/>
                <w:szCs w:val="18"/>
              </w:rPr>
              <w:t>86.81%</w:t>
            </w:r>
          </w:p>
        </w:tc>
      </w:tr>
    </w:tbl>
    <w:p w:rsidR="002922F4" w:rsidRPr="00842970" w:rsidRDefault="002922F4" w:rsidP="007E50AE">
      <w:pPr>
        <w:keepNext/>
        <w:keepLines/>
        <w:suppressAutoHyphens/>
        <w:spacing w:before="120" w:after="80" w:line="240" w:lineRule="auto"/>
        <w:ind w:left="270" w:hanging="630"/>
        <w:rPr>
          <w:rFonts w:asciiTheme="majorHAnsi" w:hAnsiTheme="majorHAnsi"/>
          <w:sz w:val="16"/>
          <w:szCs w:val="16"/>
        </w:rPr>
      </w:pPr>
      <w:r w:rsidRPr="00842970">
        <w:rPr>
          <w:rFonts w:asciiTheme="majorHAnsi" w:hAnsiTheme="majorHAnsi"/>
          <w:sz w:val="16"/>
          <w:szCs w:val="16"/>
        </w:rPr>
        <w:t>(a) % of Total Renewable Spilled = Total Spilled (GWh)/Renewable Energy Profile (GWh)</w:t>
      </w:r>
      <w:r w:rsidR="00C96088">
        <w:rPr>
          <w:rFonts w:asciiTheme="majorHAnsi" w:hAnsiTheme="majorHAnsi"/>
          <w:sz w:val="16"/>
          <w:szCs w:val="16"/>
        </w:rPr>
        <w:t>.</w:t>
      </w:r>
    </w:p>
    <w:p w:rsidR="002922F4" w:rsidRPr="00842970" w:rsidRDefault="002922F4" w:rsidP="007E50AE">
      <w:pPr>
        <w:keepNext/>
        <w:keepLines/>
        <w:suppressAutoHyphens/>
        <w:spacing w:after="80" w:line="240" w:lineRule="auto"/>
        <w:ind w:left="270" w:hanging="630"/>
        <w:rPr>
          <w:rFonts w:asciiTheme="majorHAnsi" w:hAnsiTheme="majorHAnsi"/>
          <w:sz w:val="16"/>
          <w:szCs w:val="16"/>
        </w:rPr>
      </w:pPr>
      <w:r w:rsidRPr="00842970">
        <w:rPr>
          <w:rFonts w:asciiTheme="majorHAnsi" w:hAnsiTheme="majorHAnsi"/>
          <w:sz w:val="16"/>
          <w:szCs w:val="16"/>
        </w:rPr>
        <w:t>(b) Total Spilled Due to Transmission Constraints</w:t>
      </w:r>
      <w:r w:rsidR="00E47C9C">
        <w:rPr>
          <w:rFonts w:asciiTheme="majorHAnsi" w:hAnsiTheme="majorHAnsi"/>
          <w:sz w:val="16"/>
          <w:szCs w:val="16"/>
        </w:rPr>
        <w:t xml:space="preserve"> =</w:t>
      </w:r>
      <w:r w:rsidRPr="00842970">
        <w:rPr>
          <w:rFonts w:asciiTheme="majorHAnsi" w:hAnsiTheme="majorHAnsi"/>
          <w:sz w:val="16"/>
          <w:szCs w:val="16"/>
        </w:rPr>
        <w:t xml:space="preserve"> the difference of the total spilled between the constrained and unconstrained cases</w:t>
      </w:r>
      <w:r w:rsidR="00C96088">
        <w:rPr>
          <w:rFonts w:asciiTheme="majorHAnsi" w:hAnsiTheme="majorHAnsi"/>
          <w:sz w:val="16"/>
          <w:szCs w:val="16"/>
        </w:rPr>
        <w:t>.</w:t>
      </w:r>
    </w:p>
    <w:p w:rsidR="002922F4" w:rsidRPr="00245E69" w:rsidRDefault="002922F4" w:rsidP="0071144D">
      <w:pPr>
        <w:suppressAutoHyphens/>
        <w:spacing w:line="240" w:lineRule="auto"/>
        <w:ind w:left="270" w:hanging="630"/>
        <w:rPr>
          <w:rFonts w:asciiTheme="majorHAnsi" w:hAnsiTheme="majorHAnsi"/>
          <w:sz w:val="16"/>
          <w:szCs w:val="16"/>
        </w:rPr>
      </w:pPr>
      <w:r w:rsidRPr="00245E69">
        <w:rPr>
          <w:rFonts w:asciiTheme="majorHAnsi" w:hAnsiTheme="majorHAnsi"/>
          <w:sz w:val="16"/>
          <w:szCs w:val="16"/>
        </w:rPr>
        <w:t>(c) % of Total Renewable Spilled North of Surowiec</w:t>
      </w:r>
      <w:r w:rsidR="00245E69">
        <w:rPr>
          <w:rFonts w:asciiTheme="majorHAnsi" w:hAnsiTheme="majorHAnsi"/>
          <w:sz w:val="16"/>
          <w:szCs w:val="16"/>
        </w:rPr>
        <w:t xml:space="preserve"> </w:t>
      </w:r>
      <w:r w:rsidRPr="00245E69">
        <w:rPr>
          <w:rFonts w:asciiTheme="majorHAnsi" w:hAnsiTheme="majorHAnsi"/>
          <w:sz w:val="16"/>
          <w:szCs w:val="16"/>
        </w:rPr>
        <w:t>South = Total Spilled North of Surowiec</w:t>
      </w:r>
      <w:r w:rsidR="00245E69">
        <w:rPr>
          <w:rFonts w:asciiTheme="majorHAnsi" w:hAnsiTheme="majorHAnsi"/>
          <w:sz w:val="16"/>
          <w:szCs w:val="16"/>
        </w:rPr>
        <w:t xml:space="preserve"> </w:t>
      </w:r>
      <w:r w:rsidRPr="00245E69">
        <w:rPr>
          <w:rFonts w:asciiTheme="majorHAnsi" w:hAnsiTheme="majorHAnsi"/>
          <w:sz w:val="16"/>
          <w:szCs w:val="16"/>
        </w:rPr>
        <w:t>South (GWh) / Total Spilled (GWh)</w:t>
      </w:r>
    </w:p>
    <w:p w:rsidR="005A4E41" w:rsidRDefault="005D6286" w:rsidP="0071144D">
      <w:r>
        <w:t xml:space="preserve">The results show that </w:t>
      </w:r>
      <w:r w:rsidR="00261826">
        <w:t xml:space="preserve">the </w:t>
      </w:r>
      <w:r>
        <w:t>large</w:t>
      </w:r>
      <w:r w:rsidR="00A270FA">
        <w:t>-</w:t>
      </w:r>
      <w:r>
        <w:t xml:space="preserve">scale development of remote resources requires transmission additions to avoid </w:t>
      </w:r>
      <w:r w:rsidRPr="001B6579">
        <w:t>spillage.</w:t>
      </w:r>
      <w:r w:rsidR="008B0172" w:rsidRPr="00461A62">
        <w:t xml:space="preserve"> </w:t>
      </w:r>
      <w:r w:rsidRPr="001B6579">
        <w:t>Conversely</w:t>
      </w:r>
      <w:r>
        <w:t xml:space="preserve">, the development of resources near load centers in southern New England avoids spillage of renewable energy </w:t>
      </w:r>
      <w:r w:rsidRPr="00D11A72">
        <w:t>and</w:t>
      </w:r>
      <w:r w:rsidR="00877F3D" w:rsidRPr="00D11A72">
        <w:t xml:space="preserve"> </w:t>
      </w:r>
      <w:r w:rsidR="00261826" w:rsidRPr="00D11A72">
        <w:t>diminishes</w:t>
      </w:r>
      <w:r w:rsidRPr="00D11A72">
        <w:t xml:space="preserve"> </w:t>
      </w:r>
      <w:r w:rsidR="00A270FA" w:rsidRPr="00D11A72">
        <w:t>the</w:t>
      </w:r>
      <w:r w:rsidR="00A270FA">
        <w:t xml:space="preserve"> </w:t>
      </w:r>
      <w:r>
        <w:t xml:space="preserve">need for transmission development to avoid congestion. </w:t>
      </w:r>
    </w:p>
    <w:p w:rsidR="008501BD" w:rsidRDefault="00216A04" w:rsidP="007F5623">
      <w:r w:rsidRPr="00216A04">
        <w:t xml:space="preserve">Across all </w:t>
      </w:r>
      <w:r w:rsidRPr="00842970">
        <w:t>scenarios</w:t>
      </w:r>
      <w:r w:rsidR="00D02E72" w:rsidRPr="00842970">
        <w:t>,</w:t>
      </w:r>
      <w:r w:rsidRPr="00842970">
        <w:t xml:space="preserve"> some renewables are spilled when </w:t>
      </w:r>
      <w:r w:rsidR="00B363B8" w:rsidRPr="00842970">
        <w:t xml:space="preserve">the supply from </w:t>
      </w:r>
      <w:r w:rsidRPr="00842970">
        <w:t>renewable</w:t>
      </w:r>
      <w:r w:rsidR="00B363B8" w:rsidRPr="00842970">
        <w:t>s</w:t>
      </w:r>
      <w:r w:rsidRPr="00842970">
        <w:t xml:space="preserve"> plus nuclear exceeds load consumption in the unconstrained transmission cases. </w:t>
      </w:r>
      <w:r w:rsidR="003838A3" w:rsidRPr="00842970">
        <w:t xml:space="preserve">Adding </w:t>
      </w:r>
      <w:r w:rsidR="00FE4199" w:rsidRPr="00842970">
        <w:t>large</w:t>
      </w:r>
      <w:r w:rsidR="003838A3" w:rsidRPr="00842970">
        <w:t xml:space="preserve"> amounts </w:t>
      </w:r>
      <w:r w:rsidR="00172409">
        <w:t>o</w:t>
      </w:r>
      <w:r w:rsidR="00FE4199" w:rsidRPr="00842970">
        <w:t xml:space="preserve">f asynchronous resources (PV, wind, and HVDC imports) and energy efficiency </w:t>
      </w:r>
      <w:r w:rsidR="008B0172" w:rsidRPr="00842970">
        <w:t xml:space="preserve">would </w:t>
      </w:r>
      <w:r w:rsidR="00FE4199" w:rsidRPr="00842970">
        <w:t>require physical improvements to the system</w:t>
      </w:r>
      <w:r w:rsidR="008B0172" w:rsidRPr="00842970">
        <w:t xml:space="preserve"> to avoid spilling energy produced by renewable resources</w:t>
      </w:r>
      <w:r w:rsidR="00CE71C0" w:rsidRPr="00842970">
        <w:t>, as discussed in</w:t>
      </w:r>
      <w:r w:rsidR="00481760">
        <w:t xml:space="preserve"> Section</w:t>
      </w:r>
      <w:r w:rsidR="00CE71C0" w:rsidRPr="00842970">
        <w:t xml:space="preserve"> </w:t>
      </w:r>
      <w:r w:rsidR="00CE71C0" w:rsidRPr="00842970">
        <w:fldChar w:fldCharType="begin"/>
      </w:r>
      <w:r w:rsidR="00CE71C0" w:rsidRPr="00842970">
        <w:instrText xml:space="preserve"> REF _Ref487200524 \n \h  \* MERGEFORMAT </w:instrText>
      </w:r>
      <w:r w:rsidR="00CE71C0" w:rsidRPr="00842970">
        <w:fldChar w:fldCharType="separate"/>
      </w:r>
      <w:r w:rsidR="00872A95">
        <w:t>6.2</w:t>
      </w:r>
      <w:r w:rsidR="00CE71C0" w:rsidRPr="00842970">
        <w:fldChar w:fldCharType="end"/>
      </w:r>
      <w:r w:rsidR="00396E23" w:rsidRPr="00842970">
        <w:t xml:space="preserve">. </w:t>
      </w:r>
      <w:r w:rsidR="00101BC9" w:rsidRPr="00842970">
        <w:t>Additionally, s</w:t>
      </w:r>
      <w:r w:rsidR="00FE4199" w:rsidRPr="00842970">
        <w:t xml:space="preserve">torage may operate differently than in the </w:t>
      </w:r>
      <w:r w:rsidR="00C2138D" w:rsidRPr="00842970">
        <w:t>current system</w:t>
      </w:r>
      <w:r w:rsidR="00396E23" w:rsidRPr="00842970">
        <w:t>, which predominantly stores during the off</w:t>
      </w:r>
      <w:r w:rsidR="00842970" w:rsidRPr="00842970">
        <w:t>-</w:t>
      </w:r>
      <w:r w:rsidR="00396E23" w:rsidRPr="00842970">
        <w:t xml:space="preserve">peak evening hours and discharges during daytime early evening hours. Overall, the system </w:t>
      </w:r>
      <w:r w:rsidR="00101BC9" w:rsidRPr="00842970">
        <w:t xml:space="preserve">would </w:t>
      </w:r>
      <w:r w:rsidR="00FE4199" w:rsidRPr="00842970">
        <w:t xml:space="preserve">require </w:t>
      </w:r>
      <w:r w:rsidR="00396E23" w:rsidRPr="00842970">
        <w:t xml:space="preserve">applications of </w:t>
      </w:r>
      <w:r w:rsidR="00FE4199" w:rsidRPr="00842970">
        <w:t>special controls.</w:t>
      </w:r>
      <w:r w:rsidR="00FE4199" w:rsidRPr="00FE4199">
        <w:t xml:space="preserve"> </w:t>
      </w:r>
    </w:p>
    <w:p w:rsidR="00803F1A" w:rsidRPr="00BD2B3A" w:rsidRDefault="00490D79" w:rsidP="00466FBF">
      <w:pPr>
        <w:pStyle w:val="Heading1"/>
      </w:pPr>
      <w:bookmarkStart w:id="342" w:name="_Ref166224595"/>
      <w:bookmarkStart w:id="343" w:name="_Toc173682315"/>
      <w:bookmarkStart w:id="344" w:name="_Ref462056355"/>
      <w:bookmarkStart w:id="345" w:name="_Ref476319046"/>
      <w:r>
        <w:br/>
      </w:r>
      <w:bookmarkStart w:id="346" w:name="_Toc528571234"/>
      <w:r w:rsidR="00AB524E" w:rsidRPr="00BD2B3A">
        <w:t xml:space="preserve">Summary, </w:t>
      </w:r>
      <w:r w:rsidR="00803F1A" w:rsidRPr="00BD2B3A">
        <w:t>Conclusions</w:t>
      </w:r>
      <w:bookmarkEnd w:id="342"/>
      <w:bookmarkEnd w:id="343"/>
      <w:r w:rsidR="00AB524E" w:rsidRPr="00BD2B3A">
        <w:t xml:space="preserve">, </w:t>
      </w:r>
      <w:r w:rsidR="00EF3801" w:rsidRPr="00BD2B3A">
        <w:t xml:space="preserve">Transitional Issues, </w:t>
      </w:r>
      <w:r w:rsidR="00803F1A" w:rsidRPr="00BD2B3A">
        <w:t>and Next Steps</w:t>
      </w:r>
      <w:bookmarkEnd w:id="344"/>
      <w:bookmarkEnd w:id="345"/>
      <w:bookmarkEnd w:id="346"/>
      <w:r w:rsidR="00803F1A" w:rsidRPr="00BD2B3A">
        <w:t xml:space="preserve"> </w:t>
      </w:r>
    </w:p>
    <w:p w:rsidR="00D81930" w:rsidRDefault="00803F1A" w:rsidP="00803F1A">
      <w:r w:rsidRPr="009A0A73">
        <w:t xml:space="preserve">This section summarizes some of the main results and conclusions of the </w:t>
      </w:r>
      <w:r w:rsidR="006E0F6E" w:rsidRPr="009A0A73">
        <w:t>201</w:t>
      </w:r>
      <w:r w:rsidR="00787016">
        <w:t>7</w:t>
      </w:r>
      <w:r w:rsidR="006E0F6E" w:rsidRPr="009A0A73">
        <w:t xml:space="preserve"> </w:t>
      </w:r>
      <w:r w:rsidR="00787016">
        <w:t>Economic Study</w:t>
      </w:r>
      <w:r w:rsidR="004A0EC4">
        <w:t xml:space="preserve"> </w:t>
      </w:r>
      <w:r w:rsidR="00D81930">
        <w:t xml:space="preserve">that </w:t>
      </w:r>
      <w:r w:rsidR="006E0F6E" w:rsidRPr="007175D2">
        <w:t>assess</w:t>
      </w:r>
      <w:r w:rsidR="00D81930">
        <w:t>ed</w:t>
      </w:r>
      <w:r w:rsidR="006E0F6E" w:rsidRPr="007175D2">
        <w:t xml:space="preserve"> </w:t>
      </w:r>
      <w:r w:rsidR="006E0F6E" w:rsidRPr="001E1293">
        <w:t>the effects of</w:t>
      </w:r>
      <w:r w:rsidR="008D5BFC">
        <w:t xml:space="preserve"> different </w:t>
      </w:r>
      <w:r w:rsidR="00787016">
        <w:t xml:space="preserve">renewable </w:t>
      </w:r>
      <w:r w:rsidR="008D5BFC">
        <w:t>resource</w:t>
      </w:r>
      <w:r w:rsidR="00801283">
        <w:t xml:space="preserve">-expansion </w:t>
      </w:r>
      <w:r w:rsidR="004A0EC4">
        <w:t>mixes</w:t>
      </w:r>
      <w:r w:rsidR="006E0F6E" w:rsidRPr="001E1293">
        <w:t xml:space="preserve"> on the future electric power system</w:t>
      </w:r>
      <w:r w:rsidR="00083AEC">
        <w:t xml:space="preserve"> in New </w:t>
      </w:r>
      <w:r w:rsidR="00083AEC" w:rsidRPr="00BD2B3A">
        <w:t>England</w:t>
      </w:r>
      <w:r w:rsidR="00D81930" w:rsidRPr="00BD2B3A">
        <w:t xml:space="preserve">. </w:t>
      </w:r>
      <w:r w:rsidR="00801283" w:rsidRPr="00BD2B3A">
        <w:t>This section</w:t>
      </w:r>
      <w:r w:rsidR="00D81930" w:rsidRPr="00BD2B3A">
        <w:t xml:space="preserve"> also </w:t>
      </w:r>
      <w:r w:rsidR="00EF3801" w:rsidRPr="00BD2B3A">
        <w:t xml:space="preserve">discusses issues regarding transitioning the grid to the studied scenarios </w:t>
      </w:r>
      <w:r w:rsidR="004577C7" w:rsidRPr="00BD2B3A">
        <w:t>with higher amounts of rene</w:t>
      </w:r>
      <w:r w:rsidR="004577C7" w:rsidRPr="00904178">
        <w:t xml:space="preserve">wables and </w:t>
      </w:r>
      <w:r w:rsidR="00D81930" w:rsidRPr="00B236A3">
        <w:t xml:space="preserve">provides an overview of </w:t>
      </w:r>
      <w:r w:rsidR="00787016" w:rsidRPr="00B236A3">
        <w:t xml:space="preserve">next steps required for </w:t>
      </w:r>
      <w:r w:rsidR="004577C7" w:rsidRPr="00B236A3">
        <w:t>a</w:t>
      </w:r>
      <w:r w:rsidR="00787016" w:rsidRPr="006E01B6">
        <w:t xml:space="preserve"> successful transition</w:t>
      </w:r>
      <w:r w:rsidR="004577C7" w:rsidRPr="006E01B6">
        <w:t>.</w:t>
      </w:r>
      <w:r w:rsidR="00D81930">
        <w:t xml:space="preserve"> </w:t>
      </w:r>
    </w:p>
    <w:p w:rsidR="00803F1A" w:rsidRDefault="00C72C28" w:rsidP="00803F1A">
      <w:r>
        <w:t>T</w:t>
      </w:r>
      <w:r w:rsidR="00803F1A" w:rsidRPr="006E0F6E">
        <w:t>he stakeholder process provided valuable input</w:t>
      </w:r>
      <w:r w:rsidR="00D81930">
        <w:t xml:space="preserve"> to the </w:t>
      </w:r>
      <w:r w:rsidR="00573FED">
        <w:t>s</w:t>
      </w:r>
      <w:r w:rsidR="00D81930">
        <w:t xml:space="preserve">cenario </w:t>
      </w:r>
      <w:r w:rsidR="00573FED">
        <w:t>a</w:t>
      </w:r>
      <w:r w:rsidR="00D81930">
        <w:t>nalysis</w:t>
      </w:r>
      <w:r w:rsidR="00803F1A" w:rsidRPr="006E0F6E">
        <w:t xml:space="preserve">, including the review of the scope of work, assumptions, </w:t>
      </w:r>
      <w:r w:rsidR="006E0F6E" w:rsidRPr="006E0F6E">
        <w:t xml:space="preserve">methodology, </w:t>
      </w:r>
      <w:r w:rsidR="00803F1A" w:rsidRPr="006E0F6E">
        <w:t xml:space="preserve">and draft </w:t>
      </w:r>
      <w:r w:rsidR="006E0F6E" w:rsidRPr="006E0F6E">
        <w:t xml:space="preserve">and final </w:t>
      </w:r>
      <w:r w:rsidR="00803F1A" w:rsidRPr="006E0F6E">
        <w:t>results. Th</w:t>
      </w:r>
      <w:r w:rsidR="006E0F6E" w:rsidRPr="006E0F6E">
        <w:t>is</w:t>
      </w:r>
      <w:r w:rsidR="00803F1A" w:rsidRPr="006E0F6E">
        <w:t xml:space="preserve"> report</w:t>
      </w:r>
      <w:r w:rsidR="006E0F6E" w:rsidRPr="006E0F6E">
        <w:t>,</w:t>
      </w:r>
      <w:r w:rsidR="00803F1A" w:rsidRPr="006E0F6E">
        <w:t xml:space="preserve"> </w:t>
      </w:r>
      <w:r w:rsidR="006E0F6E" w:rsidRPr="006E0F6E">
        <w:t xml:space="preserve">plus posted </w:t>
      </w:r>
      <w:r w:rsidR="00803F1A" w:rsidRPr="00435329">
        <w:t>data</w:t>
      </w:r>
      <w:r w:rsidR="00B17631" w:rsidRPr="00435329">
        <w:t xml:space="preserve">, </w:t>
      </w:r>
      <w:r w:rsidR="00435329" w:rsidRPr="00435329">
        <w:t>tables</w:t>
      </w:r>
      <w:r w:rsidR="00B17631" w:rsidRPr="00435329">
        <w:t>,</w:t>
      </w:r>
      <w:r w:rsidR="00803F1A" w:rsidRPr="00435329">
        <w:t xml:space="preserve"> and spreadsheet</w:t>
      </w:r>
      <w:r w:rsidR="00803F1A" w:rsidRPr="000773BE">
        <w:t>s</w:t>
      </w:r>
      <w:r w:rsidR="006E0F6E" w:rsidRPr="000773BE">
        <w:t>,</w:t>
      </w:r>
      <w:r w:rsidR="006E0F6E" w:rsidRPr="006E0F6E">
        <w:t xml:space="preserve"> </w:t>
      </w:r>
      <w:r w:rsidR="00803F1A" w:rsidRPr="006E0F6E">
        <w:t xml:space="preserve">should </w:t>
      </w:r>
      <w:r w:rsidR="006E0F6E">
        <w:t xml:space="preserve">assist </w:t>
      </w:r>
      <w:r w:rsidR="00803F1A" w:rsidRPr="006E0F6E">
        <w:t xml:space="preserve">stakeholders </w:t>
      </w:r>
      <w:r w:rsidR="006E0F6E">
        <w:t xml:space="preserve">in </w:t>
      </w:r>
      <w:r w:rsidR="00803F1A" w:rsidRPr="006E0F6E">
        <w:t>develop</w:t>
      </w:r>
      <w:r w:rsidR="006E0F6E">
        <w:t xml:space="preserve">ing </w:t>
      </w:r>
      <w:r w:rsidR="00803F1A" w:rsidRPr="006E0F6E">
        <w:t>their own conclusions</w:t>
      </w:r>
      <w:r w:rsidR="006E0F6E">
        <w:t xml:space="preserve">. </w:t>
      </w:r>
    </w:p>
    <w:p w:rsidR="0086695D" w:rsidRDefault="0086695D">
      <w:pPr>
        <w:pStyle w:val="Heading2"/>
      </w:pPr>
      <w:bookmarkStart w:id="347" w:name="_Toc528571235"/>
      <w:r>
        <w:t>Key Observations</w:t>
      </w:r>
      <w:bookmarkEnd w:id="347"/>
    </w:p>
    <w:p w:rsidR="00AB524E" w:rsidRDefault="00083AEC" w:rsidP="00974CB0">
      <w:pPr>
        <w:spacing w:after="120"/>
      </w:pPr>
      <w:r>
        <w:t xml:space="preserve">The </w:t>
      </w:r>
      <w:r w:rsidR="003B3FF9">
        <w:t>2017 Economic Study</w:t>
      </w:r>
      <w:r w:rsidR="00AB524E">
        <w:t xml:space="preserve"> provides many insights into system performance. Disparities</w:t>
      </w:r>
      <w:r w:rsidR="0085003C">
        <w:t xml:space="preserve"> of results</w:t>
      </w:r>
      <w:r w:rsidR="00AB524E">
        <w:t xml:space="preserve"> among the cases </w:t>
      </w:r>
      <w:r w:rsidR="00573FED">
        <w:t xml:space="preserve">are attributable to </w:t>
      </w:r>
      <w:r w:rsidR="00AB524E">
        <w:t>the differences in the resource mixes for 20</w:t>
      </w:r>
      <w:r w:rsidR="003B3FF9">
        <w:t>30</w:t>
      </w:r>
      <w:r w:rsidR="00AB524E">
        <w:t>. Key observat</w:t>
      </w:r>
      <w:r w:rsidR="00C72F49">
        <w:t>i</w:t>
      </w:r>
      <w:r w:rsidR="00AB524E">
        <w:t xml:space="preserve">ons are as follows: </w:t>
      </w:r>
    </w:p>
    <w:p w:rsidR="00576FCF" w:rsidRDefault="001A42B0" w:rsidP="00787016">
      <w:pPr>
        <w:pStyle w:val="ListParagraph"/>
        <w:numPr>
          <w:ilvl w:val="0"/>
          <w:numId w:val="40"/>
        </w:numPr>
      </w:pPr>
      <w:r>
        <w:t xml:space="preserve">The </w:t>
      </w:r>
      <w:r w:rsidR="00112921" w:rsidRPr="003B3FF9">
        <w:t xml:space="preserve">EE + Offshore </w:t>
      </w:r>
      <w:r>
        <w:t xml:space="preserve">scenario </w:t>
      </w:r>
      <w:r w:rsidR="00112921" w:rsidRPr="003B3FF9">
        <w:t>shows the effects of the large-scale development of renewable EE, PV</w:t>
      </w:r>
      <w:r>
        <w:t>,</w:t>
      </w:r>
      <w:r w:rsidR="00112921" w:rsidRPr="003B3FF9">
        <w:t xml:space="preserve"> and offshore wind development in southern New England. </w:t>
      </w:r>
    </w:p>
    <w:p w:rsidR="001A42B0" w:rsidRPr="003B3FF9" w:rsidRDefault="001A42B0" w:rsidP="00364AF5">
      <w:pPr>
        <w:pStyle w:val="ListParagraph"/>
        <w:numPr>
          <w:ilvl w:val="0"/>
          <w:numId w:val="81"/>
        </w:numPr>
      </w:pPr>
      <w:r w:rsidRPr="003B3FF9">
        <w:t>Th</w:t>
      </w:r>
      <w:r>
        <w:t xml:space="preserve">is </w:t>
      </w:r>
      <w:r w:rsidRPr="003B3FF9">
        <w:t xml:space="preserve">scenario </w:t>
      </w:r>
      <w:r w:rsidR="008B73EA">
        <w:t>has the lowest CO</w:t>
      </w:r>
      <w:r w:rsidR="008B73EA" w:rsidRPr="00AB39C3">
        <w:rPr>
          <w:vertAlign w:val="subscript"/>
        </w:rPr>
        <w:t>2</w:t>
      </w:r>
      <w:r w:rsidR="008B73EA">
        <w:t xml:space="preserve"> emissions and, along with the Renew Plus scenario, </w:t>
      </w:r>
      <w:r w:rsidRPr="003B3FF9">
        <w:t xml:space="preserve">meets both the 2.5% and 5% RGGI targets </w:t>
      </w:r>
      <w:r w:rsidR="008B73EA">
        <w:t>for both the constrained and unconstrained cases. The</w:t>
      </w:r>
      <w:r w:rsidRPr="003B3FF9">
        <w:t xml:space="preserve"> </w:t>
      </w:r>
      <w:r w:rsidR="00AB39C3">
        <w:t>r</w:t>
      </w:r>
      <w:r w:rsidRPr="003B3FF9">
        <w:t xml:space="preserve">elative </w:t>
      </w:r>
      <w:r w:rsidR="00AB39C3">
        <w:t>a</w:t>
      </w:r>
      <w:r w:rsidRPr="003B3FF9">
        <w:t xml:space="preserve">nnual </w:t>
      </w:r>
      <w:r w:rsidR="00AB39C3">
        <w:t>r</w:t>
      </w:r>
      <w:r w:rsidRPr="003B3FF9">
        <w:t xml:space="preserve">esource </w:t>
      </w:r>
      <w:r w:rsidR="00AB39C3">
        <w:t>c</w:t>
      </w:r>
      <w:r w:rsidRPr="003B3FF9">
        <w:t xml:space="preserve">ost (RARC) </w:t>
      </w:r>
      <w:r w:rsidR="008B73EA">
        <w:t xml:space="preserve">for the EE + Offshore scenario is </w:t>
      </w:r>
      <w:r w:rsidRPr="003B3FF9">
        <w:t>similar to the reference RARC (</w:t>
      </w:r>
      <w:r>
        <w:t>the Renew Plus s</w:t>
      </w:r>
      <w:r w:rsidRPr="003B3FF9">
        <w:t>cenario</w:t>
      </w:r>
      <w:r w:rsidR="004A52FA">
        <w:t xml:space="preserve">, </w:t>
      </w:r>
      <w:r>
        <w:t xml:space="preserve">2016 NEPOOL Scenario Analysis </w:t>
      </w:r>
      <w:r w:rsidRPr="003B3FF9">
        <w:t>3).</w:t>
      </w:r>
    </w:p>
    <w:p w:rsidR="00576FCF" w:rsidRDefault="001A42B0" w:rsidP="003B3FF9">
      <w:pPr>
        <w:pStyle w:val="ListParagraph"/>
        <w:numPr>
          <w:ilvl w:val="0"/>
          <w:numId w:val="40"/>
        </w:numPr>
      </w:pPr>
      <w:r>
        <w:t xml:space="preserve">The </w:t>
      </w:r>
      <w:r w:rsidR="00112921" w:rsidRPr="003B3FF9">
        <w:t xml:space="preserve">Onshore Less EE/PV </w:t>
      </w:r>
      <w:r>
        <w:t xml:space="preserve">scenario </w:t>
      </w:r>
      <w:r w:rsidR="00112921" w:rsidRPr="003B3FF9">
        <w:t xml:space="preserve">demonstrates how the large-scale addition of onshore wind resources in northern New England affects the system metrics. </w:t>
      </w:r>
    </w:p>
    <w:p w:rsidR="001A42B0" w:rsidRPr="003B3FF9" w:rsidRDefault="001A42B0" w:rsidP="00364AF5">
      <w:pPr>
        <w:pStyle w:val="ListParagraph"/>
        <w:numPr>
          <w:ilvl w:val="1"/>
          <w:numId w:val="40"/>
        </w:numPr>
      </w:pPr>
      <w:r w:rsidRPr="003B3FF9">
        <w:t>Th</w:t>
      </w:r>
      <w:r>
        <w:t xml:space="preserve">is </w:t>
      </w:r>
      <w:r w:rsidRPr="003B3FF9">
        <w:t xml:space="preserve">scenario does not meet the 5% RGGI target but has </w:t>
      </w:r>
      <w:r w:rsidR="001214BB">
        <w:t>the lowest</w:t>
      </w:r>
      <w:r w:rsidRPr="003B3FF9">
        <w:t xml:space="preserve"> RARC</w:t>
      </w:r>
    </w:p>
    <w:p w:rsidR="00576FCF" w:rsidRPr="003B3FF9" w:rsidRDefault="001A42B0" w:rsidP="003B3FF9">
      <w:pPr>
        <w:pStyle w:val="ListParagraph"/>
        <w:numPr>
          <w:ilvl w:val="0"/>
          <w:numId w:val="40"/>
        </w:numPr>
      </w:pPr>
      <w:r>
        <w:t xml:space="preserve">The </w:t>
      </w:r>
      <w:r w:rsidR="00AF6389">
        <w:t>Wind Less Nuclear</w:t>
      </w:r>
      <w:r w:rsidR="00112921" w:rsidRPr="003B3FF9">
        <w:t xml:space="preserve"> </w:t>
      </w:r>
      <w:r>
        <w:t xml:space="preserve">scenario </w:t>
      </w:r>
      <w:r w:rsidR="00112921" w:rsidRPr="003B3FF9">
        <w:t>demonstrates how the large-scale addition of onshore wind resources in northern New England</w:t>
      </w:r>
      <w:r>
        <w:t>,</w:t>
      </w:r>
      <w:r w:rsidR="00112921" w:rsidRPr="003B3FF9">
        <w:t xml:space="preserve"> combined with the loss of baseload nuclear generation</w:t>
      </w:r>
      <w:r>
        <w:t>,</w:t>
      </w:r>
      <w:r w:rsidR="00112921" w:rsidRPr="003B3FF9">
        <w:t xml:space="preserve"> affects the system metrics. </w:t>
      </w:r>
    </w:p>
    <w:p w:rsidR="00576FCF" w:rsidRPr="003B3FF9" w:rsidRDefault="00112921" w:rsidP="00364AF5">
      <w:pPr>
        <w:pStyle w:val="ListParagraph"/>
        <w:numPr>
          <w:ilvl w:val="1"/>
          <w:numId w:val="40"/>
        </w:numPr>
      </w:pPr>
      <w:r w:rsidRPr="003B3FF9">
        <w:t>Th</w:t>
      </w:r>
      <w:r w:rsidR="001A42B0">
        <w:t xml:space="preserve">is </w:t>
      </w:r>
      <w:r w:rsidRPr="003B3FF9">
        <w:t>scenario does not meet the 5% RGGI target, and its RARC is higher than the reference RARC.</w:t>
      </w:r>
    </w:p>
    <w:p w:rsidR="00DB78D4" w:rsidRDefault="00F77B7E" w:rsidP="00F77B7E">
      <w:pPr>
        <w:pStyle w:val="ListParagraph"/>
        <w:numPr>
          <w:ilvl w:val="0"/>
          <w:numId w:val="40"/>
        </w:numPr>
      </w:pPr>
      <w:r>
        <w:t xml:space="preserve">The retirement of resources and the large-scale development of renewable resources in northern New England could trigger investment in the transmission system and special controls. </w:t>
      </w:r>
    </w:p>
    <w:p w:rsidR="00F77B7E" w:rsidRDefault="00F77B7E" w:rsidP="00F77B7E">
      <w:pPr>
        <w:pStyle w:val="ListParagraph"/>
        <w:numPr>
          <w:ilvl w:val="0"/>
          <w:numId w:val="40"/>
        </w:numPr>
      </w:pPr>
      <w:r>
        <w:t xml:space="preserve">More generally, the large-scale development of inverter-based resources throughout the system </w:t>
      </w:r>
      <w:r w:rsidRPr="006D7D8E">
        <w:t>poses</w:t>
      </w:r>
      <w:r>
        <w:t xml:space="preserve"> major technical and economic </w:t>
      </w:r>
      <w:r w:rsidR="00C65248">
        <w:t xml:space="preserve">challenges </w:t>
      </w:r>
      <w:r>
        <w:t xml:space="preserve">that must be addressed. </w:t>
      </w:r>
    </w:p>
    <w:p w:rsidR="00F77B7E" w:rsidRDefault="00F77B7E" w:rsidP="00F77B7E">
      <w:pPr>
        <w:pStyle w:val="ListParagraph"/>
        <w:numPr>
          <w:ilvl w:val="0"/>
          <w:numId w:val="40"/>
        </w:numPr>
      </w:pPr>
      <w:r>
        <w:t xml:space="preserve">Across all scenarios, natural gas remains on the margin most of the time. </w:t>
      </w:r>
    </w:p>
    <w:p w:rsidR="00AB524E" w:rsidRDefault="00C65248" w:rsidP="00AB524E">
      <w:pPr>
        <w:pStyle w:val="ListParagraph"/>
        <w:numPr>
          <w:ilvl w:val="0"/>
          <w:numId w:val="40"/>
        </w:numPr>
      </w:pPr>
      <w:r>
        <w:t xml:space="preserve">While all scenarios meet the 2.5% RGGI target assumed in this analysis, only one of the three </w:t>
      </w:r>
      <w:r w:rsidR="00DB78D4">
        <w:t xml:space="preserve">new 2017 Economic Study </w:t>
      </w:r>
      <w:r>
        <w:t>scenarios meets the 5% RGGI target assumed in this analysis</w:t>
      </w:r>
      <w:r w:rsidR="00D464DF">
        <w:t xml:space="preserve"> for the constrained and unconstrained cases</w:t>
      </w:r>
      <w:r>
        <w:t xml:space="preserve">. </w:t>
      </w:r>
      <w:r w:rsidR="00AB524E">
        <w:t xml:space="preserve">Meeting </w:t>
      </w:r>
      <w:r w:rsidR="00FD2534">
        <w:t xml:space="preserve">regional </w:t>
      </w:r>
      <w:r w:rsidR="00AB524E">
        <w:t xml:space="preserve">RGGI targets </w:t>
      </w:r>
      <w:r w:rsidR="00FD2534">
        <w:t>depend</w:t>
      </w:r>
      <w:r w:rsidR="00A61E41">
        <w:t>s</w:t>
      </w:r>
      <w:r w:rsidR="00FD2534">
        <w:t xml:space="preserve"> on </w:t>
      </w:r>
      <w:r w:rsidR="00AB524E">
        <w:t>the large</w:t>
      </w:r>
      <w:r w:rsidR="00C55428">
        <w:t>-</w:t>
      </w:r>
      <w:r w:rsidR="00AB524E">
        <w:t>scale development of renewable resources</w:t>
      </w:r>
      <w:r w:rsidR="00FD2534">
        <w:t xml:space="preserve"> within or deliverable to New England</w:t>
      </w:r>
      <w:r w:rsidR="00A61E41">
        <w:t xml:space="preserve"> and the compliance flexibility of the program</w:t>
      </w:r>
      <w:r w:rsidR="00AB524E">
        <w:t>.</w:t>
      </w:r>
    </w:p>
    <w:p w:rsidR="00DB78D4" w:rsidRDefault="00AB524E" w:rsidP="006E01B6">
      <w:pPr>
        <w:pStyle w:val="ListParagraph"/>
        <w:numPr>
          <w:ilvl w:val="0"/>
          <w:numId w:val="40"/>
        </w:numPr>
      </w:pPr>
      <w:r>
        <w:t>Resource development</w:t>
      </w:r>
      <w:r w:rsidR="00583654">
        <w:t>,</w:t>
      </w:r>
      <w:r>
        <w:t xml:space="preserve"> </w:t>
      </w:r>
      <w:r w:rsidR="00583654">
        <w:t xml:space="preserve">including renewable resources and energy efficiency, </w:t>
      </w:r>
      <w:r>
        <w:t>near New England’s load centers in southern New England</w:t>
      </w:r>
      <w:r w:rsidR="00583654">
        <w:t xml:space="preserve"> </w:t>
      </w:r>
      <w:r w:rsidR="00FD2534">
        <w:t>reduces</w:t>
      </w:r>
      <w:r>
        <w:t xml:space="preserve"> the need for transmission expansion. </w:t>
      </w:r>
      <w:r w:rsidR="00064FD8">
        <w:t>For example, p</w:t>
      </w:r>
      <w:r>
        <w:t>otential offshore wind resources are in electrically favorable locations</w:t>
      </w:r>
      <w:r w:rsidR="00583654">
        <w:t>,</w:t>
      </w:r>
      <w:r w:rsidR="00064FD8">
        <w:t xml:space="preserve"> and</w:t>
      </w:r>
      <w:r w:rsidR="00F01E3B">
        <w:t xml:space="preserve"> </w:t>
      </w:r>
      <w:r w:rsidR="00064FD8">
        <w:t>t</w:t>
      </w:r>
      <w:r w:rsidR="00F01E3B">
        <w:t xml:space="preserve">heir interconnection to strategic locations in southern New England </w:t>
      </w:r>
      <w:r w:rsidR="00FD2534">
        <w:t xml:space="preserve">would reduce </w:t>
      </w:r>
      <w:r w:rsidR="00F01E3B">
        <w:t xml:space="preserve">the need for other transmission expansion. </w:t>
      </w:r>
      <w:bookmarkStart w:id="348" w:name="_Ref480889374"/>
    </w:p>
    <w:p w:rsidR="00EF3801" w:rsidRPr="00BD2B3A" w:rsidRDefault="00EF3801">
      <w:pPr>
        <w:pStyle w:val="Heading2"/>
      </w:pPr>
      <w:bookmarkStart w:id="349" w:name="_Toc528571236"/>
      <w:r w:rsidRPr="00BD2B3A">
        <w:t>Transitional Issues</w:t>
      </w:r>
      <w:bookmarkEnd w:id="349"/>
    </w:p>
    <w:p w:rsidR="00EF3801" w:rsidRPr="00BD2B3A" w:rsidRDefault="00EF3801" w:rsidP="00974CB0">
      <w:pPr>
        <w:spacing w:after="120"/>
        <w:rPr>
          <w:b/>
        </w:rPr>
      </w:pPr>
      <w:r w:rsidRPr="00BD2B3A">
        <w:t xml:space="preserve">The study does not address </w:t>
      </w:r>
      <w:r w:rsidRPr="006E01B6">
        <w:t>transitions to the studied scenarios, which could raise several issues that would need to be addressed. As background, the North American Electric Reliability Corporation (NERC) Long-Term Reliability Assessment recommended that policymakers and regulators take these actions:</w:t>
      </w:r>
      <w:r w:rsidRPr="00BD2B3A">
        <w:rPr>
          <w:rStyle w:val="FootnoteReference"/>
        </w:rPr>
        <w:footnoteReference w:id="62"/>
      </w:r>
    </w:p>
    <w:p w:rsidR="00EF3801" w:rsidRPr="00B236A3" w:rsidRDefault="00EF3801" w:rsidP="00EF3801">
      <w:pPr>
        <w:pStyle w:val="ListParagraph"/>
        <w:numPr>
          <w:ilvl w:val="0"/>
          <w:numId w:val="80"/>
        </w:numPr>
      </w:pPr>
      <w:r w:rsidRPr="00904178">
        <w:t>Recognize the lead time for</w:t>
      </w:r>
      <w:r w:rsidRPr="00B236A3">
        <w:t xml:space="preserve"> the development of generation, transmission, and natural gas infrastructure needed to maintain reliability as industry strives to meet policy goals and initiatives.</w:t>
      </w:r>
    </w:p>
    <w:p w:rsidR="00EF3801" w:rsidRPr="00B236A3" w:rsidRDefault="00EF3801" w:rsidP="00EF3801">
      <w:pPr>
        <w:pStyle w:val="ListParagraph"/>
        <w:numPr>
          <w:ilvl w:val="0"/>
          <w:numId w:val="80"/>
        </w:numPr>
      </w:pPr>
      <w:r w:rsidRPr="00B236A3">
        <w:t>Consider industry study recommendations when reviewing infrastructure requirements.</w:t>
      </w:r>
    </w:p>
    <w:p w:rsidR="00EF3801" w:rsidRPr="006E01B6" w:rsidRDefault="00EF3801" w:rsidP="00EF3801">
      <w:pPr>
        <w:pStyle w:val="ListParagraph"/>
        <w:numPr>
          <w:ilvl w:val="0"/>
          <w:numId w:val="80"/>
        </w:numPr>
        <w:spacing w:after="240"/>
      </w:pPr>
      <w:r w:rsidRPr="00B236A3">
        <w:t>Focus on reliability and resilience attributes to limit exposure to risk.</w:t>
      </w:r>
    </w:p>
    <w:p w:rsidR="004C7A46" w:rsidRPr="004C7A46" w:rsidRDefault="004C7A46" w:rsidP="006E01B6">
      <w:pPr>
        <w:pStyle w:val="ListParagraph"/>
        <w:ind w:left="0"/>
      </w:pPr>
      <w:r w:rsidRPr="006E01B6">
        <w:t>Additionally, as shown in the 2016 NEPOOL Scenario Analysis, scenarios incorporating higher levels of low- or zero-cost energy resources into the system, such as those studied in this analysis. may develop revenue-adequacy issues. In these instances, the general reduction in the hourly LMP may lower a typical new resource’s annual net wholesale energy market revenues to a point where it may not cover the resources’ annual carrying charges.</w:t>
      </w:r>
      <w:r w:rsidRPr="006E01B6">
        <w:rPr>
          <w:rStyle w:val="FootnoteReference"/>
        </w:rPr>
        <w:t xml:space="preserve"> </w:t>
      </w:r>
      <w:r w:rsidRPr="006E01B6">
        <w:rPr>
          <w:rStyle w:val="FootnoteReference"/>
        </w:rPr>
        <w:footnoteReference w:id="63"/>
      </w:r>
      <w:r>
        <w:t xml:space="preserve"> </w:t>
      </w:r>
    </w:p>
    <w:p w:rsidR="00D93D1D" w:rsidRPr="00D11A72" w:rsidRDefault="00D93D1D">
      <w:pPr>
        <w:pStyle w:val="Heading2"/>
      </w:pPr>
      <w:bookmarkStart w:id="350" w:name="_Toc528571237"/>
      <w:r w:rsidRPr="00D11A72">
        <w:t xml:space="preserve">Next </w:t>
      </w:r>
      <w:r w:rsidR="006E0F6E" w:rsidRPr="00D11A72">
        <w:t>S</w:t>
      </w:r>
      <w:r w:rsidRPr="00D11A72">
        <w:t>teps</w:t>
      </w:r>
      <w:bookmarkEnd w:id="348"/>
      <w:bookmarkEnd w:id="350"/>
    </w:p>
    <w:p w:rsidR="00E0204F" w:rsidRDefault="00F01E3B" w:rsidP="00873FFE">
      <w:pPr>
        <w:pStyle w:val="BulletedList"/>
        <w:numPr>
          <w:ilvl w:val="0"/>
          <w:numId w:val="0"/>
        </w:numPr>
      </w:pPr>
      <w:r w:rsidRPr="007175D2">
        <w:t>Similar to</w:t>
      </w:r>
      <w:r w:rsidR="00746EB9" w:rsidRPr="007175D2">
        <w:t xml:space="preserve"> the 2016 NEPOOL Scenario Analysis, stakeholders can </w:t>
      </w:r>
      <w:r w:rsidR="00E914B6" w:rsidRPr="007175D2">
        <w:t xml:space="preserve">develop their own assumptions and </w:t>
      </w:r>
      <w:r w:rsidR="00E914B6" w:rsidRPr="001E1293">
        <w:t xml:space="preserve">analyze </w:t>
      </w:r>
      <w:r w:rsidR="00E914B6" w:rsidRPr="001C1700">
        <w:t>results</w:t>
      </w:r>
      <w:r w:rsidR="009E7B29">
        <w:t xml:space="preserve">. </w:t>
      </w:r>
      <w:r w:rsidR="00E914B6" w:rsidRPr="001C1700">
        <w:t>For example, stakeholders can develop</w:t>
      </w:r>
      <w:r w:rsidR="00746EB9" w:rsidRPr="001C1700">
        <w:t xml:space="preserve"> annual carrying charges, which can </w:t>
      </w:r>
      <w:r w:rsidR="004D70FA">
        <w:t>be reflected in</w:t>
      </w:r>
      <w:r w:rsidR="00746EB9" w:rsidRPr="001C1700">
        <w:t xml:space="preserve"> the </w:t>
      </w:r>
      <w:r w:rsidR="00746EB9" w:rsidRPr="001E1293">
        <w:t>generation cost metrics to obtain total investment costs.</w:t>
      </w:r>
      <w:r w:rsidR="001C1700" w:rsidRPr="001E1293">
        <w:t xml:space="preserve"> </w:t>
      </w:r>
    </w:p>
    <w:p w:rsidR="004C7A46" w:rsidRPr="006E01B6" w:rsidRDefault="004243DC" w:rsidP="004C7A46">
      <w:r w:rsidRPr="006E01B6">
        <w:t xml:space="preserve">The ISO will continue working with stakeholders </w:t>
      </w:r>
      <w:r w:rsidRPr="004243DC">
        <w:t>to facilitate the implementation of technically and economically workable solutions for s</w:t>
      </w:r>
      <w:r w:rsidR="004C7A46" w:rsidRPr="006E01B6">
        <w:t>uccessful</w:t>
      </w:r>
      <w:r w:rsidRPr="006E01B6">
        <w:t>ly i</w:t>
      </w:r>
      <w:r w:rsidR="004C7A46" w:rsidRPr="006E01B6">
        <w:t>ntegratin</w:t>
      </w:r>
      <w:r w:rsidRPr="006E01B6">
        <w:t>g</w:t>
      </w:r>
      <w:r w:rsidR="004C7A46" w:rsidRPr="006E01B6">
        <w:t xml:space="preserve"> distributed and variable energy resources, especially during transitional periods. The following issues must be addressed:</w:t>
      </w:r>
    </w:p>
    <w:p w:rsidR="004577C7" w:rsidRDefault="00D03A39" w:rsidP="006E01B6">
      <w:pPr>
        <w:pStyle w:val="ListParagraph"/>
        <w:numPr>
          <w:ilvl w:val="0"/>
          <w:numId w:val="68"/>
        </w:numPr>
        <w:rPr>
          <w:strike/>
        </w:rPr>
      </w:pPr>
      <w:r>
        <w:t>R</w:t>
      </w:r>
      <w:r w:rsidR="004C7A46" w:rsidRPr="006E01B6">
        <w:t xml:space="preserve">evising the Forward Capacity Market, such as to implement </w:t>
      </w:r>
      <w:r w:rsidR="00E0204F" w:rsidRPr="004243DC">
        <w:t>competitive auctions with sponsored policy</w:t>
      </w:r>
      <w:r w:rsidR="00E0204F" w:rsidRPr="00027FAE">
        <w:t xml:space="preserve"> resources (</w:t>
      </w:r>
      <w:r w:rsidR="00E0204F" w:rsidRPr="0016281B">
        <w:t>CASPR</w:t>
      </w:r>
      <w:r w:rsidR="00E0204F" w:rsidRPr="00027FAE">
        <w:t xml:space="preserve">), </w:t>
      </w:r>
      <w:r w:rsidR="00E0204F" w:rsidRPr="004577C7">
        <w:t>which is designed to maintain competitively based forward</w:t>
      </w:r>
      <w:r w:rsidR="004606CB" w:rsidRPr="004577C7">
        <w:t>-</w:t>
      </w:r>
      <w:r w:rsidR="00E0204F" w:rsidRPr="004577C7">
        <w:t>capacity price signals while, over time, accommodating the entry into the FCM of new resources sponsored by public entities.</w:t>
      </w:r>
      <w:r w:rsidR="00E0204F" w:rsidRPr="00E0204F">
        <w:t xml:space="preserve"> </w:t>
      </w:r>
      <w:r w:rsidR="00E0204F" w:rsidRPr="004577C7">
        <w:t xml:space="preserve">The CASPR proposal </w:t>
      </w:r>
      <w:r w:rsidR="0016281B" w:rsidRPr="004577C7">
        <w:t>w</w:t>
      </w:r>
      <w:r w:rsidR="00027FAE" w:rsidRPr="004577C7">
        <w:t>as filed with FERC in January 2018 and became effective in March 2018.</w:t>
      </w:r>
      <w:r w:rsidR="0016281B" w:rsidRPr="004577C7">
        <w:rPr>
          <w:rStyle w:val="FootnoteReference"/>
        </w:rPr>
        <w:footnoteReference w:id="64"/>
      </w:r>
      <w:r w:rsidR="00027FAE" w:rsidRPr="004577C7">
        <w:t xml:space="preserve"> CASPR introduced a substitution auction that will be held annually after the primary Forward Capacity Auction. The first CASPR substitution auction will occur with the </w:t>
      </w:r>
      <w:r w:rsidR="0016281B" w:rsidRPr="004577C7">
        <w:t xml:space="preserve">FCA #13 </w:t>
      </w:r>
      <w:r w:rsidR="00027FAE" w:rsidRPr="004577C7">
        <w:t>in February 2019.</w:t>
      </w:r>
    </w:p>
    <w:p w:rsidR="004577C7" w:rsidRPr="006E01B6" w:rsidRDefault="004577C7" w:rsidP="004577C7">
      <w:pPr>
        <w:numPr>
          <w:ilvl w:val="0"/>
          <w:numId w:val="28"/>
        </w:numPr>
        <w:spacing w:after="120"/>
      </w:pPr>
      <w:r w:rsidRPr="006E01B6">
        <w:t>Planning and operating a system with the large-scale development of inverter-based resources</w:t>
      </w:r>
      <w:r w:rsidR="004243DC" w:rsidRPr="006E01B6">
        <w:t>, which presents technical challenges that would require investment in the transmission system and special controls</w:t>
      </w:r>
      <w:r w:rsidRPr="006E01B6">
        <w:t xml:space="preserve"> </w:t>
      </w:r>
    </w:p>
    <w:p w:rsidR="00635C26" w:rsidRPr="00675A2D" w:rsidRDefault="004577C7" w:rsidP="00974CB0">
      <w:pPr>
        <w:numPr>
          <w:ilvl w:val="0"/>
          <w:numId w:val="28"/>
        </w:numPr>
        <w:spacing w:after="0"/>
      </w:pPr>
      <w:r w:rsidRPr="006E01B6">
        <w:t xml:space="preserve">Examining natural gas system deliverability issues and improving regional energy security </w:t>
      </w:r>
    </w:p>
    <w:sectPr w:rsidR="00635C26" w:rsidRPr="00675A2D" w:rsidSect="00995AFE">
      <w:footerReference w:type="defaul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5D0" w:rsidRDefault="00A915D0">
      <w:r>
        <w:separator/>
      </w:r>
    </w:p>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endnote>
  <w:endnote w:type="continuationSeparator" w:id="0">
    <w:p w:rsidR="00A915D0" w:rsidRDefault="00A915D0">
      <w:r>
        <w:continuationSeparator/>
      </w:r>
    </w:p>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p w:rsidR="00A915D0" w:rsidRDefault="00A91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hitney-Book">
    <w:altName w:val="Calibri"/>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E1050A" w:rsidRDefault="00D03A39" w:rsidP="00D85494">
    <w:pPr>
      <w:tabs>
        <w:tab w:val="left" w:pos="1480"/>
      </w:tabs>
      <w:adjustRightInd/>
      <w:spacing w:after="0" w:line="240" w:lineRule="auto"/>
      <w:textAlignment w:val="auto"/>
      <w:rPr>
        <w:rFonts w:eastAsia="Calibri"/>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4A6A8C" w:rsidRDefault="00D03A39"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2017 Economic Study: Exploration of Least-Cost Emissions-Compliant Scenarios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872A95">
      <w:rPr>
        <w:rFonts w:eastAsia="Calibri"/>
        <w:noProof/>
        <w:sz w:val="16"/>
        <w:szCs w:val="16"/>
      </w:rPr>
      <w:t>46</w:t>
    </w:r>
    <w:r w:rsidRPr="004A6A8C">
      <w:rPr>
        <w:rFonts w:eastAsia="Calibri"/>
        <w:noProof/>
        <w:sz w:val="16"/>
        <w:szCs w:val="16"/>
      </w:rPr>
      <w:fldChar w:fldCharType="end"/>
    </w:r>
  </w:p>
  <w:p w:rsidR="00D03A39" w:rsidRPr="004A6A8C" w:rsidRDefault="00D03A39" w:rsidP="006A34F3">
    <w:pPr>
      <w:tabs>
        <w:tab w:val="center" w:pos="4680"/>
        <w:tab w:val="right" w:pos="9360"/>
      </w:tabs>
      <w:adjustRightInd/>
      <w:spacing w:after="0" w:line="240" w:lineRule="auto"/>
      <w:jc w:val="center"/>
      <w:textAlignment w:val="auto"/>
      <w:rPr>
        <w:rFonts w:eastAsia="Calibri"/>
        <w:sz w:val="16"/>
        <w:szCs w:val="16"/>
      </w:rPr>
    </w:pPr>
    <w:r w:rsidRPr="004A6A8C">
      <w:rPr>
        <w:rFonts w:eastAsia="Calibri"/>
        <w:sz w:val="16"/>
        <w:szCs w:val="16"/>
      </w:rPr>
      <w:t xml:space="preserve">ISO-NE </w:t>
    </w:r>
    <w:r>
      <w:rPr>
        <w:rFonts w:eastAsia="Calibri"/>
        <w:sz w:val="16"/>
        <w:szCs w:val="16"/>
      </w:rPr>
      <w:t>PUBLIC</w:t>
    </w:r>
    <w:r w:rsidRPr="004A6A8C">
      <w:rPr>
        <w:rFonts w:eastAsia="Calibri"/>
        <w:sz w:val="16"/>
        <w:szCs w:val="16"/>
      </w:rPr>
      <w:t xml:space="preserve"> USE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381209">
    <w:pPr>
      <w:tabs>
        <w:tab w:val="center" w:pos="4680"/>
        <w:tab w:val="right" w:pos="9360"/>
      </w:tabs>
      <w:adjustRightInd/>
      <w:spacing w:after="0" w:line="240" w:lineRule="auto"/>
      <w:ind w:right="-1260"/>
      <w:textAlignment w:val="auto"/>
      <w:rPr>
        <w:rFonts w:eastAsia="Calibri"/>
        <w:noProof/>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314C45">
      <w:rPr>
        <w:rFonts w:eastAsia="Calibri"/>
        <w:noProof/>
        <w:sz w:val="16"/>
        <w:szCs w:val="16"/>
      </w:rPr>
      <w:t>68</w:t>
    </w:r>
    <w:r w:rsidRPr="00AB7EAC">
      <w:rPr>
        <w:rFonts w:eastAsia="Calibri"/>
        <w:noProof/>
        <w:sz w:val="16"/>
        <w:szCs w:val="16"/>
      </w:rPr>
      <w:fldChar w:fldCharType="end"/>
    </w:r>
  </w:p>
  <w:p w:rsidR="00D03A39" w:rsidRPr="004A6A8C" w:rsidRDefault="00D03A39" w:rsidP="004A6A8C">
    <w:pPr>
      <w:tabs>
        <w:tab w:val="center" w:pos="4680"/>
        <w:tab w:val="right" w:pos="9360"/>
      </w:tabs>
      <w:adjustRightInd/>
      <w:spacing w:after="0" w:line="240" w:lineRule="auto"/>
      <w:textAlignment w:val="auto"/>
      <w:rPr>
        <w:rFonts w:eastAsia="Calibri"/>
        <w:noProof/>
        <w:sz w:val="16"/>
        <w:szCs w:val="16"/>
      </w:rPr>
    </w:pPr>
  </w:p>
  <w:p w:rsidR="00D03A39" w:rsidRPr="004A6A8C" w:rsidRDefault="00D03A39"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D85494">
    <w:pPr>
      <w:tabs>
        <w:tab w:val="center" w:pos="4680"/>
        <w:tab w:val="right" w:pos="9360"/>
      </w:tabs>
      <w:adjustRightInd/>
      <w:spacing w:after="0" w:line="240" w:lineRule="auto"/>
      <w:textAlignment w:val="auto"/>
      <w:rPr>
        <w:rFonts w:eastAsia="Calibri"/>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60331">
      <w:rPr>
        <w:rFonts w:eastAsia="Calibri"/>
        <w:noProof/>
        <w:sz w:val="16"/>
        <w:szCs w:val="16"/>
      </w:rPr>
      <w:t>v</w:t>
    </w:r>
    <w:r w:rsidRPr="00AB7EAC">
      <w:rPr>
        <w:rFonts w:eastAsia="Calibri"/>
        <w:noProof/>
        <w:sz w:val="16"/>
        <w:szCs w:val="16"/>
      </w:rPr>
      <w:fldChar w:fldCharType="end"/>
    </w:r>
    <w:r w:rsidRPr="00AB7EAC">
      <w:rPr>
        <w:rFonts w:eastAsia="Calibri"/>
        <w:sz w:val="16"/>
        <w:szCs w:val="16"/>
      </w:rPr>
      <w:tab/>
    </w:r>
  </w:p>
  <w:p w:rsidR="00D03A39" w:rsidRDefault="00D03A39" w:rsidP="00D85494">
    <w:pPr>
      <w:tabs>
        <w:tab w:val="left" w:pos="1480"/>
      </w:tabs>
      <w:adjustRightInd/>
      <w:spacing w:after="0" w:line="240" w:lineRule="auto"/>
      <w:textAlignment w:val="auto"/>
      <w:rPr>
        <w:rFonts w:eastAsia="Calibri"/>
        <w:sz w:val="16"/>
        <w:szCs w:val="16"/>
      </w:rPr>
    </w:pPr>
    <w:r>
      <w:rPr>
        <w:rFonts w:eastAsia="Calibri"/>
        <w:sz w:val="16"/>
        <w:szCs w:val="16"/>
      </w:rPr>
      <w:tab/>
    </w:r>
  </w:p>
  <w:p w:rsidR="00D03A39" w:rsidRPr="00E1050A" w:rsidRDefault="00D03A39" w:rsidP="00D85494">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9E28C2">
    <w:pPr>
      <w:tabs>
        <w:tab w:val="center" w:pos="4680"/>
        <w:tab w:val="right" w:pos="9360"/>
      </w:tabs>
      <w:adjustRightInd/>
      <w:spacing w:after="0" w:line="240" w:lineRule="auto"/>
      <w:textAlignment w:val="auto"/>
      <w:rPr>
        <w:rFonts w:eastAsia="Calibri"/>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60331">
      <w:rPr>
        <w:rFonts w:eastAsia="Calibri"/>
        <w:noProof/>
        <w:sz w:val="16"/>
        <w:szCs w:val="16"/>
      </w:rPr>
      <w:t>xi</w:t>
    </w:r>
    <w:r w:rsidRPr="00AB7EAC">
      <w:rPr>
        <w:rFonts w:eastAsia="Calibri"/>
        <w:noProof/>
        <w:sz w:val="16"/>
        <w:szCs w:val="16"/>
      </w:rPr>
      <w:fldChar w:fldCharType="end"/>
    </w:r>
    <w:r w:rsidRPr="00AB7EAC">
      <w:rPr>
        <w:rFonts w:eastAsia="Calibri"/>
        <w:sz w:val="16"/>
        <w:szCs w:val="16"/>
      </w:rPr>
      <w:tab/>
    </w:r>
  </w:p>
  <w:p w:rsidR="00D03A39" w:rsidRDefault="00D03A39" w:rsidP="00225B89">
    <w:pPr>
      <w:tabs>
        <w:tab w:val="left" w:pos="1480"/>
      </w:tabs>
      <w:adjustRightInd/>
      <w:spacing w:after="0" w:line="240" w:lineRule="auto"/>
      <w:textAlignment w:val="auto"/>
      <w:rPr>
        <w:rFonts w:eastAsia="Calibri"/>
        <w:sz w:val="16"/>
        <w:szCs w:val="16"/>
      </w:rPr>
    </w:pPr>
    <w:r>
      <w:rPr>
        <w:rFonts w:eastAsia="Calibri"/>
        <w:sz w:val="16"/>
        <w:szCs w:val="16"/>
      </w:rPr>
      <w:tab/>
    </w:r>
  </w:p>
  <w:p w:rsidR="00D03A39" w:rsidRPr="00E1050A" w:rsidRDefault="00D03A39" w:rsidP="00381209">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BC0509">
    <w:pPr>
      <w:tabs>
        <w:tab w:val="center" w:pos="4680"/>
        <w:tab w:val="right" w:pos="9360"/>
      </w:tabs>
      <w:adjustRightInd/>
      <w:spacing w:after="0" w:line="240" w:lineRule="auto"/>
      <w:ind w:right="-1260"/>
      <w:textAlignment w:val="auto"/>
      <w:rPr>
        <w:rFonts w:eastAsia="Calibri"/>
        <w:noProof/>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60331">
      <w:rPr>
        <w:rFonts w:eastAsia="Calibri"/>
        <w:noProof/>
        <w:sz w:val="16"/>
        <w:szCs w:val="16"/>
      </w:rPr>
      <w:t>5</w:t>
    </w:r>
    <w:r w:rsidRPr="00AB7EAC">
      <w:rPr>
        <w:rFonts w:eastAsia="Calibri"/>
        <w:noProof/>
        <w:sz w:val="16"/>
        <w:szCs w:val="16"/>
      </w:rPr>
      <w:fldChar w:fldCharType="end"/>
    </w:r>
  </w:p>
  <w:p w:rsidR="00D03A39" w:rsidRPr="00AB7EAC" w:rsidRDefault="00D03A39" w:rsidP="00BC0509">
    <w:pPr>
      <w:tabs>
        <w:tab w:val="center" w:pos="4680"/>
        <w:tab w:val="right" w:pos="9360"/>
      </w:tabs>
      <w:adjustRightInd/>
      <w:spacing w:after="0" w:line="240" w:lineRule="auto"/>
      <w:ind w:right="-1260"/>
      <w:textAlignment w:val="auto"/>
      <w:rPr>
        <w:rFonts w:eastAsia="Calibri"/>
        <w:noProof/>
        <w:sz w:val="16"/>
        <w:szCs w:val="16"/>
      </w:rPr>
    </w:pPr>
  </w:p>
  <w:p w:rsidR="00D03A39" w:rsidRPr="00237772" w:rsidRDefault="00D03A39" w:rsidP="00125DA8">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BC0509">
    <w:pPr>
      <w:tabs>
        <w:tab w:val="center" w:pos="4680"/>
        <w:tab w:val="right" w:pos="9360"/>
      </w:tabs>
      <w:adjustRightInd/>
      <w:spacing w:after="0" w:line="240" w:lineRule="auto"/>
      <w:ind w:right="-1260"/>
      <w:textAlignment w:val="auto"/>
      <w:rPr>
        <w:rFonts w:eastAsia="Calibri"/>
        <w:noProof/>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60331">
      <w:rPr>
        <w:rFonts w:eastAsia="Calibri"/>
        <w:noProof/>
        <w:sz w:val="16"/>
        <w:szCs w:val="16"/>
      </w:rPr>
      <w:t>7</w:t>
    </w:r>
    <w:r w:rsidRPr="00AB7EAC">
      <w:rPr>
        <w:rFonts w:eastAsia="Calibri"/>
        <w:noProof/>
        <w:sz w:val="16"/>
        <w:szCs w:val="16"/>
      </w:rPr>
      <w:fldChar w:fldCharType="end"/>
    </w:r>
  </w:p>
  <w:p w:rsidR="00D03A39" w:rsidRPr="00AB7EAC" w:rsidRDefault="00D03A39" w:rsidP="00864612">
    <w:pPr>
      <w:tabs>
        <w:tab w:val="center" w:pos="4680"/>
        <w:tab w:val="right" w:pos="9360"/>
      </w:tabs>
      <w:adjustRightInd/>
      <w:spacing w:after="0" w:line="240" w:lineRule="auto"/>
      <w:ind w:right="-900"/>
      <w:textAlignment w:val="auto"/>
      <w:rPr>
        <w:rFonts w:eastAsia="Calibri"/>
        <w:noProof/>
        <w:sz w:val="16"/>
        <w:szCs w:val="16"/>
      </w:rPr>
    </w:pPr>
  </w:p>
  <w:p w:rsidR="00D03A39" w:rsidRPr="00237772" w:rsidRDefault="00D03A39" w:rsidP="00125DA8">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381209">
    <w:pPr>
      <w:tabs>
        <w:tab w:val="center" w:pos="4680"/>
        <w:tab w:val="right" w:pos="9360"/>
      </w:tabs>
      <w:adjustRightInd/>
      <w:spacing w:after="0" w:line="240" w:lineRule="auto"/>
      <w:ind w:right="-1260"/>
      <w:textAlignment w:val="auto"/>
      <w:rPr>
        <w:rFonts w:eastAsia="Calibri"/>
        <w:noProof/>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60331">
      <w:rPr>
        <w:rFonts w:eastAsia="Calibri"/>
        <w:noProof/>
        <w:sz w:val="16"/>
        <w:szCs w:val="16"/>
      </w:rPr>
      <w:t>9</w:t>
    </w:r>
    <w:r w:rsidRPr="00AB7EAC">
      <w:rPr>
        <w:rFonts w:eastAsia="Calibri"/>
        <w:noProof/>
        <w:sz w:val="16"/>
        <w:szCs w:val="16"/>
      </w:rPr>
      <w:fldChar w:fldCharType="end"/>
    </w:r>
  </w:p>
  <w:p w:rsidR="00D03A39" w:rsidRDefault="00D03A39" w:rsidP="00381209">
    <w:pPr>
      <w:tabs>
        <w:tab w:val="center" w:pos="4680"/>
        <w:tab w:val="right" w:pos="9360"/>
      </w:tabs>
      <w:adjustRightInd/>
      <w:spacing w:after="0" w:line="240" w:lineRule="auto"/>
      <w:ind w:right="-1260"/>
      <w:textAlignment w:val="auto"/>
      <w:rPr>
        <w:rFonts w:eastAsia="Calibri"/>
        <w:noProof/>
        <w:sz w:val="16"/>
        <w:szCs w:val="16"/>
      </w:rPr>
    </w:pPr>
  </w:p>
  <w:p w:rsidR="00D03A39" w:rsidRPr="00237772" w:rsidRDefault="00D03A39" w:rsidP="00381209">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381209">
    <w:pPr>
      <w:tabs>
        <w:tab w:val="center" w:pos="4680"/>
        <w:tab w:val="right" w:pos="9360"/>
      </w:tabs>
      <w:adjustRightInd/>
      <w:spacing w:after="0" w:line="240" w:lineRule="auto"/>
      <w:ind w:right="-1260"/>
      <w:textAlignment w:val="auto"/>
      <w:rPr>
        <w:rFonts w:eastAsia="Calibri"/>
        <w:noProof/>
        <w:sz w:val="16"/>
        <w:szCs w:val="16"/>
      </w:rPr>
    </w:pPr>
    <w:r>
      <w:rPr>
        <w:rFonts w:eastAsia="Calibri"/>
        <w:i/>
        <w:sz w:val="16"/>
        <w:szCs w:val="16"/>
      </w:rPr>
      <w:t>2017 Economic Study: Exploration of Least-Cost Emissions-Compliant Scenarios</w:t>
    </w:r>
    <w:r w:rsidDel="00381209">
      <w:rPr>
        <w:rFonts w:eastAsia="Calibri"/>
        <w:i/>
        <w:sz w:val="16"/>
        <w:szCs w:val="16"/>
      </w:rPr>
      <w:t xml:space="preserve"> </w:t>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72A95">
      <w:rPr>
        <w:rFonts w:eastAsia="Calibri"/>
        <w:noProof/>
        <w:sz w:val="16"/>
        <w:szCs w:val="16"/>
      </w:rPr>
      <w:t>20</w:t>
    </w:r>
    <w:r w:rsidRPr="00AB7EAC">
      <w:rPr>
        <w:rFonts w:eastAsia="Calibri"/>
        <w:noProof/>
        <w:sz w:val="16"/>
        <w:szCs w:val="16"/>
      </w:rPr>
      <w:fldChar w:fldCharType="end"/>
    </w:r>
  </w:p>
  <w:p w:rsidR="00D03A39" w:rsidRPr="00AB7EAC" w:rsidRDefault="00D03A39" w:rsidP="004A6A8C">
    <w:pPr>
      <w:tabs>
        <w:tab w:val="center" w:pos="4680"/>
        <w:tab w:val="right" w:pos="9360"/>
      </w:tabs>
      <w:adjustRightInd/>
      <w:spacing w:after="0" w:line="240" w:lineRule="auto"/>
      <w:textAlignment w:val="auto"/>
      <w:rPr>
        <w:rFonts w:eastAsia="Calibri"/>
        <w:noProof/>
        <w:sz w:val="16"/>
        <w:szCs w:val="16"/>
      </w:rPr>
    </w:pPr>
  </w:p>
  <w:p w:rsidR="00D03A39" w:rsidRPr="00237772" w:rsidRDefault="00D03A39" w:rsidP="009020E6">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Default="00D03A39"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2017 Economic Study: Exploration of Least-Cost Emissions-Compliant Scenarios</w:t>
    </w:r>
    <w:r>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872A95">
      <w:rPr>
        <w:rFonts w:eastAsia="Calibri"/>
        <w:noProof/>
        <w:sz w:val="16"/>
        <w:szCs w:val="16"/>
      </w:rPr>
      <w:t>45</w:t>
    </w:r>
    <w:r w:rsidRPr="004A6A8C">
      <w:rPr>
        <w:rFonts w:eastAsia="Calibri"/>
        <w:noProof/>
        <w:sz w:val="16"/>
        <w:szCs w:val="16"/>
      </w:rPr>
      <w:fldChar w:fldCharType="end"/>
    </w:r>
  </w:p>
  <w:p w:rsidR="00D03A39" w:rsidRPr="004A6A8C" w:rsidRDefault="00D03A39" w:rsidP="004A6A8C">
    <w:pPr>
      <w:tabs>
        <w:tab w:val="center" w:pos="4680"/>
        <w:tab w:val="right" w:pos="9360"/>
      </w:tabs>
      <w:adjustRightInd/>
      <w:spacing w:after="0" w:line="240" w:lineRule="auto"/>
      <w:textAlignment w:val="auto"/>
      <w:rPr>
        <w:rFonts w:eastAsia="Calibri"/>
        <w:noProof/>
        <w:sz w:val="16"/>
        <w:szCs w:val="16"/>
      </w:rPr>
    </w:pPr>
  </w:p>
  <w:p w:rsidR="00D03A39" w:rsidRPr="004A6A8C" w:rsidRDefault="00D03A39"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5D0" w:rsidRDefault="00A915D0">
      <w:r>
        <w:separator/>
      </w:r>
    </w:p>
  </w:footnote>
  <w:footnote w:type="continuationSeparator" w:id="0">
    <w:p w:rsidR="00A915D0" w:rsidRDefault="00A915D0">
      <w:r>
        <w:continuationSeparator/>
      </w:r>
    </w:p>
  </w:footnote>
  <w:footnote w:type="continuationNotice" w:id="1">
    <w:p w:rsidR="00A915D0" w:rsidRDefault="00A915D0">
      <w:pPr>
        <w:pStyle w:val="Footer"/>
      </w:pPr>
    </w:p>
  </w:footnote>
  <w:footnote w:id="2">
    <w:p w:rsidR="00D03A39" w:rsidRPr="004F24B6" w:rsidRDefault="00D03A39" w:rsidP="00BE03A8">
      <w:pPr>
        <w:pStyle w:val="FootnoteText"/>
      </w:pPr>
      <w:r w:rsidRPr="009C2B5B">
        <w:rPr>
          <w:rStyle w:val="FootnoteReference"/>
        </w:rPr>
        <w:footnoteRef/>
      </w:r>
      <w:r w:rsidRPr="009C2B5B">
        <w:t xml:space="preserve"> </w:t>
      </w:r>
      <w:r>
        <w:t xml:space="preserve">ISO New England , </w:t>
      </w:r>
      <w:r w:rsidRPr="009C2B5B">
        <w:rPr>
          <w:i/>
        </w:rPr>
        <w:t>ISO New England Inc. Transmission, Markets, and Services Tariff</w:t>
      </w:r>
      <w:r w:rsidRPr="009C2B5B">
        <w:t xml:space="preserve"> (ISO tariff), Section II, </w:t>
      </w:r>
      <w:r w:rsidRPr="009C2B5B">
        <w:rPr>
          <w:i/>
        </w:rPr>
        <w:t>Open Access Transmission Tariff</w:t>
      </w:r>
      <w:r w:rsidRPr="009C2B5B">
        <w:t>, Attachment K, “Regional System Planning Pro</w:t>
      </w:r>
      <w:r w:rsidRPr="00BE03A8">
        <w:t xml:space="preserve">cess” </w:t>
      </w:r>
      <w:r w:rsidRPr="00FA2D54">
        <w:t>(January 1, 2018),</w:t>
      </w:r>
      <w:r w:rsidRPr="00BE03A8">
        <w:t xml:space="preserve"> </w:t>
      </w:r>
      <w:hyperlink r:id="rId1" w:history="1">
        <w:r w:rsidRPr="00BE03A8">
          <w:rPr>
            <w:rStyle w:val="Hyperlink"/>
          </w:rPr>
          <w:t>https://www.iso-ne.com/static-assets/documents/regulatory/tariff/sect_2/oatt/sect_ii.pdf</w:t>
        </w:r>
      </w:hyperlink>
      <w:r>
        <w:rPr>
          <w:rStyle w:val="Hyperlink"/>
        </w:rPr>
        <w:t xml:space="preserve"> and </w:t>
      </w:r>
      <w:r w:rsidRPr="009C2B5B">
        <w:rPr>
          <w:i/>
        </w:rPr>
        <w:t>Stakeholder Process for Submitting Economic Study Requests</w:t>
      </w:r>
      <w:r w:rsidRPr="009C2B5B">
        <w:t xml:space="preserve">. PAC presentation (February </w:t>
      </w:r>
      <w:r>
        <w:t>22</w:t>
      </w:r>
      <w:r w:rsidRPr="009C2B5B">
        <w:t>, 201</w:t>
      </w:r>
      <w:r>
        <w:t>7</w:t>
      </w:r>
      <w:r w:rsidRPr="009C2B5B">
        <w:t>)</w:t>
      </w:r>
      <w:r>
        <w:t>. CLF, “</w:t>
      </w:r>
      <w:r w:rsidRPr="00BE03A8">
        <w:t>Request for 2017 Economic Study to Explore Least-Cost, Emissions-Compliant System Topologies</w:t>
      </w:r>
      <w:r>
        <w:t xml:space="preserve">” (April 4, 2017), </w:t>
      </w:r>
      <w:hyperlink r:id="rId2" w:history="1">
        <w:r w:rsidRPr="00D369D2">
          <w:rPr>
            <w:rStyle w:val="Hyperlink"/>
          </w:rPr>
          <w:t>https://www.iso-ne.com/static-assets/documents/2017/04/a7_2017_economic_study_request_clf.pdf</w:t>
        </w:r>
      </w:hyperlink>
      <w:r>
        <w:t xml:space="preserve"> and </w:t>
      </w:r>
      <w:r w:rsidRPr="00FA2D54">
        <w:rPr>
          <w:i/>
        </w:rPr>
        <w:t>Study to Explore Least-Cost,</w:t>
      </w:r>
      <w:r>
        <w:rPr>
          <w:i/>
        </w:rPr>
        <w:t xml:space="preserve"> </w:t>
      </w:r>
      <w:r w:rsidRPr="00FA2D54">
        <w:rPr>
          <w:i/>
        </w:rPr>
        <w:t>Emissions-Compliant System Topologies</w:t>
      </w:r>
      <w:r>
        <w:rPr>
          <w:i/>
        </w:rPr>
        <w:t xml:space="preserve">, </w:t>
      </w:r>
      <w:r>
        <w:t xml:space="preserve">PAC presentation (April 12, 2017), </w:t>
      </w:r>
      <w:hyperlink r:id="rId3" w:history="1">
        <w:r w:rsidRPr="00D369D2">
          <w:rPr>
            <w:rStyle w:val="Hyperlink"/>
          </w:rPr>
          <w:t>https://www.iso-ne.com/static-assets/documents/2017/04/a7_2017_economic_study_request_clf_presentation.pdf</w:t>
        </w:r>
      </w:hyperlink>
      <w:r>
        <w:t xml:space="preserve">. </w:t>
      </w:r>
    </w:p>
  </w:footnote>
  <w:footnote w:id="3">
    <w:p w:rsidR="00D03A39" w:rsidRPr="0024493D" w:rsidRDefault="00D03A39" w:rsidP="00D94878">
      <w:pPr>
        <w:pStyle w:val="FootnoteText"/>
      </w:pPr>
      <w:r w:rsidRPr="004F24B6">
        <w:rPr>
          <w:rStyle w:val="FootnoteReference"/>
        </w:rPr>
        <w:footnoteRef/>
      </w:r>
      <w:r w:rsidRPr="004F24B6">
        <w:t xml:space="preserve"> Annual carrying charges represent the annual revenue a facility must receive to cover its annual fixed costs and to </w:t>
      </w:r>
      <w:r w:rsidRPr="0024493D">
        <w:t>remain economically viable.</w:t>
      </w:r>
    </w:p>
  </w:footnote>
  <w:footnote w:id="4">
    <w:p w:rsidR="00D03A39" w:rsidRDefault="00D03A39">
      <w:pPr>
        <w:pStyle w:val="FootnoteText"/>
      </w:pPr>
      <w:r w:rsidRPr="0024493D">
        <w:rPr>
          <w:rStyle w:val="FootnoteReference"/>
        </w:rPr>
        <w:footnoteRef/>
      </w:r>
      <w:r w:rsidRPr="0024493D">
        <w:t xml:space="preserve"> </w:t>
      </w:r>
      <w:r w:rsidRPr="0024493D">
        <w:rPr>
          <w:i/>
        </w:rPr>
        <w:t>Spilled</w:t>
      </w:r>
      <w:r w:rsidRPr="0024493D">
        <w:t xml:space="preserve"> renewable resources are those that must reduce output to respect transmission constraints and can include imports from Canada, hydro, wind, and photovoltaics.</w:t>
      </w:r>
      <w:r w:rsidRPr="00410563">
        <w:t xml:space="preserve"> </w:t>
      </w:r>
    </w:p>
  </w:footnote>
  <w:footnote w:id="5">
    <w:p w:rsidR="00D03A39" w:rsidRDefault="00D03A39" w:rsidP="00C03082">
      <w:pPr>
        <w:pStyle w:val="FootnoteText"/>
      </w:pPr>
      <w:r w:rsidRPr="00C03082">
        <w:rPr>
          <w:rStyle w:val="FootnoteReference"/>
        </w:rPr>
        <w:footnoteRef/>
      </w:r>
      <w:r w:rsidRPr="00C03082">
        <w:t xml:space="preserve"> ISO New England, </w:t>
      </w:r>
      <w:r w:rsidRPr="00F40B35">
        <w:rPr>
          <w:i/>
        </w:rPr>
        <w:t>NEPOOL Scenario Analysis</w:t>
      </w:r>
      <w:r w:rsidRPr="00C03082">
        <w:rPr>
          <w:i/>
        </w:rPr>
        <w:t xml:space="preserve">: </w:t>
      </w:r>
      <w:r w:rsidRPr="00F40B35">
        <w:rPr>
          <w:i/>
        </w:rPr>
        <w:t>Implications of Public Policies on ISO New England Market Design, System Reliability and Operability, Resource Costs and Revenues, and Emissions</w:t>
      </w:r>
      <w:r w:rsidRPr="00C03082">
        <w:t xml:space="preserve"> </w:t>
      </w:r>
      <w:r>
        <w:t xml:space="preserve">(November 17, 2017), </w:t>
      </w:r>
      <w:hyperlink r:id="rId4" w:history="1">
        <w:r w:rsidRPr="00C03082">
          <w:rPr>
            <w:rStyle w:val="Hyperlink"/>
          </w:rPr>
          <w:t>https://www.iso-ne.com/static-assets/documents/2017/11/final_2016_phase1_nepool_scenario_analysis_economic_study.docx</w:t>
        </w:r>
      </w:hyperlink>
      <w:r>
        <w:t>.</w:t>
      </w:r>
    </w:p>
  </w:footnote>
  <w:footnote w:id="6">
    <w:p w:rsidR="00D03A39" w:rsidRDefault="00D03A39">
      <w:pPr>
        <w:pStyle w:val="FootnoteText"/>
      </w:pPr>
      <w:r>
        <w:rPr>
          <w:rStyle w:val="FootnoteReference"/>
        </w:rPr>
        <w:footnoteRef/>
      </w:r>
      <w:r>
        <w:t xml:space="preserve"> </w:t>
      </w:r>
      <w:r w:rsidRPr="00D11A72">
        <w:t>Normal</w:t>
      </w:r>
      <w:r w:rsidRPr="00EE2D3C">
        <w:t xml:space="preserve"> transmission system transfer limits account for transmission system security constraints, which consider </w:t>
      </w:r>
      <w:r w:rsidRPr="00163ABC">
        <w:t>expected transmission facilities in service and first-contingency (N-1) criteria.</w:t>
      </w:r>
    </w:p>
  </w:footnote>
  <w:footnote w:id="7">
    <w:p w:rsidR="00D03A39" w:rsidRDefault="00D03A39">
      <w:pPr>
        <w:pStyle w:val="FootnoteText"/>
      </w:pPr>
      <w:r w:rsidRPr="00C94537">
        <w:rPr>
          <w:rStyle w:val="FootnoteReference"/>
        </w:rPr>
        <w:footnoteRef/>
      </w:r>
      <w:r w:rsidRPr="00C94537">
        <w:t xml:space="preserve"> The </w:t>
      </w:r>
      <w:r w:rsidRPr="00C94537">
        <w:rPr>
          <w:i/>
        </w:rPr>
        <w:t>net Installed Capacity Requirement</w:t>
      </w:r>
      <w:r w:rsidRPr="00C94537">
        <w:t xml:space="preserve"> is the minimum amount of resources (in megawatts) the region needs in a particular year to meet its resource adequacy planning criterion, according to the Northeast Planning Coordinating Council criteria, minus the tie-reliability benefits associated with the Hydro-Qu</w:t>
      </w:r>
      <w:r>
        <w:t>é</w:t>
      </w:r>
      <w:r w:rsidRPr="00C94537">
        <w:t xml:space="preserve">bec Phase I/II interface, called </w:t>
      </w:r>
      <w:r w:rsidRPr="00904178">
        <w:rPr>
          <w:i/>
        </w:rPr>
        <w:t>Hydro-Québec Interconnection Capability Credits</w:t>
      </w:r>
      <w:r w:rsidRPr="00C94537">
        <w:t>.</w:t>
      </w:r>
    </w:p>
  </w:footnote>
  <w:footnote w:id="8">
    <w:p w:rsidR="00D03A39" w:rsidRPr="0080348E" w:rsidRDefault="00D03A39" w:rsidP="00114CE8">
      <w:pPr>
        <w:pStyle w:val="FootnoteText"/>
      </w:pPr>
      <w:r w:rsidRPr="00D04D5F">
        <w:rPr>
          <w:rStyle w:val="FootnoteReference"/>
          <w:sz w:val="18"/>
          <w:szCs w:val="18"/>
        </w:rPr>
        <w:footnoteRef/>
      </w:r>
      <w:r w:rsidRPr="00D04D5F">
        <w:t xml:space="preserve"> The </w:t>
      </w:r>
      <w:r w:rsidRPr="00D04D5F">
        <w:rPr>
          <w:i/>
        </w:rPr>
        <w:t>Regional Greenhouse Gas Initiative</w:t>
      </w:r>
      <w:r w:rsidRPr="00D04D5F">
        <w:t xml:space="preserve"> is a </w:t>
      </w:r>
      <w:r>
        <w:t>multi</w:t>
      </w:r>
      <w:r w:rsidRPr="00D04D5F">
        <w:t>state program in the Northeast to reduce the CO</w:t>
      </w:r>
      <w:r w:rsidRPr="00D04D5F">
        <w:rPr>
          <w:vertAlign w:val="subscript"/>
        </w:rPr>
        <w:t>2</w:t>
      </w:r>
      <w:r w:rsidRPr="00D04D5F">
        <w:t xml:space="preserve"> emissions from fossil power plants 25 MW and larger in these states. Each state is allocated a share (allowance) of an annual emissions cap on the basis of historical emissions and negotiations; one allowance equals the limited right to emit one ton of CO</w:t>
      </w:r>
      <w:r w:rsidRPr="00D04D5F">
        <w:rPr>
          <w:vertAlign w:val="subscript"/>
        </w:rPr>
        <w:t>2</w:t>
      </w:r>
      <w:r w:rsidRPr="00D04D5F">
        <w:t>.</w:t>
      </w:r>
      <w:r>
        <w:t xml:space="preserve"> </w:t>
      </w:r>
    </w:p>
  </w:footnote>
  <w:footnote w:id="9">
    <w:p w:rsidR="00D03A39" w:rsidRDefault="00D03A39" w:rsidP="00E56416">
      <w:pPr>
        <w:pStyle w:val="FootnoteText"/>
      </w:pPr>
      <w:r w:rsidRPr="002A15AD">
        <w:rPr>
          <w:rStyle w:val="FootnoteReference"/>
        </w:rPr>
        <w:footnoteRef/>
      </w:r>
      <w:r w:rsidRPr="002A15AD">
        <w:t xml:space="preserve"> ISO New England, </w:t>
      </w:r>
      <w:r w:rsidRPr="002A15AD">
        <w:rPr>
          <w:i/>
        </w:rPr>
        <w:t>2016 CELT Report</w:t>
      </w:r>
      <w:r w:rsidRPr="002A15AD">
        <w:t>—</w:t>
      </w:r>
      <w:r w:rsidRPr="002A15AD">
        <w:rPr>
          <w:i/>
        </w:rPr>
        <w:t>2016 to 2025 Forecast Report of Capacity, Energy, Loads, and Transmission</w:t>
      </w:r>
      <w:r>
        <w:rPr>
          <w:i/>
        </w:rPr>
        <w:br/>
      </w:r>
      <w:r w:rsidRPr="002A15AD">
        <w:t>(May</w:t>
      </w:r>
      <w:r>
        <w:t> </w:t>
      </w:r>
      <w:r w:rsidRPr="002A15AD">
        <w:t xml:space="preserve">2, 2016), </w:t>
      </w:r>
      <w:hyperlink r:id="rId5" w:history="1">
        <w:r w:rsidRPr="00055FBE">
          <w:rPr>
            <w:rStyle w:val="Hyperlink"/>
          </w:rPr>
          <w:t>https://www.iso-ne.com/static-assets/documents/2016/05/2016_celt_report.xls</w:t>
        </w:r>
      </w:hyperlink>
      <w:r w:rsidRPr="00055FBE">
        <w:t>.</w:t>
      </w:r>
    </w:p>
  </w:footnote>
  <w:footnote w:id="10">
    <w:p w:rsidR="00D03A39" w:rsidRPr="002A15AD" w:rsidRDefault="00D03A39" w:rsidP="00114CE8">
      <w:pPr>
        <w:pStyle w:val="FootnoteText"/>
      </w:pPr>
      <w:r w:rsidRPr="002A15AD">
        <w:rPr>
          <w:rStyle w:val="FootnoteReference"/>
          <w:sz w:val="18"/>
          <w:szCs w:val="18"/>
        </w:rPr>
        <w:footnoteRef/>
      </w:r>
      <w:r w:rsidRPr="002A15AD">
        <w:t xml:space="preserve"> The ISO’s </w:t>
      </w:r>
      <w:r w:rsidRPr="002A15AD">
        <w:rPr>
          <w:i/>
        </w:rPr>
        <w:t>Forward Capacity Auctions</w:t>
      </w:r>
      <w:r w:rsidRPr="002A15AD">
        <w:t xml:space="preserve"> are annual auctions of the Forward Capacity Market during which capacity resources compete to obtain a commitment to supply capacity in exchange for a market-priced capacity payment.</w:t>
      </w:r>
    </w:p>
  </w:footnote>
  <w:footnote w:id="11">
    <w:p w:rsidR="00D03A39" w:rsidRPr="00047D24" w:rsidRDefault="00D03A39" w:rsidP="00E56416">
      <w:pPr>
        <w:pStyle w:val="FootnoteText"/>
      </w:pPr>
      <w:r w:rsidRPr="002A15AD">
        <w:rPr>
          <w:rStyle w:val="FootnoteReference"/>
          <w:sz w:val="18"/>
          <w:szCs w:val="18"/>
        </w:rPr>
        <w:footnoteRef/>
      </w:r>
      <w:r w:rsidRPr="002A15AD">
        <w:t xml:space="preserve"> A </w:t>
      </w:r>
      <w:r w:rsidRPr="002A15AD">
        <w:rPr>
          <w:i/>
        </w:rPr>
        <w:t>capacity supply obligation</w:t>
      </w:r>
      <w:r w:rsidRPr="002A15AD">
        <w:t xml:space="preserve"> is a requirement for a resource to provide capacity, or a portion of capacity, to satisfy a portion of the ISO's Installed Capacity Requirement acquired through a Forward Capacity Auction, a reconfiguration </w:t>
      </w:r>
      <w:r w:rsidRPr="00047D24">
        <w:t>auction, or a CSO bilateral contract through which a market participant may transfer all or part of its CSO to another entity.</w:t>
      </w:r>
    </w:p>
  </w:footnote>
  <w:footnote w:id="12">
    <w:p w:rsidR="00D03A39" w:rsidRDefault="00D03A39" w:rsidP="00822296">
      <w:pPr>
        <w:pStyle w:val="FootnoteText"/>
      </w:pPr>
      <w:r w:rsidRPr="00047D24">
        <w:rPr>
          <w:rStyle w:val="FootnoteReference"/>
        </w:rPr>
        <w:footnoteRef/>
      </w:r>
      <w:r w:rsidRPr="00047D24">
        <w:rPr>
          <w:i/>
          <w:szCs w:val="20"/>
        </w:rPr>
        <w:t>Seasonal claimed capability</w:t>
      </w:r>
      <w:r w:rsidRPr="00047D24">
        <w:rPr>
          <w:szCs w:val="20"/>
        </w:rPr>
        <w:t xml:space="preserve"> refers to a generator’s maximum production or output during a particular season, adjusted for physical and regulatory limitations.</w:t>
      </w:r>
    </w:p>
  </w:footnote>
  <w:footnote w:id="13">
    <w:p w:rsidR="00D03A39" w:rsidRDefault="00D03A39" w:rsidP="00E56416">
      <w:pPr>
        <w:pStyle w:val="FootnoteText"/>
      </w:pPr>
      <w:r w:rsidRPr="00A729AF">
        <w:rPr>
          <w:rStyle w:val="FootnoteReference"/>
        </w:rPr>
        <w:footnoteRef/>
      </w:r>
      <w:r w:rsidRPr="00A729AF">
        <w:t xml:space="preserve"> Detailed transmission interface limits for 2025 used for this study are available in the ISO’s PAC presentation, </w:t>
      </w:r>
      <w:r w:rsidRPr="00A729AF">
        <w:rPr>
          <w:i/>
        </w:rPr>
        <w:t>Transmission Transfer Capabilities Update</w:t>
      </w:r>
      <w:r w:rsidRPr="00A729AF">
        <w:t xml:space="preserve"> (June 10, 2016), slide 8, </w:t>
      </w:r>
      <w:hyperlink r:id="rId6" w:history="1">
        <w:r w:rsidRPr="00A729AF">
          <w:rPr>
            <w:rStyle w:val="Hyperlink"/>
          </w:rPr>
          <w:t>https://smd.iso-ne.com/operations-services/ceii/pac/2016/06/a3_transmission_transfer_capabilities_update.pdf</w:t>
        </w:r>
      </w:hyperlink>
      <w:r w:rsidRPr="00A729AF">
        <w:rPr>
          <w:rStyle w:val="Hyperlink"/>
        </w:rPr>
        <w:t>.</w:t>
      </w:r>
      <w:r>
        <w:t xml:space="preserve"> </w:t>
      </w:r>
    </w:p>
  </w:footnote>
  <w:footnote w:id="14">
    <w:p w:rsidR="00D03A39" w:rsidRPr="00B914E2" w:rsidRDefault="00D03A39" w:rsidP="00FF76B8">
      <w:pPr>
        <w:pStyle w:val="FootnoteText"/>
      </w:pPr>
      <w:r w:rsidRPr="00D13E38">
        <w:rPr>
          <w:rStyle w:val="FootnoteReference"/>
          <w:sz w:val="18"/>
          <w:szCs w:val="18"/>
        </w:rPr>
        <w:footnoteRef/>
      </w:r>
      <w:r w:rsidRPr="00D13E38">
        <w:t xml:space="preserve"> EIA, </w:t>
      </w:r>
      <w:r w:rsidRPr="00D13E38">
        <w:rPr>
          <w:i/>
        </w:rPr>
        <w:t xml:space="preserve">Annual Energy Outlook, 2016: with Projections to 2040 </w:t>
      </w:r>
      <w:r w:rsidRPr="00D13E38">
        <w:t xml:space="preserve">(August 2016), </w:t>
      </w:r>
      <w:hyperlink r:id="rId7" w:history="1">
        <w:r w:rsidRPr="00D13E38">
          <w:rPr>
            <w:rStyle w:val="Hyperlink"/>
          </w:rPr>
          <w:t>https://www.eia.gov/outlooks/archive/aeo16/</w:t>
        </w:r>
      </w:hyperlink>
      <w:r w:rsidRPr="00D13E38">
        <w:t>.</w:t>
      </w:r>
    </w:p>
  </w:footnote>
  <w:footnote w:id="15">
    <w:p w:rsidR="00D03A39" w:rsidRPr="002A15AD" w:rsidRDefault="00D03A39">
      <w:pPr>
        <w:pStyle w:val="FootnoteText"/>
      </w:pPr>
      <w:r w:rsidRPr="00F63A90">
        <w:rPr>
          <w:rStyle w:val="FootnoteReference"/>
        </w:rPr>
        <w:footnoteRef/>
      </w:r>
      <w:r w:rsidRPr="00F63A90">
        <w:t xml:space="preserve"> </w:t>
      </w:r>
      <w:r w:rsidRPr="00F63A90">
        <w:rPr>
          <w:szCs w:val="20"/>
        </w:rPr>
        <w:t>Assumptions for 2030 emission allowance prices were $6.18/ton for both nitrogen oxides (NO</w:t>
      </w:r>
      <w:r w:rsidRPr="00F63A90">
        <w:rPr>
          <w:szCs w:val="20"/>
          <w:vertAlign w:val="subscript"/>
        </w:rPr>
        <w:t>X</w:t>
      </w:r>
      <w:r w:rsidRPr="00F63A90">
        <w:rPr>
          <w:szCs w:val="20"/>
        </w:rPr>
        <w:t>) and sulfur dioxide (SO</w:t>
      </w:r>
      <w:r w:rsidRPr="00F63A90">
        <w:rPr>
          <w:szCs w:val="20"/>
          <w:vertAlign w:val="subscript"/>
        </w:rPr>
        <w:t>2</w:t>
      </w:r>
      <w:r w:rsidRPr="00F63A90">
        <w:rPr>
          <w:szCs w:val="20"/>
        </w:rPr>
        <w:t>).</w:t>
      </w:r>
    </w:p>
  </w:footnote>
  <w:footnote w:id="16">
    <w:p w:rsidR="00D03A39" w:rsidRPr="000B22E3" w:rsidRDefault="00D03A39" w:rsidP="001C537B">
      <w:pPr>
        <w:pStyle w:val="FootnoteText"/>
      </w:pPr>
      <w:r w:rsidRPr="002A15AD">
        <w:rPr>
          <w:rStyle w:val="FootnoteReference"/>
        </w:rPr>
        <w:footnoteRef/>
      </w:r>
      <w:r w:rsidRPr="002A15AD">
        <w:t xml:space="preserve"> A </w:t>
      </w:r>
      <w:r w:rsidRPr="002A15AD">
        <w:rPr>
          <w:i/>
        </w:rPr>
        <w:t>behind-the-meter resource</w:t>
      </w:r>
      <w:r w:rsidRPr="002A15AD">
        <w:t xml:space="preserve"> typically is generation output by a relatively small, individual, on-site installation directly connected to a distribution facility or retail customer facility and not the regional power system, making it “invisible” to the ISO. BTM resources reduce net system demand</w:t>
      </w:r>
      <w:r>
        <w:t>.</w:t>
      </w:r>
      <w:r w:rsidRPr="00BE2EE4">
        <w:t xml:space="preserve"> </w:t>
      </w:r>
    </w:p>
  </w:footnote>
  <w:footnote w:id="17">
    <w:p w:rsidR="00D03A39" w:rsidRDefault="00D03A39" w:rsidP="00D13E38">
      <w:pPr>
        <w:pStyle w:val="FootnoteText"/>
      </w:pPr>
      <w:r w:rsidRPr="00455AC9">
        <w:rPr>
          <w:rStyle w:val="FootnoteReference"/>
        </w:rPr>
        <w:footnoteRef/>
      </w:r>
      <w:r w:rsidRPr="00455AC9">
        <w:t xml:space="preserve"> The large-scale integration of inverter-based resources and transmission devices would require much greater use of special controls on central station and distributed resources, system-protection upgrades, and other system improvements not fully considered in this study. </w:t>
      </w:r>
      <w:r>
        <w:t xml:space="preserve">See the Electric Power Research Institute’s </w:t>
      </w:r>
      <w:r w:rsidRPr="00AB043E">
        <w:rPr>
          <w:i/>
        </w:rPr>
        <w:t xml:space="preserve">Grid Impacts </w:t>
      </w:r>
      <w:r>
        <w:rPr>
          <w:i/>
        </w:rPr>
        <w:t>and</w:t>
      </w:r>
      <w:r w:rsidRPr="00AB043E">
        <w:rPr>
          <w:i/>
        </w:rPr>
        <w:t xml:space="preserve"> Challenges Arising from the Integration of Inverter-Based Variable Resources</w:t>
      </w:r>
      <w:r>
        <w:t>, PAC presentation</w:t>
      </w:r>
      <w:r>
        <w:rPr>
          <w:i/>
        </w:rPr>
        <w:t xml:space="preserve"> </w:t>
      </w:r>
      <w:r>
        <w:t>(October 19</w:t>
      </w:r>
      <w:r w:rsidRPr="00D13E38">
        <w:t>, 2016),</w:t>
      </w:r>
      <w:r>
        <w:t xml:space="preserve"> </w:t>
      </w:r>
      <w:hyperlink r:id="rId8" w:history="1">
        <w:r w:rsidRPr="00F459D0">
          <w:rPr>
            <w:rStyle w:val="Hyperlink"/>
          </w:rPr>
          <w:t>https://www.iso-ne.com/static-assets/documents/2016/10/a3_integration_and_planning_of_large_amounts_of_inverter_based_resources.pptx</w:t>
        </w:r>
      </w:hyperlink>
      <w:r>
        <w:rPr>
          <w:rStyle w:val="Hyperlink"/>
        </w:rPr>
        <w:t>.</w:t>
      </w:r>
    </w:p>
  </w:footnote>
  <w:footnote w:id="18">
    <w:p w:rsidR="00D03A39" w:rsidRDefault="00D03A39">
      <w:pPr>
        <w:pStyle w:val="FootnoteText"/>
      </w:pPr>
      <w:r w:rsidRPr="00BB1FC7">
        <w:rPr>
          <w:rStyle w:val="FootnoteReference"/>
        </w:rPr>
        <w:footnoteRef/>
      </w:r>
      <w:r w:rsidRPr="00BB1FC7">
        <w:t xml:space="preserve"> </w:t>
      </w:r>
      <w:r w:rsidRPr="00360F50">
        <w:t>Consumer costs are determined by distribution rates, which may account for a variety of factors the RARC does not consider.</w:t>
      </w:r>
    </w:p>
  </w:footnote>
  <w:footnote w:id="19">
    <w:p w:rsidR="00D03A39" w:rsidRDefault="00D03A39">
      <w:pPr>
        <w:pStyle w:val="FootnoteText"/>
      </w:pPr>
      <w:r w:rsidRPr="00513625">
        <w:rPr>
          <w:rStyle w:val="FootnoteReference"/>
        </w:rPr>
        <w:footnoteRef/>
      </w:r>
      <w:r w:rsidRPr="00513625">
        <w:t xml:space="preserve"> </w:t>
      </w:r>
      <w:r w:rsidRPr="00513625">
        <w:rPr>
          <w:i/>
        </w:rPr>
        <w:t>ISO New England Inc. Transmission, Markets, and Services Tariff</w:t>
      </w:r>
      <w:r w:rsidRPr="00513625">
        <w:t xml:space="preserve"> (ISO tariff), Section II, </w:t>
      </w:r>
      <w:r w:rsidRPr="00513625">
        <w:rPr>
          <w:i/>
        </w:rPr>
        <w:t>Open Access Transmission Tariff</w:t>
      </w:r>
      <w:r w:rsidRPr="00513625">
        <w:t xml:space="preserve">, Attachment K, “Regional System Planning Process” (July 29, 2016), </w:t>
      </w:r>
      <w:hyperlink r:id="rId9" w:history="1">
        <w:r w:rsidRPr="00513625">
          <w:rPr>
            <w:rStyle w:val="Hyperlink"/>
          </w:rPr>
          <w:t>https://iso-ne.com/static-assets/documents/regulatory/tariff/sect_2/oatt/sect_ii.pdf</w:t>
        </w:r>
      </w:hyperlink>
      <w:r w:rsidRPr="00513625">
        <w:t>.</w:t>
      </w:r>
    </w:p>
  </w:footnote>
  <w:footnote w:id="20">
    <w:p w:rsidR="00D03A39" w:rsidRDefault="00D03A39">
      <w:pPr>
        <w:pStyle w:val="FootnoteText"/>
      </w:pPr>
      <w:r w:rsidRPr="00E27D7F">
        <w:rPr>
          <w:rStyle w:val="FootnoteReference"/>
        </w:rPr>
        <w:footnoteRef/>
      </w:r>
      <w:r w:rsidRPr="00E27D7F">
        <w:t xml:space="preserve"> Load-serving entity (LSE) energy expenses are the total electric energy revenues that resources and imports from</w:t>
      </w:r>
      <w:r w:rsidRPr="0070159E">
        <w:t xml:space="preserve"> neighboring systems would receive for supplying electric energy to the wholesale market plus the cost of congestion.</w:t>
      </w:r>
    </w:p>
  </w:footnote>
  <w:footnote w:id="21">
    <w:p w:rsidR="00D03A39" w:rsidRPr="00E4172A" w:rsidRDefault="00D03A39" w:rsidP="00336BFF">
      <w:pPr>
        <w:pStyle w:val="FootnoteText"/>
      </w:pPr>
      <w:r w:rsidRPr="00E4172A">
        <w:rPr>
          <w:rStyle w:val="FootnoteReference"/>
          <w:sz w:val="18"/>
          <w:szCs w:val="18"/>
        </w:rPr>
        <w:footnoteRef/>
      </w:r>
      <w:r w:rsidRPr="00E4172A">
        <w:t xml:space="preserve"> OATT, Attachment K, Section 4.1b</w:t>
      </w:r>
      <w:r>
        <w:t>.</w:t>
      </w:r>
    </w:p>
  </w:footnote>
  <w:footnote w:id="22">
    <w:p w:rsidR="00D03A39" w:rsidRPr="0023578C" w:rsidRDefault="00D03A39" w:rsidP="001830DC">
      <w:pPr>
        <w:spacing w:after="80" w:line="240" w:lineRule="auto"/>
        <w:rPr>
          <w:sz w:val="18"/>
          <w:szCs w:val="18"/>
        </w:rPr>
      </w:pPr>
      <w:r w:rsidRPr="001830DC">
        <w:rPr>
          <w:rStyle w:val="FootnoteReference"/>
          <w:sz w:val="18"/>
          <w:szCs w:val="18"/>
        </w:rPr>
        <w:footnoteRef/>
      </w:r>
      <w:r w:rsidRPr="001830DC">
        <w:rPr>
          <w:sz w:val="18"/>
          <w:szCs w:val="18"/>
        </w:rPr>
        <w:t xml:space="preserve"> CLF, “Request for 2017 Economic Study to Explore Least-Cost, Emissions-Compliant System Topologies”</w:t>
      </w:r>
      <w:r>
        <w:rPr>
          <w:sz w:val="18"/>
          <w:szCs w:val="18"/>
        </w:rPr>
        <w:br/>
      </w:r>
      <w:r w:rsidRPr="001830DC">
        <w:rPr>
          <w:sz w:val="18"/>
          <w:szCs w:val="18"/>
        </w:rPr>
        <w:t xml:space="preserve">(April 4, 2017), </w:t>
      </w:r>
      <w:hyperlink r:id="rId10" w:history="1">
        <w:r w:rsidRPr="001830DC">
          <w:rPr>
            <w:rStyle w:val="Hyperlink"/>
            <w:sz w:val="18"/>
            <w:szCs w:val="18"/>
          </w:rPr>
          <w:t>https://www.iso-ne.com/static-assets/documents/2017/04/a7_2017_economic_study_request_clf.pdf</w:t>
        </w:r>
      </w:hyperlink>
      <w:r w:rsidRPr="001830DC">
        <w:rPr>
          <w:sz w:val="18"/>
          <w:szCs w:val="18"/>
        </w:rPr>
        <w:t xml:space="preserve"> and </w:t>
      </w:r>
      <w:r w:rsidRPr="001830DC">
        <w:rPr>
          <w:i/>
          <w:sz w:val="18"/>
          <w:szCs w:val="18"/>
        </w:rPr>
        <w:t xml:space="preserve">Study to Explore Least-Cost, Emissions-Compliant System Topologies, </w:t>
      </w:r>
      <w:r w:rsidRPr="001830DC">
        <w:rPr>
          <w:sz w:val="18"/>
          <w:szCs w:val="18"/>
        </w:rPr>
        <w:t xml:space="preserve">PAC presentation (April 12, 2017), </w:t>
      </w:r>
      <w:hyperlink r:id="rId11" w:history="1">
        <w:r w:rsidRPr="001830DC">
          <w:rPr>
            <w:rStyle w:val="Hyperlink"/>
            <w:sz w:val="18"/>
            <w:szCs w:val="18"/>
          </w:rPr>
          <w:t>https://www.iso-ne.com/static-assets/documents/2017/04/a7_2017_economic_study_request_clf_presentation.pdf</w:t>
        </w:r>
      </w:hyperlink>
      <w:r w:rsidRPr="001830DC">
        <w:rPr>
          <w:sz w:val="18"/>
          <w:szCs w:val="18"/>
        </w:rPr>
        <w:t>.</w:t>
      </w:r>
    </w:p>
  </w:footnote>
  <w:footnote w:id="23">
    <w:p w:rsidR="00D03A39" w:rsidRDefault="00D03A39" w:rsidP="00821E90">
      <w:pPr>
        <w:spacing w:after="80" w:line="240" w:lineRule="auto"/>
      </w:pPr>
      <w:r w:rsidRPr="00821E90">
        <w:rPr>
          <w:rStyle w:val="FootnoteReference"/>
        </w:rPr>
        <w:footnoteRef/>
      </w:r>
      <w:r>
        <w:rPr>
          <w:sz w:val="18"/>
          <w:szCs w:val="18"/>
        </w:rPr>
        <w:t xml:space="preserve"> </w:t>
      </w:r>
      <w:r w:rsidRPr="00821E90">
        <w:rPr>
          <w:sz w:val="18"/>
          <w:szCs w:val="18"/>
        </w:rPr>
        <w:t xml:space="preserve">The general and detailed study </w:t>
      </w:r>
      <w:r>
        <w:rPr>
          <w:sz w:val="18"/>
          <w:szCs w:val="18"/>
        </w:rPr>
        <w:t xml:space="preserve">scope of work and </w:t>
      </w:r>
      <w:r w:rsidRPr="00821E90">
        <w:rPr>
          <w:sz w:val="18"/>
          <w:szCs w:val="18"/>
        </w:rPr>
        <w:t xml:space="preserve">assumptions are available in the following ISO PAC presentation: </w:t>
      </w:r>
      <w:r w:rsidRPr="00821E90">
        <w:rPr>
          <w:i/>
          <w:sz w:val="18"/>
          <w:szCs w:val="18"/>
        </w:rPr>
        <w:t>201</w:t>
      </w:r>
      <w:r>
        <w:rPr>
          <w:i/>
          <w:sz w:val="18"/>
          <w:szCs w:val="18"/>
        </w:rPr>
        <w:t>7</w:t>
      </w:r>
      <w:r w:rsidRPr="00821E90">
        <w:rPr>
          <w:i/>
          <w:sz w:val="18"/>
          <w:szCs w:val="18"/>
        </w:rPr>
        <w:t xml:space="preserve"> Economic Stud</w:t>
      </w:r>
      <w:r>
        <w:rPr>
          <w:i/>
          <w:sz w:val="18"/>
          <w:szCs w:val="18"/>
        </w:rPr>
        <w:t>y Scope of Work</w:t>
      </w:r>
      <w:r w:rsidRPr="00821E90">
        <w:rPr>
          <w:i/>
          <w:sz w:val="18"/>
          <w:szCs w:val="18"/>
        </w:rPr>
        <w:t xml:space="preserve"> </w:t>
      </w:r>
      <w:r>
        <w:rPr>
          <w:sz w:val="18"/>
          <w:szCs w:val="18"/>
        </w:rPr>
        <w:t xml:space="preserve">(May 11, 2017), </w:t>
      </w:r>
      <w:hyperlink r:id="rId12" w:history="1">
        <w:r w:rsidRPr="00415041">
          <w:rPr>
            <w:rStyle w:val="Hyperlink"/>
            <w:sz w:val="18"/>
            <w:szCs w:val="18"/>
          </w:rPr>
          <w:t>https://www.iso-ne.com/static-assets/documents/2017/05/a2_2017_economic_study_scope_of_work.pdf</w:t>
        </w:r>
      </w:hyperlink>
      <w:r>
        <w:rPr>
          <w:rStyle w:val="Hyperlink"/>
          <w:sz w:val="18"/>
          <w:szCs w:val="18"/>
        </w:rPr>
        <w:t>.</w:t>
      </w:r>
      <w:r>
        <w:rPr>
          <w:sz w:val="18"/>
          <w:szCs w:val="18"/>
        </w:rPr>
        <w:t xml:space="preserve"> The results were discussed with the PAC and reposted to reflect comments received at the February 14, 2018, meeting; see </w:t>
      </w:r>
      <w:hyperlink r:id="rId13" w:history="1">
        <w:r w:rsidRPr="005A2506">
          <w:rPr>
            <w:sz w:val="18"/>
            <w:szCs w:val="18"/>
          </w:rPr>
          <w:t>https://www.iso-ne.com/static-assets/documents/2018/02/a3_2017_economic_study.pdf</w:t>
        </w:r>
      </w:hyperlink>
      <w:r>
        <w:rPr>
          <w:sz w:val="18"/>
          <w:szCs w:val="18"/>
        </w:rPr>
        <w:t>.</w:t>
      </w:r>
    </w:p>
  </w:footnote>
  <w:footnote w:id="24">
    <w:p w:rsidR="00D03A39" w:rsidRDefault="00D03A39" w:rsidP="00C46987">
      <w:pPr>
        <w:pStyle w:val="FootnoteText"/>
      </w:pPr>
      <w:r w:rsidRPr="00924838">
        <w:rPr>
          <w:rStyle w:val="FootnoteReference"/>
        </w:rPr>
        <w:footnoteRef/>
      </w:r>
      <w:r w:rsidRPr="00924838">
        <w:t xml:space="preserve"> A </w:t>
      </w:r>
      <w:r w:rsidRPr="00924838">
        <w:rPr>
          <w:i/>
        </w:rPr>
        <w:t>behind-the-meter resource</w:t>
      </w:r>
      <w:r w:rsidRPr="00924838">
        <w:t xml:space="preserve"> typically is generation output by a relatively small, individual, on-site installation directly connected to a distribution facility or retail customer facility and not the regional power system, making it “invisible” to the ISO. BTM resources reduce net system demand</w:t>
      </w:r>
      <w:r>
        <w:t>.</w:t>
      </w:r>
    </w:p>
  </w:footnote>
  <w:footnote w:id="25">
    <w:p w:rsidR="00D03A39" w:rsidRPr="00662F30" w:rsidRDefault="00D03A39" w:rsidP="00710E65">
      <w:pPr>
        <w:pStyle w:val="FootnoteText"/>
      </w:pPr>
      <w:r w:rsidRPr="0060060E">
        <w:rPr>
          <w:rStyle w:val="FootnoteReference"/>
        </w:rPr>
        <w:footnoteRef/>
      </w:r>
      <w:r w:rsidRPr="0060060E">
        <w:t xml:space="preserve"> </w:t>
      </w:r>
      <w:r w:rsidRPr="006B2D49">
        <w:t xml:space="preserve">“I.3.9” refers to the section of the ISO tariff that includes the requirements for market participants’ and transmission </w:t>
      </w:r>
      <w:r w:rsidRPr="00DB2897">
        <w:t>owners’ (TO) submissions of new or revised plans for adding to or changing any generation or demand resource or</w:t>
      </w:r>
      <w:r w:rsidRPr="006B2D49">
        <w:t xml:space="preserve"> transmission facility 69 kV or larger that could have a significant effect on the stability, reliability, or operating characteristics of a TO’s or market </w:t>
      </w:r>
      <w:r w:rsidRPr="005B3C04">
        <w:t>participant’s transmission facility or system. It also contains the ISO’s requirements for reviewing and approving these applications. The</w:t>
      </w:r>
      <w:r>
        <w:t xml:space="preserve">se </w:t>
      </w:r>
      <w:r w:rsidRPr="005B3C04">
        <w:t xml:space="preserve">projects are included on the </w:t>
      </w:r>
      <w:r>
        <w:t xml:space="preserve">ISO’s </w:t>
      </w:r>
      <w:r w:rsidRPr="005B3C04">
        <w:t xml:space="preserve">Interconnection Request Queue, </w:t>
      </w:r>
      <w:r w:rsidRPr="00662F30">
        <w:t xml:space="preserve">available at </w:t>
      </w:r>
      <w:hyperlink r:id="rId14" w:history="1">
        <w:r w:rsidRPr="00662F30">
          <w:rPr>
            <w:rStyle w:val="Hyperlink"/>
          </w:rPr>
          <w:t>https://www.iso-ne.com/system-planning/transmission-planning/interconnection-request-queue</w:t>
        </w:r>
      </w:hyperlink>
      <w:r w:rsidRPr="00662F30">
        <w:t>.</w:t>
      </w:r>
      <w:r w:rsidRPr="00662F30" w:rsidDel="005B3C04">
        <w:t xml:space="preserve"> </w:t>
      </w:r>
    </w:p>
  </w:footnote>
  <w:footnote w:id="26">
    <w:p w:rsidR="00D03A39" w:rsidRDefault="00D03A39">
      <w:pPr>
        <w:pStyle w:val="FootnoteText"/>
      </w:pPr>
      <w:r>
        <w:rPr>
          <w:rStyle w:val="FootnoteReference"/>
        </w:rPr>
        <w:footnoteRef/>
      </w:r>
      <w:r>
        <w:t xml:space="preserve"> </w:t>
      </w:r>
      <w:r w:rsidRPr="006F52FF">
        <w:t>ISO</w:t>
      </w:r>
      <w:r>
        <w:t xml:space="preserve"> New England, </w:t>
      </w:r>
      <w:r w:rsidRPr="006F52FF">
        <w:rPr>
          <w:i/>
        </w:rPr>
        <w:t>2017 Economic Study, Scope of Work</w:t>
      </w:r>
      <w:r>
        <w:t>, PAC presentation</w:t>
      </w:r>
      <w:r w:rsidRPr="006F52FF">
        <w:rPr>
          <w:i/>
        </w:rPr>
        <w:t xml:space="preserve"> </w:t>
      </w:r>
      <w:r w:rsidRPr="006F52FF">
        <w:t xml:space="preserve">(May 25, 2017), </w:t>
      </w:r>
      <w:hyperlink r:id="rId15" w:history="1">
        <w:r w:rsidRPr="003D0E3B">
          <w:rPr>
            <w:rStyle w:val="Hyperlink"/>
          </w:rPr>
          <w:t>https://www.iso-ne.com/static-assets/documents/2017/05/a2_2017_economic_study_scope_of_work.pdf</w:t>
        </w:r>
      </w:hyperlink>
      <w:r>
        <w:rPr>
          <w:rStyle w:val="Hyperlink"/>
        </w:rPr>
        <w:t>.</w:t>
      </w:r>
    </w:p>
  </w:footnote>
  <w:footnote w:id="27">
    <w:p w:rsidR="00D03A39" w:rsidRDefault="00D03A39">
      <w:pPr>
        <w:pStyle w:val="FootnoteText"/>
      </w:pPr>
      <w:r w:rsidRPr="00383BDC">
        <w:rPr>
          <w:rStyle w:val="FootnoteReference"/>
        </w:rPr>
        <w:footnoteRef/>
      </w:r>
      <w:r w:rsidRPr="00383BDC">
        <w:t xml:space="preserve"> Refer to the ISO’s “Energy Efficiency Working Group,” webpage (2017) for information and presentations on how the ISO accounts for energy-efficiency programs in its energy-efficiency forecasts; </w:t>
      </w:r>
      <w:hyperlink r:id="rId16" w:history="1">
        <w:r w:rsidRPr="00383BDC">
          <w:rPr>
            <w:rStyle w:val="Hyperlink"/>
          </w:rPr>
          <w:t>https://www.iso-ne.com/committees/planning/energy-efficiency-forecast</w:t>
        </w:r>
      </w:hyperlink>
      <w:r w:rsidRPr="00383BDC">
        <w:t>.</w:t>
      </w:r>
    </w:p>
  </w:footnote>
  <w:footnote w:id="28">
    <w:p w:rsidR="00D03A39" w:rsidRDefault="00D03A39" w:rsidP="00331422">
      <w:pPr>
        <w:pStyle w:val="FootnoteText"/>
      </w:pPr>
      <w:r>
        <w:rPr>
          <w:rStyle w:val="FootnoteReference"/>
        </w:rPr>
        <w:footnoteRef/>
      </w:r>
      <w:r>
        <w:t xml:space="preserve"> </w:t>
      </w:r>
      <w:r w:rsidRPr="00A72D8D">
        <w:t xml:space="preserve">This is the standard ISO model used for </w:t>
      </w:r>
      <w:r>
        <w:t xml:space="preserve">representing </w:t>
      </w:r>
      <w:r w:rsidRPr="00A72D8D">
        <w:t>hourly demand</w:t>
      </w:r>
      <w:r>
        <w:t xml:space="preserve"> for economic studies</w:t>
      </w:r>
      <w:r w:rsidRPr="00A72D8D">
        <w:t xml:space="preserve">. Several summer heat waves and </w:t>
      </w:r>
      <w:r>
        <w:t xml:space="preserve">a moderate </w:t>
      </w:r>
      <w:r w:rsidRPr="00A72D8D">
        <w:t xml:space="preserve">winter </w:t>
      </w:r>
      <w:r>
        <w:t>were</w:t>
      </w:r>
      <w:r w:rsidRPr="00A72D8D">
        <w:t xml:space="preserve"> experienced in 2006.</w:t>
      </w:r>
    </w:p>
  </w:footnote>
  <w:footnote w:id="29">
    <w:p w:rsidR="00D03A39" w:rsidRDefault="00D03A39">
      <w:pPr>
        <w:pStyle w:val="FootnoteText"/>
      </w:pPr>
      <w:r>
        <w:rPr>
          <w:rStyle w:val="FootnoteReference"/>
        </w:rPr>
        <w:footnoteRef/>
      </w:r>
      <w:r>
        <w:t xml:space="preserve"> </w:t>
      </w:r>
      <w:r w:rsidRPr="006B6330">
        <w:t xml:space="preserve">A </w:t>
      </w:r>
      <w:r w:rsidRPr="00904178">
        <w:rPr>
          <w:i/>
        </w:rPr>
        <w:t>50/50 peak demand</w:t>
      </w:r>
      <w:r w:rsidRPr="006B6330">
        <w:t xml:space="preserve"> is a peak load with a 50% chance of being exceeded because of weather conditions, expected to occur in the summer in New England at a weighted New England-wide temperature of 90.2 °F, and in the winter, 7.0 °F.</w:t>
      </w:r>
    </w:p>
  </w:footnote>
  <w:footnote w:id="30">
    <w:p w:rsidR="00D03A39" w:rsidRPr="00B050E7" w:rsidRDefault="00D03A39">
      <w:pPr>
        <w:pStyle w:val="FootnoteText"/>
      </w:pPr>
      <w:r w:rsidRPr="008224DC">
        <w:rPr>
          <w:rStyle w:val="FootnoteReference"/>
          <w:sz w:val="18"/>
          <w:szCs w:val="18"/>
        </w:rPr>
        <w:footnoteRef/>
      </w:r>
      <w:r w:rsidRPr="00B050E7">
        <w:t xml:space="preserve"> NREL, “Solar Power Data for Integration Studies,” webpage (n.d.), </w:t>
      </w:r>
      <w:hyperlink r:id="rId17" w:history="1">
        <w:r w:rsidRPr="00B050E7">
          <w:rPr>
            <w:rStyle w:val="Hyperlink"/>
          </w:rPr>
          <w:t>https://www.nrel.gov/grid/solar-power-data.html</w:t>
        </w:r>
      </w:hyperlink>
      <w:r w:rsidRPr="00B050E7">
        <w:t>.</w:t>
      </w:r>
      <w:r w:rsidRPr="009F55CB">
        <w:t xml:space="preserve"> </w:t>
      </w:r>
    </w:p>
  </w:footnote>
  <w:footnote w:id="31">
    <w:p w:rsidR="00D03A39" w:rsidRPr="00B050E7" w:rsidRDefault="00D03A39">
      <w:pPr>
        <w:pStyle w:val="FootnoteText"/>
      </w:pPr>
      <w:r w:rsidRPr="008224DC">
        <w:rPr>
          <w:rStyle w:val="FootnoteReference"/>
          <w:sz w:val="18"/>
          <w:szCs w:val="18"/>
        </w:rPr>
        <w:footnoteRef/>
      </w:r>
      <w:r w:rsidRPr="00B050E7">
        <w:t xml:space="preserve"> Because PV does not produce energy as the sun sets, larger amounts of PV result in the net peak load (demand minus PV production) occurring later in the day during the summer. Thus, increased amounts of PV become less effective at reducing the net peak load.</w:t>
      </w:r>
    </w:p>
  </w:footnote>
  <w:footnote w:id="32">
    <w:p w:rsidR="00D03A39" w:rsidRPr="00B050E7" w:rsidRDefault="00D03A39">
      <w:pPr>
        <w:pStyle w:val="FootnoteText"/>
      </w:pPr>
      <w:r w:rsidRPr="008224DC">
        <w:rPr>
          <w:rStyle w:val="FootnoteReference"/>
          <w:sz w:val="18"/>
          <w:szCs w:val="18"/>
        </w:rPr>
        <w:footnoteRef/>
      </w:r>
      <w:r w:rsidRPr="00B050E7">
        <w:t xml:space="preserve"> In general, BTM PV GWh = (2,959 GWh ÷ 2,307 MW) × (MW nameplate </w:t>
      </w:r>
      <w:r w:rsidRPr="007B1A78">
        <w:t xml:space="preserve">BTM). </w:t>
      </w:r>
      <w:r w:rsidRPr="005D493A">
        <w:t xml:space="preserve">Thus, </w:t>
      </w:r>
      <w:r w:rsidRPr="00B050E7">
        <w:t>(2,959 GWh ÷ 2,307 MW) × 6</w:t>
      </w:r>
      <w:r>
        <w:t>,</w:t>
      </w:r>
      <w:r w:rsidRPr="00B050E7">
        <w:t>000 MW</w:t>
      </w:r>
      <w:r>
        <w:t xml:space="preserve"> = 7,695 GWh</w:t>
      </w:r>
      <w:r w:rsidRPr="00B050E7">
        <w:t>.</w:t>
      </w:r>
    </w:p>
  </w:footnote>
  <w:footnote w:id="33">
    <w:p w:rsidR="00D03A39" w:rsidRDefault="00D03A39">
      <w:pPr>
        <w:pStyle w:val="FootnoteText"/>
      </w:pPr>
      <w:r w:rsidRPr="00D84F97">
        <w:rPr>
          <w:rStyle w:val="FootnoteReference"/>
        </w:rPr>
        <w:footnoteRef/>
      </w:r>
      <w:r w:rsidRPr="00D84F97">
        <w:t xml:space="preserve"> </w:t>
      </w:r>
      <w:r w:rsidRPr="00D84F97">
        <w:rPr>
          <w:i/>
        </w:rPr>
        <w:t xml:space="preserve">Seasonal claimed capability </w:t>
      </w:r>
      <w:r w:rsidRPr="00D84F97">
        <w:t>is a generator's maximum production or output during a particular season, adjusted for physical and regulatory limitations.</w:t>
      </w:r>
    </w:p>
  </w:footnote>
  <w:footnote w:id="34">
    <w:p w:rsidR="00D03A39" w:rsidRDefault="00D03A39" w:rsidP="00E4647F">
      <w:pPr>
        <w:pStyle w:val="FootnoteText"/>
      </w:pPr>
      <w:r w:rsidRPr="008C0B4C">
        <w:rPr>
          <w:rStyle w:val="FootnoteReference"/>
        </w:rPr>
        <w:footnoteRef/>
      </w:r>
      <w:r w:rsidRPr="008C0B4C">
        <w:t xml:space="preserve"> </w:t>
      </w:r>
      <w:r>
        <w:t xml:space="preserve">Regional System Plans are available at </w:t>
      </w:r>
      <w:hyperlink r:id="rId18" w:history="1">
        <w:r w:rsidRPr="002F6F81">
          <w:rPr>
            <w:rStyle w:val="Hyperlink"/>
          </w:rPr>
          <w:t>https://www.iso-ne.com/system-planning/system-plans-studies/rsp</w:t>
        </w:r>
      </w:hyperlink>
      <w:r>
        <w:t>.</w:t>
      </w:r>
    </w:p>
  </w:footnote>
  <w:footnote w:id="35">
    <w:p w:rsidR="00D03A39" w:rsidRPr="00857EFA" w:rsidRDefault="00D03A39">
      <w:pPr>
        <w:pStyle w:val="FootnoteText"/>
      </w:pPr>
      <w:r w:rsidRPr="00857EFA">
        <w:rPr>
          <w:rStyle w:val="FootnoteReference"/>
        </w:rPr>
        <w:footnoteRef/>
      </w:r>
      <w:r w:rsidRPr="00857EFA">
        <w:t xml:space="preserve"> Operating reserve is the megawatt capability of a power system greater than system demand, which is required for providing frequency regulation, correcting load forecasting errors, and handling forced outages, and is drawn from spinning and nonspinning sources of power that may be used to recover from a contingency. </w:t>
      </w:r>
    </w:p>
  </w:footnote>
  <w:footnote w:id="36">
    <w:p w:rsidR="00D03A39" w:rsidRPr="0080348E" w:rsidRDefault="00D03A39" w:rsidP="00BA36BC">
      <w:pPr>
        <w:pStyle w:val="FootnoteText"/>
      </w:pPr>
      <w:r w:rsidRPr="00857EFA">
        <w:rPr>
          <w:rStyle w:val="FootnoteReference"/>
        </w:rPr>
        <w:footnoteRef/>
      </w:r>
      <w:r w:rsidRPr="00857EFA">
        <w:t xml:space="preserve"> The ISO’s requirements for operating reserves are addressed in </w:t>
      </w:r>
      <w:r w:rsidRPr="00857EFA">
        <w:rPr>
          <w:i/>
        </w:rPr>
        <w:t>ISO New England Operating Procedure No. 8—Operating Reserve and Regulation</w:t>
      </w:r>
      <w:r w:rsidRPr="00857EFA">
        <w:t xml:space="preserve"> (</w:t>
      </w:r>
      <w:r>
        <w:t>September 21</w:t>
      </w:r>
      <w:r w:rsidRPr="00857EFA">
        <w:t xml:space="preserve">, 2017), </w:t>
      </w:r>
      <w:hyperlink r:id="rId19" w:history="1">
        <w:r w:rsidRPr="00857EFA">
          <w:rPr>
            <w:rStyle w:val="Hyperlink"/>
          </w:rPr>
          <w:t>https://www.iso-ne.com/static-assets/documents/rules_proceds/operating/isone/op8/op8_rto_final.pdf</w:t>
        </w:r>
      </w:hyperlink>
      <w:r w:rsidRPr="00857EFA">
        <w:t>.</w:t>
      </w:r>
    </w:p>
  </w:footnote>
  <w:footnote w:id="37">
    <w:p w:rsidR="00D03A39" w:rsidRPr="0080348E" w:rsidRDefault="00D03A39" w:rsidP="00BA36BC">
      <w:pPr>
        <w:pStyle w:val="FootnoteText"/>
      </w:pPr>
      <w:r w:rsidRPr="00857EFA">
        <w:rPr>
          <w:rStyle w:val="FootnoteReference"/>
        </w:rPr>
        <w:footnoteRef/>
      </w:r>
      <w:r w:rsidRPr="00857EFA">
        <w:t xml:space="preserve"> </w:t>
      </w:r>
      <w:r>
        <w:t xml:space="preserve">A </w:t>
      </w:r>
      <w:r>
        <w:rPr>
          <w:i/>
        </w:rPr>
        <w:t xml:space="preserve">first </w:t>
      </w:r>
      <w:r w:rsidRPr="00E82C53">
        <w:t>contingency</w:t>
      </w:r>
      <w:r>
        <w:t xml:space="preserve"> is the loss of the power system element (facility) with the largest impact on system reliability. </w:t>
      </w:r>
      <w:r w:rsidRPr="00E82C53">
        <w:t>Ten</w:t>
      </w:r>
      <w:r w:rsidRPr="00857EFA">
        <w:rPr>
          <w:i/>
        </w:rPr>
        <w:t>-minute spinning reserve</w:t>
      </w:r>
      <w:r w:rsidRPr="00857EFA">
        <w:t xml:space="preserve"> (TMSR) is operating reserve provided by on-line operating generation that can increase output within 10 minutes in response to a contingency. </w:t>
      </w:r>
      <w:r w:rsidRPr="00857EFA">
        <w:rPr>
          <w:i/>
        </w:rPr>
        <w:t>Ten-minute nonspinning reserve</w:t>
      </w:r>
      <w:r w:rsidRPr="00857EFA">
        <w:t xml:space="preserve"> (TMNSR) is operating reserve provided by off-line generation that can be electrically synchronized to the system and increase output within 10 minutes in response to a contingency.</w:t>
      </w:r>
      <w:r>
        <w:t xml:space="preserve"> </w:t>
      </w:r>
    </w:p>
  </w:footnote>
  <w:footnote w:id="38">
    <w:p w:rsidR="00D03A39" w:rsidRDefault="00D03A39">
      <w:pPr>
        <w:pStyle w:val="FootnoteText"/>
      </w:pPr>
      <w:r w:rsidRPr="00857EFA">
        <w:rPr>
          <w:rStyle w:val="FootnoteReference"/>
        </w:rPr>
        <w:footnoteRef/>
      </w:r>
      <w:r w:rsidRPr="00857EFA">
        <w:t xml:space="preserve"> </w:t>
      </w:r>
      <w:r w:rsidRPr="00857EFA">
        <w:rPr>
          <w:i/>
        </w:rPr>
        <w:t>Thirty-minute operating reserve</w:t>
      </w:r>
      <w:r w:rsidRPr="00857EFA">
        <w:t xml:space="preserve"> (TMOR) is provided by on-line or off-line operating-reserve generation that can either increase output within 30 minutes or be electrically synchronized to the system and increase output within 30 minutes in response to a contingency. A </w:t>
      </w:r>
      <w:r w:rsidRPr="00857EFA">
        <w:rPr>
          <w:i/>
        </w:rPr>
        <w:t>fast-start resource</w:t>
      </w:r>
      <w:r w:rsidRPr="00857EFA">
        <w:t xml:space="preserve"> can be electrically synchronized to the system and reach its maximum production or output within 10 to 30 minutes to respond to a contingency and serve demand. It also can be a demand resource that helps with recovery from a contingency and assists in serving peak demand.</w:t>
      </w:r>
    </w:p>
  </w:footnote>
  <w:footnote w:id="39">
    <w:p w:rsidR="00D03A39" w:rsidRDefault="00D03A39" w:rsidP="00A37A8D">
      <w:pPr>
        <w:pStyle w:val="FootnoteText"/>
      </w:pPr>
      <w:r w:rsidRPr="008A5E64">
        <w:rPr>
          <w:rStyle w:val="FootnoteReference"/>
        </w:rPr>
        <w:footnoteRef/>
      </w:r>
      <w:r w:rsidRPr="008A5E64">
        <w:t xml:space="preserve"> The NREL database includes 8,760 hours of locational data that can be used to determine PV production for different amounts and locations of PV. A similar database exists for onshore and offshore wind.</w:t>
      </w:r>
    </w:p>
  </w:footnote>
  <w:footnote w:id="40">
    <w:p w:rsidR="00D03A39" w:rsidRDefault="00D03A39" w:rsidP="007A28D4">
      <w:pPr>
        <w:pStyle w:val="FootnoteText"/>
      </w:pPr>
      <w:r w:rsidRPr="007A28D4">
        <w:rPr>
          <w:rStyle w:val="FootnoteReference"/>
        </w:rPr>
        <w:footnoteRef/>
      </w:r>
      <w:r w:rsidRPr="007A28D4">
        <w:t xml:space="preserve"> </w:t>
      </w:r>
      <w:r w:rsidRPr="006D3C37">
        <w:rPr>
          <w:szCs w:val="20"/>
        </w:rPr>
        <w:t>This is s</w:t>
      </w:r>
      <w:r w:rsidRPr="006D3C37">
        <w:rPr>
          <w:rFonts w:eastAsia="Calibri"/>
          <w:szCs w:val="20"/>
        </w:rPr>
        <w:t>imilar</w:t>
      </w:r>
      <w:r w:rsidRPr="006D3C37">
        <w:rPr>
          <w:rFonts w:eastAsia="Calibri"/>
          <w:spacing w:val="3"/>
          <w:szCs w:val="20"/>
        </w:rPr>
        <w:t xml:space="preserve"> to the wind-</w:t>
      </w:r>
      <w:r w:rsidRPr="006D3C37">
        <w:rPr>
          <w:rFonts w:eastAsia="Calibri"/>
          <w:szCs w:val="20"/>
        </w:rPr>
        <w:t>addition assumptions</w:t>
      </w:r>
      <w:r w:rsidRPr="006D3C37">
        <w:rPr>
          <w:rFonts w:eastAsia="Calibri"/>
          <w:spacing w:val="3"/>
          <w:szCs w:val="20"/>
        </w:rPr>
        <w:t xml:space="preserve"> presented in </w:t>
      </w:r>
      <w:r w:rsidRPr="006D3C37">
        <w:rPr>
          <w:rFonts w:eastAsia="Calibri"/>
          <w:szCs w:val="20"/>
        </w:rPr>
        <w:t xml:space="preserve">the </w:t>
      </w:r>
      <w:r w:rsidRPr="006D3C37">
        <w:rPr>
          <w:rFonts w:eastAsia="Calibri"/>
          <w:i/>
          <w:szCs w:val="20"/>
        </w:rPr>
        <w:t>2015</w:t>
      </w:r>
      <w:r w:rsidRPr="006D3C37">
        <w:rPr>
          <w:rFonts w:eastAsia="Calibri"/>
          <w:i/>
          <w:spacing w:val="-6"/>
          <w:szCs w:val="20"/>
        </w:rPr>
        <w:t xml:space="preserve"> </w:t>
      </w:r>
      <w:r w:rsidRPr="006D3C37">
        <w:rPr>
          <w:rFonts w:eastAsia="Calibri"/>
          <w:i/>
          <w:spacing w:val="-2"/>
          <w:szCs w:val="20"/>
        </w:rPr>
        <w:t>Economic</w:t>
      </w:r>
      <w:r w:rsidRPr="006D3C37">
        <w:rPr>
          <w:rFonts w:eastAsia="Calibri"/>
          <w:i/>
          <w:spacing w:val="-6"/>
          <w:szCs w:val="20"/>
        </w:rPr>
        <w:t xml:space="preserve"> </w:t>
      </w:r>
      <w:r w:rsidRPr="006D3C37">
        <w:rPr>
          <w:rFonts w:eastAsia="Calibri"/>
          <w:i/>
          <w:szCs w:val="20"/>
        </w:rPr>
        <w:t>Study</w:t>
      </w:r>
      <w:r w:rsidRPr="006D3C37">
        <w:rPr>
          <w:rFonts w:eastAsia="Calibri"/>
          <w:i/>
          <w:spacing w:val="-3"/>
          <w:szCs w:val="20"/>
        </w:rPr>
        <w:t xml:space="preserve"> </w:t>
      </w:r>
      <w:r w:rsidRPr="006D3C37">
        <w:rPr>
          <w:rFonts w:eastAsia="Calibri"/>
          <w:i/>
          <w:spacing w:val="-2"/>
          <w:szCs w:val="20"/>
        </w:rPr>
        <w:t xml:space="preserve">Evaluation </w:t>
      </w:r>
      <w:r w:rsidRPr="006D3C37">
        <w:rPr>
          <w:rFonts w:eastAsia="Calibri"/>
          <w:i/>
          <w:szCs w:val="20"/>
        </w:rPr>
        <w:t>of</w:t>
      </w:r>
      <w:r w:rsidRPr="006D3C37">
        <w:rPr>
          <w:rFonts w:eastAsia="Calibri"/>
          <w:i/>
          <w:spacing w:val="-2"/>
          <w:szCs w:val="20"/>
        </w:rPr>
        <w:t xml:space="preserve"> </w:t>
      </w:r>
      <w:r w:rsidRPr="006D3C37">
        <w:rPr>
          <w:rFonts w:eastAsia="Calibri"/>
          <w:i/>
          <w:spacing w:val="-3"/>
          <w:szCs w:val="20"/>
        </w:rPr>
        <w:t>Offshore</w:t>
      </w:r>
      <w:r w:rsidRPr="006D3C37">
        <w:rPr>
          <w:rFonts w:eastAsia="Calibri"/>
          <w:i/>
          <w:spacing w:val="-2"/>
          <w:szCs w:val="20"/>
        </w:rPr>
        <w:t xml:space="preserve"> </w:t>
      </w:r>
      <w:r w:rsidRPr="006D3C37">
        <w:rPr>
          <w:rFonts w:eastAsia="Calibri"/>
          <w:i/>
          <w:szCs w:val="20"/>
        </w:rPr>
        <w:t>Wind</w:t>
      </w:r>
      <w:r w:rsidRPr="006D3C37">
        <w:rPr>
          <w:rFonts w:eastAsia="Calibri"/>
          <w:i/>
          <w:spacing w:val="37"/>
          <w:szCs w:val="20"/>
        </w:rPr>
        <w:t xml:space="preserve"> </w:t>
      </w:r>
      <w:r w:rsidRPr="006D3C37">
        <w:rPr>
          <w:rFonts w:eastAsia="Calibri"/>
          <w:i/>
          <w:spacing w:val="-2"/>
          <w:szCs w:val="20"/>
        </w:rPr>
        <w:t>Deployment</w:t>
      </w:r>
      <w:r w:rsidRPr="007A28D4">
        <w:t xml:space="preserve"> ISO New England, </w:t>
      </w:r>
      <w:r w:rsidRPr="007A28D4">
        <w:rPr>
          <w:i/>
        </w:rPr>
        <w:t>2015 Economic Study—Evaluation of Offshore Wind Deployment</w:t>
      </w:r>
      <w:r w:rsidRPr="007A28D4">
        <w:t xml:space="preserve"> (September 2, 2016), </w:t>
      </w:r>
      <w:hyperlink r:id="rId20" w:history="1">
        <w:r w:rsidRPr="007A28D4">
          <w:rPr>
            <w:rStyle w:val="Hyperlink"/>
          </w:rPr>
          <w:t>https://www.iso-ne.com/static-assets/documents/2016/09/2015_economic_study_offshore_wind_development_final.docx</w:t>
        </w:r>
      </w:hyperlink>
      <w:r w:rsidRPr="007A28D4">
        <w:t>.</w:t>
      </w:r>
    </w:p>
  </w:footnote>
  <w:footnote w:id="41">
    <w:p w:rsidR="00D03A39" w:rsidRDefault="00D03A39">
      <w:pPr>
        <w:pStyle w:val="FootnoteText"/>
      </w:pPr>
      <w:r w:rsidRPr="003348D4">
        <w:rPr>
          <w:rStyle w:val="FootnoteReference"/>
        </w:rPr>
        <w:footnoteRef/>
      </w:r>
      <w:r w:rsidRPr="003348D4">
        <w:t xml:space="preserve"> </w:t>
      </w:r>
      <w:r w:rsidRPr="0076248F">
        <w:rPr>
          <w:i/>
        </w:rPr>
        <w:t>Dual-fuel capability</w:t>
      </w:r>
      <w:r w:rsidRPr="003348D4">
        <w:t xml:space="preserve"> is when a generator has the flexibility and storage capacity to use two types of fuel, typically oil and natural gas.</w:t>
      </w:r>
    </w:p>
  </w:footnote>
  <w:footnote w:id="42">
    <w:p w:rsidR="00D03A39" w:rsidRPr="00C0189B" w:rsidRDefault="00D03A39">
      <w:pPr>
        <w:pStyle w:val="FootnoteText"/>
      </w:pPr>
      <w:r>
        <w:rPr>
          <w:rStyle w:val="FootnoteReference"/>
        </w:rPr>
        <w:footnoteRef/>
      </w:r>
      <w:r>
        <w:t xml:space="preserve"> The transfer capabilities for external ties exceed the values simulated in the GridView simulations. For example, </w:t>
      </w:r>
      <w:r w:rsidRPr="00C0189B">
        <w:t>Phase</w:t>
      </w:r>
      <w:r>
        <w:t> </w:t>
      </w:r>
      <w:r w:rsidRPr="00C0189B">
        <w:t>II has a transfer capability of up to 2,000 MW, but lower values were simulated in the economic dispatch.</w:t>
      </w:r>
    </w:p>
  </w:footnote>
  <w:footnote w:id="43">
    <w:p w:rsidR="00D03A39" w:rsidRDefault="00D03A39">
      <w:pPr>
        <w:pStyle w:val="FootnoteText"/>
      </w:pPr>
      <w:r w:rsidRPr="00C0189B">
        <w:rPr>
          <w:rStyle w:val="FootnoteReference"/>
        </w:rPr>
        <w:footnoteRef/>
      </w:r>
      <w:r w:rsidRPr="00C0189B">
        <w:t xml:space="preserve"> </w:t>
      </w:r>
      <w:r w:rsidRPr="007A186C">
        <w:t xml:space="preserve">ISO New England, </w:t>
      </w:r>
      <w:r w:rsidRPr="00C0189B">
        <w:rPr>
          <w:i/>
        </w:rPr>
        <w:t xml:space="preserve">2015 Economic Study—Evaluation of Increasing the Keene Road Export Limit </w:t>
      </w:r>
      <w:r w:rsidRPr="00C0189B">
        <w:t>(September 2, 2016),</w:t>
      </w:r>
      <w:r w:rsidRPr="007A28D4">
        <w:t xml:space="preserve"> </w:t>
      </w:r>
      <w:r w:rsidRPr="00182787">
        <w:t xml:space="preserve"> </w:t>
      </w:r>
      <w:hyperlink r:id="rId21" w:history="1">
        <w:r w:rsidRPr="001D28DE">
          <w:rPr>
            <w:rStyle w:val="Hyperlink"/>
          </w:rPr>
          <w:t>https://www.iso-ne.com/static-assets/documents/2016/09/2015_economic_study_keene_road_increased_export_limits_fina.docx</w:t>
        </w:r>
      </w:hyperlink>
      <w:r>
        <w:t xml:space="preserve">; </w:t>
      </w:r>
      <w:r w:rsidRPr="007A28D4">
        <w:rPr>
          <w:i/>
        </w:rPr>
        <w:t>2015 Economic Study—Evaluation of Offshore Wind Deployment</w:t>
      </w:r>
      <w:r w:rsidRPr="007A28D4">
        <w:t xml:space="preserve"> (September 2, 2016), </w:t>
      </w:r>
      <w:hyperlink r:id="rId22" w:history="1">
        <w:r w:rsidRPr="007A28D4">
          <w:rPr>
            <w:rStyle w:val="Hyperlink"/>
          </w:rPr>
          <w:t>https://www.iso-ne.com/static-assets/documents/2016/09/2015_economic_study_offshore_wind_development_final.docx</w:t>
        </w:r>
      </w:hyperlink>
      <w:r>
        <w:rPr>
          <w:rStyle w:val="Hyperlink"/>
        </w:rPr>
        <w:t xml:space="preserve">; </w:t>
      </w:r>
      <w:r w:rsidRPr="007A28D4">
        <w:rPr>
          <w:i/>
        </w:rPr>
        <w:t>2015 Economic Study—</w:t>
      </w:r>
      <w:r w:rsidRPr="00C0189B">
        <w:t xml:space="preserve"> </w:t>
      </w:r>
      <w:r w:rsidRPr="00C0189B">
        <w:rPr>
          <w:i/>
        </w:rPr>
        <w:t xml:space="preserve">Strategic Transmission Analysis—Onshore Wind Integration </w:t>
      </w:r>
      <w:r w:rsidRPr="007A28D4">
        <w:t xml:space="preserve">(September 2, 2016), </w:t>
      </w:r>
      <w:hyperlink r:id="rId23" w:history="1">
        <w:r w:rsidRPr="00C52B2C">
          <w:rPr>
            <w:rStyle w:val="Hyperlink"/>
          </w:rPr>
          <w:t>https://www.iso-ne.com/static-assets/documents/2016/09/2015_economic_study_onshore_wind_integration_final.docx</w:t>
        </w:r>
      </w:hyperlink>
      <w:r>
        <w:t>.</w:t>
      </w:r>
    </w:p>
  </w:footnote>
  <w:footnote w:id="44">
    <w:p w:rsidR="00D03A39" w:rsidRDefault="00D03A39">
      <w:pPr>
        <w:pStyle w:val="FootnoteText"/>
      </w:pPr>
      <w:r>
        <w:rPr>
          <w:rStyle w:val="FootnoteReference"/>
        </w:rPr>
        <w:footnoteRef/>
      </w:r>
      <w:r>
        <w:t xml:space="preserve"> </w:t>
      </w:r>
      <w:r w:rsidRPr="00D22ADD">
        <w:t>The threshold price for</w:t>
      </w:r>
      <w:r>
        <w:t xml:space="preserve"> </w:t>
      </w:r>
      <w:r w:rsidRPr="00D22ADD">
        <w:t>imports was not included in the production cost me</w:t>
      </w:r>
      <w:r>
        <w:t>t</w:t>
      </w:r>
      <w:r w:rsidRPr="00D22ADD">
        <w:t>ric because im</w:t>
      </w:r>
      <w:r>
        <w:t>p</w:t>
      </w:r>
      <w:r w:rsidRPr="00D22ADD">
        <w:t>orts were assumed to be price takers.</w:t>
      </w:r>
    </w:p>
  </w:footnote>
  <w:footnote w:id="45">
    <w:p w:rsidR="00D03A39" w:rsidRPr="00295F71" w:rsidRDefault="00D03A39" w:rsidP="00CC0709">
      <w:pPr>
        <w:pStyle w:val="FootnoteText"/>
      </w:pPr>
      <w:r w:rsidRPr="00295F71">
        <w:rPr>
          <w:rStyle w:val="FootnoteReference"/>
          <w:sz w:val="18"/>
          <w:szCs w:val="18"/>
        </w:rPr>
        <w:footnoteRef/>
      </w:r>
      <w:r w:rsidRPr="00295F71">
        <w:t xml:space="preserve"> EIA, </w:t>
      </w:r>
      <w:r w:rsidRPr="00295F71">
        <w:rPr>
          <w:i/>
        </w:rPr>
        <w:t>2016 Annual Energy Outlook</w:t>
      </w:r>
      <w:r w:rsidRPr="00295F71">
        <w:t xml:space="preserve"> (2016), </w:t>
      </w:r>
      <w:hyperlink r:id="rId24" w:history="1">
        <w:r w:rsidRPr="00295F71">
          <w:rPr>
            <w:rStyle w:val="Hyperlink"/>
          </w:rPr>
          <w:t>http://www.eia.gov/forecasts/aeo/index.cfm</w:t>
        </w:r>
      </w:hyperlink>
      <w:r w:rsidRPr="00295F71">
        <w:t>.</w:t>
      </w:r>
    </w:p>
  </w:footnote>
  <w:footnote w:id="46">
    <w:p w:rsidR="00D03A39" w:rsidRPr="00D03022" w:rsidRDefault="00D03A39">
      <w:pPr>
        <w:pStyle w:val="FootnoteText"/>
      </w:pPr>
      <w:r w:rsidRPr="008224DC">
        <w:rPr>
          <w:rStyle w:val="FootnoteReference"/>
          <w:sz w:val="18"/>
          <w:szCs w:val="18"/>
        </w:rPr>
        <w:footnoteRef/>
      </w:r>
      <w:r w:rsidRPr="00D03022">
        <w:t xml:space="preserve"> New York ISO, </w:t>
      </w:r>
      <w:r w:rsidRPr="00D03022">
        <w:rPr>
          <w:i/>
        </w:rPr>
        <w:t xml:space="preserve">2015 Congestion Assessment and Resource Integration Study </w:t>
      </w:r>
      <w:r w:rsidRPr="00D03022">
        <w:t>(CARIS), emission allowance prices (March 20, 2015).</w:t>
      </w:r>
    </w:p>
  </w:footnote>
  <w:footnote w:id="47">
    <w:p w:rsidR="00D03A39" w:rsidRPr="00D03022" w:rsidRDefault="00D03A39">
      <w:pPr>
        <w:pStyle w:val="FootnoteText"/>
      </w:pPr>
      <w:r w:rsidRPr="00D03022">
        <w:rPr>
          <w:rStyle w:val="FootnoteReference"/>
          <w:sz w:val="18"/>
          <w:szCs w:val="18"/>
        </w:rPr>
        <w:footnoteRef/>
      </w:r>
      <w:r w:rsidRPr="00D03022">
        <w:t xml:space="preserve"> New York ISO, “2016 CARIS 2 Input Data Summary,” Phase 2 base case fuel and emission prices spreadsheet</w:t>
      </w:r>
      <w:r>
        <w:br/>
      </w:r>
      <w:r w:rsidRPr="00D03022">
        <w:t xml:space="preserve">(July 14, 2016), </w:t>
      </w:r>
      <w:hyperlink r:id="rId25" w:history="1">
        <w:r w:rsidRPr="00D03022">
          <w:rPr>
            <w:rStyle w:val="Hyperlink"/>
          </w:rPr>
          <w:t>http://www.nyiso.com/public/webdocs/markets_operations/services/planning/Planning_Studies/Economic_Planning_Studies_(CARIS)/CARIS_Input_Assumptions/2016%20CARIS%202%20Input%20Data%20Summary.xls</w:t>
        </w:r>
      </w:hyperlink>
      <w:r w:rsidRPr="00D03022">
        <w:t>.</w:t>
      </w:r>
    </w:p>
  </w:footnote>
  <w:footnote w:id="48">
    <w:p w:rsidR="00D03A39" w:rsidRDefault="00D03A39">
      <w:pPr>
        <w:pStyle w:val="FootnoteText"/>
      </w:pPr>
      <w:r>
        <w:rPr>
          <w:rStyle w:val="FootnoteReference"/>
        </w:rPr>
        <w:footnoteRef/>
      </w:r>
      <w:r>
        <w:t xml:space="preserve"> </w:t>
      </w:r>
      <w:r w:rsidRPr="004845F2">
        <w:t xml:space="preserve">A </w:t>
      </w:r>
      <w:r w:rsidRPr="004845F2">
        <w:rPr>
          <w:i/>
        </w:rPr>
        <w:t>fixed cost</w:t>
      </w:r>
      <w:r w:rsidRPr="004845F2">
        <w:t xml:space="preserve"> is a cost that does not change with an increase or decrease in the amount of energy production. Fixed costs are expenses a company</w:t>
      </w:r>
      <w:r>
        <w:t xml:space="preserve"> must pay</w:t>
      </w:r>
      <w:r w:rsidRPr="004845F2">
        <w:t>, independent of any business activity. It is one of the two components of the total cost of running a business, along with variable operating costs.</w:t>
      </w:r>
    </w:p>
  </w:footnote>
  <w:footnote w:id="49">
    <w:p w:rsidR="00D03A39" w:rsidRDefault="00D03A39">
      <w:pPr>
        <w:pStyle w:val="FootnoteText"/>
      </w:pPr>
      <w:r w:rsidRPr="003F1442">
        <w:rPr>
          <w:rStyle w:val="FootnoteReference"/>
        </w:rPr>
        <w:footnoteRef/>
      </w:r>
      <w:r w:rsidRPr="003F1442">
        <w:t xml:space="preserve"> Concentric Energy Advisors determined </w:t>
      </w:r>
      <w:r>
        <w:t xml:space="preserve">that </w:t>
      </w:r>
      <w:r w:rsidRPr="003F1442">
        <w:t xml:space="preserve">the levelized cost of EE </w:t>
      </w:r>
      <w:r>
        <w:t>was</w:t>
      </w:r>
      <w:r w:rsidRPr="003F1442">
        <w:t xml:space="preserve"> $35.97/kW-month. The annual carrying charge of EE = $431.64/kW-year from $35.97/kW-month × 12. </w:t>
      </w:r>
      <w:r>
        <w:t>Refer to the Concentric Energy Advisors and Mott MacDonald presentation</w:t>
      </w:r>
      <w:r w:rsidRPr="003F1442">
        <w:t xml:space="preserve">, </w:t>
      </w:r>
      <w:r w:rsidRPr="003F1442">
        <w:rPr>
          <w:i/>
        </w:rPr>
        <w:t>ISO-NE CONE and ORTP Analysis</w:t>
      </w:r>
      <w:r>
        <w:rPr>
          <w:i/>
        </w:rPr>
        <w:t xml:space="preserve"> </w:t>
      </w:r>
      <w:r w:rsidRPr="003F1442">
        <w:t xml:space="preserve">(September 13, 2016), </w:t>
      </w:r>
      <w:hyperlink r:id="rId26" w:history="1">
        <w:r w:rsidRPr="003F1442">
          <w:rPr>
            <w:rStyle w:val="Hyperlink"/>
          </w:rPr>
          <w:t>https://view.officeapps.live.com/op/view.aspx?src=https%3A%2F%2Fwww.iso-ne.com%2Fstatic-assets%2Fdocuments%2F2016%2F09%2Fa7_cone_ortp_concentric_energy_advisors.pptx</w:t>
        </w:r>
      </w:hyperlink>
      <w:r>
        <w:t>.</w:t>
      </w:r>
    </w:p>
  </w:footnote>
  <w:footnote w:id="50">
    <w:p w:rsidR="00D03A39" w:rsidRDefault="00D03A39">
      <w:pPr>
        <w:pStyle w:val="FootnoteText"/>
      </w:pPr>
      <w:r w:rsidRPr="0075682B">
        <w:rPr>
          <w:rStyle w:val="FootnoteReference"/>
        </w:rPr>
        <w:footnoteRef/>
      </w:r>
      <w:r w:rsidRPr="0075682B">
        <w:t xml:space="preserve"> The large-scale integration of inverter-based resources and transmission devices would require much greater use of</w:t>
      </w:r>
      <w:r w:rsidRPr="006708F4">
        <w:t xml:space="preserve"> special controls on central station and distributed resources, system-protection upgrades, and other system improvements not fully considered in this study.</w:t>
      </w:r>
    </w:p>
  </w:footnote>
  <w:footnote w:id="51">
    <w:p w:rsidR="00D03A39" w:rsidRPr="001053F5" w:rsidRDefault="00D03A39">
      <w:pPr>
        <w:pStyle w:val="FootnoteText"/>
      </w:pPr>
      <w:r w:rsidRPr="001053F5">
        <w:rPr>
          <w:rStyle w:val="FootnoteReference"/>
          <w:sz w:val="18"/>
          <w:szCs w:val="18"/>
        </w:rPr>
        <w:footnoteRef/>
      </w:r>
      <w:r w:rsidRPr="001053F5">
        <w:t xml:space="preserve"> The integrator system is conceptually similar to the type of upgrades considered in the ongoing </w:t>
      </w:r>
      <w:r w:rsidRPr="001053F5">
        <w:rPr>
          <w:i/>
        </w:rPr>
        <w:t>2016 Maine Resource Integration Study</w:t>
      </w:r>
      <w:r w:rsidRPr="001053F5">
        <w:t xml:space="preserve">. See ISO New England, </w:t>
      </w:r>
      <w:r w:rsidRPr="001053F5">
        <w:rPr>
          <w:i/>
        </w:rPr>
        <w:t>2016 Maine Resource Integration Study—Status Update</w:t>
      </w:r>
      <w:r w:rsidRPr="001053F5">
        <w:t xml:space="preserve">, PAC presentation (February 9, 2017), </w:t>
      </w:r>
      <w:hyperlink r:id="rId27" w:history="1">
        <w:r w:rsidRPr="001053F5">
          <w:rPr>
            <w:rStyle w:val="Hyperlink"/>
          </w:rPr>
          <w:t>https://smd.iso-ne.com/operations-services/ceii/pac/2017/02/a6_maine_resource_integration_study.pdf</w:t>
        </w:r>
      </w:hyperlink>
      <w:r w:rsidRPr="001053F5">
        <w:t xml:space="preserve"> and </w:t>
      </w:r>
      <w:r w:rsidRPr="001053F5">
        <w:rPr>
          <w:i/>
        </w:rPr>
        <w:t>2016 Maine Resource Integration Study—Steady-State Results</w:t>
      </w:r>
      <w:r w:rsidRPr="001053F5">
        <w:t xml:space="preserve">, PAC presentation (September 21, 2016), </w:t>
      </w:r>
      <w:hyperlink r:id="rId28" w:history="1">
        <w:r w:rsidRPr="001053F5">
          <w:rPr>
            <w:rStyle w:val="Hyperlink"/>
          </w:rPr>
          <w:t>https://smd.iso-ne.com/operations-services/ceii/pac/2016/09/a3_maine_resource_integration_study.pdf</w:t>
        </w:r>
      </w:hyperlink>
      <w:r w:rsidRPr="001053F5">
        <w:t>.</w:t>
      </w:r>
    </w:p>
  </w:footnote>
  <w:footnote w:id="52">
    <w:p w:rsidR="00D03A39" w:rsidRPr="00691256" w:rsidRDefault="00D03A39" w:rsidP="00BB06F0">
      <w:pPr>
        <w:spacing w:after="80" w:line="240" w:lineRule="auto"/>
        <w:rPr>
          <w:sz w:val="18"/>
          <w:szCs w:val="18"/>
        </w:rPr>
      </w:pPr>
      <w:r w:rsidRPr="00691256">
        <w:rPr>
          <w:rStyle w:val="FootnoteReference"/>
          <w:sz w:val="18"/>
          <w:szCs w:val="18"/>
        </w:rPr>
        <w:footnoteRef/>
      </w:r>
      <w:r w:rsidRPr="00691256">
        <w:rPr>
          <w:sz w:val="18"/>
          <w:szCs w:val="18"/>
        </w:rPr>
        <w:t xml:space="preserve"> See the ISO’s PAC presentation containing the assumptions and results (February 14, 2018), </w:t>
      </w:r>
      <w:hyperlink r:id="rId29" w:history="1">
        <w:r w:rsidRPr="00691256">
          <w:rPr>
            <w:rStyle w:val="Hyperlink"/>
            <w:sz w:val="18"/>
            <w:szCs w:val="18"/>
          </w:rPr>
          <w:t>https://www.iso-ne.com/static-assets/documents/2018/02/a3_2017_economic_study.pdf</w:t>
        </w:r>
      </w:hyperlink>
      <w:r w:rsidRPr="00691256">
        <w:rPr>
          <w:sz w:val="18"/>
          <w:szCs w:val="18"/>
        </w:rPr>
        <w:t>.</w:t>
      </w:r>
    </w:p>
  </w:footnote>
  <w:footnote w:id="53">
    <w:p w:rsidR="00D03A39" w:rsidRPr="00691256" w:rsidRDefault="00D03A39" w:rsidP="00586925">
      <w:pPr>
        <w:spacing w:after="80" w:line="240" w:lineRule="auto"/>
        <w:rPr>
          <w:sz w:val="18"/>
          <w:szCs w:val="18"/>
        </w:rPr>
      </w:pPr>
      <w:r w:rsidRPr="00691256">
        <w:rPr>
          <w:rStyle w:val="FootnoteReference"/>
          <w:sz w:val="18"/>
          <w:szCs w:val="18"/>
        </w:rPr>
        <w:footnoteRef/>
      </w:r>
      <w:r w:rsidRPr="00691256">
        <w:rPr>
          <w:sz w:val="18"/>
          <w:szCs w:val="18"/>
        </w:rPr>
        <w:t xml:space="preserve"> See the appendix of the assumptions and results in the ISO’s presentation cited above.</w:t>
      </w:r>
    </w:p>
  </w:footnote>
  <w:footnote w:id="54">
    <w:p w:rsidR="00D03A39" w:rsidRPr="00293C1C" w:rsidRDefault="00D03A39" w:rsidP="001A644C">
      <w:pPr>
        <w:pStyle w:val="FootnoteText"/>
      </w:pPr>
      <w:r w:rsidRPr="00065E26">
        <w:rPr>
          <w:rStyle w:val="FootnoteReference"/>
        </w:rPr>
        <w:footnoteRef/>
      </w:r>
      <w:r w:rsidRPr="00065E26">
        <w:t xml:space="preserve"> Subarea LMPs are calculated as the average value over</w:t>
      </w:r>
      <w:r>
        <w:t xml:space="preserve"> the</w:t>
      </w:r>
      <w:r w:rsidRPr="00065E26">
        <w:t xml:space="preserve"> 8,760 hours of a year. Because the RSP subareas reflect different load shapes, the average LMPs are not exactly the same </w:t>
      </w:r>
      <w:r>
        <w:t xml:space="preserve">for every subarea </w:t>
      </w:r>
      <w:r w:rsidRPr="00065E26">
        <w:t xml:space="preserve">in the unconstrained cases. </w:t>
      </w:r>
    </w:p>
  </w:footnote>
  <w:footnote w:id="55">
    <w:p w:rsidR="00D03A39" w:rsidRDefault="00D03A39">
      <w:pPr>
        <w:pStyle w:val="FootnoteText"/>
      </w:pPr>
      <w:r w:rsidRPr="00293C1C">
        <w:rPr>
          <w:rStyle w:val="FootnoteReference"/>
        </w:rPr>
        <w:footnoteRef/>
      </w:r>
      <w:r w:rsidRPr="00293C1C">
        <w:t xml:space="preserve"> The study simulation results for uplift account for</w:t>
      </w:r>
      <w:r>
        <w:t xml:space="preserve"> a</w:t>
      </w:r>
      <w:r w:rsidRPr="00293C1C">
        <w:t xml:space="preserve"> generating unit</w:t>
      </w:r>
      <w:r>
        <w:t>’s total</w:t>
      </w:r>
      <w:r w:rsidRPr="00293C1C">
        <w:t xml:space="preserve"> operating costs that </w:t>
      </w:r>
      <w:r>
        <w:t xml:space="preserve">energy market revenues </w:t>
      </w:r>
      <w:r w:rsidRPr="00293C1C">
        <w:t>may not be fully c</w:t>
      </w:r>
      <w:r>
        <w:t xml:space="preserve">over </w:t>
      </w:r>
      <w:r w:rsidRPr="00293C1C">
        <w:t xml:space="preserve">over the course of </w:t>
      </w:r>
      <w:r>
        <w:t xml:space="preserve">a </w:t>
      </w:r>
      <w:r w:rsidRPr="00293C1C">
        <w:t>calendar day.</w:t>
      </w:r>
      <w:r>
        <w:t xml:space="preserve">  </w:t>
      </w:r>
    </w:p>
  </w:footnote>
  <w:footnote w:id="56">
    <w:p w:rsidR="00D03A39" w:rsidRDefault="00D03A39" w:rsidP="00736D41">
      <w:pPr>
        <w:pStyle w:val="FootnoteText"/>
      </w:pPr>
      <w:r>
        <w:rPr>
          <w:rStyle w:val="FootnoteReference"/>
        </w:rPr>
        <w:footnoteRef/>
      </w:r>
      <w:r>
        <w:t xml:space="preserve"> Congestion here is calculated as the difference between load-serving entity energy expenses of the constrained and the unconstrained cases.</w:t>
      </w:r>
    </w:p>
  </w:footnote>
  <w:footnote w:id="57">
    <w:p w:rsidR="00D03A39" w:rsidRDefault="00D03A39">
      <w:pPr>
        <w:pStyle w:val="FootnoteText"/>
      </w:pPr>
      <w:r w:rsidRPr="00DA7D6C">
        <w:rPr>
          <w:rStyle w:val="FootnoteReference"/>
        </w:rPr>
        <w:footnoteRef/>
      </w:r>
      <w:r w:rsidRPr="00DA7D6C">
        <w:t xml:space="preserve"> Annual interface congestion is calculated as the sum of hourly differences between LMPs in the RSP bubbles bordering the interface multiplied by the interface limit.</w:t>
      </w:r>
      <w:r>
        <w:t xml:space="preserve">  </w:t>
      </w:r>
    </w:p>
  </w:footnote>
  <w:footnote w:id="58">
    <w:p w:rsidR="00D03A39" w:rsidRDefault="00D03A39" w:rsidP="003F30A0">
      <w:pPr>
        <w:pStyle w:val="FootnoteText"/>
      </w:pPr>
      <w:r w:rsidRPr="006A34F3">
        <w:rPr>
          <w:rStyle w:val="FootnoteReference"/>
        </w:rPr>
        <w:footnoteRef/>
      </w:r>
      <w:r w:rsidRPr="006A34F3">
        <w:t xml:space="preserve">  Information about the ISO’s </w:t>
      </w:r>
      <w:r w:rsidRPr="006A34F3">
        <w:rPr>
          <w:i/>
        </w:rPr>
        <w:t>2016 Maine Resource Integration Study</w:t>
      </w:r>
      <w:r w:rsidRPr="006A34F3">
        <w:t xml:space="preserve"> is available at </w:t>
      </w:r>
      <w:hyperlink r:id="rId30" w:history="1">
        <w:r w:rsidRPr="006A34F3">
          <w:rPr>
            <w:rStyle w:val="Hyperlink"/>
          </w:rPr>
          <w:t>https://www.iso-ne.com/system-planning/key-study-areas/maine</w:t>
        </w:r>
      </w:hyperlink>
      <w:r>
        <w:t>.</w:t>
      </w:r>
    </w:p>
  </w:footnote>
  <w:footnote w:id="59">
    <w:p w:rsidR="00D03A39" w:rsidRPr="00557FEA" w:rsidRDefault="00D03A39">
      <w:pPr>
        <w:pStyle w:val="FootnoteText"/>
      </w:pPr>
      <w:r w:rsidRPr="00557FEA">
        <w:rPr>
          <w:rStyle w:val="FootnoteReference"/>
        </w:rPr>
        <w:footnoteRef/>
      </w:r>
      <w:r w:rsidRPr="00557FEA">
        <w:t xml:space="preserve"> In some systems, the shape varies even more. For example, in Hawaii the shape is called “Ne</w:t>
      </w:r>
      <w:r>
        <w:t>ss</w:t>
      </w:r>
      <w:r w:rsidRPr="00557FEA">
        <w:t>ie” after the Loc</w:t>
      </w:r>
      <w:r>
        <w:t>h N</w:t>
      </w:r>
      <w:r w:rsidRPr="00557FEA">
        <w:t>ess Monster.</w:t>
      </w:r>
      <w:r>
        <w:t xml:space="preserve"> On April 21, 2018, the New England system experienced minimum daily net load during daylight hours for the first time.</w:t>
      </w:r>
    </w:p>
  </w:footnote>
  <w:footnote w:id="60">
    <w:p w:rsidR="00D03A39" w:rsidRPr="00541B42" w:rsidRDefault="00D03A39" w:rsidP="00541B42">
      <w:pPr>
        <w:pStyle w:val="FootnoteText"/>
      </w:pPr>
      <w:r w:rsidRPr="00B236A3">
        <w:rPr>
          <w:rStyle w:val="FootnoteReference"/>
          <w:sz w:val="18"/>
          <w:szCs w:val="18"/>
        </w:rPr>
        <w:footnoteRef/>
      </w:r>
      <w:r w:rsidRPr="00B236A3">
        <w:t xml:space="preserve"> IEEE (</w:t>
      </w:r>
      <w:hyperlink r:id="rId31" w:history="1">
        <w:r w:rsidRPr="00B236A3">
          <w:rPr>
            <w:rStyle w:val="Hyperlink"/>
          </w:rPr>
          <w:t>https://www.ieee.org/index.html</w:t>
        </w:r>
      </w:hyperlink>
      <w:r w:rsidRPr="00B236A3">
        <w:t xml:space="preserve">) provides many references, and extensive discussions took place at the PAC on October 19, 2016; see Electric Power Research Institute, </w:t>
      </w:r>
      <w:r w:rsidRPr="00B236A3">
        <w:rPr>
          <w:i/>
        </w:rPr>
        <w:t>Grid Impacts &amp; Challenges Arising from the Integration of Inverter-Based Variable Resources</w:t>
      </w:r>
      <w:r w:rsidRPr="00B236A3">
        <w:t xml:space="preserve">, PAC presentation (October 19, 2016), </w:t>
      </w:r>
      <w:hyperlink r:id="rId32" w:history="1">
        <w:r w:rsidRPr="00B236A3">
          <w:rPr>
            <w:rStyle w:val="Hyperlink"/>
          </w:rPr>
          <w:t>https://www.iso-ne.com/static-assets/documents/2016/10/a3_integration_and_planning_of_large_amounts_of_inverter_based_resources.pptx</w:t>
        </w:r>
      </w:hyperlink>
      <w:r w:rsidRPr="00B236A3">
        <w:t xml:space="preserve">. In addition, the North American Electric Reliability Corporation (NERC) Essential Reliability Services Working Group has identified similar issues; see NERC, </w:t>
      </w:r>
      <w:r w:rsidRPr="00B236A3">
        <w:rPr>
          <w:i/>
        </w:rPr>
        <w:t>Essential Reliability Services Task Force Measures Framework Report</w:t>
      </w:r>
      <w:r w:rsidRPr="00B236A3">
        <w:t xml:space="preserve"> (November 2015), </w:t>
      </w:r>
      <w:hyperlink r:id="rId33" w:history="1">
        <w:r w:rsidRPr="00B236A3">
          <w:rPr>
            <w:rStyle w:val="Hyperlink"/>
          </w:rPr>
          <w:t>http://www.nerc.com/comm/Other/essntlrlbltysrvcstskfrcDL/ERSTF%20Framework%20Report%20-%20Final.pdf</w:t>
        </w:r>
      </w:hyperlink>
      <w:r w:rsidRPr="00B236A3">
        <w:t xml:space="preserve"> and additional materials posted </w:t>
      </w:r>
      <w:r w:rsidRPr="00976625">
        <w:t xml:space="preserve">at the </w:t>
      </w:r>
      <w:r w:rsidRPr="00B236A3">
        <w:t xml:space="preserve">NERC Essential Reliability Services Working Group (ERSWG) and Distributed Energy Resources Task Force (DERTF) </w:t>
      </w:r>
      <w:r>
        <w:t xml:space="preserve">web page </w:t>
      </w:r>
      <w:r w:rsidRPr="00B236A3">
        <w:t xml:space="preserve">at </w:t>
      </w:r>
      <w:hyperlink r:id="rId34" w:history="1">
        <w:r w:rsidRPr="00B236A3">
          <w:rPr>
            <w:rStyle w:val="Hyperlink"/>
          </w:rPr>
          <w:t>http://www.nerc.com/comm/Other/Pages/Essential-Reliability-Services-Task-Force-(ERSTF).aspx</w:t>
        </w:r>
      </w:hyperlink>
      <w:r w:rsidRPr="00B236A3">
        <w:t xml:space="preserve">. </w:t>
      </w:r>
      <w:r w:rsidRPr="004A28FB">
        <w:t>Also see: Nicholas Miller, “</w:t>
      </w:r>
      <w:r w:rsidRPr="00B236A3">
        <w:rPr>
          <w:color w:val="000000"/>
        </w:rPr>
        <w:t>Prepared Testimony for FERC 2018 Reliability Technical Conference, Docket No. AD18-11-000 on July 31, 2018” (Hickory</w:t>
      </w:r>
      <w:r>
        <w:rPr>
          <w:color w:val="000000"/>
        </w:rPr>
        <w:t xml:space="preserve"> </w:t>
      </w:r>
      <w:r w:rsidRPr="00B236A3">
        <w:rPr>
          <w:color w:val="000000"/>
        </w:rPr>
        <w:t xml:space="preserve">Ledge LLC, July 13, 2018), </w:t>
      </w:r>
      <w:hyperlink r:id="rId35" w:history="1">
        <w:r w:rsidRPr="00B236A3">
          <w:rPr>
            <w:rStyle w:val="Hyperlink"/>
          </w:rPr>
          <w:t>https://elibrary.ferc.gov/idmws/common/downloadOpen.asp?downloadfile=20180802%2D4021%2833041655%29%2Epdf&amp;folder=2940727&amp;fileid=14991749&amp;trial=1</w:t>
        </w:r>
      </w:hyperlink>
      <w:r w:rsidRPr="00B236A3">
        <w:t>.</w:t>
      </w:r>
    </w:p>
  </w:footnote>
  <w:footnote w:id="61">
    <w:p w:rsidR="00D03A39" w:rsidRDefault="00D03A39" w:rsidP="0053379A">
      <w:pPr>
        <w:pStyle w:val="FootnoteText"/>
      </w:pPr>
      <w:r w:rsidRPr="00C42646">
        <w:rPr>
          <w:rStyle w:val="FootnoteReference"/>
        </w:rPr>
        <w:footnoteRef/>
      </w:r>
      <w:r w:rsidRPr="00C42646">
        <w:t xml:space="preserve"> RGGI, Inc., “Program</w:t>
      </w:r>
      <w:r w:rsidRPr="007F5623">
        <w:t xml:space="preserve"> Overview,” webpage (n.d.), </w:t>
      </w:r>
      <w:hyperlink r:id="rId36" w:history="1">
        <w:r w:rsidRPr="00FB6181">
          <w:rPr>
            <w:rStyle w:val="Hyperlink"/>
          </w:rPr>
          <w:t>http://www.rggi.org/design/overview</w:t>
        </w:r>
      </w:hyperlink>
      <w:r w:rsidRPr="007F5623">
        <w:t>. The RGGI CO</w:t>
      </w:r>
      <w:r w:rsidRPr="00FB6181">
        <w:rPr>
          <w:vertAlign w:val="subscript"/>
        </w:rPr>
        <w:t>2</w:t>
      </w:r>
      <w:r w:rsidRPr="007F5623">
        <w:t xml:space="preserve"> budget (cap) is equal to the total number of CO</w:t>
      </w:r>
      <w:r w:rsidRPr="00FB6181">
        <w:rPr>
          <w:vertAlign w:val="subscript"/>
        </w:rPr>
        <w:t>2</w:t>
      </w:r>
      <w:r w:rsidRPr="007F5623">
        <w:t xml:space="preserve"> allowances issued by RGGI states in a given year. A CO</w:t>
      </w:r>
      <w:r w:rsidRPr="00FB6181">
        <w:rPr>
          <w:vertAlign w:val="subscript"/>
        </w:rPr>
        <w:t>2</w:t>
      </w:r>
      <w:r w:rsidRPr="007F5623">
        <w:t xml:space="preserve"> allowance represents a limited authorization to emit one short ton of CO</w:t>
      </w:r>
      <w:r w:rsidRPr="00FB6181">
        <w:rPr>
          <w:vertAlign w:val="subscript"/>
        </w:rPr>
        <w:t>2</w:t>
      </w:r>
      <w:r w:rsidRPr="007F5623">
        <w:t xml:space="preserve"> from a regulated source, as issued by a participating state.</w:t>
      </w:r>
    </w:p>
  </w:footnote>
  <w:footnote w:id="62">
    <w:p w:rsidR="00D03A39" w:rsidRDefault="00D03A39" w:rsidP="00EF3801">
      <w:pPr>
        <w:pStyle w:val="FootnoteText"/>
      </w:pPr>
      <w:r w:rsidRPr="004224B2">
        <w:rPr>
          <w:rStyle w:val="FootnoteReference"/>
        </w:rPr>
        <w:footnoteRef/>
      </w:r>
      <w:r w:rsidRPr="004224B2">
        <w:t xml:space="preserve">  </w:t>
      </w:r>
      <w:r w:rsidRPr="00364AF5">
        <w:t xml:space="preserve">NERC, </w:t>
      </w:r>
      <w:r w:rsidRPr="00364AF5">
        <w:rPr>
          <w:i/>
        </w:rPr>
        <w:t>2017 Long-Term Reliability Assessment</w:t>
      </w:r>
      <w:r w:rsidRPr="00364AF5">
        <w:t xml:space="preserve"> (December 13, 2017), </w:t>
      </w:r>
      <w:hyperlink r:id="rId37" w:history="1">
        <w:r w:rsidRPr="00364AF5">
          <w:rPr>
            <w:rStyle w:val="Hyperlink"/>
          </w:rPr>
          <w:t>http://www.nerc.com/pa/rapa/ra/reliability%20assessments%20dl/nerc_ltra_12132017_final.pdf</w:t>
        </w:r>
      </w:hyperlink>
      <w:r w:rsidRPr="00364AF5">
        <w:t>.</w:t>
      </w:r>
    </w:p>
  </w:footnote>
  <w:footnote w:id="63">
    <w:p w:rsidR="00D03A39" w:rsidRDefault="00D03A39" w:rsidP="004C7A46">
      <w:pPr>
        <w:pStyle w:val="FootnoteText"/>
      </w:pPr>
      <w:r>
        <w:rPr>
          <w:rStyle w:val="FootnoteReference"/>
        </w:rPr>
        <w:footnoteRef/>
      </w:r>
      <w:r>
        <w:t xml:space="preserve"> </w:t>
      </w:r>
      <w:r w:rsidRPr="00C03082">
        <w:t xml:space="preserve">ISO New England, </w:t>
      </w:r>
      <w:r w:rsidRPr="00F40B35">
        <w:rPr>
          <w:i/>
        </w:rPr>
        <w:t>NEPOOL Scenario Analysis</w:t>
      </w:r>
      <w:r w:rsidRPr="00C03082">
        <w:rPr>
          <w:i/>
        </w:rPr>
        <w:t xml:space="preserve">: </w:t>
      </w:r>
      <w:r w:rsidRPr="00F40B35">
        <w:rPr>
          <w:i/>
        </w:rPr>
        <w:t>Implications of Public Policies on ISO New England Market Design, System Reliability and Operability, Resource Costs and Revenues, and Emissions</w:t>
      </w:r>
      <w:r w:rsidRPr="00C03082">
        <w:t xml:space="preserve"> </w:t>
      </w:r>
      <w:r>
        <w:t xml:space="preserve">(November 17, 2017), </w:t>
      </w:r>
      <w:hyperlink r:id="rId38" w:history="1">
        <w:r w:rsidRPr="00C03082">
          <w:rPr>
            <w:rStyle w:val="Hyperlink"/>
          </w:rPr>
          <w:t>https://www.iso-ne.com/static-assets/documents/2017/11/final_2016_phase1_nepool_scenario_analysis_economic_study.docx</w:t>
        </w:r>
      </w:hyperlink>
      <w:r>
        <w:t>.</w:t>
      </w:r>
    </w:p>
  </w:footnote>
  <w:footnote w:id="64">
    <w:p w:rsidR="00D03A39" w:rsidRPr="0016281B" w:rsidRDefault="00D03A39" w:rsidP="0016281B">
      <w:pPr>
        <w:pStyle w:val="FootnoteText"/>
      </w:pPr>
      <w:r w:rsidRPr="0016281B">
        <w:rPr>
          <w:rStyle w:val="FootnoteReference"/>
          <w:sz w:val="18"/>
          <w:szCs w:val="18"/>
        </w:rPr>
        <w:footnoteRef/>
      </w:r>
      <w:r w:rsidRPr="0016281B">
        <w:t xml:space="preserve"> FERC, </w:t>
      </w:r>
      <w:r w:rsidRPr="0016281B">
        <w:rPr>
          <w:i/>
        </w:rPr>
        <w:t>Order on Tariff Filing</w:t>
      </w:r>
      <w:r w:rsidRPr="0016281B">
        <w:t>, Docket No. ER18-619-000, 162 FERC ¶ 61,205 (March 9, 2018), https://www.iso-ne.com/static-assets/documents/2018/03/er18-619-000_3-9-18_order_accept_caspr.pdf.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5813F5" w:rsidRDefault="00D03A39" w:rsidP="005813F5">
    <w:pPr>
      <w:pStyle w:val="Header"/>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D85494" w:rsidRDefault="00D03A39" w:rsidP="005813F5">
    <w:pPr>
      <w:pStyle w:val="Header"/>
      <w:jc w:val="center"/>
      <w:rPr>
        <w:rFonts w:asciiTheme="majorHAnsi" w:hAnsi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D85494" w:rsidRDefault="00D03A39" w:rsidP="005813F5">
    <w:pPr>
      <w:pStyle w:val="Header"/>
      <w:jc w:val="center"/>
      <w:rPr>
        <w:rFonts w:asciiTheme="majorHAnsi" w:hAnsiTheme="majorHAnsi"/>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5813F5" w:rsidRDefault="00D03A39" w:rsidP="005813F5">
    <w:pPr>
      <w:pStyle w:val="Header"/>
      <w:jc w:val="cent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39" w:rsidRPr="005813F5" w:rsidRDefault="00D03A39" w:rsidP="005813F5">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AF7"/>
    <w:multiLevelType w:val="hybridMultilevel"/>
    <w:tmpl w:val="6D90A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363F9"/>
    <w:multiLevelType w:val="hybridMultilevel"/>
    <w:tmpl w:val="0732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90EE8"/>
    <w:multiLevelType w:val="hybridMultilevel"/>
    <w:tmpl w:val="3C0E735A"/>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F76B4"/>
    <w:multiLevelType w:val="hybridMultilevel"/>
    <w:tmpl w:val="49940064"/>
    <w:lvl w:ilvl="0" w:tplc="74046024">
      <w:start w:val="1"/>
      <w:numFmt w:val="bullet"/>
      <w:lvlText w:val="•"/>
      <w:lvlJc w:val="left"/>
      <w:pPr>
        <w:tabs>
          <w:tab w:val="num" w:pos="720"/>
        </w:tabs>
        <w:ind w:left="720" w:hanging="360"/>
      </w:pPr>
      <w:rPr>
        <w:rFonts w:ascii="Arial" w:hAnsi="Arial" w:hint="default"/>
      </w:rPr>
    </w:lvl>
    <w:lvl w:ilvl="1" w:tplc="E0026C4C">
      <w:start w:val="2341"/>
      <w:numFmt w:val="bullet"/>
      <w:lvlText w:val="•"/>
      <w:lvlJc w:val="left"/>
      <w:pPr>
        <w:tabs>
          <w:tab w:val="num" w:pos="1440"/>
        </w:tabs>
        <w:ind w:left="1440" w:hanging="360"/>
      </w:pPr>
      <w:rPr>
        <w:rFonts w:ascii="Arial" w:hAnsi="Arial" w:hint="default"/>
      </w:rPr>
    </w:lvl>
    <w:lvl w:ilvl="2" w:tplc="F838FD1A" w:tentative="1">
      <w:start w:val="1"/>
      <w:numFmt w:val="bullet"/>
      <w:lvlText w:val="•"/>
      <w:lvlJc w:val="left"/>
      <w:pPr>
        <w:tabs>
          <w:tab w:val="num" w:pos="2160"/>
        </w:tabs>
        <w:ind w:left="2160" w:hanging="360"/>
      </w:pPr>
      <w:rPr>
        <w:rFonts w:ascii="Arial" w:hAnsi="Arial" w:hint="default"/>
      </w:rPr>
    </w:lvl>
    <w:lvl w:ilvl="3" w:tplc="74B4BB54" w:tentative="1">
      <w:start w:val="1"/>
      <w:numFmt w:val="bullet"/>
      <w:lvlText w:val="•"/>
      <w:lvlJc w:val="left"/>
      <w:pPr>
        <w:tabs>
          <w:tab w:val="num" w:pos="2880"/>
        </w:tabs>
        <w:ind w:left="2880" w:hanging="360"/>
      </w:pPr>
      <w:rPr>
        <w:rFonts w:ascii="Arial" w:hAnsi="Arial" w:hint="default"/>
      </w:rPr>
    </w:lvl>
    <w:lvl w:ilvl="4" w:tplc="FFC6EE92" w:tentative="1">
      <w:start w:val="1"/>
      <w:numFmt w:val="bullet"/>
      <w:lvlText w:val="•"/>
      <w:lvlJc w:val="left"/>
      <w:pPr>
        <w:tabs>
          <w:tab w:val="num" w:pos="3600"/>
        </w:tabs>
        <w:ind w:left="3600" w:hanging="360"/>
      </w:pPr>
      <w:rPr>
        <w:rFonts w:ascii="Arial" w:hAnsi="Arial" w:hint="default"/>
      </w:rPr>
    </w:lvl>
    <w:lvl w:ilvl="5" w:tplc="15BC1BEC" w:tentative="1">
      <w:start w:val="1"/>
      <w:numFmt w:val="bullet"/>
      <w:lvlText w:val="•"/>
      <w:lvlJc w:val="left"/>
      <w:pPr>
        <w:tabs>
          <w:tab w:val="num" w:pos="4320"/>
        </w:tabs>
        <w:ind w:left="4320" w:hanging="360"/>
      </w:pPr>
      <w:rPr>
        <w:rFonts w:ascii="Arial" w:hAnsi="Arial" w:hint="default"/>
      </w:rPr>
    </w:lvl>
    <w:lvl w:ilvl="6" w:tplc="89E81296" w:tentative="1">
      <w:start w:val="1"/>
      <w:numFmt w:val="bullet"/>
      <w:lvlText w:val="•"/>
      <w:lvlJc w:val="left"/>
      <w:pPr>
        <w:tabs>
          <w:tab w:val="num" w:pos="5040"/>
        </w:tabs>
        <w:ind w:left="5040" w:hanging="360"/>
      </w:pPr>
      <w:rPr>
        <w:rFonts w:ascii="Arial" w:hAnsi="Arial" w:hint="default"/>
      </w:rPr>
    </w:lvl>
    <w:lvl w:ilvl="7" w:tplc="80ACD796" w:tentative="1">
      <w:start w:val="1"/>
      <w:numFmt w:val="bullet"/>
      <w:lvlText w:val="•"/>
      <w:lvlJc w:val="left"/>
      <w:pPr>
        <w:tabs>
          <w:tab w:val="num" w:pos="5760"/>
        </w:tabs>
        <w:ind w:left="5760" w:hanging="360"/>
      </w:pPr>
      <w:rPr>
        <w:rFonts w:ascii="Arial" w:hAnsi="Arial" w:hint="default"/>
      </w:rPr>
    </w:lvl>
    <w:lvl w:ilvl="8" w:tplc="194A72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192A98"/>
    <w:multiLevelType w:val="hybridMultilevel"/>
    <w:tmpl w:val="949A5E4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531A0"/>
    <w:multiLevelType w:val="hybridMultilevel"/>
    <w:tmpl w:val="0382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D4541"/>
    <w:multiLevelType w:val="hybridMultilevel"/>
    <w:tmpl w:val="3AF4EC48"/>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8DBCD9C4">
      <w:start w:val="1"/>
      <w:numFmt w:val="bullet"/>
      <w:lvlText w:val="−"/>
      <w:lvlJc w:val="left"/>
      <w:pPr>
        <w:ind w:left="2160" w:hanging="360"/>
      </w:pPr>
      <w:rPr>
        <w:rFonts w:ascii="Cambria" w:hAnsi="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C0C8D"/>
    <w:multiLevelType w:val="hybridMultilevel"/>
    <w:tmpl w:val="57C0C8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B962F0"/>
    <w:multiLevelType w:val="hybridMultilevel"/>
    <w:tmpl w:val="A5A0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656BE"/>
    <w:multiLevelType w:val="hybridMultilevel"/>
    <w:tmpl w:val="0A4E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2680F"/>
    <w:multiLevelType w:val="hybridMultilevel"/>
    <w:tmpl w:val="0E7C0588"/>
    <w:lvl w:ilvl="0" w:tplc="844E3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066DF"/>
    <w:multiLevelType w:val="hybridMultilevel"/>
    <w:tmpl w:val="6A5CA214"/>
    <w:lvl w:ilvl="0" w:tplc="4A38CE40">
      <w:start w:val="1"/>
      <w:numFmt w:val="bullet"/>
      <w:lvlText w:val="•"/>
      <w:lvlJc w:val="left"/>
      <w:pPr>
        <w:tabs>
          <w:tab w:val="num" w:pos="720"/>
        </w:tabs>
        <w:ind w:left="720" w:hanging="360"/>
      </w:pPr>
      <w:rPr>
        <w:rFonts w:ascii="Arial" w:hAnsi="Arial" w:hint="default"/>
      </w:rPr>
    </w:lvl>
    <w:lvl w:ilvl="1" w:tplc="147EA280">
      <w:start w:val="3248"/>
      <w:numFmt w:val="bullet"/>
      <w:lvlText w:val="–"/>
      <w:lvlJc w:val="left"/>
      <w:pPr>
        <w:tabs>
          <w:tab w:val="num" w:pos="1440"/>
        </w:tabs>
        <w:ind w:left="1440" w:hanging="360"/>
      </w:pPr>
      <w:rPr>
        <w:rFonts w:ascii="Arial" w:hAnsi="Arial" w:hint="default"/>
      </w:rPr>
    </w:lvl>
    <w:lvl w:ilvl="2" w:tplc="B4583A92" w:tentative="1">
      <w:start w:val="1"/>
      <w:numFmt w:val="bullet"/>
      <w:lvlText w:val="•"/>
      <w:lvlJc w:val="left"/>
      <w:pPr>
        <w:tabs>
          <w:tab w:val="num" w:pos="2160"/>
        </w:tabs>
        <w:ind w:left="2160" w:hanging="360"/>
      </w:pPr>
      <w:rPr>
        <w:rFonts w:ascii="Arial" w:hAnsi="Arial" w:hint="default"/>
      </w:rPr>
    </w:lvl>
    <w:lvl w:ilvl="3" w:tplc="6144050E" w:tentative="1">
      <w:start w:val="1"/>
      <w:numFmt w:val="bullet"/>
      <w:lvlText w:val="•"/>
      <w:lvlJc w:val="left"/>
      <w:pPr>
        <w:tabs>
          <w:tab w:val="num" w:pos="2880"/>
        </w:tabs>
        <w:ind w:left="2880" w:hanging="360"/>
      </w:pPr>
      <w:rPr>
        <w:rFonts w:ascii="Arial" w:hAnsi="Arial" w:hint="default"/>
      </w:rPr>
    </w:lvl>
    <w:lvl w:ilvl="4" w:tplc="59B4DB1E" w:tentative="1">
      <w:start w:val="1"/>
      <w:numFmt w:val="bullet"/>
      <w:lvlText w:val="•"/>
      <w:lvlJc w:val="left"/>
      <w:pPr>
        <w:tabs>
          <w:tab w:val="num" w:pos="3600"/>
        </w:tabs>
        <w:ind w:left="3600" w:hanging="360"/>
      </w:pPr>
      <w:rPr>
        <w:rFonts w:ascii="Arial" w:hAnsi="Arial" w:hint="default"/>
      </w:rPr>
    </w:lvl>
    <w:lvl w:ilvl="5" w:tplc="B7F6DBCC" w:tentative="1">
      <w:start w:val="1"/>
      <w:numFmt w:val="bullet"/>
      <w:lvlText w:val="•"/>
      <w:lvlJc w:val="left"/>
      <w:pPr>
        <w:tabs>
          <w:tab w:val="num" w:pos="4320"/>
        </w:tabs>
        <w:ind w:left="4320" w:hanging="360"/>
      </w:pPr>
      <w:rPr>
        <w:rFonts w:ascii="Arial" w:hAnsi="Arial" w:hint="default"/>
      </w:rPr>
    </w:lvl>
    <w:lvl w:ilvl="6" w:tplc="9E2CAFF8" w:tentative="1">
      <w:start w:val="1"/>
      <w:numFmt w:val="bullet"/>
      <w:lvlText w:val="•"/>
      <w:lvlJc w:val="left"/>
      <w:pPr>
        <w:tabs>
          <w:tab w:val="num" w:pos="5040"/>
        </w:tabs>
        <w:ind w:left="5040" w:hanging="360"/>
      </w:pPr>
      <w:rPr>
        <w:rFonts w:ascii="Arial" w:hAnsi="Arial" w:hint="default"/>
      </w:rPr>
    </w:lvl>
    <w:lvl w:ilvl="7" w:tplc="2BA0F47A" w:tentative="1">
      <w:start w:val="1"/>
      <w:numFmt w:val="bullet"/>
      <w:lvlText w:val="•"/>
      <w:lvlJc w:val="left"/>
      <w:pPr>
        <w:tabs>
          <w:tab w:val="num" w:pos="5760"/>
        </w:tabs>
        <w:ind w:left="5760" w:hanging="360"/>
      </w:pPr>
      <w:rPr>
        <w:rFonts w:ascii="Arial" w:hAnsi="Arial" w:hint="default"/>
      </w:rPr>
    </w:lvl>
    <w:lvl w:ilvl="8" w:tplc="AB6836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2E21FD"/>
    <w:multiLevelType w:val="hybridMultilevel"/>
    <w:tmpl w:val="323686F4"/>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A4307"/>
    <w:multiLevelType w:val="hybridMultilevel"/>
    <w:tmpl w:val="5F98B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DF1C9D"/>
    <w:multiLevelType w:val="hybridMultilevel"/>
    <w:tmpl w:val="5EC2A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5D5946"/>
    <w:multiLevelType w:val="hybridMultilevel"/>
    <w:tmpl w:val="19BCAE5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41BFD"/>
    <w:multiLevelType w:val="hybridMultilevel"/>
    <w:tmpl w:val="9CE0AF66"/>
    <w:lvl w:ilvl="0" w:tplc="C14402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3D754C"/>
    <w:multiLevelType w:val="hybridMultilevel"/>
    <w:tmpl w:val="882221B8"/>
    <w:lvl w:ilvl="0" w:tplc="75A6FA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6365BA4"/>
    <w:multiLevelType w:val="hybridMultilevel"/>
    <w:tmpl w:val="9C559691"/>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6CD64E0"/>
    <w:multiLevelType w:val="hybridMultilevel"/>
    <w:tmpl w:val="49CA2FC2"/>
    <w:lvl w:ilvl="0" w:tplc="6B7E56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338C1"/>
    <w:multiLevelType w:val="hybridMultilevel"/>
    <w:tmpl w:val="ED94CEAA"/>
    <w:lvl w:ilvl="0" w:tplc="D88E8238">
      <w:start w:val="1"/>
      <w:numFmt w:val="bullet"/>
      <w:lvlText w:val="–"/>
      <w:lvlJc w:val="left"/>
      <w:pPr>
        <w:tabs>
          <w:tab w:val="num" w:pos="720"/>
        </w:tabs>
        <w:ind w:left="720" w:hanging="360"/>
      </w:pPr>
      <w:rPr>
        <w:rFonts w:ascii="Arial" w:hAnsi="Arial" w:hint="default"/>
      </w:rPr>
    </w:lvl>
    <w:lvl w:ilvl="1" w:tplc="FDF2F0F8">
      <w:start w:val="1"/>
      <w:numFmt w:val="bullet"/>
      <w:lvlText w:val="–"/>
      <w:lvlJc w:val="left"/>
      <w:pPr>
        <w:tabs>
          <w:tab w:val="num" w:pos="1440"/>
        </w:tabs>
        <w:ind w:left="1440" w:hanging="360"/>
      </w:pPr>
      <w:rPr>
        <w:rFonts w:ascii="Arial" w:hAnsi="Arial" w:hint="default"/>
      </w:rPr>
    </w:lvl>
    <w:lvl w:ilvl="2" w:tplc="FE12C2CA" w:tentative="1">
      <w:start w:val="1"/>
      <w:numFmt w:val="bullet"/>
      <w:lvlText w:val="–"/>
      <w:lvlJc w:val="left"/>
      <w:pPr>
        <w:tabs>
          <w:tab w:val="num" w:pos="2160"/>
        </w:tabs>
        <w:ind w:left="2160" w:hanging="360"/>
      </w:pPr>
      <w:rPr>
        <w:rFonts w:ascii="Arial" w:hAnsi="Arial" w:hint="default"/>
      </w:rPr>
    </w:lvl>
    <w:lvl w:ilvl="3" w:tplc="4C5A6A66" w:tentative="1">
      <w:start w:val="1"/>
      <w:numFmt w:val="bullet"/>
      <w:lvlText w:val="–"/>
      <w:lvlJc w:val="left"/>
      <w:pPr>
        <w:tabs>
          <w:tab w:val="num" w:pos="2880"/>
        </w:tabs>
        <w:ind w:left="2880" w:hanging="360"/>
      </w:pPr>
      <w:rPr>
        <w:rFonts w:ascii="Arial" w:hAnsi="Arial" w:hint="default"/>
      </w:rPr>
    </w:lvl>
    <w:lvl w:ilvl="4" w:tplc="46326E76" w:tentative="1">
      <w:start w:val="1"/>
      <w:numFmt w:val="bullet"/>
      <w:lvlText w:val="–"/>
      <w:lvlJc w:val="left"/>
      <w:pPr>
        <w:tabs>
          <w:tab w:val="num" w:pos="3600"/>
        </w:tabs>
        <w:ind w:left="3600" w:hanging="360"/>
      </w:pPr>
      <w:rPr>
        <w:rFonts w:ascii="Arial" w:hAnsi="Arial" w:hint="default"/>
      </w:rPr>
    </w:lvl>
    <w:lvl w:ilvl="5" w:tplc="3D0663F2" w:tentative="1">
      <w:start w:val="1"/>
      <w:numFmt w:val="bullet"/>
      <w:lvlText w:val="–"/>
      <w:lvlJc w:val="left"/>
      <w:pPr>
        <w:tabs>
          <w:tab w:val="num" w:pos="4320"/>
        </w:tabs>
        <w:ind w:left="4320" w:hanging="360"/>
      </w:pPr>
      <w:rPr>
        <w:rFonts w:ascii="Arial" w:hAnsi="Arial" w:hint="default"/>
      </w:rPr>
    </w:lvl>
    <w:lvl w:ilvl="6" w:tplc="A7283EA0" w:tentative="1">
      <w:start w:val="1"/>
      <w:numFmt w:val="bullet"/>
      <w:lvlText w:val="–"/>
      <w:lvlJc w:val="left"/>
      <w:pPr>
        <w:tabs>
          <w:tab w:val="num" w:pos="5040"/>
        </w:tabs>
        <w:ind w:left="5040" w:hanging="360"/>
      </w:pPr>
      <w:rPr>
        <w:rFonts w:ascii="Arial" w:hAnsi="Arial" w:hint="default"/>
      </w:rPr>
    </w:lvl>
    <w:lvl w:ilvl="7" w:tplc="F5C42A78" w:tentative="1">
      <w:start w:val="1"/>
      <w:numFmt w:val="bullet"/>
      <w:lvlText w:val="–"/>
      <w:lvlJc w:val="left"/>
      <w:pPr>
        <w:tabs>
          <w:tab w:val="num" w:pos="5760"/>
        </w:tabs>
        <w:ind w:left="5760" w:hanging="360"/>
      </w:pPr>
      <w:rPr>
        <w:rFonts w:ascii="Arial" w:hAnsi="Arial" w:hint="default"/>
      </w:rPr>
    </w:lvl>
    <w:lvl w:ilvl="8" w:tplc="C12AFD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9FB6519"/>
    <w:multiLevelType w:val="hybridMultilevel"/>
    <w:tmpl w:val="9F3AF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090E54"/>
    <w:multiLevelType w:val="hybridMultilevel"/>
    <w:tmpl w:val="1D98A28E"/>
    <w:lvl w:ilvl="0" w:tplc="095E9E66">
      <w:start w:val="18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535EC"/>
    <w:multiLevelType w:val="hybridMultilevel"/>
    <w:tmpl w:val="F23C844A"/>
    <w:lvl w:ilvl="0" w:tplc="B5F4D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027C04"/>
    <w:multiLevelType w:val="hybridMultilevel"/>
    <w:tmpl w:val="407C473A"/>
    <w:lvl w:ilvl="0" w:tplc="04090001">
      <w:start w:val="1"/>
      <w:numFmt w:val="bullet"/>
      <w:lvlText w:val=""/>
      <w:lvlJc w:val="left"/>
      <w:pPr>
        <w:ind w:left="720" w:hanging="360"/>
      </w:pPr>
      <w:rPr>
        <w:rFonts w:ascii="Symbol" w:hAnsi="Symbol" w:hint="default"/>
      </w:rPr>
    </w:lvl>
    <w:lvl w:ilvl="1" w:tplc="6D4A3858">
      <w:numFmt w:val="bullet"/>
      <w:lvlText w:val="–"/>
      <w:lvlJc w:val="left"/>
      <w:pPr>
        <w:ind w:left="1800" w:hanging="720"/>
      </w:pPr>
      <w:rPr>
        <w:rFonts w:ascii="Cambria" w:eastAsia="Times New Roman" w:hAnsi="Cambri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64F2E"/>
    <w:multiLevelType w:val="hybridMultilevel"/>
    <w:tmpl w:val="71BCC376"/>
    <w:lvl w:ilvl="0" w:tplc="63D2C35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2160193B"/>
    <w:multiLevelType w:val="hybridMultilevel"/>
    <w:tmpl w:val="5D863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FE1784"/>
    <w:multiLevelType w:val="hybridMultilevel"/>
    <w:tmpl w:val="D08C0DB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DC782A"/>
    <w:multiLevelType w:val="hybridMultilevel"/>
    <w:tmpl w:val="638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52154C"/>
    <w:multiLevelType w:val="hybridMultilevel"/>
    <w:tmpl w:val="8CF2C85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234E7A"/>
    <w:multiLevelType w:val="hybridMultilevel"/>
    <w:tmpl w:val="AC782C34"/>
    <w:lvl w:ilvl="0" w:tplc="46ACC2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F5050F"/>
    <w:multiLevelType w:val="hybridMultilevel"/>
    <w:tmpl w:val="89667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CC5ACE"/>
    <w:multiLevelType w:val="hybridMultilevel"/>
    <w:tmpl w:val="C88E6F90"/>
    <w:lvl w:ilvl="0" w:tplc="7F4ADC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3F1DCB"/>
    <w:multiLevelType w:val="hybridMultilevel"/>
    <w:tmpl w:val="4D6482CA"/>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5" w15:restartNumberingAfterBreak="0">
    <w:nsid w:val="2CB42EFD"/>
    <w:multiLevelType w:val="hybridMultilevel"/>
    <w:tmpl w:val="2884A76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0AE4ECC"/>
    <w:multiLevelType w:val="hybridMultilevel"/>
    <w:tmpl w:val="D3887F9C"/>
    <w:lvl w:ilvl="0" w:tplc="9C20258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CF1627"/>
    <w:multiLevelType w:val="hybridMultilevel"/>
    <w:tmpl w:val="CB143518"/>
    <w:lvl w:ilvl="0" w:tplc="B4A014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326464"/>
    <w:multiLevelType w:val="hybridMultilevel"/>
    <w:tmpl w:val="68342F9E"/>
    <w:lvl w:ilvl="0" w:tplc="9C20258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2A4F8A"/>
    <w:multiLevelType w:val="hybridMultilevel"/>
    <w:tmpl w:val="4EB8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AE10711"/>
    <w:multiLevelType w:val="hybridMultilevel"/>
    <w:tmpl w:val="94E0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613CB8"/>
    <w:multiLevelType w:val="hybridMultilevel"/>
    <w:tmpl w:val="19D68154"/>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CF4704"/>
    <w:multiLevelType w:val="hybridMultilevel"/>
    <w:tmpl w:val="62E4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B364BB"/>
    <w:multiLevelType w:val="hybridMultilevel"/>
    <w:tmpl w:val="5D68EFDC"/>
    <w:lvl w:ilvl="0" w:tplc="FD4CE15E">
      <w:start w:val="1"/>
      <w:numFmt w:val="lowerLetter"/>
      <w:lvlText w:val="(%1)"/>
      <w:lvlJc w:val="left"/>
      <w:pPr>
        <w:ind w:left="720" w:hanging="360"/>
      </w:pPr>
      <w:rPr>
        <w:rFonts w:asciiTheme="majorHAnsi" w:hAnsiTheme="majorHAnsi"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087EDC"/>
    <w:multiLevelType w:val="hybridMultilevel"/>
    <w:tmpl w:val="3E24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9E49E2"/>
    <w:multiLevelType w:val="multilevel"/>
    <w:tmpl w:val="4C90B60C"/>
    <w:lvl w:ilvl="0">
      <w:start w:val="1"/>
      <w:numFmt w:val="decimal"/>
      <w:pStyle w:val="Heading1"/>
      <w:suff w:val="nothing"/>
      <w:lvlText w:val="Section %1"/>
      <w:lvlJc w:val="left"/>
      <w:pPr>
        <w:ind w:left="0" w:firstLine="0"/>
      </w:pPr>
      <w:rPr>
        <w:rFonts w:ascii="Calibri" w:hAnsi="Calibri" w:hint="default"/>
        <w:b/>
        <w:i w:val="0"/>
        <w:color w:val="1795D2" w:themeColor="accent1"/>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46" w15:restartNumberingAfterBreak="0">
    <w:nsid w:val="3FB77E74"/>
    <w:multiLevelType w:val="hybridMultilevel"/>
    <w:tmpl w:val="6C624C5C"/>
    <w:lvl w:ilvl="0" w:tplc="354E7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12E4894"/>
    <w:multiLevelType w:val="hybridMultilevel"/>
    <w:tmpl w:val="0EB6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5C0D2F"/>
    <w:multiLevelType w:val="hybridMultilevel"/>
    <w:tmpl w:val="A698AC02"/>
    <w:lvl w:ilvl="0" w:tplc="3912D7E8">
      <w:start w:val="1"/>
      <w:numFmt w:val="bullet"/>
      <w:lvlText w:val="o"/>
      <w:lvlJc w:val="left"/>
      <w:pPr>
        <w:ind w:left="720" w:hanging="360"/>
      </w:pPr>
      <w:rPr>
        <w:rFonts w:ascii="Courier New" w:hAnsi="Courier New" w:cs="Courier Ne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F15E53"/>
    <w:multiLevelType w:val="hybridMultilevel"/>
    <w:tmpl w:val="AB882180"/>
    <w:lvl w:ilvl="0" w:tplc="75EA2056">
      <w:start w:val="1"/>
      <w:numFmt w:val="bullet"/>
      <w:lvlText w:val="•"/>
      <w:lvlJc w:val="left"/>
      <w:pPr>
        <w:tabs>
          <w:tab w:val="num" w:pos="720"/>
        </w:tabs>
        <w:ind w:left="720" w:hanging="360"/>
      </w:pPr>
      <w:rPr>
        <w:rFonts w:ascii="Arial" w:hAnsi="Arial" w:hint="default"/>
      </w:rPr>
    </w:lvl>
    <w:lvl w:ilvl="1" w:tplc="C6065048">
      <w:start w:val="2004"/>
      <w:numFmt w:val="bullet"/>
      <w:lvlText w:val="•"/>
      <w:lvlJc w:val="left"/>
      <w:pPr>
        <w:tabs>
          <w:tab w:val="num" w:pos="1440"/>
        </w:tabs>
        <w:ind w:left="1440" w:hanging="360"/>
      </w:pPr>
      <w:rPr>
        <w:rFonts w:ascii="Arial" w:hAnsi="Arial" w:hint="default"/>
      </w:rPr>
    </w:lvl>
    <w:lvl w:ilvl="2" w:tplc="4008D892" w:tentative="1">
      <w:start w:val="1"/>
      <w:numFmt w:val="bullet"/>
      <w:lvlText w:val="•"/>
      <w:lvlJc w:val="left"/>
      <w:pPr>
        <w:tabs>
          <w:tab w:val="num" w:pos="2160"/>
        </w:tabs>
        <w:ind w:left="2160" w:hanging="360"/>
      </w:pPr>
      <w:rPr>
        <w:rFonts w:ascii="Arial" w:hAnsi="Arial" w:hint="default"/>
      </w:rPr>
    </w:lvl>
    <w:lvl w:ilvl="3" w:tplc="120E0406" w:tentative="1">
      <w:start w:val="1"/>
      <w:numFmt w:val="bullet"/>
      <w:lvlText w:val="•"/>
      <w:lvlJc w:val="left"/>
      <w:pPr>
        <w:tabs>
          <w:tab w:val="num" w:pos="2880"/>
        </w:tabs>
        <w:ind w:left="2880" w:hanging="360"/>
      </w:pPr>
      <w:rPr>
        <w:rFonts w:ascii="Arial" w:hAnsi="Arial" w:hint="default"/>
      </w:rPr>
    </w:lvl>
    <w:lvl w:ilvl="4" w:tplc="B838EBCE" w:tentative="1">
      <w:start w:val="1"/>
      <w:numFmt w:val="bullet"/>
      <w:lvlText w:val="•"/>
      <w:lvlJc w:val="left"/>
      <w:pPr>
        <w:tabs>
          <w:tab w:val="num" w:pos="3600"/>
        </w:tabs>
        <w:ind w:left="3600" w:hanging="360"/>
      </w:pPr>
      <w:rPr>
        <w:rFonts w:ascii="Arial" w:hAnsi="Arial" w:hint="default"/>
      </w:rPr>
    </w:lvl>
    <w:lvl w:ilvl="5" w:tplc="F7DC526A" w:tentative="1">
      <w:start w:val="1"/>
      <w:numFmt w:val="bullet"/>
      <w:lvlText w:val="•"/>
      <w:lvlJc w:val="left"/>
      <w:pPr>
        <w:tabs>
          <w:tab w:val="num" w:pos="4320"/>
        </w:tabs>
        <w:ind w:left="4320" w:hanging="360"/>
      </w:pPr>
      <w:rPr>
        <w:rFonts w:ascii="Arial" w:hAnsi="Arial" w:hint="default"/>
      </w:rPr>
    </w:lvl>
    <w:lvl w:ilvl="6" w:tplc="0F84B818" w:tentative="1">
      <w:start w:val="1"/>
      <w:numFmt w:val="bullet"/>
      <w:lvlText w:val="•"/>
      <w:lvlJc w:val="left"/>
      <w:pPr>
        <w:tabs>
          <w:tab w:val="num" w:pos="5040"/>
        </w:tabs>
        <w:ind w:left="5040" w:hanging="360"/>
      </w:pPr>
      <w:rPr>
        <w:rFonts w:ascii="Arial" w:hAnsi="Arial" w:hint="default"/>
      </w:rPr>
    </w:lvl>
    <w:lvl w:ilvl="7" w:tplc="1968156A" w:tentative="1">
      <w:start w:val="1"/>
      <w:numFmt w:val="bullet"/>
      <w:lvlText w:val="•"/>
      <w:lvlJc w:val="left"/>
      <w:pPr>
        <w:tabs>
          <w:tab w:val="num" w:pos="5760"/>
        </w:tabs>
        <w:ind w:left="5760" w:hanging="360"/>
      </w:pPr>
      <w:rPr>
        <w:rFonts w:ascii="Arial" w:hAnsi="Arial" w:hint="default"/>
      </w:rPr>
    </w:lvl>
    <w:lvl w:ilvl="8" w:tplc="E090789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8C7514E"/>
    <w:multiLevelType w:val="hybridMultilevel"/>
    <w:tmpl w:val="B99A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600CA0"/>
    <w:multiLevelType w:val="hybridMultilevel"/>
    <w:tmpl w:val="2BE081C2"/>
    <w:lvl w:ilvl="0" w:tplc="654EF78A">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4FB507E4"/>
    <w:multiLevelType w:val="hybridMultilevel"/>
    <w:tmpl w:val="BBECE8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EF433E"/>
    <w:multiLevelType w:val="hybridMultilevel"/>
    <w:tmpl w:val="D4AE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E33BCC"/>
    <w:multiLevelType w:val="hybridMultilevel"/>
    <w:tmpl w:val="E788FA3E"/>
    <w:lvl w:ilvl="0" w:tplc="04090001">
      <w:start w:val="1"/>
      <w:numFmt w:val="bullet"/>
      <w:lvlText w:val=""/>
      <w:lvlJc w:val="left"/>
      <w:pPr>
        <w:ind w:left="720" w:hanging="360"/>
      </w:pPr>
      <w:rPr>
        <w:rFonts w:ascii="Symbol" w:hAnsi="Symbol" w:hint="default"/>
      </w:rPr>
    </w:lvl>
    <w:lvl w:ilvl="1" w:tplc="98B6FE2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C049DE"/>
    <w:multiLevelType w:val="hybridMultilevel"/>
    <w:tmpl w:val="2C4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D6285D"/>
    <w:multiLevelType w:val="hybridMultilevel"/>
    <w:tmpl w:val="8004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5A582A"/>
    <w:multiLevelType w:val="hybridMultilevel"/>
    <w:tmpl w:val="29D640F2"/>
    <w:lvl w:ilvl="0" w:tplc="2B8CE55A">
      <w:start w:val="703"/>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63596F"/>
    <w:multiLevelType w:val="hybridMultilevel"/>
    <w:tmpl w:val="5F86173E"/>
    <w:lvl w:ilvl="0" w:tplc="B8064E66">
      <w:start w:val="1"/>
      <w:numFmt w:val="bullet"/>
      <w:lvlText w:val=""/>
      <w:lvlJc w:val="left"/>
      <w:pPr>
        <w:ind w:left="1080" w:hanging="360"/>
      </w:pPr>
      <w:rPr>
        <w:rFonts w:ascii="Wingdings" w:hAnsi="Wingdings" w:hint="default"/>
        <w:b/>
        <w:i w:val="0"/>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A6F2204"/>
    <w:multiLevelType w:val="hybridMultilevel"/>
    <w:tmpl w:val="5908136C"/>
    <w:lvl w:ilvl="0" w:tplc="76922D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B18789D"/>
    <w:multiLevelType w:val="hybridMultilevel"/>
    <w:tmpl w:val="0102F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8064E66">
      <w:start w:val="1"/>
      <w:numFmt w:val="bullet"/>
      <w:lvlText w:val=""/>
      <w:lvlJc w:val="left"/>
      <w:pPr>
        <w:ind w:left="2160" w:hanging="360"/>
      </w:pPr>
      <w:rPr>
        <w:rFonts w:ascii="Wingdings" w:hAnsi="Wingdings" w:hint="default"/>
        <w:b/>
        <w:i w:val="0"/>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13119B"/>
    <w:multiLevelType w:val="hybridMultilevel"/>
    <w:tmpl w:val="3D8C7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CC94899"/>
    <w:multiLevelType w:val="hybridMultilevel"/>
    <w:tmpl w:val="59B850A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243FB4"/>
    <w:multiLevelType w:val="hybridMultilevel"/>
    <w:tmpl w:val="B198B1C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944F7E"/>
    <w:multiLevelType w:val="hybridMultilevel"/>
    <w:tmpl w:val="D1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682F3E"/>
    <w:multiLevelType w:val="hybridMultilevel"/>
    <w:tmpl w:val="0D8858C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67" w15:restartNumberingAfterBreak="0">
    <w:nsid w:val="61DC0BE4"/>
    <w:multiLevelType w:val="hybridMultilevel"/>
    <w:tmpl w:val="9CFE5342"/>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9F49EC"/>
    <w:multiLevelType w:val="multilevel"/>
    <w:tmpl w:val="D5A4857C"/>
    <w:lvl w:ilvl="0">
      <w:start w:val="1"/>
      <w:numFmt w:val="decimal"/>
      <w:suff w:val="space"/>
      <w:lvlText w:val="Section %1"/>
      <w:lvlJc w:val="left"/>
      <w:pPr>
        <w:ind w:left="0" w:firstLine="0"/>
      </w:pPr>
      <w:rPr>
        <w:rFonts w:ascii="Calibri" w:hAnsi="Calibri" w:hint="default"/>
        <w:b/>
        <w:i w:val="0"/>
        <w:color w:val="00B0F0"/>
        <w:spacing w:val="0"/>
        <w:sz w:val="36"/>
      </w:rPr>
    </w:lvl>
    <w:lvl w:ilvl="1">
      <w:start w:val="1"/>
      <w:numFmt w:val="decimal"/>
      <w:suff w:val="space"/>
      <w:lvlText w:val="%1.%2"/>
      <w:lvlJc w:val="left"/>
      <w:pPr>
        <w:ind w:left="0" w:firstLine="0"/>
      </w:pPr>
      <w:rPr>
        <w:rFonts w:ascii="Calibri" w:hAnsi="Calibri" w:hint="default"/>
        <w:b/>
        <w:i w:val="0"/>
        <w:color w:val="auto"/>
        <w:sz w:val="24"/>
      </w:rPr>
    </w:lvl>
    <w:lvl w:ilvl="2">
      <w:start w:val="1"/>
      <w:numFmt w:val="decimal"/>
      <w:suff w:val="space"/>
      <w:lvlText w:val="%1.%2.%3"/>
      <w:lvlJc w:val="left"/>
      <w:pPr>
        <w:ind w:left="0" w:firstLine="0"/>
      </w:pPr>
      <w:rPr>
        <w:rFonts w:ascii="Calibri" w:hAnsi="Calibri" w:hint="default"/>
        <w:b/>
        <w:i w:val="0"/>
        <w:sz w:val="20"/>
        <w:szCs w:val="20"/>
      </w:rPr>
    </w:lvl>
    <w:lvl w:ilvl="3">
      <w:start w:val="1"/>
      <w:numFmt w:val="decimal"/>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69" w15:restartNumberingAfterBreak="0">
    <w:nsid w:val="63836C9D"/>
    <w:multiLevelType w:val="hybridMultilevel"/>
    <w:tmpl w:val="1208392E"/>
    <w:lvl w:ilvl="0" w:tplc="04090003">
      <w:start w:val="1"/>
      <w:numFmt w:val="bullet"/>
      <w:lvlText w:val="o"/>
      <w:lvlJc w:val="left"/>
      <w:pPr>
        <w:ind w:left="720" w:hanging="360"/>
      </w:pPr>
      <w:rPr>
        <w:rFonts w:ascii="Courier New" w:hAnsi="Courier New" w:cs="Courier New"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A67A06"/>
    <w:multiLevelType w:val="hybridMultilevel"/>
    <w:tmpl w:val="903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D16DEB"/>
    <w:multiLevelType w:val="hybridMultilevel"/>
    <w:tmpl w:val="2E9EBB0A"/>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72" w15:restartNumberingAfterBreak="0">
    <w:nsid w:val="669D739B"/>
    <w:multiLevelType w:val="hybridMultilevel"/>
    <w:tmpl w:val="8426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7EF7C2F"/>
    <w:multiLevelType w:val="hybridMultilevel"/>
    <w:tmpl w:val="E10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192D9C"/>
    <w:multiLevelType w:val="hybridMultilevel"/>
    <w:tmpl w:val="CBF29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AF17BB9"/>
    <w:multiLevelType w:val="hybridMultilevel"/>
    <w:tmpl w:val="764E137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CE1AC3"/>
    <w:multiLevelType w:val="hybridMultilevel"/>
    <w:tmpl w:val="43DCA18A"/>
    <w:lvl w:ilvl="0" w:tplc="8EE8F8A4">
      <w:start w:val="70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E907E9"/>
    <w:multiLevelType w:val="hybridMultilevel"/>
    <w:tmpl w:val="4450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7F1A65"/>
    <w:multiLevelType w:val="hybridMultilevel"/>
    <w:tmpl w:val="95DEF778"/>
    <w:lvl w:ilvl="0" w:tplc="08E47A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A60923"/>
    <w:multiLevelType w:val="hybridMultilevel"/>
    <w:tmpl w:val="5336A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CB63F2"/>
    <w:multiLevelType w:val="hybridMultilevel"/>
    <w:tmpl w:val="17E6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C5602D"/>
    <w:multiLevelType w:val="multilevel"/>
    <w:tmpl w:val="22162BE4"/>
    <w:lvl w:ilvl="0">
      <w:start w:val="1"/>
      <w:numFmt w:val="decimal"/>
      <w:suff w:val="nothing"/>
      <w:lvlText w:val="Section %1"/>
      <w:lvlJc w:val="left"/>
      <w:pPr>
        <w:ind w:left="0" w:firstLine="0"/>
      </w:pPr>
      <w:rPr>
        <w:rFonts w:ascii="Calibri" w:hAnsi="Calibri" w:hint="default"/>
        <w:b/>
        <w:i w:val="0"/>
        <w:color w:val="1795D2" w:themeColor="accent1"/>
        <w:spacing w:val="0"/>
        <w:sz w:val="36"/>
      </w:rPr>
    </w:lvl>
    <w:lvl w:ilvl="1">
      <w:start w:val="1"/>
      <w:numFmt w:val="decimal"/>
      <w:suff w:val="space"/>
      <w:lvlText w:val="%1.%2"/>
      <w:lvlJc w:val="left"/>
      <w:pPr>
        <w:ind w:left="0" w:firstLine="0"/>
      </w:pPr>
      <w:rPr>
        <w:rFonts w:ascii="Calibri" w:hAnsi="Calibri" w:hint="default"/>
        <w:b/>
        <w:i w:val="0"/>
        <w:color w:val="auto"/>
        <w:sz w:val="24"/>
      </w:rPr>
    </w:lvl>
    <w:lvl w:ilvl="2">
      <w:start w:val="1"/>
      <w:numFmt w:val="decimal"/>
      <w:suff w:val="space"/>
      <w:lvlText w:val="%1.%2.%3"/>
      <w:lvlJc w:val="left"/>
      <w:pPr>
        <w:ind w:left="0" w:firstLine="0"/>
      </w:pPr>
      <w:rPr>
        <w:rFonts w:ascii="Calibri" w:hAnsi="Calibri" w:hint="default"/>
        <w:b/>
        <w:i w:val="0"/>
        <w:color w:val="auto"/>
        <w:sz w:val="20"/>
        <w:szCs w:val="20"/>
      </w:rPr>
    </w:lvl>
    <w:lvl w:ilvl="3">
      <w:start w:val="1"/>
      <w:numFmt w:val="decimal"/>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83" w15:restartNumberingAfterBreak="0">
    <w:nsid w:val="73E0205B"/>
    <w:multiLevelType w:val="hybridMultilevel"/>
    <w:tmpl w:val="FEC8DB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42F0E29"/>
    <w:multiLevelType w:val="hybridMultilevel"/>
    <w:tmpl w:val="FF8A095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70F4DDB"/>
    <w:multiLevelType w:val="hybridMultilevel"/>
    <w:tmpl w:val="92E4DDDC"/>
    <w:lvl w:ilvl="0" w:tplc="FEF21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7B0C33"/>
    <w:multiLevelType w:val="multilevel"/>
    <w:tmpl w:val="EAFC8B52"/>
    <w:lvl w:ilvl="0">
      <w:start w:val="1"/>
      <w:numFmt w:val="decimal"/>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suff w:val="space"/>
      <w:lvlText w:val="%1.%2"/>
      <w:lvlJc w:val="left"/>
      <w:pPr>
        <w:ind w:left="540"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7C6C01C7"/>
    <w:multiLevelType w:val="hybridMultilevel"/>
    <w:tmpl w:val="A8A2B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F372ECF"/>
    <w:multiLevelType w:val="hybridMultilevel"/>
    <w:tmpl w:val="2782F664"/>
    <w:lvl w:ilvl="0" w:tplc="D68419D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3"/>
  </w:num>
  <w:num w:numId="2">
    <w:abstractNumId w:val="68"/>
  </w:num>
  <w:num w:numId="3">
    <w:abstractNumId w:val="85"/>
  </w:num>
  <w:num w:numId="4">
    <w:abstractNumId w:val="53"/>
  </w:num>
  <w:num w:numId="5">
    <w:abstractNumId w:val="42"/>
  </w:num>
  <w:num w:numId="6">
    <w:abstractNumId w:val="39"/>
  </w:num>
  <w:num w:numId="7">
    <w:abstractNumId w:val="1"/>
  </w:num>
  <w:num w:numId="8">
    <w:abstractNumId w:val="80"/>
  </w:num>
  <w:num w:numId="9">
    <w:abstractNumId w:val="18"/>
  </w:num>
  <w:num w:numId="10">
    <w:abstractNumId w:val="3"/>
  </w:num>
  <w:num w:numId="11">
    <w:abstractNumId w:val="12"/>
  </w:num>
  <w:num w:numId="12">
    <w:abstractNumId w:val="55"/>
  </w:num>
  <w:num w:numId="13">
    <w:abstractNumId w:val="62"/>
  </w:num>
  <w:num w:numId="14">
    <w:abstractNumId w:val="76"/>
  </w:num>
  <w:num w:numId="15">
    <w:abstractNumId w:val="41"/>
  </w:num>
  <w:num w:numId="16">
    <w:abstractNumId w:val="35"/>
  </w:num>
  <w:num w:numId="17">
    <w:abstractNumId w:val="5"/>
  </w:num>
  <w:num w:numId="18">
    <w:abstractNumId w:val="67"/>
  </w:num>
  <w:num w:numId="19">
    <w:abstractNumId w:val="2"/>
  </w:num>
  <w:num w:numId="20">
    <w:abstractNumId w:val="66"/>
  </w:num>
  <w:num w:numId="21">
    <w:abstractNumId w:val="57"/>
  </w:num>
  <w:num w:numId="22">
    <w:abstractNumId w:val="75"/>
  </w:num>
  <w:num w:numId="23">
    <w:abstractNumId w:val="47"/>
  </w:num>
  <w:num w:numId="24">
    <w:abstractNumId w:val="54"/>
  </w:num>
  <w:num w:numId="25">
    <w:abstractNumId w:val="21"/>
  </w:num>
  <w:num w:numId="26">
    <w:abstractNumId w:val="40"/>
  </w:num>
  <w:num w:numId="27">
    <w:abstractNumId w:val="64"/>
  </w:num>
  <w:num w:numId="28">
    <w:abstractNumId w:val="24"/>
  </w:num>
  <w:num w:numId="29">
    <w:abstractNumId w:val="32"/>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88"/>
  </w:num>
  <w:num w:numId="33">
    <w:abstractNumId w:val="74"/>
  </w:num>
  <w:num w:numId="34">
    <w:abstractNumId w:val="25"/>
  </w:num>
  <w:num w:numId="35">
    <w:abstractNumId w:val="48"/>
  </w:num>
  <w:num w:numId="36">
    <w:abstractNumId w:val="8"/>
  </w:num>
  <w:num w:numId="37">
    <w:abstractNumId w:val="81"/>
  </w:num>
  <w:num w:numId="38">
    <w:abstractNumId w:val="34"/>
  </w:num>
  <w:num w:numId="39">
    <w:abstractNumId w:val="50"/>
  </w:num>
  <w:num w:numId="40">
    <w:abstractNumId w:val="27"/>
  </w:num>
  <w:num w:numId="41">
    <w:abstractNumId w:val="14"/>
  </w:num>
  <w:num w:numId="42">
    <w:abstractNumId w:val="68"/>
  </w:num>
  <w:num w:numId="43">
    <w:abstractNumId w:val="15"/>
  </w:num>
  <w:num w:numId="44">
    <w:abstractNumId w:val="33"/>
  </w:num>
  <w:num w:numId="45">
    <w:abstractNumId w:val="30"/>
  </w:num>
  <w:num w:numId="46">
    <w:abstractNumId w:val="4"/>
  </w:num>
  <w:num w:numId="47">
    <w:abstractNumId w:val="28"/>
  </w:num>
  <w:num w:numId="48">
    <w:abstractNumId w:val="63"/>
  </w:num>
  <w:num w:numId="49">
    <w:abstractNumId w:val="82"/>
  </w:num>
  <w:num w:numId="50">
    <w:abstractNumId w:val="84"/>
  </w:num>
  <w:num w:numId="51">
    <w:abstractNumId w:val="69"/>
  </w:num>
  <w:num w:numId="52">
    <w:abstractNumId w:val="49"/>
  </w:num>
  <w:num w:numId="53">
    <w:abstractNumId w:val="59"/>
  </w:num>
  <w:num w:numId="54">
    <w:abstractNumId w:val="6"/>
  </w:num>
  <w:num w:numId="55">
    <w:abstractNumId w:val="87"/>
  </w:num>
  <w:num w:numId="56">
    <w:abstractNumId w:val="82"/>
  </w:num>
  <w:num w:numId="57">
    <w:abstractNumId w:val="86"/>
  </w:num>
  <w:num w:numId="58">
    <w:abstractNumId w:val="13"/>
  </w:num>
  <w:num w:numId="59">
    <w:abstractNumId w:val="82"/>
  </w:num>
  <w:num w:numId="60">
    <w:abstractNumId w:val="89"/>
  </w:num>
  <w:num w:numId="61">
    <w:abstractNumId w:val="70"/>
  </w:num>
  <w:num w:numId="62">
    <w:abstractNumId w:val="65"/>
  </w:num>
  <w:num w:numId="63">
    <w:abstractNumId w:val="29"/>
  </w:num>
  <w:num w:numId="64">
    <w:abstractNumId w:val="38"/>
  </w:num>
  <w:num w:numId="65">
    <w:abstractNumId w:val="36"/>
  </w:num>
  <w:num w:numId="66">
    <w:abstractNumId w:val="61"/>
  </w:num>
  <w:num w:numId="67">
    <w:abstractNumId w:val="20"/>
  </w:num>
  <w:num w:numId="68">
    <w:abstractNumId w:val="56"/>
  </w:num>
  <w:num w:numId="69">
    <w:abstractNumId w:val="9"/>
  </w:num>
  <w:num w:numId="70">
    <w:abstractNumId w:val="71"/>
  </w:num>
  <w:num w:numId="71">
    <w:abstractNumId w:val="60"/>
  </w:num>
  <w:num w:numId="72">
    <w:abstractNumId w:val="78"/>
  </w:num>
  <w:num w:numId="73">
    <w:abstractNumId w:val="7"/>
  </w:num>
  <w:num w:numId="74">
    <w:abstractNumId w:val="11"/>
  </w:num>
  <w:num w:numId="75">
    <w:abstractNumId w:val="51"/>
  </w:num>
  <w:num w:numId="76">
    <w:abstractNumId w:val="44"/>
  </w:num>
  <w:num w:numId="77">
    <w:abstractNumId w:val="45"/>
  </w:num>
  <w:num w:numId="78">
    <w:abstractNumId w:val="26"/>
  </w:num>
  <w:num w:numId="79">
    <w:abstractNumId w:val="43"/>
  </w:num>
  <w:num w:numId="80">
    <w:abstractNumId w:val="72"/>
  </w:num>
  <w:num w:numId="81">
    <w:abstractNumId w:val="83"/>
  </w:num>
  <w:num w:numId="82">
    <w:abstractNumId w:val="52"/>
  </w:num>
  <w:num w:numId="83">
    <w:abstractNumId w:val="17"/>
  </w:num>
  <w:num w:numId="84">
    <w:abstractNumId w:val="23"/>
  </w:num>
  <w:num w:numId="85">
    <w:abstractNumId w:val="37"/>
  </w:num>
  <w:num w:numId="86">
    <w:abstractNumId w:val="46"/>
  </w:num>
  <w:num w:numId="87">
    <w:abstractNumId w:val="22"/>
  </w:num>
  <w:num w:numId="88">
    <w:abstractNumId w:val="58"/>
  </w:num>
  <w:num w:numId="89">
    <w:abstractNumId w:val="77"/>
  </w:num>
  <w:num w:numId="90">
    <w:abstractNumId w:val="79"/>
  </w:num>
  <w:num w:numId="91">
    <w:abstractNumId w:val="16"/>
  </w:num>
  <w:num w:numId="92">
    <w:abstractNumId w:val="10"/>
  </w:num>
  <w:num w:numId="93">
    <w:abstractNumId w:val="19"/>
  </w:num>
  <w:num w:numId="94">
    <w:abstractNumId w:val="3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03d2899-21a2-4196-b5cf-e4880afbe394"/>
  </w:docVars>
  <w:rsids>
    <w:rsidRoot w:val="00CB6AC6"/>
    <w:rsid w:val="00000270"/>
    <w:rsid w:val="000005C0"/>
    <w:rsid w:val="000014F1"/>
    <w:rsid w:val="00001545"/>
    <w:rsid w:val="0000156E"/>
    <w:rsid w:val="00001E14"/>
    <w:rsid w:val="00002257"/>
    <w:rsid w:val="000024C0"/>
    <w:rsid w:val="00002BD6"/>
    <w:rsid w:val="00003561"/>
    <w:rsid w:val="00003F65"/>
    <w:rsid w:val="00004025"/>
    <w:rsid w:val="0000515C"/>
    <w:rsid w:val="00005201"/>
    <w:rsid w:val="000058A3"/>
    <w:rsid w:val="0000596B"/>
    <w:rsid w:val="00005E48"/>
    <w:rsid w:val="00005F52"/>
    <w:rsid w:val="00006124"/>
    <w:rsid w:val="00006292"/>
    <w:rsid w:val="0000663A"/>
    <w:rsid w:val="00006EB9"/>
    <w:rsid w:val="0000711C"/>
    <w:rsid w:val="000079CF"/>
    <w:rsid w:val="00010076"/>
    <w:rsid w:val="00010570"/>
    <w:rsid w:val="00010F88"/>
    <w:rsid w:val="00010FE9"/>
    <w:rsid w:val="0001177C"/>
    <w:rsid w:val="00011896"/>
    <w:rsid w:val="000124D9"/>
    <w:rsid w:val="00012B34"/>
    <w:rsid w:val="00012FAD"/>
    <w:rsid w:val="0001462B"/>
    <w:rsid w:val="00014922"/>
    <w:rsid w:val="00015319"/>
    <w:rsid w:val="000153B5"/>
    <w:rsid w:val="000154B6"/>
    <w:rsid w:val="000154CE"/>
    <w:rsid w:val="000159EB"/>
    <w:rsid w:val="00015C82"/>
    <w:rsid w:val="00015ECB"/>
    <w:rsid w:val="00017228"/>
    <w:rsid w:val="000172CC"/>
    <w:rsid w:val="000179CA"/>
    <w:rsid w:val="00017E7E"/>
    <w:rsid w:val="0002011E"/>
    <w:rsid w:val="00020133"/>
    <w:rsid w:val="0002026A"/>
    <w:rsid w:val="000202C3"/>
    <w:rsid w:val="00020C5A"/>
    <w:rsid w:val="00020E5D"/>
    <w:rsid w:val="00020E91"/>
    <w:rsid w:val="00020FE6"/>
    <w:rsid w:val="00021588"/>
    <w:rsid w:val="00021829"/>
    <w:rsid w:val="000219F1"/>
    <w:rsid w:val="00021E38"/>
    <w:rsid w:val="00022865"/>
    <w:rsid w:val="000229CE"/>
    <w:rsid w:val="000242A4"/>
    <w:rsid w:val="00024994"/>
    <w:rsid w:val="00024D4A"/>
    <w:rsid w:val="00024DDA"/>
    <w:rsid w:val="0002530A"/>
    <w:rsid w:val="000255E3"/>
    <w:rsid w:val="00026A09"/>
    <w:rsid w:val="0002795E"/>
    <w:rsid w:val="00027DE4"/>
    <w:rsid w:val="00027E45"/>
    <w:rsid w:val="00027FAE"/>
    <w:rsid w:val="000301D7"/>
    <w:rsid w:val="00030A7A"/>
    <w:rsid w:val="00030BF0"/>
    <w:rsid w:val="00030CE5"/>
    <w:rsid w:val="00031071"/>
    <w:rsid w:val="00031333"/>
    <w:rsid w:val="0003139A"/>
    <w:rsid w:val="00032B2D"/>
    <w:rsid w:val="00033075"/>
    <w:rsid w:val="00033404"/>
    <w:rsid w:val="00033F6C"/>
    <w:rsid w:val="000346F7"/>
    <w:rsid w:val="00034C1B"/>
    <w:rsid w:val="000357EE"/>
    <w:rsid w:val="00035C76"/>
    <w:rsid w:val="00035DB9"/>
    <w:rsid w:val="000363BD"/>
    <w:rsid w:val="00036D3C"/>
    <w:rsid w:val="00037105"/>
    <w:rsid w:val="00037303"/>
    <w:rsid w:val="00037383"/>
    <w:rsid w:val="00037407"/>
    <w:rsid w:val="00037766"/>
    <w:rsid w:val="00037B13"/>
    <w:rsid w:val="00037C94"/>
    <w:rsid w:val="00037CF0"/>
    <w:rsid w:val="00037D25"/>
    <w:rsid w:val="00037E90"/>
    <w:rsid w:val="00037FE3"/>
    <w:rsid w:val="0004079C"/>
    <w:rsid w:val="000410EA"/>
    <w:rsid w:val="00041327"/>
    <w:rsid w:val="00041785"/>
    <w:rsid w:val="00041793"/>
    <w:rsid w:val="0004198B"/>
    <w:rsid w:val="00042A2F"/>
    <w:rsid w:val="00042D88"/>
    <w:rsid w:val="00043578"/>
    <w:rsid w:val="0004373C"/>
    <w:rsid w:val="00043CC4"/>
    <w:rsid w:val="00044076"/>
    <w:rsid w:val="000442E4"/>
    <w:rsid w:val="000445D3"/>
    <w:rsid w:val="00044683"/>
    <w:rsid w:val="00044854"/>
    <w:rsid w:val="00044B8A"/>
    <w:rsid w:val="00044C62"/>
    <w:rsid w:val="0004550F"/>
    <w:rsid w:val="000460D9"/>
    <w:rsid w:val="000461BF"/>
    <w:rsid w:val="000463A6"/>
    <w:rsid w:val="000465A9"/>
    <w:rsid w:val="00046C8C"/>
    <w:rsid w:val="00046E91"/>
    <w:rsid w:val="00047546"/>
    <w:rsid w:val="000478CF"/>
    <w:rsid w:val="00047D24"/>
    <w:rsid w:val="000517FA"/>
    <w:rsid w:val="00051BFC"/>
    <w:rsid w:val="00052025"/>
    <w:rsid w:val="0005215E"/>
    <w:rsid w:val="0005329B"/>
    <w:rsid w:val="000536F7"/>
    <w:rsid w:val="00053A32"/>
    <w:rsid w:val="00053A93"/>
    <w:rsid w:val="00054A84"/>
    <w:rsid w:val="0005513C"/>
    <w:rsid w:val="000554D4"/>
    <w:rsid w:val="000558C1"/>
    <w:rsid w:val="00055FBE"/>
    <w:rsid w:val="00056618"/>
    <w:rsid w:val="00056A47"/>
    <w:rsid w:val="00057090"/>
    <w:rsid w:val="00057485"/>
    <w:rsid w:val="000577CF"/>
    <w:rsid w:val="00057AB7"/>
    <w:rsid w:val="00057ACE"/>
    <w:rsid w:val="0006040A"/>
    <w:rsid w:val="00060728"/>
    <w:rsid w:val="0006098B"/>
    <w:rsid w:val="000611D6"/>
    <w:rsid w:val="000613FD"/>
    <w:rsid w:val="0006174F"/>
    <w:rsid w:val="00062479"/>
    <w:rsid w:val="00062538"/>
    <w:rsid w:val="00062B59"/>
    <w:rsid w:val="00064855"/>
    <w:rsid w:val="00064EF8"/>
    <w:rsid w:val="00064FD8"/>
    <w:rsid w:val="0006548E"/>
    <w:rsid w:val="0006584A"/>
    <w:rsid w:val="0006596A"/>
    <w:rsid w:val="00065D4E"/>
    <w:rsid w:val="00065E26"/>
    <w:rsid w:val="0006624D"/>
    <w:rsid w:val="00066296"/>
    <w:rsid w:val="00066542"/>
    <w:rsid w:val="00066B08"/>
    <w:rsid w:val="00066F69"/>
    <w:rsid w:val="00067212"/>
    <w:rsid w:val="000676D3"/>
    <w:rsid w:val="00067853"/>
    <w:rsid w:val="000701ED"/>
    <w:rsid w:val="00070BB1"/>
    <w:rsid w:val="00070D31"/>
    <w:rsid w:val="00071774"/>
    <w:rsid w:val="00071DD3"/>
    <w:rsid w:val="00071F92"/>
    <w:rsid w:val="00071FAC"/>
    <w:rsid w:val="00072923"/>
    <w:rsid w:val="00072D6A"/>
    <w:rsid w:val="00072DC3"/>
    <w:rsid w:val="00073D35"/>
    <w:rsid w:val="00074314"/>
    <w:rsid w:val="00074469"/>
    <w:rsid w:val="00074522"/>
    <w:rsid w:val="00074D2D"/>
    <w:rsid w:val="000758E1"/>
    <w:rsid w:val="0007591B"/>
    <w:rsid w:val="000760E1"/>
    <w:rsid w:val="000772F4"/>
    <w:rsid w:val="000773BE"/>
    <w:rsid w:val="00077B46"/>
    <w:rsid w:val="000800A7"/>
    <w:rsid w:val="0008070D"/>
    <w:rsid w:val="00080721"/>
    <w:rsid w:val="00080AD6"/>
    <w:rsid w:val="00080C32"/>
    <w:rsid w:val="00080FC7"/>
    <w:rsid w:val="0008148E"/>
    <w:rsid w:val="00082296"/>
    <w:rsid w:val="0008288C"/>
    <w:rsid w:val="00082945"/>
    <w:rsid w:val="00083134"/>
    <w:rsid w:val="00083147"/>
    <w:rsid w:val="0008368B"/>
    <w:rsid w:val="00083AEC"/>
    <w:rsid w:val="00083F30"/>
    <w:rsid w:val="00084382"/>
    <w:rsid w:val="00084E12"/>
    <w:rsid w:val="000851D0"/>
    <w:rsid w:val="00085368"/>
    <w:rsid w:val="00087581"/>
    <w:rsid w:val="00087839"/>
    <w:rsid w:val="000879B2"/>
    <w:rsid w:val="0009018E"/>
    <w:rsid w:val="00090E7B"/>
    <w:rsid w:val="00091215"/>
    <w:rsid w:val="000914EB"/>
    <w:rsid w:val="00091FF3"/>
    <w:rsid w:val="00092637"/>
    <w:rsid w:val="0009294B"/>
    <w:rsid w:val="00092B29"/>
    <w:rsid w:val="00092CC8"/>
    <w:rsid w:val="00092E81"/>
    <w:rsid w:val="00093A59"/>
    <w:rsid w:val="000941CB"/>
    <w:rsid w:val="000944C5"/>
    <w:rsid w:val="00094584"/>
    <w:rsid w:val="00094A0C"/>
    <w:rsid w:val="00095197"/>
    <w:rsid w:val="000952FD"/>
    <w:rsid w:val="000953C4"/>
    <w:rsid w:val="00095A04"/>
    <w:rsid w:val="00096B10"/>
    <w:rsid w:val="00096BB0"/>
    <w:rsid w:val="00096C6D"/>
    <w:rsid w:val="0009710E"/>
    <w:rsid w:val="00097785"/>
    <w:rsid w:val="000979CA"/>
    <w:rsid w:val="000979E7"/>
    <w:rsid w:val="000A0041"/>
    <w:rsid w:val="000A0085"/>
    <w:rsid w:val="000A0429"/>
    <w:rsid w:val="000A0A1F"/>
    <w:rsid w:val="000A138C"/>
    <w:rsid w:val="000A1B29"/>
    <w:rsid w:val="000A24B0"/>
    <w:rsid w:val="000A25F9"/>
    <w:rsid w:val="000A2842"/>
    <w:rsid w:val="000A37E6"/>
    <w:rsid w:val="000A4048"/>
    <w:rsid w:val="000A40A4"/>
    <w:rsid w:val="000A4D9C"/>
    <w:rsid w:val="000A5067"/>
    <w:rsid w:val="000A56F0"/>
    <w:rsid w:val="000A5F5E"/>
    <w:rsid w:val="000A76BF"/>
    <w:rsid w:val="000A7BE3"/>
    <w:rsid w:val="000B03FF"/>
    <w:rsid w:val="000B040E"/>
    <w:rsid w:val="000B0879"/>
    <w:rsid w:val="000B0A5C"/>
    <w:rsid w:val="000B1B94"/>
    <w:rsid w:val="000B1BC2"/>
    <w:rsid w:val="000B1C7F"/>
    <w:rsid w:val="000B1DA6"/>
    <w:rsid w:val="000B1E5E"/>
    <w:rsid w:val="000B20B2"/>
    <w:rsid w:val="000B228A"/>
    <w:rsid w:val="000B22E3"/>
    <w:rsid w:val="000B266F"/>
    <w:rsid w:val="000B2865"/>
    <w:rsid w:val="000B2921"/>
    <w:rsid w:val="000B3288"/>
    <w:rsid w:val="000B359C"/>
    <w:rsid w:val="000B3B05"/>
    <w:rsid w:val="000B43A1"/>
    <w:rsid w:val="000B43E9"/>
    <w:rsid w:val="000B4431"/>
    <w:rsid w:val="000B5865"/>
    <w:rsid w:val="000B5B4A"/>
    <w:rsid w:val="000B637D"/>
    <w:rsid w:val="000B668E"/>
    <w:rsid w:val="000B6A1D"/>
    <w:rsid w:val="000B6E02"/>
    <w:rsid w:val="000B737D"/>
    <w:rsid w:val="000B79CF"/>
    <w:rsid w:val="000C0B6D"/>
    <w:rsid w:val="000C200E"/>
    <w:rsid w:val="000C239C"/>
    <w:rsid w:val="000C2473"/>
    <w:rsid w:val="000C2F4A"/>
    <w:rsid w:val="000C354D"/>
    <w:rsid w:val="000C3A16"/>
    <w:rsid w:val="000C3FC8"/>
    <w:rsid w:val="000C4466"/>
    <w:rsid w:val="000C469B"/>
    <w:rsid w:val="000C47BE"/>
    <w:rsid w:val="000C4D9F"/>
    <w:rsid w:val="000C503E"/>
    <w:rsid w:val="000C5066"/>
    <w:rsid w:val="000C506F"/>
    <w:rsid w:val="000C5445"/>
    <w:rsid w:val="000C59DC"/>
    <w:rsid w:val="000C674F"/>
    <w:rsid w:val="000C69F3"/>
    <w:rsid w:val="000C748F"/>
    <w:rsid w:val="000C7D66"/>
    <w:rsid w:val="000D01D5"/>
    <w:rsid w:val="000D09B2"/>
    <w:rsid w:val="000D0E6D"/>
    <w:rsid w:val="000D0F11"/>
    <w:rsid w:val="000D12EF"/>
    <w:rsid w:val="000D1CBE"/>
    <w:rsid w:val="000D1D1D"/>
    <w:rsid w:val="000D1DB8"/>
    <w:rsid w:val="000D242F"/>
    <w:rsid w:val="000D2806"/>
    <w:rsid w:val="000D3476"/>
    <w:rsid w:val="000D380A"/>
    <w:rsid w:val="000D4B7A"/>
    <w:rsid w:val="000D4D6D"/>
    <w:rsid w:val="000D4E71"/>
    <w:rsid w:val="000D5396"/>
    <w:rsid w:val="000D624E"/>
    <w:rsid w:val="000D6336"/>
    <w:rsid w:val="000D6385"/>
    <w:rsid w:val="000D6544"/>
    <w:rsid w:val="000D6644"/>
    <w:rsid w:val="000D68FB"/>
    <w:rsid w:val="000D75B3"/>
    <w:rsid w:val="000D7C95"/>
    <w:rsid w:val="000D7F9C"/>
    <w:rsid w:val="000E0180"/>
    <w:rsid w:val="000E02A9"/>
    <w:rsid w:val="000E0F0B"/>
    <w:rsid w:val="000E1361"/>
    <w:rsid w:val="000E14D6"/>
    <w:rsid w:val="000E1E45"/>
    <w:rsid w:val="000E1E97"/>
    <w:rsid w:val="000E2501"/>
    <w:rsid w:val="000E275B"/>
    <w:rsid w:val="000E28FE"/>
    <w:rsid w:val="000E2CE8"/>
    <w:rsid w:val="000E338B"/>
    <w:rsid w:val="000E3992"/>
    <w:rsid w:val="000E39C0"/>
    <w:rsid w:val="000E39E2"/>
    <w:rsid w:val="000E3B08"/>
    <w:rsid w:val="000E3F8E"/>
    <w:rsid w:val="000E412E"/>
    <w:rsid w:val="000E41D4"/>
    <w:rsid w:val="000E4664"/>
    <w:rsid w:val="000E4A74"/>
    <w:rsid w:val="000E5441"/>
    <w:rsid w:val="000E5A70"/>
    <w:rsid w:val="000E5E61"/>
    <w:rsid w:val="000E653C"/>
    <w:rsid w:val="000E68AE"/>
    <w:rsid w:val="000E6B3F"/>
    <w:rsid w:val="000E6B71"/>
    <w:rsid w:val="000E706C"/>
    <w:rsid w:val="000F0286"/>
    <w:rsid w:val="000F038C"/>
    <w:rsid w:val="000F0A8A"/>
    <w:rsid w:val="000F1398"/>
    <w:rsid w:val="000F140B"/>
    <w:rsid w:val="000F14B9"/>
    <w:rsid w:val="000F20E5"/>
    <w:rsid w:val="000F2557"/>
    <w:rsid w:val="000F33A8"/>
    <w:rsid w:val="000F38EE"/>
    <w:rsid w:val="000F3A0B"/>
    <w:rsid w:val="000F437F"/>
    <w:rsid w:val="000F4433"/>
    <w:rsid w:val="000F523C"/>
    <w:rsid w:val="000F5518"/>
    <w:rsid w:val="000F663A"/>
    <w:rsid w:val="000F66DF"/>
    <w:rsid w:val="000F6A5D"/>
    <w:rsid w:val="000F6B76"/>
    <w:rsid w:val="000F6CF7"/>
    <w:rsid w:val="000F6FD9"/>
    <w:rsid w:val="000F7C42"/>
    <w:rsid w:val="00100222"/>
    <w:rsid w:val="00100364"/>
    <w:rsid w:val="00100B36"/>
    <w:rsid w:val="00100C4D"/>
    <w:rsid w:val="0010154E"/>
    <w:rsid w:val="00101BC9"/>
    <w:rsid w:val="00102744"/>
    <w:rsid w:val="0010340C"/>
    <w:rsid w:val="001037BC"/>
    <w:rsid w:val="001044B2"/>
    <w:rsid w:val="00104E02"/>
    <w:rsid w:val="00105065"/>
    <w:rsid w:val="001053F5"/>
    <w:rsid w:val="00105EBC"/>
    <w:rsid w:val="001069E7"/>
    <w:rsid w:val="00106A9F"/>
    <w:rsid w:val="00106DA5"/>
    <w:rsid w:val="00107F6B"/>
    <w:rsid w:val="001105A0"/>
    <w:rsid w:val="00110681"/>
    <w:rsid w:val="001109CA"/>
    <w:rsid w:val="001119E7"/>
    <w:rsid w:val="00111C27"/>
    <w:rsid w:val="001120D1"/>
    <w:rsid w:val="0011272A"/>
    <w:rsid w:val="001127B8"/>
    <w:rsid w:val="001128A8"/>
    <w:rsid w:val="00112921"/>
    <w:rsid w:val="00112AD5"/>
    <w:rsid w:val="00112C60"/>
    <w:rsid w:val="0011334E"/>
    <w:rsid w:val="00113CB1"/>
    <w:rsid w:val="00114436"/>
    <w:rsid w:val="00114CE8"/>
    <w:rsid w:val="00115140"/>
    <w:rsid w:val="0011576D"/>
    <w:rsid w:val="0011658A"/>
    <w:rsid w:val="00116EF4"/>
    <w:rsid w:val="0012044B"/>
    <w:rsid w:val="0012089B"/>
    <w:rsid w:val="00120EAE"/>
    <w:rsid w:val="0012102A"/>
    <w:rsid w:val="00121278"/>
    <w:rsid w:val="001214BB"/>
    <w:rsid w:val="00122169"/>
    <w:rsid w:val="001227A4"/>
    <w:rsid w:val="00122AC3"/>
    <w:rsid w:val="00122E1B"/>
    <w:rsid w:val="0012342C"/>
    <w:rsid w:val="00123947"/>
    <w:rsid w:val="001239FB"/>
    <w:rsid w:val="00123CCB"/>
    <w:rsid w:val="0012435C"/>
    <w:rsid w:val="00124EF8"/>
    <w:rsid w:val="00125170"/>
    <w:rsid w:val="0012560F"/>
    <w:rsid w:val="00125975"/>
    <w:rsid w:val="001259D9"/>
    <w:rsid w:val="00125DA8"/>
    <w:rsid w:val="00125E4C"/>
    <w:rsid w:val="001264F1"/>
    <w:rsid w:val="00126D4D"/>
    <w:rsid w:val="001274C4"/>
    <w:rsid w:val="00130DDD"/>
    <w:rsid w:val="00131D63"/>
    <w:rsid w:val="001320BC"/>
    <w:rsid w:val="001325D0"/>
    <w:rsid w:val="00132D8D"/>
    <w:rsid w:val="00133238"/>
    <w:rsid w:val="0013387A"/>
    <w:rsid w:val="00133FC0"/>
    <w:rsid w:val="00134B71"/>
    <w:rsid w:val="00134B94"/>
    <w:rsid w:val="00134F1A"/>
    <w:rsid w:val="00135114"/>
    <w:rsid w:val="0013561F"/>
    <w:rsid w:val="001360D6"/>
    <w:rsid w:val="00137115"/>
    <w:rsid w:val="00137B0F"/>
    <w:rsid w:val="00137C1B"/>
    <w:rsid w:val="001401E7"/>
    <w:rsid w:val="001403AC"/>
    <w:rsid w:val="0014044E"/>
    <w:rsid w:val="001408BC"/>
    <w:rsid w:val="00141F4E"/>
    <w:rsid w:val="00142159"/>
    <w:rsid w:val="0014266D"/>
    <w:rsid w:val="00142F6B"/>
    <w:rsid w:val="00143635"/>
    <w:rsid w:val="00145071"/>
    <w:rsid w:val="001451E2"/>
    <w:rsid w:val="00145385"/>
    <w:rsid w:val="0014543E"/>
    <w:rsid w:val="0014547F"/>
    <w:rsid w:val="00145B1F"/>
    <w:rsid w:val="00145E8A"/>
    <w:rsid w:val="00146526"/>
    <w:rsid w:val="0014723D"/>
    <w:rsid w:val="001475FB"/>
    <w:rsid w:val="001477D1"/>
    <w:rsid w:val="00147ACD"/>
    <w:rsid w:val="00147DA2"/>
    <w:rsid w:val="001501D6"/>
    <w:rsid w:val="001502BF"/>
    <w:rsid w:val="00151038"/>
    <w:rsid w:val="0015116A"/>
    <w:rsid w:val="001525EE"/>
    <w:rsid w:val="001532E8"/>
    <w:rsid w:val="00153749"/>
    <w:rsid w:val="001539A1"/>
    <w:rsid w:val="001541BD"/>
    <w:rsid w:val="00154AE5"/>
    <w:rsid w:val="00154EF6"/>
    <w:rsid w:val="00155151"/>
    <w:rsid w:val="00156428"/>
    <w:rsid w:val="0015696E"/>
    <w:rsid w:val="00156B1D"/>
    <w:rsid w:val="001570C6"/>
    <w:rsid w:val="00157912"/>
    <w:rsid w:val="00157A52"/>
    <w:rsid w:val="001601D2"/>
    <w:rsid w:val="001605B8"/>
    <w:rsid w:val="001616AA"/>
    <w:rsid w:val="00161AB7"/>
    <w:rsid w:val="0016281B"/>
    <w:rsid w:val="00162D21"/>
    <w:rsid w:val="00163453"/>
    <w:rsid w:val="00163462"/>
    <w:rsid w:val="0016379D"/>
    <w:rsid w:val="00163ABC"/>
    <w:rsid w:val="00164928"/>
    <w:rsid w:val="00164EDD"/>
    <w:rsid w:val="00164F9E"/>
    <w:rsid w:val="001651B0"/>
    <w:rsid w:val="00165945"/>
    <w:rsid w:val="00165AFA"/>
    <w:rsid w:val="00165C6B"/>
    <w:rsid w:val="00166054"/>
    <w:rsid w:val="0016663D"/>
    <w:rsid w:val="0016672D"/>
    <w:rsid w:val="00167126"/>
    <w:rsid w:val="001675BB"/>
    <w:rsid w:val="00167F0D"/>
    <w:rsid w:val="00170108"/>
    <w:rsid w:val="00170DF2"/>
    <w:rsid w:val="00171E26"/>
    <w:rsid w:val="00171FD0"/>
    <w:rsid w:val="00172409"/>
    <w:rsid w:val="001727AA"/>
    <w:rsid w:val="001728EF"/>
    <w:rsid w:val="00172BE3"/>
    <w:rsid w:val="00172DC4"/>
    <w:rsid w:val="0017301C"/>
    <w:rsid w:val="00173DA9"/>
    <w:rsid w:val="00174950"/>
    <w:rsid w:val="001757C0"/>
    <w:rsid w:val="00176330"/>
    <w:rsid w:val="001768DA"/>
    <w:rsid w:val="00176CFE"/>
    <w:rsid w:val="001772E7"/>
    <w:rsid w:val="00180946"/>
    <w:rsid w:val="00180DFF"/>
    <w:rsid w:val="00180F52"/>
    <w:rsid w:val="00181C55"/>
    <w:rsid w:val="00182464"/>
    <w:rsid w:val="00182787"/>
    <w:rsid w:val="001829AE"/>
    <w:rsid w:val="00182A32"/>
    <w:rsid w:val="0018309B"/>
    <w:rsid w:val="001830DC"/>
    <w:rsid w:val="001842CF"/>
    <w:rsid w:val="00184834"/>
    <w:rsid w:val="001850C1"/>
    <w:rsid w:val="0018538E"/>
    <w:rsid w:val="00186690"/>
    <w:rsid w:val="001868BC"/>
    <w:rsid w:val="001868C6"/>
    <w:rsid w:val="00186E33"/>
    <w:rsid w:val="00187873"/>
    <w:rsid w:val="00187E1A"/>
    <w:rsid w:val="0019013E"/>
    <w:rsid w:val="00190760"/>
    <w:rsid w:val="00190EC1"/>
    <w:rsid w:val="00191250"/>
    <w:rsid w:val="00191A03"/>
    <w:rsid w:val="00191A24"/>
    <w:rsid w:val="00191DA6"/>
    <w:rsid w:val="00193782"/>
    <w:rsid w:val="00193956"/>
    <w:rsid w:val="00193A02"/>
    <w:rsid w:val="00193EC4"/>
    <w:rsid w:val="0019455F"/>
    <w:rsid w:val="00194C1D"/>
    <w:rsid w:val="00195019"/>
    <w:rsid w:val="00195114"/>
    <w:rsid w:val="00195218"/>
    <w:rsid w:val="001956AC"/>
    <w:rsid w:val="001957F7"/>
    <w:rsid w:val="00195B55"/>
    <w:rsid w:val="00196199"/>
    <w:rsid w:val="0019677D"/>
    <w:rsid w:val="00196BE6"/>
    <w:rsid w:val="00196C36"/>
    <w:rsid w:val="00197291"/>
    <w:rsid w:val="0019734C"/>
    <w:rsid w:val="00197771"/>
    <w:rsid w:val="001977E0"/>
    <w:rsid w:val="00197A73"/>
    <w:rsid w:val="00197AB7"/>
    <w:rsid w:val="00197DD9"/>
    <w:rsid w:val="001A11D5"/>
    <w:rsid w:val="001A1B22"/>
    <w:rsid w:val="001A216F"/>
    <w:rsid w:val="001A2220"/>
    <w:rsid w:val="001A3B5B"/>
    <w:rsid w:val="001A42B0"/>
    <w:rsid w:val="001A4C6D"/>
    <w:rsid w:val="001A504D"/>
    <w:rsid w:val="001A5687"/>
    <w:rsid w:val="001A571B"/>
    <w:rsid w:val="001A5FA1"/>
    <w:rsid w:val="001A644C"/>
    <w:rsid w:val="001A708C"/>
    <w:rsid w:val="001A7B12"/>
    <w:rsid w:val="001B0684"/>
    <w:rsid w:val="001B133A"/>
    <w:rsid w:val="001B18FC"/>
    <w:rsid w:val="001B1A6A"/>
    <w:rsid w:val="001B1B98"/>
    <w:rsid w:val="001B1FF6"/>
    <w:rsid w:val="001B21E0"/>
    <w:rsid w:val="001B2E9D"/>
    <w:rsid w:val="001B3143"/>
    <w:rsid w:val="001B3307"/>
    <w:rsid w:val="001B3579"/>
    <w:rsid w:val="001B3ACB"/>
    <w:rsid w:val="001B3B09"/>
    <w:rsid w:val="001B4057"/>
    <w:rsid w:val="001B4311"/>
    <w:rsid w:val="001B5DD9"/>
    <w:rsid w:val="001B6579"/>
    <w:rsid w:val="001B6993"/>
    <w:rsid w:val="001B6D26"/>
    <w:rsid w:val="001B7808"/>
    <w:rsid w:val="001B78A7"/>
    <w:rsid w:val="001B7A38"/>
    <w:rsid w:val="001B7C02"/>
    <w:rsid w:val="001B7F3E"/>
    <w:rsid w:val="001C0093"/>
    <w:rsid w:val="001C012A"/>
    <w:rsid w:val="001C0DA1"/>
    <w:rsid w:val="001C1430"/>
    <w:rsid w:val="001C1700"/>
    <w:rsid w:val="001C1A85"/>
    <w:rsid w:val="001C1B36"/>
    <w:rsid w:val="001C2789"/>
    <w:rsid w:val="001C2C7F"/>
    <w:rsid w:val="001C3046"/>
    <w:rsid w:val="001C3380"/>
    <w:rsid w:val="001C42B6"/>
    <w:rsid w:val="001C4B4C"/>
    <w:rsid w:val="001C4FAA"/>
    <w:rsid w:val="001C514C"/>
    <w:rsid w:val="001C537B"/>
    <w:rsid w:val="001C7535"/>
    <w:rsid w:val="001C7756"/>
    <w:rsid w:val="001C788F"/>
    <w:rsid w:val="001C79BE"/>
    <w:rsid w:val="001D02A4"/>
    <w:rsid w:val="001D0654"/>
    <w:rsid w:val="001D0873"/>
    <w:rsid w:val="001D0AA5"/>
    <w:rsid w:val="001D13B4"/>
    <w:rsid w:val="001D1BCD"/>
    <w:rsid w:val="001D262E"/>
    <w:rsid w:val="001D2C3B"/>
    <w:rsid w:val="001D3E98"/>
    <w:rsid w:val="001D408D"/>
    <w:rsid w:val="001D41ED"/>
    <w:rsid w:val="001D53F4"/>
    <w:rsid w:val="001D545D"/>
    <w:rsid w:val="001D583D"/>
    <w:rsid w:val="001D5F6A"/>
    <w:rsid w:val="001D61C8"/>
    <w:rsid w:val="001D644C"/>
    <w:rsid w:val="001D67C5"/>
    <w:rsid w:val="001D6DE1"/>
    <w:rsid w:val="001E0E83"/>
    <w:rsid w:val="001E1293"/>
    <w:rsid w:val="001E22EB"/>
    <w:rsid w:val="001E2301"/>
    <w:rsid w:val="001E29BA"/>
    <w:rsid w:val="001E2EF5"/>
    <w:rsid w:val="001E2FB2"/>
    <w:rsid w:val="001E3514"/>
    <w:rsid w:val="001E37B3"/>
    <w:rsid w:val="001E3832"/>
    <w:rsid w:val="001E3BD7"/>
    <w:rsid w:val="001E499A"/>
    <w:rsid w:val="001E4A09"/>
    <w:rsid w:val="001E700D"/>
    <w:rsid w:val="001E788E"/>
    <w:rsid w:val="001E7A1B"/>
    <w:rsid w:val="001E7CB8"/>
    <w:rsid w:val="001E7DA1"/>
    <w:rsid w:val="001F11D4"/>
    <w:rsid w:val="001F2115"/>
    <w:rsid w:val="001F27B8"/>
    <w:rsid w:val="001F2AB5"/>
    <w:rsid w:val="001F2B2A"/>
    <w:rsid w:val="001F359C"/>
    <w:rsid w:val="001F427F"/>
    <w:rsid w:val="001F44B8"/>
    <w:rsid w:val="001F51A3"/>
    <w:rsid w:val="001F53B5"/>
    <w:rsid w:val="001F6039"/>
    <w:rsid w:val="001F659A"/>
    <w:rsid w:val="001F6B46"/>
    <w:rsid w:val="001F6CBD"/>
    <w:rsid w:val="001F7209"/>
    <w:rsid w:val="001F7D13"/>
    <w:rsid w:val="00200D5E"/>
    <w:rsid w:val="00200E20"/>
    <w:rsid w:val="00200EDE"/>
    <w:rsid w:val="0020156F"/>
    <w:rsid w:val="00201D25"/>
    <w:rsid w:val="002022DF"/>
    <w:rsid w:val="00202494"/>
    <w:rsid w:val="002026E8"/>
    <w:rsid w:val="00202B1E"/>
    <w:rsid w:val="00202D0A"/>
    <w:rsid w:val="002030A8"/>
    <w:rsid w:val="0020333A"/>
    <w:rsid w:val="00203623"/>
    <w:rsid w:val="0020385B"/>
    <w:rsid w:val="00203A5C"/>
    <w:rsid w:val="00203E41"/>
    <w:rsid w:val="0020432B"/>
    <w:rsid w:val="0020459D"/>
    <w:rsid w:val="002048B7"/>
    <w:rsid w:val="00204FC1"/>
    <w:rsid w:val="00205ED6"/>
    <w:rsid w:val="00206276"/>
    <w:rsid w:val="00206320"/>
    <w:rsid w:val="00206C75"/>
    <w:rsid w:val="00206DE8"/>
    <w:rsid w:val="00207A82"/>
    <w:rsid w:val="00207EA9"/>
    <w:rsid w:val="00210826"/>
    <w:rsid w:val="00210C18"/>
    <w:rsid w:val="00213310"/>
    <w:rsid w:val="002134F1"/>
    <w:rsid w:val="00213911"/>
    <w:rsid w:val="00213FBE"/>
    <w:rsid w:val="0021450D"/>
    <w:rsid w:val="00214760"/>
    <w:rsid w:val="002150AB"/>
    <w:rsid w:val="00215121"/>
    <w:rsid w:val="002158B2"/>
    <w:rsid w:val="00215E1C"/>
    <w:rsid w:val="002164EA"/>
    <w:rsid w:val="00216615"/>
    <w:rsid w:val="0021685F"/>
    <w:rsid w:val="00216A04"/>
    <w:rsid w:val="00216B32"/>
    <w:rsid w:val="00216DD9"/>
    <w:rsid w:val="00216E9E"/>
    <w:rsid w:val="00217156"/>
    <w:rsid w:val="002176D2"/>
    <w:rsid w:val="002177A3"/>
    <w:rsid w:val="00217E28"/>
    <w:rsid w:val="0022006C"/>
    <w:rsid w:val="0022054E"/>
    <w:rsid w:val="00221CCC"/>
    <w:rsid w:val="00221D93"/>
    <w:rsid w:val="00221DCC"/>
    <w:rsid w:val="002221FD"/>
    <w:rsid w:val="00223A5D"/>
    <w:rsid w:val="002248B2"/>
    <w:rsid w:val="0022493F"/>
    <w:rsid w:val="002249FB"/>
    <w:rsid w:val="00224A44"/>
    <w:rsid w:val="00225442"/>
    <w:rsid w:val="00225933"/>
    <w:rsid w:val="00225B89"/>
    <w:rsid w:val="00225C77"/>
    <w:rsid w:val="00225CC7"/>
    <w:rsid w:val="00226389"/>
    <w:rsid w:val="0022732E"/>
    <w:rsid w:val="00227ADC"/>
    <w:rsid w:val="00227CA6"/>
    <w:rsid w:val="00230404"/>
    <w:rsid w:val="002309A3"/>
    <w:rsid w:val="00230D9A"/>
    <w:rsid w:val="00230F35"/>
    <w:rsid w:val="00230FBF"/>
    <w:rsid w:val="002310A5"/>
    <w:rsid w:val="002320F8"/>
    <w:rsid w:val="002321AA"/>
    <w:rsid w:val="00232283"/>
    <w:rsid w:val="00232AA1"/>
    <w:rsid w:val="00233F57"/>
    <w:rsid w:val="0023476C"/>
    <w:rsid w:val="002349E4"/>
    <w:rsid w:val="00235196"/>
    <w:rsid w:val="002354CA"/>
    <w:rsid w:val="0023578C"/>
    <w:rsid w:val="00235AB4"/>
    <w:rsid w:val="00235B9A"/>
    <w:rsid w:val="002360BE"/>
    <w:rsid w:val="0023627D"/>
    <w:rsid w:val="00236848"/>
    <w:rsid w:val="00236C8A"/>
    <w:rsid w:val="00237060"/>
    <w:rsid w:val="002370F7"/>
    <w:rsid w:val="00237772"/>
    <w:rsid w:val="002377ED"/>
    <w:rsid w:val="00237CBF"/>
    <w:rsid w:val="00240963"/>
    <w:rsid w:val="002412C1"/>
    <w:rsid w:val="00241EAF"/>
    <w:rsid w:val="002438BC"/>
    <w:rsid w:val="002439B2"/>
    <w:rsid w:val="00244911"/>
    <w:rsid w:val="0024493D"/>
    <w:rsid w:val="0024526D"/>
    <w:rsid w:val="00245E69"/>
    <w:rsid w:val="0024639D"/>
    <w:rsid w:val="00246F13"/>
    <w:rsid w:val="00247CF4"/>
    <w:rsid w:val="002508AE"/>
    <w:rsid w:val="00250C2E"/>
    <w:rsid w:val="00250CD7"/>
    <w:rsid w:val="0025131D"/>
    <w:rsid w:val="0025180E"/>
    <w:rsid w:val="002518EA"/>
    <w:rsid w:val="00251C06"/>
    <w:rsid w:val="002520BF"/>
    <w:rsid w:val="00252A5C"/>
    <w:rsid w:val="0025307E"/>
    <w:rsid w:val="00253590"/>
    <w:rsid w:val="0025416F"/>
    <w:rsid w:val="00254C7D"/>
    <w:rsid w:val="00254C80"/>
    <w:rsid w:val="00255638"/>
    <w:rsid w:val="0025631B"/>
    <w:rsid w:val="00256491"/>
    <w:rsid w:val="00256CE8"/>
    <w:rsid w:val="00256D20"/>
    <w:rsid w:val="00257A28"/>
    <w:rsid w:val="002607CF"/>
    <w:rsid w:val="002609BD"/>
    <w:rsid w:val="00260A60"/>
    <w:rsid w:val="00261826"/>
    <w:rsid w:val="002619E9"/>
    <w:rsid w:val="00261C5F"/>
    <w:rsid w:val="00261D3D"/>
    <w:rsid w:val="00261F85"/>
    <w:rsid w:val="00262055"/>
    <w:rsid w:val="00262BFE"/>
    <w:rsid w:val="00262D12"/>
    <w:rsid w:val="00263722"/>
    <w:rsid w:val="002637BB"/>
    <w:rsid w:val="00263B08"/>
    <w:rsid w:val="00263EFA"/>
    <w:rsid w:val="00263F70"/>
    <w:rsid w:val="002650FD"/>
    <w:rsid w:val="00266284"/>
    <w:rsid w:val="00266410"/>
    <w:rsid w:val="002664A0"/>
    <w:rsid w:val="00266762"/>
    <w:rsid w:val="00267025"/>
    <w:rsid w:val="00267B16"/>
    <w:rsid w:val="002713D0"/>
    <w:rsid w:val="00272FB5"/>
    <w:rsid w:val="00273311"/>
    <w:rsid w:val="00273337"/>
    <w:rsid w:val="00273362"/>
    <w:rsid w:val="002736F1"/>
    <w:rsid w:val="00274378"/>
    <w:rsid w:val="0027485F"/>
    <w:rsid w:val="00274C1A"/>
    <w:rsid w:val="00274D96"/>
    <w:rsid w:val="002753FB"/>
    <w:rsid w:val="00276A24"/>
    <w:rsid w:val="00276E7C"/>
    <w:rsid w:val="00276FEA"/>
    <w:rsid w:val="00277658"/>
    <w:rsid w:val="002800E7"/>
    <w:rsid w:val="00280262"/>
    <w:rsid w:val="00280A37"/>
    <w:rsid w:val="00280AFD"/>
    <w:rsid w:val="00280E6F"/>
    <w:rsid w:val="00281E76"/>
    <w:rsid w:val="002827FF"/>
    <w:rsid w:val="002833C1"/>
    <w:rsid w:val="0028434A"/>
    <w:rsid w:val="00284D94"/>
    <w:rsid w:val="00285647"/>
    <w:rsid w:val="00285729"/>
    <w:rsid w:val="00286406"/>
    <w:rsid w:val="00286469"/>
    <w:rsid w:val="0028742C"/>
    <w:rsid w:val="0028767E"/>
    <w:rsid w:val="00287D89"/>
    <w:rsid w:val="00287FD9"/>
    <w:rsid w:val="002915C5"/>
    <w:rsid w:val="002917A0"/>
    <w:rsid w:val="002922F4"/>
    <w:rsid w:val="00292A49"/>
    <w:rsid w:val="00292B94"/>
    <w:rsid w:val="00292FC9"/>
    <w:rsid w:val="00293572"/>
    <w:rsid w:val="00293C1C"/>
    <w:rsid w:val="002943B5"/>
    <w:rsid w:val="00294A9A"/>
    <w:rsid w:val="00294EC5"/>
    <w:rsid w:val="002957A9"/>
    <w:rsid w:val="00295F71"/>
    <w:rsid w:val="002964DE"/>
    <w:rsid w:val="002966F9"/>
    <w:rsid w:val="00296C8F"/>
    <w:rsid w:val="00297119"/>
    <w:rsid w:val="00297EF7"/>
    <w:rsid w:val="002A082D"/>
    <w:rsid w:val="002A115C"/>
    <w:rsid w:val="002A126C"/>
    <w:rsid w:val="002A15AD"/>
    <w:rsid w:val="002A18F5"/>
    <w:rsid w:val="002A1BE5"/>
    <w:rsid w:val="002A2DAF"/>
    <w:rsid w:val="002A35A0"/>
    <w:rsid w:val="002A437F"/>
    <w:rsid w:val="002A48C8"/>
    <w:rsid w:val="002A5030"/>
    <w:rsid w:val="002A5ECE"/>
    <w:rsid w:val="002A68CF"/>
    <w:rsid w:val="002A7121"/>
    <w:rsid w:val="002A731E"/>
    <w:rsid w:val="002B059C"/>
    <w:rsid w:val="002B05F3"/>
    <w:rsid w:val="002B1442"/>
    <w:rsid w:val="002B1714"/>
    <w:rsid w:val="002B1E0C"/>
    <w:rsid w:val="002B2179"/>
    <w:rsid w:val="002B2A20"/>
    <w:rsid w:val="002B2CAA"/>
    <w:rsid w:val="002B2D31"/>
    <w:rsid w:val="002B2D3A"/>
    <w:rsid w:val="002B2D3B"/>
    <w:rsid w:val="002B39C6"/>
    <w:rsid w:val="002B3EA9"/>
    <w:rsid w:val="002B4F16"/>
    <w:rsid w:val="002B5BF8"/>
    <w:rsid w:val="002B632A"/>
    <w:rsid w:val="002B6BA1"/>
    <w:rsid w:val="002C0AFB"/>
    <w:rsid w:val="002C0C8F"/>
    <w:rsid w:val="002C10A8"/>
    <w:rsid w:val="002C14AE"/>
    <w:rsid w:val="002C155F"/>
    <w:rsid w:val="002C1D0E"/>
    <w:rsid w:val="002C1D43"/>
    <w:rsid w:val="002C2388"/>
    <w:rsid w:val="002C2534"/>
    <w:rsid w:val="002C2A27"/>
    <w:rsid w:val="002C2AD6"/>
    <w:rsid w:val="002C3025"/>
    <w:rsid w:val="002C3A34"/>
    <w:rsid w:val="002C3A95"/>
    <w:rsid w:val="002C44F4"/>
    <w:rsid w:val="002C4879"/>
    <w:rsid w:val="002C4AAF"/>
    <w:rsid w:val="002C5910"/>
    <w:rsid w:val="002C59FB"/>
    <w:rsid w:val="002C5C46"/>
    <w:rsid w:val="002C61F3"/>
    <w:rsid w:val="002C6BF4"/>
    <w:rsid w:val="002C7399"/>
    <w:rsid w:val="002C7978"/>
    <w:rsid w:val="002C7A07"/>
    <w:rsid w:val="002C7E36"/>
    <w:rsid w:val="002D099C"/>
    <w:rsid w:val="002D0B95"/>
    <w:rsid w:val="002D101E"/>
    <w:rsid w:val="002D123B"/>
    <w:rsid w:val="002D155F"/>
    <w:rsid w:val="002D1913"/>
    <w:rsid w:val="002D1DFD"/>
    <w:rsid w:val="002D1F7A"/>
    <w:rsid w:val="002D2043"/>
    <w:rsid w:val="002D20DC"/>
    <w:rsid w:val="002D3A86"/>
    <w:rsid w:val="002D3BAB"/>
    <w:rsid w:val="002D42F6"/>
    <w:rsid w:val="002D4548"/>
    <w:rsid w:val="002D5473"/>
    <w:rsid w:val="002D5668"/>
    <w:rsid w:val="002D58B4"/>
    <w:rsid w:val="002D5B2B"/>
    <w:rsid w:val="002D631F"/>
    <w:rsid w:val="002D69C8"/>
    <w:rsid w:val="002D7073"/>
    <w:rsid w:val="002D7AFD"/>
    <w:rsid w:val="002E0282"/>
    <w:rsid w:val="002E0948"/>
    <w:rsid w:val="002E09FB"/>
    <w:rsid w:val="002E0E68"/>
    <w:rsid w:val="002E1079"/>
    <w:rsid w:val="002E1458"/>
    <w:rsid w:val="002E163D"/>
    <w:rsid w:val="002E22EB"/>
    <w:rsid w:val="002E2415"/>
    <w:rsid w:val="002E2A33"/>
    <w:rsid w:val="002E302C"/>
    <w:rsid w:val="002E3103"/>
    <w:rsid w:val="002E4D59"/>
    <w:rsid w:val="002E542B"/>
    <w:rsid w:val="002E5621"/>
    <w:rsid w:val="002E5DC0"/>
    <w:rsid w:val="002E6583"/>
    <w:rsid w:val="002E668E"/>
    <w:rsid w:val="002E6F71"/>
    <w:rsid w:val="002E7391"/>
    <w:rsid w:val="002E77A3"/>
    <w:rsid w:val="002E7809"/>
    <w:rsid w:val="002F02F1"/>
    <w:rsid w:val="002F0D0F"/>
    <w:rsid w:val="002F1412"/>
    <w:rsid w:val="002F1417"/>
    <w:rsid w:val="002F2390"/>
    <w:rsid w:val="002F2E7D"/>
    <w:rsid w:val="002F2F9F"/>
    <w:rsid w:val="002F3235"/>
    <w:rsid w:val="002F39F2"/>
    <w:rsid w:val="002F432F"/>
    <w:rsid w:val="002F45F6"/>
    <w:rsid w:val="002F4604"/>
    <w:rsid w:val="002F53D6"/>
    <w:rsid w:val="002F5886"/>
    <w:rsid w:val="002F6416"/>
    <w:rsid w:val="002F6523"/>
    <w:rsid w:val="002F67C7"/>
    <w:rsid w:val="002F71DB"/>
    <w:rsid w:val="002F7916"/>
    <w:rsid w:val="002F7E6D"/>
    <w:rsid w:val="00300BFD"/>
    <w:rsid w:val="00301D2E"/>
    <w:rsid w:val="003024BA"/>
    <w:rsid w:val="00302748"/>
    <w:rsid w:val="00302948"/>
    <w:rsid w:val="00304756"/>
    <w:rsid w:val="00305BEA"/>
    <w:rsid w:val="0030601D"/>
    <w:rsid w:val="00306289"/>
    <w:rsid w:val="00306791"/>
    <w:rsid w:val="0030680A"/>
    <w:rsid w:val="00307232"/>
    <w:rsid w:val="00307E87"/>
    <w:rsid w:val="0031028D"/>
    <w:rsid w:val="00310773"/>
    <w:rsid w:val="00310A2E"/>
    <w:rsid w:val="00310DB6"/>
    <w:rsid w:val="003117CF"/>
    <w:rsid w:val="00311C1A"/>
    <w:rsid w:val="003124D0"/>
    <w:rsid w:val="003125D5"/>
    <w:rsid w:val="003129D6"/>
    <w:rsid w:val="003131E7"/>
    <w:rsid w:val="003134C4"/>
    <w:rsid w:val="00313725"/>
    <w:rsid w:val="00313F26"/>
    <w:rsid w:val="00314C18"/>
    <w:rsid w:val="00314C45"/>
    <w:rsid w:val="0031539C"/>
    <w:rsid w:val="003179B3"/>
    <w:rsid w:val="003208D9"/>
    <w:rsid w:val="0032099F"/>
    <w:rsid w:val="00320CE0"/>
    <w:rsid w:val="00320F15"/>
    <w:rsid w:val="00321107"/>
    <w:rsid w:val="00323916"/>
    <w:rsid w:val="00323C02"/>
    <w:rsid w:val="0032445A"/>
    <w:rsid w:val="00324765"/>
    <w:rsid w:val="00324BE6"/>
    <w:rsid w:val="00324D11"/>
    <w:rsid w:val="003262F1"/>
    <w:rsid w:val="00326ACC"/>
    <w:rsid w:val="00326AF4"/>
    <w:rsid w:val="00326B0C"/>
    <w:rsid w:val="00326B3B"/>
    <w:rsid w:val="00326DE0"/>
    <w:rsid w:val="00327657"/>
    <w:rsid w:val="00327F16"/>
    <w:rsid w:val="00330100"/>
    <w:rsid w:val="00330863"/>
    <w:rsid w:val="00330AD7"/>
    <w:rsid w:val="003312AC"/>
    <w:rsid w:val="00331422"/>
    <w:rsid w:val="00333297"/>
    <w:rsid w:val="003333E0"/>
    <w:rsid w:val="00333F34"/>
    <w:rsid w:val="003348D4"/>
    <w:rsid w:val="0033544D"/>
    <w:rsid w:val="003355AB"/>
    <w:rsid w:val="00335F07"/>
    <w:rsid w:val="003363A0"/>
    <w:rsid w:val="003364A8"/>
    <w:rsid w:val="003365D0"/>
    <w:rsid w:val="003369B6"/>
    <w:rsid w:val="00336B96"/>
    <w:rsid w:val="00336BFF"/>
    <w:rsid w:val="00336D42"/>
    <w:rsid w:val="0033755F"/>
    <w:rsid w:val="00337F08"/>
    <w:rsid w:val="00340328"/>
    <w:rsid w:val="0034058F"/>
    <w:rsid w:val="003407E7"/>
    <w:rsid w:val="003414BF"/>
    <w:rsid w:val="00341FBB"/>
    <w:rsid w:val="00343106"/>
    <w:rsid w:val="003433CB"/>
    <w:rsid w:val="003433E5"/>
    <w:rsid w:val="00344320"/>
    <w:rsid w:val="00345BD9"/>
    <w:rsid w:val="00345E85"/>
    <w:rsid w:val="00346EAE"/>
    <w:rsid w:val="00350287"/>
    <w:rsid w:val="003511C9"/>
    <w:rsid w:val="003514BD"/>
    <w:rsid w:val="00351C95"/>
    <w:rsid w:val="00351D7B"/>
    <w:rsid w:val="003525F5"/>
    <w:rsid w:val="003527BF"/>
    <w:rsid w:val="00353382"/>
    <w:rsid w:val="003533CD"/>
    <w:rsid w:val="003536FD"/>
    <w:rsid w:val="00353971"/>
    <w:rsid w:val="00353DA6"/>
    <w:rsid w:val="00354C52"/>
    <w:rsid w:val="00355F94"/>
    <w:rsid w:val="00356040"/>
    <w:rsid w:val="003564EE"/>
    <w:rsid w:val="00356D10"/>
    <w:rsid w:val="00357388"/>
    <w:rsid w:val="00357ACC"/>
    <w:rsid w:val="00357C13"/>
    <w:rsid w:val="00357EA7"/>
    <w:rsid w:val="00360024"/>
    <w:rsid w:val="00360927"/>
    <w:rsid w:val="00360F50"/>
    <w:rsid w:val="00360F92"/>
    <w:rsid w:val="0036141E"/>
    <w:rsid w:val="0036149C"/>
    <w:rsid w:val="00361798"/>
    <w:rsid w:val="00361EA5"/>
    <w:rsid w:val="003625C5"/>
    <w:rsid w:val="00362ADD"/>
    <w:rsid w:val="0036348F"/>
    <w:rsid w:val="003635D8"/>
    <w:rsid w:val="003638E7"/>
    <w:rsid w:val="0036398C"/>
    <w:rsid w:val="00363C4E"/>
    <w:rsid w:val="00363F4B"/>
    <w:rsid w:val="0036406B"/>
    <w:rsid w:val="00364529"/>
    <w:rsid w:val="00364760"/>
    <w:rsid w:val="00364AF5"/>
    <w:rsid w:val="00364EBB"/>
    <w:rsid w:val="0036526B"/>
    <w:rsid w:val="003652B3"/>
    <w:rsid w:val="00365B1C"/>
    <w:rsid w:val="00365B44"/>
    <w:rsid w:val="00365EFA"/>
    <w:rsid w:val="00365F6D"/>
    <w:rsid w:val="00366118"/>
    <w:rsid w:val="00366F42"/>
    <w:rsid w:val="0036781D"/>
    <w:rsid w:val="00367EF4"/>
    <w:rsid w:val="003702DC"/>
    <w:rsid w:val="0037045E"/>
    <w:rsid w:val="003706FB"/>
    <w:rsid w:val="00370701"/>
    <w:rsid w:val="0037075A"/>
    <w:rsid w:val="0037132E"/>
    <w:rsid w:val="0037185E"/>
    <w:rsid w:val="003745BD"/>
    <w:rsid w:val="00374696"/>
    <w:rsid w:val="00374740"/>
    <w:rsid w:val="00375D34"/>
    <w:rsid w:val="003761CA"/>
    <w:rsid w:val="003763E4"/>
    <w:rsid w:val="0037711E"/>
    <w:rsid w:val="00377779"/>
    <w:rsid w:val="003804D7"/>
    <w:rsid w:val="00380B10"/>
    <w:rsid w:val="003811D6"/>
    <w:rsid w:val="00381209"/>
    <w:rsid w:val="00381785"/>
    <w:rsid w:val="00381EA9"/>
    <w:rsid w:val="00381FC6"/>
    <w:rsid w:val="00382D2D"/>
    <w:rsid w:val="003837A7"/>
    <w:rsid w:val="003838A3"/>
    <w:rsid w:val="0038394A"/>
    <w:rsid w:val="00383BDC"/>
    <w:rsid w:val="00383E06"/>
    <w:rsid w:val="003845CF"/>
    <w:rsid w:val="00384D5F"/>
    <w:rsid w:val="00384D63"/>
    <w:rsid w:val="00384D88"/>
    <w:rsid w:val="003852EA"/>
    <w:rsid w:val="00386008"/>
    <w:rsid w:val="0038685F"/>
    <w:rsid w:val="00386A98"/>
    <w:rsid w:val="00386EDA"/>
    <w:rsid w:val="00387F15"/>
    <w:rsid w:val="0039051B"/>
    <w:rsid w:val="00390F7F"/>
    <w:rsid w:val="0039110A"/>
    <w:rsid w:val="0039133F"/>
    <w:rsid w:val="00392602"/>
    <w:rsid w:val="00392D2A"/>
    <w:rsid w:val="00392E8A"/>
    <w:rsid w:val="00393352"/>
    <w:rsid w:val="0039417B"/>
    <w:rsid w:val="0039430B"/>
    <w:rsid w:val="003944A8"/>
    <w:rsid w:val="00394986"/>
    <w:rsid w:val="00394F27"/>
    <w:rsid w:val="003953ED"/>
    <w:rsid w:val="003955C1"/>
    <w:rsid w:val="00395617"/>
    <w:rsid w:val="0039565E"/>
    <w:rsid w:val="00395A31"/>
    <w:rsid w:val="00395C44"/>
    <w:rsid w:val="00396C4E"/>
    <w:rsid w:val="00396E23"/>
    <w:rsid w:val="00396E74"/>
    <w:rsid w:val="00397487"/>
    <w:rsid w:val="003A0CF2"/>
    <w:rsid w:val="003A0D64"/>
    <w:rsid w:val="003A103A"/>
    <w:rsid w:val="003A10E0"/>
    <w:rsid w:val="003A1309"/>
    <w:rsid w:val="003A1318"/>
    <w:rsid w:val="003A1A47"/>
    <w:rsid w:val="003A1D66"/>
    <w:rsid w:val="003A2597"/>
    <w:rsid w:val="003A2CA8"/>
    <w:rsid w:val="003A2D37"/>
    <w:rsid w:val="003A30F4"/>
    <w:rsid w:val="003A3452"/>
    <w:rsid w:val="003A3A26"/>
    <w:rsid w:val="003A3E7F"/>
    <w:rsid w:val="003A3EE5"/>
    <w:rsid w:val="003A4727"/>
    <w:rsid w:val="003A4B37"/>
    <w:rsid w:val="003A5E06"/>
    <w:rsid w:val="003A6BD7"/>
    <w:rsid w:val="003A70E5"/>
    <w:rsid w:val="003A73BB"/>
    <w:rsid w:val="003A775C"/>
    <w:rsid w:val="003B0588"/>
    <w:rsid w:val="003B0DCB"/>
    <w:rsid w:val="003B1093"/>
    <w:rsid w:val="003B15C7"/>
    <w:rsid w:val="003B181E"/>
    <w:rsid w:val="003B1A7F"/>
    <w:rsid w:val="003B1F3F"/>
    <w:rsid w:val="003B2C27"/>
    <w:rsid w:val="003B3DE8"/>
    <w:rsid w:val="003B3F1E"/>
    <w:rsid w:val="003B3FF9"/>
    <w:rsid w:val="003B49BA"/>
    <w:rsid w:val="003B4DA7"/>
    <w:rsid w:val="003B4DA9"/>
    <w:rsid w:val="003B5004"/>
    <w:rsid w:val="003B52F1"/>
    <w:rsid w:val="003B54BF"/>
    <w:rsid w:val="003B57FB"/>
    <w:rsid w:val="003B59C9"/>
    <w:rsid w:val="003B5C2F"/>
    <w:rsid w:val="003B5C54"/>
    <w:rsid w:val="003B5EA7"/>
    <w:rsid w:val="003B60B8"/>
    <w:rsid w:val="003B6564"/>
    <w:rsid w:val="003B67AF"/>
    <w:rsid w:val="003B70C5"/>
    <w:rsid w:val="003B729F"/>
    <w:rsid w:val="003B748B"/>
    <w:rsid w:val="003B7B60"/>
    <w:rsid w:val="003B7B71"/>
    <w:rsid w:val="003C0535"/>
    <w:rsid w:val="003C0B4E"/>
    <w:rsid w:val="003C0C74"/>
    <w:rsid w:val="003C1642"/>
    <w:rsid w:val="003C1CA8"/>
    <w:rsid w:val="003C1DAD"/>
    <w:rsid w:val="003C1EAE"/>
    <w:rsid w:val="003C2314"/>
    <w:rsid w:val="003C2943"/>
    <w:rsid w:val="003C332E"/>
    <w:rsid w:val="003C3547"/>
    <w:rsid w:val="003C39D8"/>
    <w:rsid w:val="003C3C38"/>
    <w:rsid w:val="003C440F"/>
    <w:rsid w:val="003C5515"/>
    <w:rsid w:val="003C5766"/>
    <w:rsid w:val="003C5EE8"/>
    <w:rsid w:val="003C6BC7"/>
    <w:rsid w:val="003C7345"/>
    <w:rsid w:val="003C7979"/>
    <w:rsid w:val="003C7B19"/>
    <w:rsid w:val="003D06B9"/>
    <w:rsid w:val="003D0E54"/>
    <w:rsid w:val="003D1C50"/>
    <w:rsid w:val="003D30F1"/>
    <w:rsid w:val="003D3B73"/>
    <w:rsid w:val="003D3B89"/>
    <w:rsid w:val="003D3D1A"/>
    <w:rsid w:val="003D40F3"/>
    <w:rsid w:val="003D4347"/>
    <w:rsid w:val="003D43F0"/>
    <w:rsid w:val="003D4715"/>
    <w:rsid w:val="003D479D"/>
    <w:rsid w:val="003D47DA"/>
    <w:rsid w:val="003D5080"/>
    <w:rsid w:val="003D5607"/>
    <w:rsid w:val="003E0BC0"/>
    <w:rsid w:val="003E0EAE"/>
    <w:rsid w:val="003E1486"/>
    <w:rsid w:val="003E182F"/>
    <w:rsid w:val="003E223F"/>
    <w:rsid w:val="003E3100"/>
    <w:rsid w:val="003E329C"/>
    <w:rsid w:val="003E33CC"/>
    <w:rsid w:val="003E376A"/>
    <w:rsid w:val="003E498C"/>
    <w:rsid w:val="003E4A1D"/>
    <w:rsid w:val="003E4A2F"/>
    <w:rsid w:val="003E5152"/>
    <w:rsid w:val="003E543B"/>
    <w:rsid w:val="003E581B"/>
    <w:rsid w:val="003E6A09"/>
    <w:rsid w:val="003E6A75"/>
    <w:rsid w:val="003E7339"/>
    <w:rsid w:val="003E7823"/>
    <w:rsid w:val="003E7B12"/>
    <w:rsid w:val="003F00E6"/>
    <w:rsid w:val="003F05D1"/>
    <w:rsid w:val="003F0CE6"/>
    <w:rsid w:val="003F1442"/>
    <w:rsid w:val="003F1510"/>
    <w:rsid w:val="003F1903"/>
    <w:rsid w:val="003F1914"/>
    <w:rsid w:val="003F1B00"/>
    <w:rsid w:val="003F2228"/>
    <w:rsid w:val="003F30A0"/>
    <w:rsid w:val="003F4911"/>
    <w:rsid w:val="003F4E70"/>
    <w:rsid w:val="003F5381"/>
    <w:rsid w:val="003F5CB9"/>
    <w:rsid w:val="003F6DA9"/>
    <w:rsid w:val="003F772A"/>
    <w:rsid w:val="004003CD"/>
    <w:rsid w:val="0040053F"/>
    <w:rsid w:val="0040073E"/>
    <w:rsid w:val="00400EA4"/>
    <w:rsid w:val="00401465"/>
    <w:rsid w:val="00401536"/>
    <w:rsid w:val="0040198C"/>
    <w:rsid w:val="00402545"/>
    <w:rsid w:val="00402663"/>
    <w:rsid w:val="00402B8D"/>
    <w:rsid w:val="00402DA8"/>
    <w:rsid w:val="004030FD"/>
    <w:rsid w:val="0040344E"/>
    <w:rsid w:val="00403920"/>
    <w:rsid w:val="004043D0"/>
    <w:rsid w:val="00404690"/>
    <w:rsid w:val="00404D8C"/>
    <w:rsid w:val="00404DAC"/>
    <w:rsid w:val="0040558B"/>
    <w:rsid w:val="0040584D"/>
    <w:rsid w:val="00405936"/>
    <w:rsid w:val="0040595B"/>
    <w:rsid w:val="00405F77"/>
    <w:rsid w:val="0040654F"/>
    <w:rsid w:val="00406D8C"/>
    <w:rsid w:val="00407143"/>
    <w:rsid w:val="004074F6"/>
    <w:rsid w:val="0040758F"/>
    <w:rsid w:val="00407696"/>
    <w:rsid w:val="004077D9"/>
    <w:rsid w:val="004077EB"/>
    <w:rsid w:val="00407E1E"/>
    <w:rsid w:val="00407E90"/>
    <w:rsid w:val="00407EFF"/>
    <w:rsid w:val="00410161"/>
    <w:rsid w:val="00410563"/>
    <w:rsid w:val="00410593"/>
    <w:rsid w:val="0041087B"/>
    <w:rsid w:val="00410CA9"/>
    <w:rsid w:val="00410D5D"/>
    <w:rsid w:val="00411A22"/>
    <w:rsid w:val="00411B02"/>
    <w:rsid w:val="004124ED"/>
    <w:rsid w:val="004124F0"/>
    <w:rsid w:val="00412D37"/>
    <w:rsid w:val="00413539"/>
    <w:rsid w:val="0041409D"/>
    <w:rsid w:val="004143F4"/>
    <w:rsid w:val="004164E3"/>
    <w:rsid w:val="004167F9"/>
    <w:rsid w:val="00416CBE"/>
    <w:rsid w:val="0041788D"/>
    <w:rsid w:val="00421110"/>
    <w:rsid w:val="0042153F"/>
    <w:rsid w:val="00421AB8"/>
    <w:rsid w:val="004224B2"/>
    <w:rsid w:val="004229F1"/>
    <w:rsid w:val="00422B86"/>
    <w:rsid w:val="00422DEE"/>
    <w:rsid w:val="00423ACB"/>
    <w:rsid w:val="00423FAA"/>
    <w:rsid w:val="00423FBC"/>
    <w:rsid w:val="00424136"/>
    <w:rsid w:val="004242C8"/>
    <w:rsid w:val="004243DC"/>
    <w:rsid w:val="004245E6"/>
    <w:rsid w:val="0042479D"/>
    <w:rsid w:val="004248FE"/>
    <w:rsid w:val="00424C09"/>
    <w:rsid w:val="00424EA8"/>
    <w:rsid w:val="004251D0"/>
    <w:rsid w:val="00425334"/>
    <w:rsid w:val="004259E4"/>
    <w:rsid w:val="0042658F"/>
    <w:rsid w:val="004267B6"/>
    <w:rsid w:val="0042797D"/>
    <w:rsid w:val="00427F9F"/>
    <w:rsid w:val="004302F4"/>
    <w:rsid w:val="00430311"/>
    <w:rsid w:val="00430BFD"/>
    <w:rsid w:val="00430F16"/>
    <w:rsid w:val="00431087"/>
    <w:rsid w:val="004310C7"/>
    <w:rsid w:val="00431552"/>
    <w:rsid w:val="004315EE"/>
    <w:rsid w:val="0043172B"/>
    <w:rsid w:val="00431A85"/>
    <w:rsid w:val="00431B6C"/>
    <w:rsid w:val="00431CC2"/>
    <w:rsid w:val="004326C5"/>
    <w:rsid w:val="004329B8"/>
    <w:rsid w:val="00432C2B"/>
    <w:rsid w:val="00433793"/>
    <w:rsid w:val="00433F35"/>
    <w:rsid w:val="0043452B"/>
    <w:rsid w:val="00434563"/>
    <w:rsid w:val="00434E8D"/>
    <w:rsid w:val="00434F60"/>
    <w:rsid w:val="00435271"/>
    <w:rsid w:val="00435329"/>
    <w:rsid w:val="00435AE2"/>
    <w:rsid w:val="004360F8"/>
    <w:rsid w:val="00436305"/>
    <w:rsid w:val="004363A0"/>
    <w:rsid w:val="00436599"/>
    <w:rsid w:val="0043788D"/>
    <w:rsid w:val="00437A9A"/>
    <w:rsid w:val="00437E18"/>
    <w:rsid w:val="00437EB1"/>
    <w:rsid w:val="004401BD"/>
    <w:rsid w:val="00440885"/>
    <w:rsid w:val="004419F3"/>
    <w:rsid w:val="00442C5E"/>
    <w:rsid w:val="00442CC8"/>
    <w:rsid w:val="00442D44"/>
    <w:rsid w:val="00442D47"/>
    <w:rsid w:val="004435B2"/>
    <w:rsid w:val="0044362D"/>
    <w:rsid w:val="00443C4E"/>
    <w:rsid w:val="00444185"/>
    <w:rsid w:val="00444710"/>
    <w:rsid w:val="00444C3D"/>
    <w:rsid w:val="00444F3E"/>
    <w:rsid w:val="0044513B"/>
    <w:rsid w:val="004451E8"/>
    <w:rsid w:val="00445221"/>
    <w:rsid w:val="004454E0"/>
    <w:rsid w:val="004457B8"/>
    <w:rsid w:val="004462E6"/>
    <w:rsid w:val="004463F1"/>
    <w:rsid w:val="00447FC5"/>
    <w:rsid w:val="00450524"/>
    <w:rsid w:val="0045159A"/>
    <w:rsid w:val="0045163D"/>
    <w:rsid w:val="004517C3"/>
    <w:rsid w:val="00453B15"/>
    <w:rsid w:val="00453EBB"/>
    <w:rsid w:val="00454980"/>
    <w:rsid w:val="00454B03"/>
    <w:rsid w:val="00454E40"/>
    <w:rsid w:val="004552FC"/>
    <w:rsid w:val="004556A8"/>
    <w:rsid w:val="0045585B"/>
    <w:rsid w:val="00455A74"/>
    <w:rsid w:val="00455AC9"/>
    <w:rsid w:val="00455BD1"/>
    <w:rsid w:val="00456037"/>
    <w:rsid w:val="004565FD"/>
    <w:rsid w:val="0045709D"/>
    <w:rsid w:val="004577C7"/>
    <w:rsid w:val="00457EA9"/>
    <w:rsid w:val="00460207"/>
    <w:rsid w:val="004602FB"/>
    <w:rsid w:val="004606CB"/>
    <w:rsid w:val="00460EDE"/>
    <w:rsid w:val="00460F16"/>
    <w:rsid w:val="004613FA"/>
    <w:rsid w:val="004616A5"/>
    <w:rsid w:val="00461A62"/>
    <w:rsid w:val="00461A8B"/>
    <w:rsid w:val="00461B0F"/>
    <w:rsid w:val="004620D6"/>
    <w:rsid w:val="00462E53"/>
    <w:rsid w:val="0046331C"/>
    <w:rsid w:val="00463A45"/>
    <w:rsid w:val="00464371"/>
    <w:rsid w:val="00464BB7"/>
    <w:rsid w:val="004655C6"/>
    <w:rsid w:val="004659D8"/>
    <w:rsid w:val="00466201"/>
    <w:rsid w:val="00466F9E"/>
    <w:rsid w:val="00466FBF"/>
    <w:rsid w:val="00467DD1"/>
    <w:rsid w:val="00470165"/>
    <w:rsid w:val="00470792"/>
    <w:rsid w:val="00470870"/>
    <w:rsid w:val="00470B01"/>
    <w:rsid w:val="00470B7C"/>
    <w:rsid w:val="00471567"/>
    <w:rsid w:val="004731C2"/>
    <w:rsid w:val="00473D3B"/>
    <w:rsid w:val="004743F9"/>
    <w:rsid w:val="004747E1"/>
    <w:rsid w:val="00474D29"/>
    <w:rsid w:val="004750A2"/>
    <w:rsid w:val="00475A95"/>
    <w:rsid w:val="004766D0"/>
    <w:rsid w:val="00477316"/>
    <w:rsid w:val="00477416"/>
    <w:rsid w:val="00477DB7"/>
    <w:rsid w:val="00477E3D"/>
    <w:rsid w:val="004803D4"/>
    <w:rsid w:val="00480CA6"/>
    <w:rsid w:val="00481760"/>
    <w:rsid w:val="00481842"/>
    <w:rsid w:val="00481899"/>
    <w:rsid w:val="00481B68"/>
    <w:rsid w:val="00482530"/>
    <w:rsid w:val="0048313F"/>
    <w:rsid w:val="00483752"/>
    <w:rsid w:val="00483D07"/>
    <w:rsid w:val="00484345"/>
    <w:rsid w:val="004845F2"/>
    <w:rsid w:val="004849AD"/>
    <w:rsid w:val="00484D42"/>
    <w:rsid w:val="00484DDB"/>
    <w:rsid w:val="004852D1"/>
    <w:rsid w:val="0048530E"/>
    <w:rsid w:val="00485805"/>
    <w:rsid w:val="004865CA"/>
    <w:rsid w:val="004865D4"/>
    <w:rsid w:val="0048775C"/>
    <w:rsid w:val="004879FC"/>
    <w:rsid w:val="00490397"/>
    <w:rsid w:val="00490D79"/>
    <w:rsid w:val="004916E8"/>
    <w:rsid w:val="00491864"/>
    <w:rsid w:val="0049192A"/>
    <w:rsid w:val="00491B9F"/>
    <w:rsid w:val="00492526"/>
    <w:rsid w:val="0049252C"/>
    <w:rsid w:val="00492CBF"/>
    <w:rsid w:val="00493151"/>
    <w:rsid w:val="004931FC"/>
    <w:rsid w:val="004936A0"/>
    <w:rsid w:val="004938BB"/>
    <w:rsid w:val="00494A6D"/>
    <w:rsid w:val="00494AD3"/>
    <w:rsid w:val="0049519A"/>
    <w:rsid w:val="0049567E"/>
    <w:rsid w:val="00495B92"/>
    <w:rsid w:val="004960A0"/>
    <w:rsid w:val="00496106"/>
    <w:rsid w:val="004A03E8"/>
    <w:rsid w:val="004A0B9D"/>
    <w:rsid w:val="004A0EC4"/>
    <w:rsid w:val="004A222F"/>
    <w:rsid w:val="004A233F"/>
    <w:rsid w:val="004A2421"/>
    <w:rsid w:val="004A2480"/>
    <w:rsid w:val="004A2528"/>
    <w:rsid w:val="004A254C"/>
    <w:rsid w:val="004A258F"/>
    <w:rsid w:val="004A28FB"/>
    <w:rsid w:val="004A2BE5"/>
    <w:rsid w:val="004A2DCA"/>
    <w:rsid w:val="004A2FF8"/>
    <w:rsid w:val="004A3842"/>
    <w:rsid w:val="004A40FD"/>
    <w:rsid w:val="004A4FB4"/>
    <w:rsid w:val="004A52FA"/>
    <w:rsid w:val="004A5A8A"/>
    <w:rsid w:val="004A5F6F"/>
    <w:rsid w:val="004A6379"/>
    <w:rsid w:val="004A6A8C"/>
    <w:rsid w:val="004A6EFB"/>
    <w:rsid w:val="004A71A1"/>
    <w:rsid w:val="004A75DD"/>
    <w:rsid w:val="004B019B"/>
    <w:rsid w:val="004B149C"/>
    <w:rsid w:val="004B1520"/>
    <w:rsid w:val="004B203F"/>
    <w:rsid w:val="004B25A7"/>
    <w:rsid w:val="004B2A9B"/>
    <w:rsid w:val="004B2CD3"/>
    <w:rsid w:val="004B3868"/>
    <w:rsid w:val="004B3AB7"/>
    <w:rsid w:val="004B3F6A"/>
    <w:rsid w:val="004B44C6"/>
    <w:rsid w:val="004B4C32"/>
    <w:rsid w:val="004B5372"/>
    <w:rsid w:val="004B5D23"/>
    <w:rsid w:val="004B5EE1"/>
    <w:rsid w:val="004B6F55"/>
    <w:rsid w:val="004B7348"/>
    <w:rsid w:val="004B73C7"/>
    <w:rsid w:val="004C0361"/>
    <w:rsid w:val="004C04F8"/>
    <w:rsid w:val="004C07B3"/>
    <w:rsid w:val="004C1096"/>
    <w:rsid w:val="004C2274"/>
    <w:rsid w:val="004C236F"/>
    <w:rsid w:val="004C2828"/>
    <w:rsid w:val="004C289B"/>
    <w:rsid w:val="004C2FE1"/>
    <w:rsid w:val="004C316C"/>
    <w:rsid w:val="004C3378"/>
    <w:rsid w:val="004C3527"/>
    <w:rsid w:val="004C3825"/>
    <w:rsid w:val="004C5955"/>
    <w:rsid w:val="004C5D83"/>
    <w:rsid w:val="004C7304"/>
    <w:rsid w:val="004C73DD"/>
    <w:rsid w:val="004C73F1"/>
    <w:rsid w:val="004C75D5"/>
    <w:rsid w:val="004C7A46"/>
    <w:rsid w:val="004D0C0A"/>
    <w:rsid w:val="004D1898"/>
    <w:rsid w:val="004D2445"/>
    <w:rsid w:val="004D3935"/>
    <w:rsid w:val="004D3C82"/>
    <w:rsid w:val="004D4153"/>
    <w:rsid w:val="004D46A9"/>
    <w:rsid w:val="004D4D9C"/>
    <w:rsid w:val="004D4E9C"/>
    <w:rsid w:val="004D5080"/>
    <w:rsid w:val="004D5523"/>
    <w:rsid w:val="004D5CAD"/>
    <w:rsid w:val="004D6AB6"/>
    <w:rsid w:val="004D70FA"/>
    <w:rsid w:val="004D7A6A"/>
    <w:rsid w:val="004D7C64"/>
    <w:rsid w:val="004E0D6E"/>
    <w:rsid w:val="004E0FE3"/>
    <w:rsid w:val="004E1B5E"/>
    <w:rsid w:val="004E25EC"/>
    <w:rsid w:val="004E338C"/>
    <w:rsid w:val="004E35E8"/>
    <w:rsid w:val="004E4274"/>
    <w:rsid w:val="004E4601"/>
    <w:rsid w:val="004E4A14"/>
    <w:rsid w:val="004E4AD2"/>
    <w:rsid w:val="004E538F"/>
    <w:rsid w:val="004E55C6"/>
    <w:rsid w:val="004E5960"/>
    <w:rsid w:val="004E614A"/>
    <w:rsid w:val="004E649A"/>
    <w:rsid w:val="004E6DFE"/>
    <w:rsid w:val="004E6EAB"/>
    <w:rsid w:val="004E6F7C"/>
    <w:rsid w:val="004F0090"/>
    <w:rsid w:val="004F0384"/>
    <w:rsid w:val="004F041A"/>
    <w:rsid w:val="004F06F9"/>
    <w:rsid w:val="004F0BCB"/>
    <w:rsid w:val="004F0C52"/>
    <w:rsid w:val="004F11DC"/>
    <w:rsid w:val="004F1384"/>
    <w:rsid w:val="004F24B6"/>
    <w:rsid w:val="004F294B"/>
    <w:rsid w:val="004F298C"/>
    <w:rsid w:val="004F2A2C"/>
    <w:rsid w:val="004F2D4A"/>
    <w:rsid w:val="004F3BA8"/>
    <w:rsid w:val="004F3E03"/>
    <w:rsid w:val="004F4376"/>
    <w:rsid w:val="004F440C"/>
    <w:rsid w:val="004F47A3"/>
    <w:rsid w:val="004F4AD2"/>
    <w:rsid w:val="004F5192"/>
    <w:rsid w:val="004F57FF"/>
    <w:rsid w:val="004F586B"/>
    <w:rsid w:val="004F62A9"/>
    <w:rsid w:val="004F6713"/>
    <w:rsid w:val="004F68E2"/>
    <w:rsid w:val="004F71C7"/>
    <w:rsid w:val="004F7A05"/>
    <w:rsid w:val="00500020"/>
    <w:rsid w:val="005001AE"/>
    <w:rsid w:val="005002AD"/>
    <w:rsid w:val="00500C5F"/>
    <w:rsid w:val="005011A4"/>
    <w:rsid w:val="00501DC0"/>
    <w:rsid w:val="00501FD2"/>
    <w:rsid w:val="00502041"/>
    <w:rsid w:val="005024DA"/>
    <w:rsid w:val="00502604"/>
    <w:rsid w:val="00502976"/>
    <w:rsid w:val="00502ADD"/>
    <w:rsid w:val="00503081"/>
    <w:rsid w:val="00503653"/>
    <w:rsid w:val="00503C8E"/>
    <w:rsid w:val="00503D26"/>
    <w:rsid w:val="005044EF"/>
    <w:rsid w:val="00504AB5"/>
    <w:rsid w:val="005050AE"/>
    <w:rsid w:val="005050C8"/>
    <w:rsid w:val="00505251"/>
    <w:rsid w:val="005052C0"/>
    <w:rsid w:val="00505409"/>
    <w:rsid w:val="00505693"/>
    <w:rsid w:val="00505CCF"/>
    <w:rsid w:val="00505D93"/>
    <w:rsid w:val="00505DC7"/>
    <w:rsid w:val="00505EAE"/>
    <w:rsid w:val="00507E04"/>
    <w:rsid w:val="005108C7"/>
    <w:rsid w:val="00510C51"/>
    <w:rsid w:val="00511343"/>
    <w:rsid w:val="00512480"/>
    <w:rsid w:val="00512719"/>
    <w:rsid w:val="00512720"/>
    <w:rsid w:val="00512EBA"/>
    <w:rsid w:val="005133B0"/>
    <w:rsid w:val="00513625"/>
    <w:rsid w:val="00513770"/>
    <w:rsid w:val="00513801"/>
    <w:rsid w:val="005154A7"/>
    <w:rsid w:val="00515802"/>
    <w:rsid w:val="00515AE6"/>
    <w:rsid w:val="00515E5B"/>
    <w:rsid w:val="00516EA7"/>
    <w:rsid w:val="00517118"/>
    <w:rsid w:val="00520648"/>
    <w:rsid w:val="00520A1D"/>
    <w:rsid w:val="00521087"/>
    <w:rsid w:val="005213D3"/>
    <w:rsid w:val="005218F6"/>
    <w:rsid w:val="00521AD0"/>
    <w:rsid w:val="00521B2D"/>
    <w:rsid w:val="00521E42"/>
    <w:rsid w:val="005227B1"/>
    <w:rsid w:val="00522CB6"/>
    <w:rsid w:val="005233B1"/>
    <w:rsid w:val="00523500"/>
    <w:rsid w:val="00523DEE"/>
    <w:rsid w:val="00523EE3"/>
    <w:rsid w:val="00523F08"/>
    <w:rsid w:val="00524C48"/>
    <w:rsid w:val="00524DAD"/>
    <w:rsid w:val="00525605"/>
    <w:rsid w:val="00526115"/>
    <w:rsid w:val="005262AA"/>
    <w:rsid w:val="00526632"/>
    <w:rsid w:val="00526637"/>
    <w:rsid w:val="00526A01"/>
    <w:rsid w:val="00526C8B"/>
    <w:rsid w:val="005276E5"/>
    <w:rsid w:val="00530064"/>
    <w:rsid w:val="00530258"/>
    <w:rsid w:val="0053032C"/>
    <w:rsid w:val="00530A93"/>
    <w:rsid w:val="00531246"/>
    <w:rsid w:val="00531CC1"/>
    <w:rsid w:val="005322CF"/>
    <w:rsid w:val="00532809"/>
    <w:rsid w:val="0053286A"/>
    <w:rsid w:val="00532B07"/>
    <w:rsid w:val="00532D16"/>
    <w:rsid w:val="00532F3A"/>
    <w:rsid w:val="00533008"/>
    <w:rsid w:val="0053314D"/>
    <w:rsid w:val="0053326F"/>
    <w:rsid w:val="0053349B"/>
    <w:rsid w:val="0053379A"/>
    <w:rsid w:val="00533BA0"/>
    <w:rsid w:val="00535379"/>
    <w:rsid w:val="00535530"/>
    <w:rsid w:val="00535A3A"/>
    <w:rsid w:val="005366B2"/>
    <w:rsid w:val="005368C8"/>
    <w:rsid w:val="005370B6"/>
    <w:rsid w:val="005371E8"/>
    <w:rsid w:val="005378E6"/>
    <w:rsid w:val="00537A29"/>
    <w:rsid w:val="00537CB5"/>
    <w:rsid w:val="00540287"/>
    <w:rsid w:val="005403BF"/>
    <w:rsid w:val="00540733"/>
    <w:rsid w:val="00540E71"/>
    <w:rsid w:val="00541881"/>
    <w:rsid w:val="005418F0"/>
    <w:rsid w:val="00541A37"/>
    <w:rsid w:val="00541B42"/>
    <w:rsid w:val="0054279D"/>
    <w:rsid w:val="00543810"/>
    <w:rsid w:val="005439D7"/>
    <w:rsid w:val="00543A4E"/>
    <w:rsid w:val="005454AD"/>
    <w:rsid w:val="00546FC3"/>
    <w:rsid w:val="00547892"/>
    <w:rsid w:val="00547903"/>
    <w:rsid w:val="00547AFC"/>
    <w:rsid w:val="00547C5B"/>
    <w:rsid w:val="005507B4"/>
    <w:rsid w:val="0055089B"/>
    <w:rsid w:val="00550BFD"/>
    <w:rsid w:val="00550E4D"/>
    <w:rsid w:val="0055117F"/>
    <w:rsid w:val="00551479"/>
    <w:rsid w:val="0055148D"/>
    <w:rsid w:val="0055237C"/>
    <w:rsid w:val="005523C8"/>
    <w:rsid w:val="005524BA"/>
    <w:rsid w:val="00553160"/>
    <w:rsid w:val="00553AD7"/>
    <w:rsid w:val="005543D5"/>
    <w:rsid w:val="00554EA2"/>
    <w:rsid w:val="00554F1D"/>
    <w:rsid w:val="0055500F"/>
    <w:rsid w:val="00555994"/>
    <w:rsid w:val="005559A8"/>
    <w:rsid w:val="00555FCA"/>
    <w:rsid w:val="00556B67"/>
    <w:rsid w:val="00557124"/>
    <w:rsid w:val="00557261"/>
    <w:rsid w:val="00557FEA"/>
    <w:rsid w:val="0056126F"/>
    <w:rsid w:val="005615DE"/>
    <w:rsid w:val="00561684"/>
    <w:rsid w:val="0056190E"/>
    <w:rsid w:val="00561E1E"/>
    <w:rsid w:val="00561FA2"/>
    <w:rsid w:val="0056222F"/>
    <w:rsid w:val="00562350"/>
    <w:rsid w:val="00563472"/>
    <w:rsid w:val="0056421E"/>
    <w:rsid w:val="005645C9"/>
    <w:rsid w:val="00564740"/>
    <w:rsid w:val="00565160"/>
    <w:rsid w:val="00565206"/>
    <w:rsid w:val="00565E39"/>
    <w:rsid w:val="00566A5F"/>
    <w:rsid w:val="00566FC8"/>
    <w:rsid w:val="00567108"/>
    <w:rsid w:val="00567CA2"/>
    <w:rsid w:val="00570001"/>
    <w:rsid w:val="00570C3C"/>
    <w:rsid w:val="00570F13"/>
    <w:rsid w:val="0057126C"/>
    <w:rsid w:val="00571532"/>
    <w:rsid w:val="00571F88"/>
    <w:rsid w:val="005726DC"/>
    <w:rsid w:val="00572705"/>
    <w:rsid w:val="0057280D"/>
    <w:rsid w:val="00572EF7"/>
    <w:rsid w:val="00572F45"/>
    <w:rsid w:val="00573DE8"/>
    <w:rsid w:val="00573FED"/>
    <w:rsid w:val="0057471F"/>
    <w:rsid w:val="00574C24"/>
    <w:rsid w:val="005750EE"/>
    <w:rsid w:val="0057536C"/>
    <w:rsid w:val="005753DB"/>
    <w:rsid w:val="00575C4B"/>
    <w:rsid w:val="00576644"/>
    <w:rsid w:val="00576FCF"/>
    <w:rsid w:val="005777E6"/>
    <w:rsid w:val="005801D0"/>
    <w:rsid w:val="00580B2F"/>
    <w:rsid w:val="00580D91"/>
    <w:rsid w:val="005813F5"/>
    <w:rsid w:val="0058192F"/>
    <w:rsid w:val="00581EAF"/>
    <w:rsid w:val="00582BD7"/>
    <w:rsid w:val="00582CDC"/>
    <w:rsid w:val="00582F1B"/>
    <w:rsid w:val="00582FFC"/>
    <w:rsid w:val="00583432"/>
    <w:rsid w:val="005835F1"/>
    <w:rsid w:val="00583654"/>
    <w:rsid w:val="0058370C"/>
    <w:rsid w:val="0058381A"/>
    <w:rsid w:val="00583B44"/>
    <w:rsid w:val="005846BF"/>
    <w:rsid w:val="00584D32"/>
    <w:rsid w:val="00586327"/>
    <w:rsid w:val="00586925"/>
    <w:rsid w:val="005872D8"/>
    <w:rsid w:val="00587D05"/>
    <w:rsid w:val="0059014F"/>
    <w:rsid w:val="005906A9"/>
    <w:rsid w:val="00591298"/>
    <w:rsid w:val="005918F8"/>
    <w:rsid w:val="00591E75"/>
    <w:rsid w:val="00591F4E"/>
    <w:rsid w:val="00591FFB"/>
    <w:rsid w:val="00592386"/>
    <w:rsid w:val="00592914"/>
    <w:rsid w:val="00592F7F"/>
    <w:rsid w:val="005940BB"/>
    <w:rsid w:val="0059480B"/>
    <w:rsid w:val="00595247"/>
    <w:rsid w:val="00596940"/>
    <w:rsid w:val="00596C13"/>
    <w:rsid w:val="00597755"/>
    <w:rsid w:val="00597B92"/>
    <w:rsid w:val="00597C12"/>
    <w:rsid w:val="005A067F"/>
    <w:rsid w:val="005A0A2D"/>
    <w:rsid w:val="005A0BA1"/>
    <w:rsid w:val="005A158C"/>
    <w:rsid w:val="005A1789"/>
    <w:rsid w:val="005A1BBB"/>
    <w:rsid w:val="005A1F9E"/>
    <w:rsid w:val="005A232F"/>
    <w:rsid w:val="005A246C"/>
    <w:rsid w:val="005A2506"/>
    <w:rsid w:val="005A2866"/>
    <w:rsid w:val="005A2A65"/>
    <w:rsid w:val="005A2B50"/>
    <w:rsid w:val="005A2BA4"/>
    <w:rsid w:val="005A2F25"/>
    <w:rsid w:val="005A303A"/>
    <w:rsid w:val="005A3474"/>
    <w:rsid w:val="005A4E41"/>
    <w:rsid w:val="005A51F9"/>
    <w:rsid w:val="005A58F1"/>
    <w:rsid w:val="005A5A02"/>
    <w:rsid w:val="005A6664"/>
    <w:rsid w:val="005A6DEA"/>
    <w:rsid w:val="005A7024"/>
    <w:rsid w:val="005A7181"/>
    <w:rsid w:val="005A71AC"/>
    <w:rsid w:val="005B0585"/>
    <w:rsid w:val="005B0690"/>
    <w:rsid w:val="005B077E"/>
    <w:rsid w:val="005B07AF"/>
    <w:rsid w:val="005B0EB2"/>
    <w:rsid w:val="005B1E40"/>
    <w:rsid w:val="005B2AC9"/>
    <w:rsid w:val="005B2B0E"/>
    <w:rsid w:val="005B32CA"/>
    <w:rsid w:val="005B36AB"/>
    <w:rsid w:val="005B3B8B"/>
    <w:rsid w:val="005B3C04"/>
    <w:rsid w:val="005B3EC2"/>
    <w:rsid w:val="005B3FF2"/>
    <w:rsid w:val="005B4A21"/>
    <w:rsid w:val="005B4D9E"/>
    <w:rsid w:val="005B5738"/>
    <w:rsid w:val="005B5EAF"/>
    <w:rsid w:val="005B612C"/>
    <w:rsid w:val="005B6820"/>
    <w:rsid w:val="005B698D"/>
    <w:rsid w:val="005B6E59"/>
    <w:rsid w:val="005B7651"/>
    <w:rsid w:val="005B7F32"/>
    <w:rsid w:val="005B7F7A"/>
    <w:rsid w:val="005C06DB"/>
    <w:rsid w:val="005C0B4B"/>
    <w:rsid w:val="005C0BD3"/>
    <w:rsid w:val="005C0C5F"/>
    <w:rsid w:val="005C0E8B"/>
    <w:rsid w:val="005C0ECA"/>
    <w:rsid w:val="005C106D"/>
    <w:rsid w:val="005C10A7"/>
    <w:rsid w:val="005C1686"/>
    <w:rsid w:val="005C17A4"/>
    <w:rsid w:val="005C2B74"/>
    <w:rsid w:val="005C2C9F"/>
    <w:rsid w:val="005C34C8"/>
    <w:rsid w:val="005C4006"/>
    <w:rsid w:val="005C4068"/>
    <w:rsid w:val="005C4945"/>
    <w:rsid w:val="005C4AB1"/>
    <w:rsid w:val="005C4BC2"/>
    <w:rsid w:val="005C5F7C"/>
    <w:rsid w:val="005C6415"/>
    <w:rsid w:val="005C6A08"/>
    <w:rsid w:val="005C7469"/>
    <w:rsid w:val="005C74DB"/>
    <w:rsid w:val="005C7DD1"/>
    <w:rsid w:val="005D0AC9"/>
    <w:rsid w:val="005D0C05"/>
    <w:rsid w:val="005D0DCD"/>
    <w:rsid w:val="005D0F2B"/>
    <w:rsid w:val="005D0F93"/>
    <w:rsid w:val="005D1EAD"/>
    <w:rsid w:val="005D20DB"/>
    <w:rsid w:val="005D2233"/>
    <w:rsid w:val="005D2975"/>
    <w:rsid w:val="005D2CFE"/>
    <w:rsid w:val="005D3349"/>
    <w:rsid w:val="005D34B5"/>
    <w:rsid w:val="005D463B"/>
    <w:rsid w:val="005D493A"/>
    <w:rsid w:val="005D4BEF"/>
    <w:rsid w:val="005D4CE3"/>
    <w:rsid w:val="005D5238"/>
    <w:rsid w:val="005D5A9E"/>
    <w:rsid w:val="005D5CBE"/>
    <w:rsid w:val="005D6286"/>
    <w:rsid w:val="005D7F23"/>
    <w:rsid w:val="005E0875"/>
    <w:rsid w:val="005E098B"/>
    <w:rsid w:val="005E0AE0"/>
    <w:rsid w:val="005E1048"/>
    <w:rsid w:val="005E11C6"/>
    <w:rsid w:val="005E1296"/>
    <w:rsid w:val="005E13F2"/>
    <w:rsid w:val="005E182A"/>
    <w:rsid w:val="005E1C85"/>
    <w:rsid w:val="005E24C2"/>
    <w:rsid w:val="005E24F5"/>
    <w:rsid w:val="005E3C1A"/>
    <w:rsid w:val="005E3D55"/>
    <w:rsid w:val="005E4018"/>
    <w:rsid w:val="005E406A"/>
    <w:rsid w:val="005E450C"/>
    <w:rsid w:val="005E4798"/>
    <w:rsid w:val="005E52B4"/>
    <w:rsid w:val="005E64A7"/>
    <w:rsid w:val="005E65AB"/>
    <w:rsid w:val="005E6960"/>
    <w:rsid w:val="005E6B42"/>
    <w:rsid w:val="005E6D5A"/>
    <w:rsid w:val="005F0665"/>
    <w:rsid w:val="005F0967"/>
    <w:rsid w:val="005F0CB1"/>
    <w:rsid w:val="005F0ED4"/>
    <w:rsid w:val="005F1766"/>
    <w:rsid w:val="005F2987"/>
    <w:rsid w:val="005F3C4F"/>
    <w:rsid w:val="005F54D5"/>
    <w:rsid w:val="005F5542"/>
    <w:rsid w:val="005F5BDF"/>
    <w:rsid w:val="005F6394"/>
    <w:rsid w:val="005F63F0"/>
    <w:rsid w:val="005F68C3"/>
    <w:rsid w:val="005F68F4"/>
    <w:rsid w:val="005F6A46"/>
    <w:rsid w:val="005F7454"/>
    <w:rsid w:val="005F746C"/>
    <w:rsid w:val="005F75CB"/>
    <w:rsid w:val="005F7C2C"/>
    <w:rsid w:val="005F7D29"/>
    <w:rsid w:val="006000B5"/>
    <w:rsid w:val="0060060E"/>
    <w:rsid w:val="00600820"/>
    <w:rsid w:val="006009CA"/>
    <w:rsid w:val="006011CE"/>
    <w:rsid w:val="006012E0"/>
    <w:rsid w:val="006015B0"/>
    <w:rsid w:val="00602021"/>
    <w:rsid w:val="00602208"/>
    <w:rsid w:val="006023CD"/>
    <w:rsid w:val="00602B59"/>
    <w:rsid w:val="00602F56"/>
    <w:rsid w:val="0060321B"/>
    <w:rsid w:val="0060381C"/>
    <w:rsid w:val="00603C2C"/>
    <w:rsid w:val="0060488F"/>
    <w:rsid w:val="00605246"/>
    <w:rsid w:val="0060641C"/>
    <w:rsid w:val="006070B0"/>
    <w:rsid w:val="00607262"/>
    <w:rsid w:val="0060736F"/>
    <w:rsid w:val="00607ECB"/>
    <w:rsid w:val="00610060"/>
    <w:rsid w:val="00610780"/>
    <w:rsid w:val="00610B77"/>
    <w:rsid w:val="00611019"/>
    <w:rsid w:val="00611857"/>
    <w:rsid w:val="00612481"/>
    <w:rsid w:val="00612894"/>
    <w:rsid w:val="0061344E"/>
    <w:rsid w:val="00613C83"/>
    <w:rsid w:val="00613ED2"/>
    <w:rsid w:val="0061455B"/>
    <w:rsid w:val="00614842"/>
    <w:rsid w:val="00614C4E"/>
    <w:rsid w:val="0061545A"/>
    <w:rsid w:val="00616B00"/>
    <w:rsid w:val="00617382"/>
    <w:rsid w:val="00617505"/>
    <w:rsid w:val="00617796"/>
    <w:rsid w:val="00617A23"/>
    <w:rsid w:val="006209E5"/>
    <w:rsid w:val="00621583"/>
    <w:rsid w:val="0062191D"/>
    <w:rsid w:val="00622F75"/>
    <w:rsid w:val="006238ED"/>
    <w:rsid w:val="00623EAF"/>
    <w:rsid w:val="006245BF"/>
    <w:rsid w:val="00624D5F"/>
    <w:rsid w:val="00624D99"/>
    <w:rsid w:val="00624E33"/>
    <w:rsid w:val="006251C7"/>
    <w:rsid w:val="006253E7"/>
    <w:rsid w:val="00625C9C"/>
    <w:rsid w:val="00626354"/>
    <w:rsid w:val="006267A3"/>
    <w:rsid w:val="006301F4"/>
    <w:rsid w:val="0063026C"/>
    <w:rsid w:val="006310B4"/>
    <w:rsid w:val="00631756"/>
    <w:rsid w:val="00632560"/>
    <w:rsid w:val="00632AC8"/>
    <w:rsid w:val="00632C9C"/>
    <w:rsid w:val="00633936"/>
    <w:rsid w:val="00633C23"/>
    <w:rsid w:val="006342FB"/>
    <w:rsid w:val="00634470"/>
    <w:rsid w:val="00634703"/>
    <w:rsid w:val="006349D3"/>
    <w:rsid w:val="00634A56"/>
    <w:rsid w:val="00634B16"/>
    <w:rsid w:val="00634DA1"/>
    <w:rsid w:val="00634F8E"/>
    <w:rsid w:val="00634FD2"/>
    <w:rsid w:val="00635499"/>
    <w:rsid w:val="00635C26"/>
    <w:rsid w:val="006364FE"/>
    <w:rsid w:val="0063670B"/>
    <w:rsid w:val="006374B9"/>
    <w:rsid w:val="00637C8E"/>
    <w:rsid w:val="0064081A"/>
    <w:rsid w:val="0064139C"/>
    <w:rsid w:val="00642A08"/>
    <w:rsid w:val="00642F93"/>
    <w:rsid w:val="00643ACA"/>
    <w:rsid w:val="00643C5A"/>
    <w:rsid w:val="0064438D"/>
    <w:rsid w:val="006443C1"/>
    <w:rsid w:val="00645FAC"/>
    <w:rsid w:val="006463DE"/>
    <w:rsid w:val="00647EC9"/>
    <w:rsid w:val="0065035A"/>
    <w:rsid w:val="00650639"/>
    <w:rsid w:val="006507FB"/>
    <w:rsid w:val="00650E04"/>
    <w:rsid w:val="006510F0"/>
    <w:rsid w:val="0065126D"/>
    <w:rsid w:val="0065166A"/>
    <w:rsid w:val="00651F44"/>
    <w:rsid w:val="006521D5"/>
    <w:rsid w:val="006524D2"/>
    <w:rsid w:val="00652F45"/>
    <w:rsid w:val="006531B7"/>
    <w:rsid w:val="00653B91"/>
    <w:rsid w:val="00654561"/>
    <w:rsid w:val="0065472C"/>
    <w:rsid w:val="00654C47"/>
    <w:rsid w:val="00655535"/>
    <w:rsid w:val="006558F0"/>
    <w:rsid w:val="00655A55"/>
    <w:rsid w:val="006563FE"/>
    <w:rsid w:val="00656770"/>
    <w:rsid w:val="00656AE7"/>
    <w:rsid w:val="006573F2"/>
    <w:rsid w:val="00657791"/>
    <w:rsid w:val="0065781B"/>
    <w:rsid w:val="00657F17"/>
    <w:rsid w:val="0066001E"/>
    <w:rsid w:val="006612F1"/>
    <w:rsid w:val="006614B2"/>
    <w:rsid w:val="00661778"/>
    <w:rsid w:val="00661DF7"/>
    <w:rsid w:val="006622D1"/>
    <w:rsid w:val="0066269A"/>
    <w:rsid w:val="00662F30"/>
    <w:rsid w:val="00663A1B"/>
    <w:rsid w:val="0066519B"/>
    <w:rsid w:val="00665464"/>
    <w:rsid w:val="006658B3"/>
    <w:rsid w:val="00665C70"/>
    <w:rsid w:val="00666A3B"/>
    <w:rsid w:val="00666AFF"/>
    <w:rsid w:val="006708F4"/>
    <w:rsid w:val="006708F5"/>
    <w:rsid w:val="00670EE5"/>
    <w:rsid w:val="0067168E"/>
    <w:rsid w:val="0067174B"/>
    <w:rsid w:val="0067188F"/>
    <w:rsid w:val="00671A49"/>
    <w:rsid w:val="00671AB3"/>
    <w:rsid w:val="00671E06"/>
    <w:rsid w:val="006723EC"/>
    <w:rsid w:val="00672475"/>
    <w:rsid w:val="006725D7"/>
    <w:rsid w:val="00672F29"/>
    <w:rsid w:val="0067448A"/>
    <w:rsid w:val="00674932"/>
    <w:rsid w:val="00674EF7"/>
    <w:rsid w:val="00675A2D"/>
    <w:rsid w:val="0067610C"/>
    <w:rsid w:val="00676A04"/>
    <w:rsid w:val="006770D7"/>
    <w:rsid w:val="0067732D"/>
    <w:rsid w:val="00677FB6"/>
    <w:rsid w:val="006809F4"/>
    <w:rsid w:val="006812B3"/>
    <w:rsid w:val="00681319"/>
    <w:rsid w:val="00682180"/>
    <w:rsid w:val="00684153"/>
    <w:rsid w:val="006845EF"/>
    <w:rsid w:val="00684B5A"/>
    <w:rsid w:val="00684C2E"/>
    <w:rsid w:val="00684CB7"/>
    <w:rsid w:val="0068569A"/>
    <w:rsid w:val="00685890"/>
    <w:rsid w:val="00685B07"/>
    <w:rsid w:val="0068661F"/>
    <w:rsid w:val="00686755"/>
    <w:rsid w:val="00686EB5"/>
    <w:rsid w:val="00687764"/>
    <w:rsid w:val="0068777A"/>
    <w:rsid w:val="00687E74"/>
    <w:rsid w:val="006902F5"/>
    <w:rsid w:val="006904D5"/>
    <w:rsid w:val="0069085C"/>
    <w:rsid w:val="00690BED"/>
    <w:rsid w:val="00691256"/>
    <w:rsid w:val="00691755"/>
    <w:rsid w:val="00691C86"/>
    <w:rsid w:val="00691EA1"/>
    <w:rsid w:val="00692162"/>
    <w:rsid w:val="006939B7"/>
    <w:rsid w:val="00693A1F"/>
    <w:rsid w:val="00693D65"/>
    <w:rsid w:val="00693E61"/>
    <w:rsid w:val="006952FF"/>
    <w:rsid w:val="006961F4"/>
    <w:rsid w:val="0069768C"/>
    <w:rsid w:val="006A00F7"/>
    <w:rsid w:val="006A107A"/>
    <w:rsid w:val="006A1C63"/>
    <w:rsid w:val="006A20AC"/>
    <w:rsid w:val="006A2436"/>
    <w:rsid w:val="006A3300"/>
    <w:rsid w:val="006A33CC"/>
    <w:rsid w:val="006A34F3"/>
    <w:rsid w:val="006A358A"/>
    <w:rsid w:val="006A385E"/>
    <w:rsid w:val="006A3BE0"/>
    <w:rsid w:val="006A3EA9"/>
    <w:rsid w:val="006A3FBC"/>
    <w:rsid w:val="006A44C0"/>
    <w:rsid w:val="006A458E"/>
    <w:rsid w:val="006A49F9"/>
    <w:rsid w:val="006A4E50"/>
    <w:rsid w:val="006A532A"/>
    <w:rsid w:val="006A5EC0"/>
    <w:rsid w:val="006A6997"/>
    <w:rsid w:val="006A70DB"/>
    <w:rsid w:val="006B07E8"/>
    <w:rsid w:val="006B0A2A"/>
    <w:rsid w:val="006B0A3B"/>
    <w:rsid w:val="006B1815"/>
    <w:rsid w:val="006B1A30"/>
    <w:rsid w:val="006B1BC0"/>
    <w:rsid w:val="006B1CBE"/>
    <w:rsid w:val="006B24E9"/>
    <w:rsid w:val="006B2ABD"/>
    <w:rsid w:val="006B2D49"/>
    <w:rsid w:val="006B3721"/>
    <w:rsid w:val="006B37C3"/>
    <w:rsid w:val="006B439D"/>
    <w:rsid w:val="006B4441"/>
    <w:rsid w:val="006B4479"/>
    <w:rsid w:val="006B452A"/>
    <w:rsid w:val="006B4818"/>
    <w:rsid w:val="006B4823"/>
    <w:rsid w:val="006B5148"/>
    <w:rsid w:val="006B6288"/>
    <w:rsid w:val="006B6330"/>
    <w:rsid w:val="006B6513"/>
    <w:rsid w:val="006B6F11"/>
    <w:rsid w:val="006B764F"/>
    <w:rsid w:val="006B76E0"/>
    <w:rsid w:val="006B789C"/>
    <w:rsid w:val="006B7D3B"/>
    <w:rsid w:val="006C0021"/>
    <w:rsid w:val="006C02AF"/>
    <w:rsid w:val="006C080D"/>
    <w:rsid w:val="006C091B"/>
    <w:rsid w:val="006C0989"/>
    <w:rsid w:val="006C1769"/>
    <w:rsid w:val="006C1B04"/>
    <w:rsid w:val="006C1EA8"/>
    <w:rsid w:val="006C29E2"/>
    <w:rsid w:val="006C37E5"/>
    <w:rsid w:val="006C3F6F"/>
    <w:rsid w:val="006C53A2"/>
    <w:rsid w:val="006C5C34"/>
    <w:rsid w:val="006C5F0F"/>
    <w:rsid w:val="006C6650"/>
    <w:rsid w:val="006C66E4"/>
    <w:rsid w:val="006C6C0A"/>
    <w:rsid w:val="006C6D11"/>
    <w:rsid w:val="006C78CB"/>
    <w:rsid w:val="006C7CBC"/>
    <w:rsid w:val="006D02A8"/>
    <w:rsid w:val="006D04F5"/>
    <w:rsid w:val="006D08BB"/>
    <w:rsid w:val="006D0AEF"/>
    <w:rsid w:val="006D0D61"/>
    <w:rsid w:val="006D0F8D"/>
    <w:rsid w:val="006D13B2"/>
    <w:rsid w:val="006D1C6F"/>
    <w:rsid w:val="006D27D8"/>
    <w:rsid w:val="006D4289"/>
    <w:rsid w:val="006D4399"/>
    <w:rsid w:val="006D53B2"/>
    <w:rsid w:val="006D5735"/>
    <w:rsid w:val="006D614B"/>
    <w:rsid w:val="006D7133"/>
    <w:rsid w:val="006D7D8E"/>
    <w:rsid w:val="006D7FC7"/>
    <w:rsid w:val="006E01B6"/>
    <w:rsid w:val="006E0F6E"/>
    <w:rsid w:val="006E182C"/>
    <w:rsid w:val="006E2022"/>
    <w:rsid w:val="006E2181"/>
    <w:rsid w:val="006E2384"/>
    <w:rsid w:val="006E23F2"/>
    <w:rsid w:val="006E311C"/>
    <w:rsid w:val="006E35BA"/>
    <w:rsid w:val="006E38D0"/>
    <w:rsid w:val="006E4418"/>
    <w:rsid w:val="006E44BD"/>
    <w:rsid w:val="006E49D5"/>
    <w:rsid w:val="006E4F34"/>
    <w:rsid w:val="006E5231"/>
    <w:rsid w:val="006E5F05"/>
    <w:rsid w:val="006E6925"/>
    <w:rsid w:val="006E7768"/>
    <w:rsid w:val="006F0DB2"/>
    <w:rsid w:val="006F0DD8"/>
    <w:rsid w:val="006F0DE6"/>
    <w:rsid w:val="006F10C6"/>
    <w:rsid w:val="006F1290"/>
    <w:rsid w:val="006F1D34"/>
    <w:rsid w:val="006F1DD9"/>
    <w:rsid w:val="006F1F79"/>
    <w:rsid w:val="006F20CD"/>
    <w:rsid w:val="006F2233"/>
    <w:rsid w:val="006F2288"/>
    <w:rsid w:val="006F264D"/>
    <w:rsid w:val="006F27E1"/>
    <w:rsid w:val="006F29E1"/>
    <w:rsid w:val="006F31DE"/>
    <w:rsid w:val="006F34B4"/>
    <w:rsid w:val="006F3640"/>
    <w:rsid w:val="006F416A"/>
    <w:rsid w:val="006F4487"/>
    <w:rsid w:val="006F52FF"/>
    <w:rsid w:val="006F5541"/>
    <w:rsid w:val="006F58A6"/>
    <w:rsid w:val="006F6382"/>
    <w:rsid w:val="007001DE"/>
    <w:rsid w:val="00700518"/>
    <w:rsid w:val="00700820"/>
    <w:rsid w:val="0070159E"/>
    <w:rsid w:val="00701C26"/>
    <w:rsid w:val="00701C54"/>
    <w:rsid w:val="0070227A"/>
    <w:rsid w:val="00702498"/>
    <w:rsid w:val="00702517"/>
    <w:rsid w:val="0070261F"/>
    <w:rsid w:val="00702EDC"/>
    <w:rsid w:val="007034C4"/>
    <w:rsid w:val="00703843"/>
    <w:rsid w:val="00703ACF"/>
    <w:rsid w:val="00703DB9"/>
    <w:rsid w:val="00703FFC"/>
    <w:rsid w:val="00704827"/>
    <w:rsid w:val="007048D0"/>
    <w:rsid w:val="00705402"/>
    <w:rsid w:val="00706385"/>
    <w:rsid w:val="007069C7"/>
    <w:rsid w:val="007073F2"/>
    <w:rsid w:val="00707522"/>
    <w:rsid w:val="007100AF"/>
    <w:rsid w:val="00710E65"/>
    <w:rsid w:val="0071144D"/>
    <w:rsid w:val="007117A8"/>
    <w:rsid w:val="00711BEA"/>
    <w:rsid w:val="00711C88"/>
    <w:rsid w:val="00712EAF"/>
    <w:rsid w:val="00712F7A"/>
    <w:rsid w:val="007132C3"/>
    <w:rsid w:val="00713CE5"/>
    <w:rsid w:val="0071416F"/>
    <w:rsid w:val="00714344"/>
    <w:rsid w:val="00715C11"/>
    <w:rsid w:val="00715C6E"/>
    <w:rsid w:val="00715FBE"/>
    <w:rsid w:val="007160F1"/>
    <w:rsid w:val="007168AF"/>
    <w:rsid w:val="007169AA"/>
    <w:rsid w:val="007174CA"/>
    <w:rsid w:val="007175D2"/>
    <w:rsid w:val="0072013B"/>
    <w:rsid w:val="00720F76"/>
    <w:rsid w:val="00722113"/>
    <w:rsid w:val="00722B7B"/>
    <w:rsid w:val="00723AA8"/>
    <w:rsid w:val="00723CA2"/>
    <w:rsid w:val="0072412E"/>
    <w:rsid w:val="0072492B"/>
    <w:rsid w:val="00724B51"/>
    <w:rsid w:val="007256D6"/>
    <w:rsid w:val="0072572F"/>
    <w:rsid w:val="00725964"/>
    <w:rsid w:val="0072598A"/>
    <w:rsid w:val="00725EF2"/>
    <w:rsid w:val="00725F0B"/>
    <w:rsid w:val="00725F71"/>
    <w:rsid w:val="00726AF9"/>
    <w:rsid w:val="00726B3F"/>
    <w:rsid w:val="00726B40"/>
    <w:rsid w:val="00727661"/>
    <w:rsid w:val="00727AC3"/>
    <w:rsid w:val="00727C57"/>
    <w:rsid w:val="00727D43"/>
    <w:rsid w:val="00730810"/>
    <w:rsid w:val="007309D2"/>
    <w:rsid w:val="00731279"/>
    <w:rsid w:val="00731662"/>
    <w:rsid w:val="00731A14"/>
    <w:rsid w:val="00731C19"/>
    <w:rsid w:val="00732A14"/>
    <w:rsid w:val="00732C86"/>
    <w:rsid w:val="0073326F"/>
    <w:rsid w:val="0073473B"/>
    <w:rsid w:val="00734AC4"/>
    <w:rsid w:val="00734CDA"/>
    <w:rsid w:val="007355B4"/>
    <w:rsid w:val="00735F27"/>
    <w:rsid w:val="00736314"/>
    <w:rsid w:val="00736928"/>
    <w:rsid w:val="00736D41"/>
    <w:rsid w:val="00736DEB"/>
    <w:rsid w:val="00736E59"/>
    <w:rsid w:val="00737F47"/>
    <w:rsid w:val="00737F69"/>
    <w:rsid w:val="007405D4"/>
    <w:rsid w:val="00740BEB"/>
    <w:rsid w:val="0074147F"/>
    <w:rsid w:val="00741EAD"/>
    <w:rsid w:val="00742B49"/>
    <w:rsid w:val="00743CC0"/>
    <w:rsid w:val="0074408E"/>
    <w:rsid w:val="007441C9"/>
    <w:rsid w:val="00744C70"/>
    <w:rsid w:val="00744D35"/>
    <w:rsid w:val="00744D44"/>
    <w:rsid w:val="00745105"/>
    <w:rsid w:val="00745A9D"/>
    <w:rsid w:val="0074693B"/>
    <w:rsid w:val="00746EB9"/>
    <w:rsid w:val="00747147"/>
    <w:rsid w:val="00747895"/>
    <w:rsid w:val="00750A22"/>
    <w:rsid w:val="00750DAB"/>
    <w:rsid w:val="007518CB"/>
    <w:rsid w:val="00752167"/>
    <w:rsid w:val="007522A9"/>
    <w:rsid w:val="0075245C"/>
    <w:rsid w:val="007527A7"/>
    <w:rsid w:val="0075352F"/>
    <w:rsid w:val="0075480E"/>
    <w:rsid w:val="00755884"/>
    <w:rsid w:val="0075594E"/>
    <w:rsid w:val="007564B9"/>
    <w:rsid w:val="0075682B"/>
    <w:rsid w:val="007570A2"/>
    <w:rsid w:val="0075767E"/>
    <w:rsid w:val="00760519"/>
    <w:rsid w:val="00760DBC"/>
    <w:rsid w:val="0076114A"/>
    <w:rsid w:val="0076146C"/>
    <w:rsid w:val="00761479"/>
    <w:rsid w:val="00761A89"/>
    <w:rsid w:val="0076248F"/>
    <w:rsid w:val="00763384"/>
    <w:rsid w:val="007642C0"/>
    <w:rsid w:val="00764969"/>
    <w:rsid w:val="0076496F"/>
    <w:rsid w:val="00764A02"/>
    <w:rsid w:val="00765B5A"/>
    <w:rsid w:val="00770250"/>
    <w:rsid w:val="00771904"/>
    <w:rsid w:val="00772410"/>
    <w:rsid w:val="00772DDB"/>
    <w:rsid w:val="007730AA"/>
    <w:rsid w:val="00773EA4"/>
    <w:rsid w:val="00773F28"/>
    <w:rsid w:val="007747BB"/>
    <w:rsid w:val="007748CB"/>
    <w:rsid w:val="00775877"/>
    <w:rsid w:val="007758C7"/>
    <w:rsid w:val="00775D2E"/>
    <w:rsid w:val="00776148"/>
    <w:rsid w:val="00776514"/>
    <w:rsid w:val="00776803"/>
    <w:rsid w:val="007801C1"/>
    <w:rsid w:val="00780817"/>
    <w:rsid w:val="00780EC9"/>
    <w:rsid w:val="007818DD"/>
    <w:rsid w:val="00781C02"/>
    <w:rsid w:val="0078269A"/>
    <w:rsid w:val="00783E62"/>
    <w:rsid w:val="007840EF"/>
    <w:rsid w:val="00784658"/>
    <w:rsid w:val="0078471C"/>
    <w:rsid w:val="00784768"/>
    <w:rsid w:val="00784A61"/>
    <w:rsid w:val="00784EB5"/>
    <w:rsid w:val="00785269"/>
    <w:rsid w:val="007855A6"/>
    <w:rsid w:val="0078574E"/>
    <w:rsid w:val="007857A8"/>
    <w:rsid w:val="00785939"/>
    <w:rsid w:val="00785A04"/>
    <w:rsid w:val="007860C0"/>
    <w:rsid w:val="007869A2"/>
    <w:rsid w:val="00786CD9"/>
    <w:rsid w:val="00787016"/>
    <w:rsid w:val="00787E25"/>
    <w:rsid w:val="00787F37"/>
    <w:rsid w:val="00790407"/>
    <w:rsid w:val="007908C9"/>
    <w:rsid w:val="00790C64"/>
    <w:rsid w:val="00790F88"/>
    <w:rsid w:val="00790FD0"/>
    <w:rsid w:val="00791597"/>
    <w:rsid w:val="007915C4"/>
    <w:rsid w:val="0079182C"/>
    <w:rsid w:val="00791A5F"/>
    <w:rsid w:val="0079249B"/>
    <w:rsid w:val="00792658"/>
    <w:rsid w:val="0079293B"/>
    <w:rsid w:val="00792C15"/>
    <w:rsid w:val="00792C2D"/>
    <w:rsid w:val="00792E1B"/>
    <w:rsid w:val="00794069"/>
    <w:rsid w:val="00794740"/>
    <w:rsid w:val="00794815"/>
    <w:rsid w:val="00794A31"/>
    <w:rsid w:val="00795928"/>
    <w:rsid w:val="007963AB"/>
    <w:rsid w:val="0079686D"/>
    <w:rsid w:val="007969E1"/>
    <w:rsid w:val="00796C44"/>
    <w:rsid w:val="007977A9"/>
    <w:rsid w:val="00797EBF"/>
    <w:rsid w:val="00797EDE"/>
    <w:rsid w:val="007A0500"/>
    <w:rsid w:val="007A099C"/>
    <w:rsid w:val="007A0BFD"/>
    <w:rsid w:val="007A10B1"/>
    <w:rsid w:val="007A1133"/>
    <w:rsid w:val="007A11D7"/>
    <w:rsid w:val="007A1838"/>
    <w:rsid w:val="007A186C"/>
    <w:rsid w:val="007A1B20"/>
    <w:rsid w:val="007A2579"/>
    <w:rsid w:val="007A26E2"/>
    <w:rsid w:val="007A28D4"/>
    <w:rsid w:val="007A2BF4"/>
    <w:rsid w:val="007A2BF5"/>
    <w:rsid w:val="007A2D47"/>
    <w:rsid w:val="007A4B6B"/>
    <w:rsid w:val="007A4CBE"/>
    <w:rsid w:val="007A529F"/>
    <w:rsid w:val="007A5753"/>
    <w:rsid w:val="007A5C1B"/>
    <w:rsid w:val="007A5CE5"/>
    <w:rsid w:val="007A6039"/>
    <w:rsid w:val="007A6F97"/>
    <w:rsid w:val="007A6FCA"/>
    <w:rsid w:val="007A744D"/>
    <w:rsid w:val="007B0846"/>
    <w:rsid w:val="007B0CCA"/>
    <w:rsid w:val="007B1070"/>
    <w:rsid w:val="007B1A78"/>
    <w:rsid w:val="007B20CA"/>
    <w:rsid w:val="007B21F1"/>
    <w:rsid w:val="007B2468"/>
    <w:rsid w:val="007B44CE"/>
    <w:rsid w:val="007B4615"/>
    <w:rsid w:val="007B5473"/>
    <w:rsid w:val="007B578B"/>
    <w:rsid w:val="007B5B14"/>
    <w:rsid w:val="007B5BDA"/>
    <w:rsid w:val="007B5F18"/>
    <w:rsid w:val="007B6299"/>
    <w:rsid w:val="007B654E"/>
    <w:rsid w:val="007B73B9"/>
    <w:rsid w:val="007B7466"/>
    <w:rsid w:val="007B7608"/>
    <w:rsid w:val="007B79C9"/>
    <w:rsid w:val="007B7B97"/>
    <w:rsid w:val="007B7BCD"/>
    <w:rsid w:val="007C0351"/>
    <w:rsid w:val="007C0356"/>
    <w:rsid w:val="007C03E0"/>
    <w:rsid w:val="007C086F"/>
    <w:rsid w:val="007C232F"/>
    <w:rsid w:val="007C2F42"/>
    <w:rsid w:val="007C301C"/>
    <w:rsid w:val="007C30AA"/>
    <w:rsid w:val="007C35D3"/>
    <w:rsid w:val="007C37D8"/>
    <w:rsid w:val="007C38B7"/>
    <w:rsid w:val="007C3BBB"/>
    <w:rsid w:val="007C3C50"/>
    <w:rsid w:val="007C58A9"/>
    <w:rsid w:val="007C5917"/>
    <w:rsid w:val="007C65AB"/>
    <w:rsid w:val="007C662A"/>
    <w:rsid w:val="007C6CCE"/>
    <w:rsid w:val="007C758D"/>
    <w:rsid w:val="007C7845"/>
    <w:rsid w:val="007C7C93"/>
    <w:rsid w:val="007C7E7A"/>
    <w:rsid w:val="007C7EE5"/>
    <w:rsid w:val="007D0335"/>
    <w:rsid w:val="007D071A"/>
    <w:rsid w:val="007D0B58"/>
    <w:rsid w:val="007D143A"/>
    <w:rsid w:val="007D1587"/>
    <w:rsid w:val="007D1674"/>
    <w:rsid w:val="007D1F39"/>
    <w:rsid w:val="007D238D"/>
    <w:rsid w:val="007D25B1"/>
    <w:rsid w:val="007D36A8"/>
    <w:rsid w:val="007D3B55"/>
    <w:rsid w:val="007D3CF2"/>
    <w:rsid w:val="007D4256"/>
    <w:rsid w:val="007D4812"/>
    <w:rsid w:val="007D50D8"/>
    <w:rsid w:val="007D5558"/>
    <w:rsid w:val="007D64AB"/>
    <w:rsid w:val="007D65C0"/>
    <w:rsid w:val="007D727F"/>
    <w:rsid w:val="007E02F5"/>
    <w:rsid w:val="007E1048"/>
    <w:rsid w:val="007E105B"/>
    <w:rsid w:val="007E148D"/>
    <w:rsid w:val="007E183E"/>
    <w:rsid w:val="007E190C"/>
    <w:rsid w:val="007E21F6"/>
    <w:rsid w:val="007E265B"/>
    <w:rsid w:val="007E282C"/>
    <w:rsid w:val="007E319D"/>
    <w:rsid w:val="007E39C1"/>
    <w:rsid w:val="007E3DCF"/>
    <w:rsid w:val="007E50AE"/>
    <w:rsid w:val="007E56F4"/>
    <w:rsid w:val="007E5C99"/>
    <w:rsid w:val="007E5D5E"/>
    <w:rsid w:val="007E6007"/>
    <w:rsid w:val="007E61A2"/>
    <w:rsid w:val="007E6303"/>
    <w:rsid w:val="007E66F4"/>
    <w:rsid w:val="007E6F3A"/>
    <w:rsid w:val="007E7CE4"/>
    <w:rsid w:val="007F0082"/>
    <w:rsid w:val="007F030F"/>
    <w:rsid w:val="007F0685"/>
    <w:rsid w:val="007F0C09"/>
    <w:rsid w:val="007F19DE"/>
    <w:rsid w:val="007F1B12"/>
    <w:rsid w:val="007F21CC"/>
    <w:rsid w:val="007F3005"/>
    <w:rsid w:val="007F30EA"/>
    <w:rsid w:val="007F312C"/>
    <w:rsid w:val="007F4BD8"/>
    <w:rsid w:val="007F5216"/>
    <w:rsid w:val="007F5623"/>
    <w:rsid w:val="007F57A2"/>
    <w:rsid w:val="007F592B"/>
    <w:rsid w:val="007F673F"/>
    <w:rsid w:val="007F675D"/>
    <w:rsid w:val="007F6E90"/>
    <w:rsid w:val="007F72BC"/>
    <w:rsid w:val="007F7D06"/>
    <w:rsid w:val="00800B7B"/>
    <w:rsid w:val="0080127B"/>
    <w:rsid w:val="00801283"/>
    <w:rsid w:val="00801295"/>
    <w:rsid w:val="00801373"/>
    <w:rsid w:val="00801A48"/>
    <w:rsid w:val="00801E54"/>
    <w:rsid w:val="008021DB"/>
    <w:rsid w:val="00802CA2"/>
    <w:rsid w:val="00802E39"/>
    <w:rsid w:val="0080300D"/>
    <w:rsid w:val="0080348E"/>
    <w:rsid w:val="00803657"/>
    <w:rsid w:val="00803DFF"/>
    <w:rsid w:val="00803F1A"/>
    <w:rsid w:val="00804419"/>
    <w:rsid w:val="008046F2"/>
    <w:rsid w:val="00804C14"/>
    <w:rsid w:val="00804FF1"/>
    <w:rsid w:val="0080547E"/>
    <w:rsid w:val="00805C87"/>
    <w:rsid w:val="00805CC8"/>
    <w:rsid w:val="00806624"/>
    <w:rsid w:val="00806C99"/>
    <w:rsid w:val="00806F99"/>
    <w:rsid w:val="00807497"/>
    <w:rsid w:val="00807765"/>
    <w:rsid w:val="008106B8"/>
    <w:rsid w:val="00810B91"/>
    <w:rsid w:val="008112DE"/>
    <w:rsid w:val="00811B39"/>
    <w:rsid w:val="00811E13"/>
    <w:rsid w:val="0081207A"/>
    <w:rsid w:val="0081270A"/>
    <w:rsid w:val="00812D3F"/>
    <w:rsid w:val="0081330B"/>
    <w:rsid w:val="008134E5"/>
    <w:rsid w:val="0081387E"/>
    <w:rsid w:val="008148F6"/>
    <w:rsid w:val="00814CF4"/>
    <w:rsid w:val="008158BE"/>
    <w:rsid w:val="008159E1"/>
    <w:rsid w:val="00815BE9"/>
    <w:rsid w:val="00816C99"/>
    <w:rsid w:val="00816EAD"/>
    <w:rsid w:val="00821707"/>
    <w:rsid w:val="0082195A"/>
    <w:rsid w:val="00821D9D"/>
    <w:rsid w:val="00821E90"/>
    <w:rsid w:val="00822296"/>
    <w:rsid w:val="008224DC"/>
    <w:rsid w:val="00823AAC"/>
    <w:rsid w:val="00823F41"/>
    <w:rsid w:val="008257F4"/>
    <w:rsid w:val="008262DC"/>
    <w:rsid w:val="00826BB7"/>
    <w:rsid w:val="00826D3F"/>
    <w:rsid w:val="00827DB9"/>
    <w:rsid w:val="00827F90"/>
    <w:rsid w:val="008300A6"/>
    <w:rsid w:val="00830384"/>
    <w:rsid w:val="00830D49"/>
    <w:rsid w:val="00830F73"/>
    <w:rsid w:val="0083103E"/>
    <w:rsid w:val="008310B6"/>
    <w:rsid w:val="008312A9"/>
    <w:rsid w:val="0083171D"/>
    <w:rsid w:val="00831856"/>
    <w:rsid w:val="00831EE8"/>
    <w:rsid w:val="00831EF3"/>
    <w:rsid w:val="00832684"/>
    <w:rsid w:val="00832706"/>
    <w:rsid w:val="00832797"/>
    <w:rsid w:val="008327A0"/>
    <w:rsid w:val="008329EA"/>
    <w:rsid w:val="00832C9F"/>
    <w:rsid w:val="00833196"/>
    <w:rsid w:val="008336F6"/>
    <w:rsid w:val="00833F13"/>
    <w:rsid w:val="00834293"/>
    <w:rsid w:val="008346BE"/>
    <w:rsid w:val="00835766"/>
    <w:rsid w:val="0083602C"/>
    <w:rsid w:val="0083676A"/>
    <w:rsid w:val="00836787"/>
    <w:rsid w:val="00836911"/>
    <w:rsid w:val="00836BA7"/>
    <w:rsid w:val="00836C45"/>
    <w:rsid w:val="00837845"/>
    <w:rsid w:val="0083798E"/>
    <w:rsid w:val="0084022F"/>
    <w:rsid w:val="00840448"/>
    <w:rsid w:val="008404EC"/>
    <w:rsid w:val="00840B01"/>
    <w:rsid w:val="008411DA"/>
    <w:rsid w:val="00842268"/>
    <w:rsid w:val="00842970"/>
    <w:rsid w:val="00842CC3"/>
    <w:rsid w:val="00842D8D"/>
    <w:rsid w:val="00842E29"/>
    <w:rsid w:val="00842F28"/>
    <w:rsid w:val="0084330D"/>
    <w:rsid w:val="0084338B"/>
    <w:rsid w:val="0084376B"/>
    <w:rsid w:val="00843F34"/>
    <w:rsid w:val="00844977"/>
    <w:rsid w:val="00844CA6"/>
    <w:rsid w:val="00845209"/>
    <w:rsid w:val="00845402"/>
    <w:rsid w:val="00846350"/>
    <w:rsid w:val="00847035"/>
    <w:rsid w:val="00847291"/>
    <w:rsid w:val="00847371"/>
    <w:rsid w:val="0085003C"/>
    <w:rsid w:val="008501BD"/>
    <w:rsid w:val="008502E2"/>
    <w:rsid w:val="00850E5A"/>
    <w:rsid w:val="0085122F"/>
    <w:rsid w:val="00851358"/>
    <w:rsid w:val="0085188E"/>
    <w:rsid w:val="008519C0"/>
    <w:rsid w:val="00851CC4"/>
    <w:rsid w:val="00851FD1"/>
    <w:rsid w:val="0085266F"/>
    <w:rsid w:val="008527ED"/>
    <w:rsid w:val="00852887"/>
    <w:rsid w:val="008528DF"/>
    <w:rsid w:val="00852A54"/>
    <w:rsid w:val="00852DDC"/>
    <w:rsid w:val="008545BF"/>
    <w:rsid w:val="00854C6C"/>
    <w:rsid w:val="00856149"/>
    <w:rsid w:val="008561DB"/>
    <w:rsid w:val="0085781D"/>
    <w:rsid w:val="00857B77"/>
    <w:rsid w:val="00857EFA"/>
    <w:rsid w:val="0086003A"/>
    <w:rsid w:val="00860331"/>
    <w:rsid w:val="00860A1E"/>
    <w:rsid w:val="00860D3B"/>
    <w:rsid w:val="008611AA"/>
    <w:rsid w:val="00862354"/>
    <w:rsid w:val="008630A4"/>
    <w:rsid w:val="0086318E"/>
    <w:rsid w:val="00863358"/>
    <w:rsid w:val="008633B4"/>
    <w:rsid w:val="008633C2"/>
    <w:rsid w:val="00864612"/>
    <w:rsid w:val="00864B90"/>
    <w:rsid w:val="00864D26"/>
    <w:rsid w:val="00865506"/>
    <w:rsid w:val="00866345"/>
    <w:rsid w:val="0086695D"/>
    <w:rsid w:val="008674B4"/>
    <w:rsid w:val="008675CF"/>
    <w:rsid w:val="0086787E"/>
    <w:rsid w:val="00867941"/>
    <w:rsid w:val="00867C2D"/>
    <w:rsid w:val="00867C82"/>
    <w:rsid w:val="008702A1"/>
    <w:rsid w:val="00870507"/>
    <w:rsid w:val="008712A9"/>
    <w:rsid w:val="0087130E"/>
    <w:rsid w:val="008718DC"/>
    <w:rsid w:val="00871CC9"/>
    <w:rsid w:val="00871F2A"/>
    <w:rsid w:val="008720C5"/>
    <w:rsid w:val="0087293E"/>
    <w:rsid w:val="00872A95"/>
    <w:rsid w:val="00872B0E"/>
    <w:rsid w:val="00873FFE"/>
    <w:rsid w:val="00874504"/>
    <w:rsid w:val="00874698"/>
    <w:rsid w:val="008754D2"/>
    <w:rsid w:val="00875A65"/>
    <w:rsid w:val="00876262"/>
    <w:rsid w:val="00877379"/>
    <w:rsid w:val="00877A27"/>
    <w:rsid w:val="00877F3D"/>
    <w:rsid w:val="00880026"/>
    <w:rsid w:val="0088077F"/>
    <w:rsid w:val="00880B05"/>
    <w:rsid w:val="00881792"/>
    <w:rsid w:val="0088184D"/>
    <w:rsid w:val="00882B01"/>
    <w:rsid w:val="00882C7F"/>
    <w:rsid w:val="008836DE"/>
    <w:rsid w:val="00883A4F"/>
    <w:rsid w:val="00883FBA"/>
    <w:rsid w:val="008840D6"/>
    <w:rsid w:val="0088472B"/>
    <w:rsid w:val="0088518E"/>
    <w:rsid w:val="008851AC"/>
    <w:rsid w:val="008861C5"/>
    <w:rsid w:val="00886D60"/>
    <w:rsid w:val="0088735D"/>
    <w:rsid w:val="0088772E"/>
    <w:rsid w:val="0089002B"/>
    <w:rsid w:val="0089009A"/>
    <w:rsid w:val="00891371"/>
    <w:rsid w:val="0089164E"/>
    <w:rsid w:val="00891A2C"/>
    <w:rsid w:val="00892468"/>
    <w:rsid w:val="008930A9"/>
    <w:rsid w:val="0089386C"/>
    <w:rsid w:val="00893A27"/>
    <w:rsid w:val="00893D1B"/>
    <w:rsid w:val="0089496A"/>
    <w:rsid w:val="00894A0B"/>
    <w:rsid w:val="00894A73"/>
    <w:rsid w:val="00894D11"/>
    <w:rsid w:val="0089510E"/>
    <w:rsid w:val="00895903"/>
    <w:rsid w:val="00895D67"/>
    <w:rsid w:val="00897274"/>
    <w:rsid w:val="0089789A"/>
    <w:rsid w:val="008979B1"/>
    <w:rsid w:val="008A0183"/>
    <w:rsid w:val="008A0509"/>
    <w:rsid w:val="008A0DDD"/>
    <w:rsid w:val="008A112E"/>
    <w:rsid w:val="008A125B"/>
    <w:rsid w:val="008A12AF"/>
    <w:rsid w:val="008A154F"/>
    <w:rsid w:val="008A183F"/>
    <w:rsid w:val="008A21DE"/>
    <w:rsid w:val="008A2214"/>
    <w:rsid w:val="008A34FB"/>
    <w:rsid w:val="008A37BD"/>
    <w:rsid w:val="008A382F"/>
    <w:rsid w:val="008A4B4B"/>
    <w:rsid w:val="008A4DE6"/>
    <w:rsid w:val="008A5034"/>
    <w:rsid w:val="008A523B"/>
    <w:rsid w:val="008A5837"/>
    <w:rsid w:val="008A5A3F"/>
    <w:rsid w:val="008A5D16"/>
    <w:rsid w:val="008A5DAA"/>
    <w:rsid w:val="008A5E64"/>
    <w:rsid w:val="008A616D"/>
    <w:rsid w:val="008A67AC"/>
    <w:rsid w:val="008A691E"/>
    <w:rsid w:val="008A7132"/>
    <w:rsid w:val="008A7553"/>
    <w:rsid w:val="008A7837"/>
    <w:rsid w:val="008B0172"/>
    <w:rsid w:val="008B06CC"/>
    <w:rsid w:val="008B0986"/>
    <w:rsid w:val="008B127E"/>
    <w:rsid w:val="008B12A6"/>
    <w:rsid w:val="008B12B3"/>
    <w:rsid w:val="008B1DDD"/>
    <w:rsid w:val="008B2F37"/>
    <w:rsid w:val="008B3883"/>
    <w:rsid w:val="008B3C0E"/>
    <w:rsid w:val="008B421F"/>
    <w:rsid w:val="008B4946"/>
    <w:rsid w:val="008B4EB3"/>
    <w:rsid w:val="008B4F5A"/>
    <w:rsid w:val="008B5BB3"/>
    <w:rsid w:val="008B66C1"/>
    <w:rsid w:val="008B73EA"/>
    <w:rsid w:val="008B7B57"/>
    <w:rsid w:val="008C001A"/>
    <w:rsid w:val="008C0B4C"/>
    <w:rsid w:val="008C0D1B"/>
    <w:rsid w:val="008C11E8"/>
    <w:rsid w:val="008C1233"/>
    <w:rsid w:val="008C1386"/>
    <w:rsid w:val="008C16C4"/>
    <w:rsid w:val="008C1A77"/>
    <w:rsid w:val="008C1AAB"/>
    <w:rsid w:val="008C338F"/>
    <w:rsid w:val="008C34EF"/>
    <w:rsid w:val="008C3A4D"/>
    <w:rsid w:val="008C4C8E"/>
    <w:rsid w:val="008C50BF"/>
    <w:rsid w:val="008C5155"/>
    <w:rsid w:val="008C58EE"/>
    <w:rsid w:val="008C5922"/>
    <w:rsid w:val="008C6863"/>
    <w:rsid w:val="008C6A44"/>
    <w:rsid w:val="008C6A50"/>
    <w:rsid w:val="008C70BA"/>
    <w:rsid w:val="008C747A"/>
    <w:rsid w:val="008C7A3D"/>
    <w:rsid w:val="008C7ADA"/>
    <w:rsid w:val="008D0195"/>
    <w:rsid w:val="008D0328"/>
    <w:rsid w:val="008D0B39"/>
    <w:rsid w:val="008D1182"/>
    <w:rsid w:val="008D1444"/>
    <w:rsid w:val="008D1676"/>
    <w:rsid w:val="008D19CB"/>
    <w:rsid w:val="008D1CEA"/>
    <w:rsid w:val="008D1D0F"/>
    <w:rsid w:val="008D20C2"/>
    <w:rsid w:val="008D215C"/>
    <w:rsid w:val="008D2729"/>
    <w:rsid w:val="008D2E24"/>
    <w:rsid w:val="008D2F7F"/>
    <w:rsid w:val="008D3905"/>
    <w:rsid w:val="008D423F"/>
    <w:rsid w:val="008D467C"/>
    <w:rsid w:val="008D4694"/>
    <w:rsid w:val="008D46D4"/>
    <w:rsid w:val="008D4799"/>
    <w:rsid w:val="008D4DB9"/>
    <w:rsid w:val="008D5BFC"/>
    <w:rsid w:val="008D6173"/>
    <w:rsid w:val="008D648D"/>
    <w:rsid w:val="008D674C"/>
    <w:rsid w:val="008D6E79"/>
    <w:rsid w:val="008D7650"/>
    <w:rsid w:val="008D7696"/>
    <w:rsid w:val="008E038B"/>
    <w:rsid w:val="008E0508"/>
    <w:rsid w:val="008E0BCF"/>
    <w:rsid w:val="008E0D16"/>
    <w:rsid w:val="008E1616"/>
    <w:rsid w:val="008E1784"/>
    <w:rsid w:val="008E18C5"/>
    <w:rsid w:val="008E1A87"/>
    <w:rsid w:val="008E25F5"/>
    <w:rsid w:val="008E26A3"/>
    <w:rsid w:val="008E294A"/>
    <w:rsid w:val="008E2AA0"/>
    <w:rsid w:val="008E2EF9"/>
    <w:rsid w:val="008E3011"/>
    <w:rsid w:val="008E31EB"/>
    <w:rsid w:val="008E41AE"/>
    <w:rsid w:val="008E4F00"/>
    <w:rsid w:val="008E5549"/>
    <w:rsid w:val="008E5936"/>
    <w:rsid w:val="008E5D66"/>
    <w:rsid w:val="008E5F66"/>
    <w:rsid w:val="008E637E"/>
    <w:rsid w:val="008E66FD"/>
    <w:rsid w:val="008E7334"/>
    <w:rsid w:val="008E7494"/>
    <w:rsid w:val="008F0B20"/>
    <w:rsid w:val="008F1026"/>
    <w:rsid w:val="008F26DE"/>
    <w:rsid w:val="008F39E6"/>
    <w:rsid w:val="008F4227"/>
    <w:rsid w:val="008F43AA"/>
    <w:rsid w:val="008F48E1"/>
    <w:rsid w:val="008F500B"/>
    <w:rsid w:val="008F674C"/>
    <w:rsid w:val="008F738A"/>
    <w:rsid w:val="008F7625"/>
    <w:rsid w:val="008F770F"/>
    <w:rsid w:val="008F7C4E"/>
    <w:rsid w:val="008F7CC8"/>
    <w:rsid w:val="008F7F3A"/>
    <w:rsid w:val="009006AD"/>
    <w:rsid w:val="00900E26"/>
    <w:rsid w:val="009017F2"/>
    <w:rsid w:val="00901C60"/>
    <w:rsid w:val="009020E6"/>
    <w:rsid w:val="00902496"/>
    <w:rsid w:val="009025AE"/>
    <w:rsid w:val="00902724"/>
    <w:rsid w:val="0090281A"/>
    <w:rsid w:val="00903098"/>
    <w:rsid w:val="00903346"/>
    <w:rsid w:val="009034DA"/>
    <w:rsid w:val="00904178"/>
    <w:rsid w:val="009041E2"/>
    <w:rsid w:val="00904B46"/>
    <w:rsid w:val="00904C1D"/>
    <w:rsid w:val="00904FD1"/>
    <w:rsid w:val="00905855"/>
    <w:rsid w:val="0090587C"/>
    <w:rsid w:val="00906DEF"/>
    <w:rsid w:val="009071D0"/>
    <w:rsid w:val="0090742D"/>
    <w:rsid w:val="009075A2"/>
    <w:rsid w:val="009075FE"/>
    <w:rsid w:val="00907922"/>
    <w:rsid w:val="009100D5"/>
    <w:rsid w:val="00910317"/>
    <w:rsid w:val="009107ED"/>
    <w:rsid w:val="00910EF9"/>
    <w:rsid w:val="0091124D"/>
    <w:rsid w:val="00911AB3"/>
    <w:rsid w:val="00911AED"/>
    <w:rsid w:val="00911E89"/>
    <w:rsid w:val="009122D8"/>
    <w:rsid w:val="0091281B"/>
    <w:rsid w:val="0091286A"/>
    <w:rsid w:val="00913518"/>
    <w:rsid w:val="00914E04"/>
    <w:rsid w:val="00914F15"/>
    <w:rsid w:val="009154EA"/>
    <w:rsid w:val="009155E0"/>
    <w:rsid w:val="00915CB1"/>
    <w:rsid w:val="00915E0A"/>
    <w:rsid w:val="00915E7A"/>
    <w:rsid w:val="009163DC"/>
    <w:rsid w:val="00917037"/>
    <w:rsid w:val="009172FB"/>
    <w:rsid w:val="00917763"/>
    <w:rsid w:val="00917CB1"/>
    <w:rsid w:val="0092072B"/>
    <w:rsid w:val="0092115A"/>
    <w:rsid w:val="00921273"/>
    <w:rsid w:val="0092152B"/>
    <w:rsid w:val="00921857"/>
    <w:rsid w:val="00921A36"/>
    <w:rsid w:val="00921B89"/>
    <w:rsid w:val="00921F2F"/>
    <w:rsid w:val="00921FE2"/>
    <w:rsid w:val="009221ED"/>
    <w:rsid w:val="00922C11"/>
    <w:rsid w:val="00922DE1"/>
    <w:rsid w:val="009230A2"/>
    <w:rsid w:val="0092311C"/>
    <w:rsid w:val="00923469"/>
    <w:rsid w:val="00924838"/>
    <w:rsid w:val="00924C94"/>
    <w:rsid w:val="00925056"/>
    <w:rsid w:val="009256FF"/>
    <w:rsid w:val="0092572D"/>
    <w:rsid w:val="00925D80"/>
    <w:rsid w:val="009270CA"/>
    <w:rsid w:val="00927523"/>
    <w:rsid w:val="009303A1"/>
    <w:rsid w:val="009317EC"/>
    <w:rsid w:val="00931E74"/>
    <w:rsid w:val="00932B4C"/>
    <w:rsid w:val="00933816"/>
    <w:rsid w:val="009339E2"/>
    <w:rsid w:val="00933BF2"/>
    <w:rsid w:val="00933D9E"/>
    <w:rsid w:val="009341F8"/>
    <w:rsid w:val="009355EB"/>
    <w:rsid w:val="0093684F"/>
    <w:rsid w:val="00937D22"/>
    <w:rsid w:val="00940A78"/>
    <w:rsid w:val="00940C16"/>
    <w:rsid w:val="00941361"/>
    <w:rsid w:val="00941E12"/>
    <w:rsid w:val="00941F08"/>
    <w:rsid w:val="00942057"/>
    <w:rsid w:val="009424A2"/>
    <w:rsid w:val="009425C6"/>
    <w:rsid w:val="009427B1"/>
    <w:rsid w:val="00942EC3"/>
    <w:rsid w:val="009430A6"/>
    <w:rsid w:val="00943908"/>
    <w:rsid w:val="009440D0"/>
    <w:rsid w:val="00944148"/>
    <w:rsid w:val="0094444B"/>
    <w:rsid w:val="00944DA3"/>
    <w:rsid w:val="009450A4"/>
    <w:rsid w:val="009456B6"/>
    <w:rsid w:val="009458A1"/>
    <w:rsid w:val="00946193"/>
    <w:rsid w:val="00946656"/>
    <w:rsid w:val="00946935"/>
    <w:rsid w:val="00946F0E"/>
    <w:rsid w:val="009474E4"/>
    <w:rsid w:val="00950777"/>
    <w:rsid w:val="00951A9E"/>
    <w:rsid w:val="0095272E"/>
    <w:rsid w:val="00952E66"/>
    <w:rsid w:val="0095311E"/>
    <w:rsid w:val="009545B4"/>
    <w:rsid w:val="00954AA8"/>
    <w:rsid w:val="00954CD5"/>
    <w:rsid w:val="00955153"/>
    <w:rsid w:val="009560A8"/>
    <w:rsid w:val="009565DA"/>
    <w:rsid w:val="00956A71"/>
    <w:rsid w:val="00956B29"/>
    <w:rsid w:val="00956E8A"/>
    <w:rsid w:val="00957741"/>
    <w:rsid w:val="00957FFC"/>
    <w:rsid w:val="00960BC0"/>
    <w:rsid w:val="00960ED6"/>
    <w:rsid w:val="00961489"/>
    <w:rsid w:val="00961590"/>
    <w:rsid w:val="00962103"/>
    <w:rsid w:val="00962DD3"/>
    <w:rsid w:val="009632F2"/>
    <w:rsid w:val="00964330"/>
    <w:rsid w:val="009645BB"/>
    <w:rsid w:val="0096461E"/>
    <w:rsid w:val="0096482B"/>
    <w:rsid w:val="00964C01"/>
    <w:rsid w:val="00964FAB"/>
    <w:rsid w:val="00965492"/>
    <w:rsid w:val="009659F3"/>
    <w:rsid w:val="00965CFA"/>
    <w:rsid w:val="009663DD"/>
    <w:rsid w:val="00966BBD"/>
    <w:rsid w:val="00966DEC"/>
    <w:rsid w:val="00966DFD"/>
    <w:rsid w:val="00967C81"/>
    <w:rsid w:val="00967CC7"/>
    <w:rsid w:val="00967F3C"/>
    <w:rsid w:val="009700E6"/>
    <w:rsid w:val="009708EB"/>
    <w:rsid w:val="00970AEA"/>
    <w:rsid w:val="00970ECF"/>
    <w:rsid w:val="0097100D"/>
    <w:rsid w:val="00972291"/>
    <w:rsid w:val="0097230C"/>
    <w:rsid w:val="0097243A"/>
    <w:rsid w:val="009733F0"/>
    <w:rsid w:val="0097354C"/>
    <w:rsid w:val="009736F3"/>
    <w:rsid w:val="00973C0C"/>
    <w:rsid w:val="00973E1F"/>
    <w:rsid w:val="00973E36"/>
    <w:rsid w:val="0097425C"/>
    <w:rsid w:val="009746F0"/>
    <w:rsid w:val="00974703"/>
    <w:rsid w:val="00974CB0"/>
    <w:rsid w:val="00975881"/>
    <w:rsid w:val="00976117"/>
    <w:rsid w:val="00976625"/>
    <w:rsid w:val="0097668C"/>
    <w:rsid w:val="009771CB"/>
    <w:rsid w:val="00977248"/>
    <w:rsid w:val="00977848"/>
    <w:rsid w:val="00977CA0"/>
    <w:rsid w:val="0098027B"/>
    <w:rsid w:val="009802E5"/>
    <w:rsid w:val="009802F6"/>
    <w:rsid w:val="00980441"/>
    <w:rsid w:val="00980CC3"/>
    <w:rsid w:val="00981180"/>
    <w:rsid w:val="009816D4"/>
    <w:rsid w:val="00981C9E"/>
    <w:rsid w:val="00982965"/>
    <w:rsid w:val="00982C99"/>
    <w:rsid w:val="0098369D"/>
    <w:rsid w:val="00984B00"/>
    <w:rsid w:val="00984BC6"/>
    <w:rsid w:val="00985079"/>
    <w:rsid w:val="009851EE"/>
    <w:rsid w:val="009851FB"/>
    <w:rsid w:val="00985401"/>
    <w:rsid w:val="00985404"/>
    <w:rsid w:val="00985535"/>
    <w:rsid w:val="00985BD6"/>
    <w:rsid w:val="00990239"/>
    <w:rsid w:val="0099141F"/>
    <w:rsid w:val="0099195C"/>
    <w:rsid w:val="00991FB9"/>
    <w:rsid w:val="009922B5"/>
    <w:rsid w:val="00992318"/>
    <w:rsid w:val="009929CA"/>
    <w:rsid w:val="00993735"/>
    <w:rsid w:val="0099496F"/>
    <w:rsid w:val="00994A0C"/>
    <w:rsid w:val="00994B9C"/>
    <w:rsid w:val="00995284"/>
    <w:rsid w:val="0099587F"/>
    <w:rsid w:val="00995AFE"/>
    <w:rsid w:val="00995B30"/>
    <w:rsid w:val="00997522"/>
    <w:rsid w:val="00997529"/>
    <w:rsid w:val="00997E95"/>
    <w:rsid w:val="009A0A73"/>
    <w:rsid w:val="009A11EF"/>
    <w:rsid w:val="009A1409"/>
    <w:rsid w:val="009A1929"/>
    <w:rsid w:val="009A1B95"/>
    <w:rsid w:val="009A2324"/>
    <w:rsid w:val="009A279F"/>
    <w:rsid w:val="009A2A6E"/>
    <w:rsid w:val="009A2B87"/>
    <w:rsid w:val="009A2F9C"/>
    <w:rsid w:val="009A39EE"/>
    <w:rsid w:val="009A43E1"/>
    <w:rsid w:val="009A582F"/>
    <w:rsid w:val="009A5E9F"/>
    <w:rsid w:val="009A7155"/>
    <w:rsid w:val="009A7169"/>
    <w:rsid w:val="009A7662"/>
    <w:rsid w:val="009A790A"/>
    <w:rsid w:val="009A7D3E"/>
    <w:rsid w:val="009B0774"/>
    <w:rsid w:val="009B0A48"/>
    <w:rsid w:val="009B11FA"/>
    <w:rsid w:val="009B189D"/>
    <w:rsid w:val="009B1F32"/>
    <w:rsid w:val="009B21A0"/>
    <w:rsid w:val="009B27F0"/>
    <w:rsid w:val="009B2FF8"/>
    <w:rsid w:val="009B3531"/>
    <w:rsid w:val="009B3A3B"/>
    <w:rsid w:val="009B3C6A"/>
    <w:rsid w:val="009B44B8"/>
    <w:rsid w:val="009B4B16"/>
    <w:rsid w:val="009B4C09"/>
    <w:rsid w:val="009B5025"/>
    <w:rsid w:val="009B550C"/>
    <w:rsid w:val="009B68F0"/>
    <w:rsid w:val="009B69C4"/>
    <w:rsid w:val="009B6D06"/>
    <w:rsid w:val="009B7D4F"/>
    <w:rsid w:val="009C1913"/>
    <w:rsid w:val="009C259C"/>
    <w:rsid w:val="009C2B5B"/>
    <w:rsid w:val="009C2F9E"/>
    <w:rsid w:val="009C3148"/>
    <w:rsid w:val="009C38F1"/>
    <w:rsid w:val="009C435E"/>
    <w:rsid w:val="009C437E"/>
    <w:rsid w:val="009C43DC"/>
    <w:rsid w:val="009C51EF"/>
    <w:rsid w:val="009C595E"/>
    <w:rsid w:val="009C72DA"/>
    <w:rsid w:val="009C73D7"/>
    <w:rsid w:val="009C7834"/>
    <w:rsid w:val="009C7B0A"/>
    <w:rsid w:val="009C7B29"/>
    <w:rsid w:val="009D0035"/>
    <w:rsid w:val="009D011D"/>
    <w:rsid w:val="009D061C"/>
    <w:rsid w:val="009D07AC"/>
    <w:rsid w:val="009D08FA"/>
    <w:rsid w:val="009D0D50"/>
    <w:rsid w:val="009D16E2"/>
    <w:rsid w:val="009D1738"/>
    <w:rsid w:val="009D20B2"/>
    <w:rsid w:val="009D221F"/>
    <w:rsid w:val="009D2EFD"/>
    <w:rsid w:val="009D3DDD"/>
    <w:rsid w:val="009D3FC0"/>
    <w:rsid w:val="009D4138"/>
    <w:rsid w:val="009D4865"/>
    <w:rsid w:val="009D4ADB"/>
    <w:rsid w:val="009D4FE2"/>
    <w:rsid w:val="009D50C8"/>
    <w:rsid w:val="009D553E"/>
    <w:rsid w:val="009D5DFB"/>
    <w:rsid w:val="009D6049"/>
    <w:rsid w:val="009D6106"/>
    <w:rsid w:val="009D61F2"/>
    <w:rsid w:val="009D67EE"/>
    <w:rsid w:val="009D740A"/>
    <w:rsid w:val="009D74F8"/>
    <w:rsid w:val="009D7ADD"/>
    <w:rsid w:val="009E00E7"/>
    <w:rsid w:val="009E04DC"/>
    <w:rsid w:val="009E1124"/>
    <w:rsid w:val="009E1DBB"/>
    <w:rsid w:val="009E241A"/>
    <w:rsid w:val="009E28C2"/>
    <w:rsid w:val="009E2E5E"/>
    <w:rsid w:val="009E2E6D"/>
    <w:rsid w:val="009E35A0"/>
    <w:rsid w:val="009E4395"/>
    <w:rsid w:val="009E49CD"/>
    <w:rsid w:val="009E4F57"/>
    <w:rsid w:val="009E5B67"/>
    <w:rsid w:val="009E5FFB"/>
    <w:rsid w:val="009E61A3"/>
    <w:rsid w:val="009E6387"/>
    <w:rsid w:val="009E69F7"/>
    <w:rsid w:val="009E7433"/>
    <w:rsid w:val="009E756A"/>
    <w:rsid w:val="009E7650"/>
    <w:rsid w:val="009E782A"/>
    <w:rsid w:val="009E7B29"/>
    <w:rsid w:val="009E7D3B"/>
    <w:rsid w:val="009F047B"/>
    <w:rsid w:val="009F0899"/>
    <w:rsid w:val="009F0A3F"/>
    <w:rsid w:val="009F117E"/>
    <w:rsid w:val="009F1275"/>
    <w:rsid w:val="009F2131"/>
    <w:rsid w:val="009F26D4"/>
    <w:rsid w:val="009F26E6"/>
    <w:rsid w:val="009F384C"/>
    <w:rsid w:val="009F4241"/>
    <w:rsid w:val="009F4262"/>
    <w:rsid w:val="009F44CF"/>
    <w:rsid w:val="009F4543"/>
    <w:rsid w:val="009F4B79"/>
    <w:rsid w:val="009F4EE8"/>
    <w:rsid w:val="009F504C"/>
    <w:rsid w:val="009F5108"/>
    <w:rsid w:val="009F55CB"/>
    <w:rsid w:val="009F5662"/>
    <w:rsid w:val="009F57A4"/>
    <w:rsid w:val="009F58B0"/>
    <w:rsid w:val="009F6BB9"/>
    <w:rsid w:val="009F6C91"/>
    <w:rsid w:val="009F6D98"/>
    <w:rsid w:val="009F757C"/>
    <w:rsid w:val="009F76EB"/>
    <w:rsid w:val="009F79DF"/>
    <w:rsid w:val="009F7A20"/>
    <w:rsid w:val="00A000AF"/>
    <w:rsid w:val="00A000EF"/>
    <w:rsid w:val="00A00909"/>
    <w:rsid w:val="00A00FB0"/>
    <w:rsid w:val="00A01CD2"/>
    <w:rsid w:val="00A02047"/>
    <w:rsid w:val="00A0232F"/>
    <w:rsid w:val="00A02819"/>
    <w:rsid w:val="00A02EC9"/>
    <w:rsid w:val="00A03101"/>
    <w:rsid w:val="00A032B3"/>
    <w:rsid w:val="00A035EF"/>
    <w:rsid w:val="00A05F4A"/>
    <w:rsid w:val="00A060A2"/>
    <w:rsid w:val="00A063E9"/>
    <w:rsid w:val="00A064FE"/>
    <w:rsid w:val="00A065E5"/>
    <w:rsid w:val="00A069D3"/>
    <w:rsid w:val="00A06AE4"/>
    <w:rsid w:val="00A06D46"/>
    <w:rsid w:val="00A06FEB"/>
    <w:rsid w:val="00A07072"/>
    <w:rsid w:val="00A0717F"/>
    <w:rsid w:val="00A071C3"/>
    <w:rsid w:val="00A072FC"/>
    <w:rsid w:val="00A0759E"/>
    <w:rsid w:val="00A07600"/>
    <w:rsid w:val="00A0778C"/>
    <w:rsid w:val="00A105C0"/>
    <w:rsid w:val="00A10B70"/>
    <w:rsid w:val="00A10BFE"/>
    <w:rsid w:val="00A10C4B"/>
    <w:rsid w:val="00A10EE9"/>
    <w:rsid w:val="00A1139A"/>
    <w:rsid w:val="00A11D4E"/>
    <w:rsid w:val="00A11E63"/>
    <w:rsid w:val="00A122BA"/>
    <w:rsid w:val="00A12E6B"/>
    <w:rsid w:val="00A1315A"/>
    <w:rsid w:val="00A139D9"/>
    <w:rsid w:val="00A13D1C"/>
    <w:rsid w:val="00A14C3F"/>
    <w:rsid w:val="00A162D5"/>
    <w:rsid w:val="00A16A4D"/>
    <w:rsid w:val="00A16DAE"/>
    <w:rsid w:val="00A177B5"/>
    <w:rsid w:val="00A177E7"/>
    <w:rsid w:val="00A20614"/>
    <w:rsid w:val="00A20948"/>
    <w:rsid w:val="00A2112A"/>
    <w:rsid w:val="00A21E96"/>
    <w:rsid w:val="00A21F4E"/>
    <w:rsid w:val="00A22C5D"/>
    <w:rsid w:val="00A22FC0"/>
    <w:rsid w:val="00A230C5"/>
    <w:rsid w:val="00A2373D"/>
    <w:rsid w:val="00A23A7B"/>
    <w:rsid w:val="00A23AD6"/>
    <w:rsid w:val="00A23B9B"/>
    <w:rsid w:val="00A23D22"/>
    <w:rsid w:val="00A23D34"/>
    <w:rsid w:val="00A2499A"/>
    <w:rsid w:val="00A253D4"/>
    <w:rsid w:val="00A2548A"/>
    <w:rsid w:val="00A25A74"/>
    <w:rsid w:val="00A25FFD"/>
    <w:rsid w:val="00A26711"/>
    <w:rsid w:val="00A267C1"/>
    <w:rsid w:val="00A26C52"/>
    <w:rsid w:val="00A26D5A"/>
    <w:rsid w:val="00A270FA"/>
    <w:rsid w:val="00A277FB"/>
    <w:rsid w:val="00A27D4D"/>
    <w:rsid w:val="00A300F3"/>
    <w:rsid w:val="00A302B6"/>
    <w:rsid w:val="00A3069E"/>
    <w:rsid w:val="00A306B7"/>
    <w:rsid w:val="00A30A31"/>
    <w:rsid w:val="00A3145F"/>
    <w:rsid w:val="00A31497"/>
    <w:rsid w:val="00A31918"/>
    <w:rsid w:val="00A31CB1"/>
    <w:rsid w:val="00A32781"/>
    <w:rsid w:val="00A3339C"/>
    <w:rsid w:val="00A3378D"/>
    <w:rsid w:val="00A33CC5"/>
    <w:rsid w:val="00A33E2D"/>
    <w:rsid w:val="00A34931"/>
    <w:rsid w:val="00A36081"/>
    <w:rsid w:val="00A36436"/>
    <w:rsid w:val="00A36927"/>
    <w:rsid w:val="00A375AF"/>
    <w:rsid w:val="00A37791"/>
    <w:rsid w:val="00A37A8D"/>
    <w:rsid w:val="00A37C67"/>
    <w:rsid w:val="00A37D46"/>
    <w:rsid w:val="00A40569"/>
    <w:rsid w:val="00A42093"/>
    <w:rsid w:val="00A4269F"/>
    <w:rsid w:val="00A4282A"/>
    <w:rsid w:val="00A42BF0"/>
    <w:rsid w:val="00A42ECB"/>
    <w:rsid w:val="00A4310D"/>
    <w:rsid w:val="00A432A0"/>
    <w:rsid w:val="00A43545"/>
    <w:rsid w:val="00A43594"/>
    <w:rsid w:val="00A439E1"/>
    <w:rsid w:val="00A43D47"/>
    <w:rsid w:val="00A43E30"/>
    <w:rsid w:val="00A4465A"/>
    <w:rsid w:val="00A44A68"/>
    <w:rsid w:val="00A45270"/>
    <w:rsid w:val="00A45633"/>
    <w:rsid w:val="00A45658"/>
    <w:rsid w:val="00A4588D"/>
    <w:rsid w:val="00A461E9"/>
    <w:rsid w:val="00A4683D"/>
    <w:rsid w:val="00A469BB"/>
    <w:rsid w:val="00A46B3B"/>
    <w:rsid w:val="00A46FDE"/>
    <w:rsid w:val="00A471B0"/>
    <w:rsid w:val="00A473A1"/>
    <w:rsid w:val="00A47845"/>
    <w:rsid w:val="00A47F3D"/>
    <w:rsid w:val="00A50352"/>
    <w:rsid w:val="00A507FA"/>
    <w:rsid w:val="00A51598"/>
    <w:rsid w:val="00A516E7"/>
    <w:rsid w:val="00A51FCA"/>
    <w:rsid w:val="00A522BF"/>
    <w:rsid w:val="00A527E0"/>
    <w:rsid w:val="00A53AB6"/>
    <w:rsid w:val="00A53E17"/>
    <w:rsid w:val="00A53F46"/>
    <w:rsid w:val="00A5409E"/>
    <w:rsid w:val="00A54356"/>
    <w:rsid w:val="00A54796"/>
    <w:rsid w:val="00A559E3"/>
    <w:rsid w:val="00A55D8E"/>
    <w:rsid w:val="00A55FD5"/>
    <w:rsid w:val="00A56088"/>
    <w:rsid w:val="00A56799"/>
    <w:rsid w:val="00A56CFD"/>
    <w:rsid w:val="00A57034"/>
    <w:rsid w:val="00A5790E"/>
    <w:rsid w:val="00A57DCF"/>
    <w:rsid w:val="00A57E63"/>
    <w:rsid w:val="00A6002A"/>
    <w:rsid w:val="00A60122"/>
    <w:rsid w:val="00A60545"/>
    <w:rsid w:val="00A60F9F"/>
    <w:rsid w:val="00A61700"/>
    <w:rsid w:val="00A61E41"/>
    <w:rsid w:val="00A62651"/>
    <w:rsid w:val="00A62B2E"/>
    <w:rsid w:val="00A63B27"/>
    <w:rsid w:val="00A6456E"/>
    <w:rsid w:val="00A651AB"/>
    <w:rsid w:val="00A653DE"/>
    <w:rsid w:val="00A65855"/>
    <w:rsid w:val="00A65B48"/>
    <w:rsid w:val="00A667AB"/>
    <w:rsid w:val="00A66BAF"/>
    <w:rsid w:val="00A66E7D"/>
    <w:rsid w:val="00A67DEC"/>
    <w:rsid w:val="00A702C9"/>
    <w:rsid w:val="00A7039E"/>
    <w:rsid w:val="00A70857"/>
    <w:rsid w:val="00A70BFF"/>
    <w:rsid w:val="00A70C8F"/>
    <w:rsid w:val="00A70DB4"/>
    <w:rsid w:val="00A71F6A"/>
    <w:rsid w:val="00A728F0"/>
    <w:rsid w:val="00A729AF"/>
    <w:rsid w:val="00A72C3F"/>
    <w:rsid w:val="00A72D8D"/>
    <w:rsid w:val="00A7325F"/>
    <w:rsid w:val="00A734BA"/>
    <w:rsid w:val="00A7352B"/>
    <w:rsid w:val="00A74284"/>
    <w:rsid w:val="00A743A3"/>
    <w:rsid w:val="00A74420"/>
    <w:rsid w:val="00A74C0A"/>
    <w:rsid w:val="00A753F4"/>
    <w:rsid w:val="00A75728"/>
    <w:rsid w:val="00A77078"/>
    <w:rsid w:val="00A770E0"/>
    <w:rsid w:val="00A774CD"/>
    <w:rsid w:val="00A808AD"/>
    <w:rsid w:val="00A81319"/>
    <w:rsid w:val="00A81713"/>
    <w:rsid w:val="00A81971"/>
    <w:rsid w:val="00A823FE"/>
    <w:rsid w:val="00A83CB8"/>
    <w:rsid w:val="00A84872"/>
    <w:rsid w:val="00A848E3"/>
    <w:rsid w:val="00A8490C"/>
    <w:rsid w:val="00A84A6E"/>
    <w:rsid w:val="00A85042"/>
    <w:rsid w:val="00A86501"/>
    <w:rsid w:val="00A87303"/>
    <w:rsid w:val="00A873DC"/>
    <w:rsid w:val="00A87BEB"/>
    <w:rsid w:val="00A901AA"/>
    <w:rsid w:val="00A90D86"/>
    <w:rsid w:val="00A915D0"/>
    <w:rsid w:val="00A919DC"/>
    <w:rsid w:val="00A92C69"/>
    <w:rsid w:val="00A935D1"/>
    <w:rsid w:val="00A93DF7"/>
    <w:rsid w:val="00A9410D"/>
    <w:rsid w:val="00A94F3B"/>
    <w:rsid w:val="00A96085"/>
    <w:rsid w:val="00A961AC"/>
    <w:rsid w:val="00A97112"/>
    <w:rsid w:val="00A97491"/>
    <w:rsid w:val="00A97B6D"/>
    <w:rsid w:val="00AA06D8"/>
    <w:rsid w:val="00AA0715"/>
    <w:rsid w:val="00AA0913"/>
    <w:rsid w:val="00AA0BC4"/>
    <w:rsid w:val="00AA0EDB"/>
    <w:rsid w:val="00AA145F"/>
    <w:rsid w:val="00AA1550"/>
    <w:rsid w:val="00AA1D44"/>
    <w:rsid w:val="00AA1EBE"/>
    <w:rsid w:val="00AA22CE"/>
    <w:rsid w:val="00AA32B2"/>
    <w:rsid w:val="00AA3441"/>
    <w:rsid w:val="00AA3F67"/>
    <w:rsid w:val="00AA4729"/>
    <w:rsid w:val="00AA4923"/>
    <w:rsid w:val="00AA4AE9"/>
    <w:rsid w:val="00AA58A7"/>
    <w:rsid w:val="00AA5B58"/>
    <w:rsid w:val="00AA5BD2"/>
    <w:rsid w:val="00AA5D65"/>
    <w:rsid w:val="00AA6737"/>
    <w:rsid w:val="00AA69A1"/>
    <w:rsid w:val="00AB043E"/>
    <w:rsid w:val="00AB1659"/>
    <w:rsid w:val="00AB239D"/>
    <w:rsid w:val="00AB244A"/>
    <w:rsid w:val="00AB2893"/>
    <w:rsid w:val="00AB2953"/>
    <w:rsid w:val="00AB2C2D"/>
    <w:rsid w:val="00AB2DD8"/>
    <w:rsid w:val="00AB397C"/>
    <w:rsid w:val="00AB39C3"/>
    <w:rsid w:val="00AB3CBB"/>
    <w:rsid w:val="00AB4138"/>
    <w:rsid w:val="00AB4D16"/>
    <w:rsid w:val="00AB524E"/>
    <w:rsid w:val="00AB58EC"/>
    <w:rsid w:val="00AB5D04"/>
    <w:rsid w:val="00AB5E4E"/>
    <w:rsid w:val="00AB5EC5"/>
    <w:rsid w:val="00AB5F18"/>
    <w:rsid w:val="00AB614A"/>
    <w:rsid w:val="00AB620F"/>
    <w:rsid w:val="00AB69AF"/>
    <w:rsid w:val="00AB6D09"/>
    <w:rsid w:val="00AB6D7B"/>
    <w:rsid w:val="00AB6EEB"/>
    <w:rsid w:val="00AB7529"/>
    <w:rsid w:val="00AB7DA2"/>
    <w:rsid w:val="00AB7EAC"/>
    <w:rsid w:val="00AC09F2"/>
    <w:rsid w:val="00AC239F"/>
    <w:rsid w:val="00AC240C"/>
    <w:rsid w:val="00AC33C2"/>
    <w:rsid w:val="00AC3AE0"/>
    <w:rsid w:val="00AC403D"/>
    <w:rsid w:val="00AC42A7"/>
    <w:rsid w:val="00AC432F"/>
    <w:rsid w:val="00AC4B2B"/>
    <w:rsid w:val="00AC4C7B"/>
    <w:rsid w:val="00AC5070"/>
    <w:rsid w:val="00AC5121"/>
    <w:rsid w:val="00AC5A57"/>
    <w:rsid w:val="00AC7141"/>
    <w:rsid w:val="00AC766A"/>
    <w:rsid w:val="00AD062C"/>
    <w:rsid w:val="00AD0C11"/>
    <w:rsid w:val="00AD0C54"/>
    <w:rsid w:val="00AD1752"/>
    <w:rsid w:val="00AD1BE5"/>
    <w:rsid w:val="00AD2725"/>
    <w:rsid w:val="00AD3717"/>
    <w:rsid w:val="00AD445B"/>
    <w:rsid w:val="00AD50E3"/>
    <w:rsid w:val="00AD563B"/>
    <w:rsid w:val="00AD567A"/>
    <w:rsid w:val="00AD58A6"/>
    <w:rsid w:val="00AD5B4E"/>
    <w:rsid w:val="00AD6979"/>
    <w:rsid w:val="00AD76C4"/>
    <w:rsid w:val="00AD76D6"/>
    <w:rsid w:val="00AD7BA3"/>
    <w:rsid w:val="00AE01F3"/>
    <w:rsid w:val="00AE055E"/>
    <w:rsid w:val="00AE1045"/>
    <w:rsid w:val="00AE1470"/>
    <w:rsid w:val="00AE174A"/>
    <w:rsid w:val="00AE2429"/>
    <w:rsid w:val="00AE3037"/>
    <w:rsid w:val="00AE388D"/>
    <w:rsid w:val="00AE4312"/>
    <w:rsid w:val="00AE48EE"/>
    <w:rsid w:val="00AE4BA6"/>
    <w:rsid w:val="00AE5627"/>
    <w:rsid w:val="00AE63C5"/>
    <w:rsid w:val="00AE65EC"/>
    <w:rsid w:val="00AF02BF"/>
    <w:rsid w:val="00AF02FF"/>
    <w:rsid w:val="00AF08C7"/>
    <w:rsid w:val="00AF0A26"/>
    <w:rsid w:val="00AF1443"/>
    <w:rsid w:val="00AF1C3D"/>
    <w:rsid w:val="00AF23EE"/>
    <w:rsid w:val="00AF2411"/>
    <w:rsid w:val="00AF2961"/>
    <w:rsid w:val="00AF3971"/>
    <w:rsid w:val="00AF408F"/>
    <w:rsid w:val="00AF50AC"/>
    <w:rsid w:val="00AF528B"/>
    <w:rsid w:val="00AF5593"/>
    <w:rsid w:val="00AF5A0C"/>
    <w:rsid w:val="00AF6389"/>
    <w:rsid w:val="00AF6FBD"/>
    <w:rsid w:val="00AF716F"/>
    <w:rsid w:val="00AF7D42"/>
    <w:rsid w:val="00B00377"/>
    <w:rsid w:val="00B009F3"/>
    <w:rsid w:val="00B01D24"/>
    <w:rsid w:val="00B02621"/>
    <w:rsid w:val="00B03138"/>
    <w:rsid w:val="00B03F76"/>
    <w:rsid w:val="00B047B6"/>
    <w:rsid w:val="00B04A16"/>
    <w:rsid w:val="00B04B15"/>
    <w:rsid w:val="00B050E7"/>
    <w:rsid w:val="00B0521F"/>
    <w:rsid w:val="00B05425"/>
    <w:rsid w:val="00B054D8"/>
    <w:rsid w:val="00B0582F"/>
    <w:rsid w:val="00B05A4B"/>
    <w:rsid w:val="00B05ED8"/>
    <w:rsid w:val="00B0606C"/>
    <w:rsid w:val="00B065F2"/>
    <w:rsid w:val="00B0744A"/>
    <w:rsid w:val="00B074A9"/>
    <w:rsid w:val="00B07739"/>
    <w:rsid w:val="00B077CB"/>
    <w:rsid w:val="00B106B6"/>
    <w:rsid w:val="00B10D10"/>
    <w:rsid w:val="00B110AD"/>
    <w:rsid w:val="00B1130B"/>
    <w:rsid w:val="00B113BE"/>
    <w:rsid w:val="00B11C74"/>
    <w:rsid w:val="00B12A07"/>
    <w:rsid w:val="00B130E0"/>
    <w:rsid w:val="00B1390D"/>
    <w:rsid w:val="00B13F47"/>
    <w:rsid w:val="00B14012"/>
    <w:rsid w:val="00B14F4E"/>
    <w:rsid w:val="00B160A9"/>
    <w:rsid w:val="00B16494"/>
    <w:rsid w:val="00B16955"/>
    <w:rsid w:val="00B16F7A"/>
    <w:rsid w:val="00B170B9"/>
    <w:rsid w:val="00B170ED"/>
    <w:rsid w:val="00B17446"/>
    <w:rsid w:val="00B17631"/>
    <w:rsid w:val="00B17D43"/>
    <w:rsid w:val="00B17F89"/>
    <w:rsid w:val="00B17FC7"/>
    <w:rsid w:val="00B20328"/>
    <w:rsid w:val="00B2071C"/>
    <w:rsid w:val="00B21B7D"/>
    <w:rsid w:val="00B22172"/>
    <w:rsid w:val="00B23432"/>
    <w:rsid w:val="00B236A3"/>
    <w:rsid w:val="00B2403A"/>
    <w:rsid w:val="00B24544"/>
    <w:rsid w:val="00B247BC"/>
    <w:rsid w:val="00B24F99"/>
    <w:rsid w:val="00B256B5"/>
    <w:rsid w:val="00B257F6"/>
    <w:rsid w:val="00B25E9A"/>
    <w:rsid w:val="00B26111"/>
    <w:rsid w:val="00B261F8"/>
    <w:rsid w:val="00B262AD"/>
    <w:rsid w:val="00B26488"/>
    <w:rsid w:val="00B265F6"/>
    <w:rsid w:val="00B2681B"/>
    <w:rsid w:val="00B274DD"/>
    <w:rsid w:val="00B27A54"/>
    <w:rsid w:val="00B27E93"/>
    <w:rsid w:val="00B30376"/>
    <w:rsid w:val="00B30B20"/>
    <w:rsid w:val="00B314B5"/>
    <w:rsid w:val="00B31897"/>
    <w:rsid w:val="00B31D11"/>
    <w:rsid w:val="00B3222D"/>
    <w:rsid w:val="00B3230D"/>
    <w:rsid w:val="00B33484"/>
    <w:rsid w:val="00B33D82"/>
    <w:rsid w:val="00B34350"/>
    <w:rsid w:val="00B352D8"/>
    <w:rsid w:val="00B3609A"/>
    <w:rsid w:val="00B36178"/>
    <w:rsid w:val="00B3632F"/>
    <w:rsid w:val="00B363B8"/>
    <w:rsid w:val="00B3693B"/>
    <w:rsid w:val="00B36E6A"/>
    <w:rsid w:val="00B3739D"/>
    <w:rsid w:val="00B3740D"/>
    <w:rsid w:val="00B3745C"/>
    <w:rsid w:val="00B401BF"/>
    <w:rsid w:val="00B40719"/>
    <w:rsid w:val="00B40DC7"/>
    <w:rsid w:val="00B41A6B"/>
    <w:rsid w:val="00B41C96"/>
    <w:rsid w:val="00B4264D"/>
    <w:rsid w:val="00B42AB6"/>
    <w:rsid w:val="00B435B3"/>
    <w:rsid w:val="00B43A1A"/>
    <w:rsid w:val="00B43AD7"/>
    <w:rsid w:val="00B43CF9"/>
    <w:rsid w:val="00B44B40"/>
    <w:rsid w:val="00B4506E"/>
    <w:rsid w:val="00B45611"/>
    <w:rsid w:val="00B45D5C"/>
    <w:rsid w:val="00B461F6"/>
    <w:rsid w:val="00B46640"/>
    <w:rsid w:val="00B46801"/>
    <w:rsid w:val="00B46BC1"/>
    <w:rsid w:val="00B47C90"/>
    <w:rsid w:val="00B500A8"/>
    <w:rsid w:val="00B5084E"/>
    <w:rsid w:val="00B521D2"/>
    <w:rsid w:val="00B52683"/>
    <w:rsid w:val="00B5305F"/>
    <w:rsid w:val="00B53AEA"/>
    <w:rsid w:val="00B53D99"/>
    <w:rsid w:val="00B5435A"/>
    <w:rsid w:val="00B54619"/>
    <w:rsid w:val="00B54F54"/>
    <w:rsid w:val="00B551DE"/>
    <w:rsid w:val="00B556B8"/>
    <w:rsid w:val="00B55B30"/>
    <w:rsid w:val="00B5615D"/>
    <w:rsid w:val="00B564E4"/>
    <w:rsid w:val="00B567D0"/>
    <w:rsid w:val="00B5755A"/>
    <w:rsid w:val="00B57C3F"/>
    <w:rsid w:val="00B603F9"/>
    <w:rsid w:val="00B609FC"/>
    <w:rsid w:val="00B616F8"/>
    <w:rsid w:val="00B61D4C"/>
    <w:rsid w:val="00B63F78"/>
    <w:rsid w:val="00B63FC5"/>
    <w:rsid w:val="00B64498"/>
    <w:rsid w:val="00B6476F"/>
    <w:rsid w:val="00B64774"/>
    <w:rsid w:val="00B64F65"/>
    <w:rsid w:val="00B651DB"/>
    <w:rsid w:val="00B659E7"/>
    <w:rsid w:val="00B65AC8"/>
    <w:rsid w:val="00B65D3C"/>
    <w:rsid w:val="00B65F51"/>
    <w:rsid w:val="00B66783"/>
    <w:rsid w:val="00B66B4B"/>
    <w:rsid w:val="00B66FD5"/>
    <w:rsid w:val="00B67778"/>
    <w:rsid w:val="00B67BFD"/>
    <w:rsid w:val="00B701F7"/>
    <w:rsid w:val="00B70C92"/>
    <w:rsid w:val="00B7222E"/>
    <w:rsid w:val="00B731EB"/>
    <w:rsid w:val="00B73B28"/>
    <w:rsid w:val="00B740B7"/>
    <w:rsid w:val="00B7513E"/>
    <w:rsid w:val="00B754F1"/>
    <w:rsid w:val="00B75714"/>
    <w:rsid w:val="00B75B9D"/>
    <w:rsid w:val="00B76C5F"/>
    <w:rsid w:val="00B76D08"/>
    <w:rsid w:val="00B770F8"/>
    <w:rsid w:val="00B77274"/>
    <w:rsid w:val="00B77D4F"/>
    <w:rsid w:val="00B803C4"/>
    <w:rsid w:val="00B80D48"/>
    <w:rsid w:val="00B811F8"/>
    <w:rsid w:val="00B81B03"/>
    <w:rsid w:val="00B8270A"/>
    <w:rsid w:val="00B827C4"/>
    <w:rsid w:val="00B828FA"/>
    <w:rsid w:val="00B82E49"/>
    <w:rsid w:val="00B82FB4"/>
    <w:rsid w:val="00B83154"/>
    <w:rsid w:val="00B83191"/>
    <w:rsid w:val="00B83833"/>
    <w:rsid w:val="00B83919"/>
    <w:rsid w:val="00B83CC7"/>
    <w:rsid w:val="00B83E84"/>
    <w:rsid w:val="00B83E8F"/>
    <w:rsid w:val="00B848A5"/>
    <w:rsid w:val="00B84D65"/>
    <w:rsid w:val="00B856A2"/>
    <w:rsid w:val="00B85AF5"/>
    <w:rsid w:val="00B85D43"/>
    <w:rsid w:val="00B870F0"/>
    <w:rsid w:val="00B87402"/>
    <w:rsid w:val="00B875A8"/>
    <w:rsid w:val="00B87794"/>
    <w:rsid w:val="00B87808"/>
    <w:rsid w:val="00B87970"/>
    <w:rsid w:val="00B87ECD"/>
    <w:rsid w:val="00B87EEB"/>
    <w:rsid w:val="00B91040"/>
    <w:rsid w:val="00B914A9"/>
    <w:rsid w:val="00B914E2"/>
    <w:rsid w:val="00B9206A"/>
    <w:rsid w:val="00B9219E"/>
    <w:rsid w:val="00B92F24"/>
    <w:rsid w:val="00B92F44"/>
    <w:rsid w:val="00B93CCB"/>
    <w:rsid w:val="00B941D7"/>
    <w:rsid w:val="00B9451C"/>
    <w:rsid w:val="00B95209"/>
    <w:rsid w:val="00B95295"/>
    <w:rsid w:val="00B95990"/>
    <w:rsid w:val="00B964BA"/>
    <w:rsid w:val="00B96A48"/>
    <w:rsid w:val="00B96EDD"/>
    <w:rsid w:val="00B97AB2"/>
    <w:rsid w:val="00B97F38"/>
    <w:rsid w:val="00BA0F1E"/>
    <w:rsid w:val="00BA0F93"/>
    <w:rsid w:val="00BA12D7"/>
    <w:rsid w:val="00BA1870"/>
    <w:rsid w:val="00BA1A19"/>
    <w:rsid w:val="00BA2933"/>
    <w:rsid w:val="00BA36BC"/>
    <w:rsid w:val="00BA3783"/>
    <w:rsid w:val="00BA383D"/>
    <w:rsid w:val="00BA39E9"/>
    <w:rsid w:val="00BA3FCF"/>
    <w:rsid w:val="00BA45D2"/>
    <w:rsid w:val="00BA4942"/>
    <w:rsid w:val="00BA4C1B"/>
    <w:rsid w:val="00BA5622"/>
    <w:rsid w:val="00BA5A7E"/>
    <w:rsid w:val="00BA5F0D"/>
    <w:rsid w:val="00BA611D"/>
    <w:rsid w:val="00BA614F"/>
    <w:rsid w:val="00BA628D"/>
    <w:rsid w:val="00BA67B0"/>
    <w:rsid w:val="00BA699E"/>
    <w:rsid w:val="00BA747B"/>
    <w:rsid w:val="00BA752E"/>
    <w:rsid w:val="00BA77A8"/>
    <w:rsid w:val="00BA7A9A"/>
    <w:rsid w:val="00BA7E97"/>
    <w:rsid w:val="00BB06F0"/>
    <w:rsid w:val="00BB089D"/>
    <w:rsid w:val="00BB0919"/>
    <w:rsid w:val="00BB09C0"/>
    <w:rsid w:val="00BB0DC7"/>
    <w:rsid w:val="00BB124F"/>
    <w:rsid w:val="00BB12A8"/>
    <w:rsid w:val="00BB1423"/>
    <w:rsid w:val="00BB1FC7"/>
    <w:rsid w:val="00BB299C"/>
    <w:rsid w:val="00BB2C60"/>
    <w:rsid w:val="00BB2DE7"/>
    <w:rsid w:val="00BB393C"/>
    <w:rsid w:val="00BB4239"/>
    <w:rsid w:val="00BB4C12"/>
    <w:rsid w:val="00BB5545"/>
    <w:rsid w:val="00BB5915"/>
    <w:rsid w:val="00BB5D7F"/>
    <w:rsid w:val="00BB5F96"/>
    <w:rsid w:val="00BB6303"/>
    <w:rsid w:val="00BB671F"/>
    <w:rsid w:val="00BB690D"/>
    <w:rsid w:val="00BB7634"/>
    <w:rsid w:val="00BB79D9"/>
    <w:rsid w:val="00BB7B8C"/>
    <w:rsid w:val="00BC0509"/>
    <w:rsid w:val="00BC0942"/>
    <w:rsid w:val="00BC1002"/>
    <w:rsid w:val="00BC1351"/>
    <w:rsid w:val="00BC15D1"/>
    <w:rsid w:val="00BC1F73"/>
    <w:rsid w:val="00BC34B6"/>
    <w:rsid w:val="00BC38AD"/>
    <w:rsid w:val="00BC4C0D"/>
    <w:rsid w:val="00BC4F61"/>
    <w:rsid w:val="00BC53CB"/>
    <w:rsid w:val="00BC66E3"/>
    <w:rsid w:val="00BC69E8"/>
    <w:rsid w:val="00BC7575"/>
    <w:rsid w:val="00BC75FB"/>
    <w:rsid w:val="00BC7D10"/>
    <w:rsid w:val="00BD03CC"/>
    <w:rsid w:val="00BD0421"/>
    <w:rsid w:val="00BD07C7"/>
    <w:rsid w:val="00BD0B41"/>
    <w:rsid w:val="00BD0BE0"/>
    <w:rsid w:val="00BD13F5"/>
    <w:rsid w:val="00BD1934"/>
    <w:rsid w:val="00BD1D3C"/>
    <w:rsid w:val="00BD228E"/>
    <w:rsid w:val="00BD239A"/>
    <w:rsid w:val="00BD250C"/>
    <w:rsid w:val="00BD2B3A"/>
    <w:rsid w:val="00BD2DCF"/>
    <w:rsid w:val="00BD360F"/>
    <w:rsid w:val="00BD414C"/>
    <w:rsid w:val="00BD446C"/>
    <w:rsid w:val="00BD45E1"/>
    <w:rsid w:val="00BD577F"/>
    <w:rsid w:val="00BD5893"/>
    <w:rsid w:val="00BD6C36"/>
    <w:rsid w:val="00BD7441"/>
    <w:rsid w:val="00BD75FE"/>
    <w:rsid w:val="00BD7657"/>
    <w:rsid w:val="00BE0001"/>
    <w:rsid w:val="00BE03A8"/>
    <w:rsid w:val="00BE079A"/>
    <w:rsid w:val="00BE082C"/>
    <w:rsid w:val="00BE0A30"/>
    <w:rsid w:val="00BE0D84"/>
    <w:rsid w:val="00BE0F18"/>
    <w:rsid w:val="00BE0FE6"/>
    <w:rsid w:val="00BE11B5"/>
    <w:rsid w:val="00BE160C"/>
    <w:rsid w:val="00BE1ABA"/>
    <w:rsid w:val="00BE1D64"/>
    <w:rsid w:val="00BE1FAA"/>
    <w:rsid w:val="00BE28CD"/>
    <w:rsid w:val="00BE2B42"/>
    <w:rsid w:val="00BE2EE4"/>
    <w:rsid w:val="00BE2F99"/>
    <w:rsid w:val="00BE36FB"/>
    <w:rsid w:val="00BE4824"/>
    <w:rsid w:val="00BE497F"/>
    <w:rsid w:val="00BE5473"/>
    <w:rsid w:val="00BE5792"/>
    <w:rsid w:val="00BE57B4"/>
    <w:rsid w:val="00BE5DAE"/>
    <w:rsid w:val="00BE5F51"/>
    <w:rsid w:val="00BE6505"/>
    <w:rsid w:val="00BE6AB2"/>
    <w:rsid w:val="00BE6CB4"/>
    <w:rsid w:val="00BE7EA9"/>
    <w:rsid w:val="00BE7F0B"/>
    <w:rsid w:val="00BF020A"/>
    <w:rsid w:val="00BF1047"/>
    <w:rsid w:val="00BF1651"/>
    <w:rsid w:val="00BF1B6C"/>
    <w:rsid w:val="00BF1DC4"/>
    <w:rsid w:val="00BF28E2"/>
    <w:rsid w:val="00BF2F4B"/>
    <w:rsid w:val="00BF3903"/>
    <w:rsid w:val="00BF3992"/>
    <w:rsid w:val="00BF47E8"/>
    <w:rsid w:val="00BF534A"/>
    <w:rsid w:val="00BF57FA"/>
    <w:rsid w:val="00BF5E8A"/>
    <w:rsid w:val="00BF64F4"/>
    <w:rsid w:val="00BF6B2A"/>
    <w:rsid w:val="00BF6BF5"/>
    <w:rsid w:val="00BF7C2E"/>
    <w:rsid w:val="00BF7DB1"/>
    <w:rsid w:val="00C007A1"/>
    <w:rsid w:val="00C00A71"/>
    <w:rsid w:val="00C00EB6"/>
    <w:rsid w:val="00C00F87"/>
    <w:rsid w:val="00C00FB6"/>
    <w:rsid w:val="00C01532"/>
    <w:rsid w:val="00C0189B"/>
    <w:rsid w:val="00C0221F"/>
    <w:rsid w:val="00C02338"/>
    <w:rsid w:val="00C03082"/>
    <w:rsid w:val="00C0351B"/>
    <w:rsid w:val="00C05176"/>
    <w:rsid w:val="00C065F3"/>
    <w:rsid w:val="00C06C8F"/>
    <w:rsid w:val="00C073B0"/>
    <w:rsid w:val="00C07769"/>
    <w:rsid w:val="00C07911"/>
    <w:rsid w:val="00C07CBB"/>
    <w:rsid w:val="00C1021F"/>
    <w:rsid w:val="00C10546"/>
    <w:rsid w:val="00C10D05"/>
    <w:rsid w:val="00C11640"/>
    <w:rsid w:val="00C123A3"/>
    <w:rsid w:val="00C1249F"/>
    <w:rsid w:val="00C128E6"/>
    <w:rsid w:val="00C13314"/>
    <w:rsid w:val="00C1354C"/>
    <w:rsid w:val="00C13711"/>
    <w:rsid w:val="00C13748"/>
    <w:rsid w:val="00C14707"/>
    <w:rsid w:val="00C14994"/>
    <w:rsid w:val="00C14FDD"/>
    <w:rsid w:val="00C15064"/>
    <w:rsid w:val="00C1573B"/>
    <w:rsid w:val="00C15C08"/>
    <w:rsid w:val="00C15C10"/>
    <w:rsid w:val="00C15D13"/>
    <w:rsid w:val="00C15DF4"/>
    <w:rsid w:val="00C16903"/>
    <w:rsid w:val="00C16A35"/>
    <w:rsid w:val="00C16A38"/>
    <w:rsid w:val="00C17246"/>
    <w:rsid w:val="00C202CA"/>
    <w:rsid w:val="00C20444"/>
    <w:rsid w:val="00C204A1"/>
    <w:rsid w:val="00C2055A"/>
    <w:rsid w:val="00C20561"/>
    <w:rsid w:val="00C20923"/>
    <w:rsid w:val="00C20A1E"/>
    <w:rsid w:val="00C20B40"/>
    <w:rsid w:val="00C2138D"/>
    <w:rsid w:val="00C2186F"/>
    <w:rsid w:val="00C22EEB"/>
    <w:rsid w:val="00C2306E"/>
    <w:rsid w:val="00C23B6F"/>
    <w:rsid w:val="00C24000"/>
    <w:rsid w:val="00C243FE"/>
    <w:rsid w:val="00C2519C"/>
    <w:rsid w:val="00C251B1"/>
    <w:rsid w:val="00C25384"/>
    <w:rsid w:val="00C25BDE"/>
    <w:rsid w:val="00C25C99"/>
    <w:rsid w:val="00C25E75"/>
    <w:rsid w:val="00C26096"/>
    <w:rsid w:val="00C264C7"/>
    <w:rsid w:val="00C265CE"/>
    <w:rsid w:val="00C267E3"/>
    <w:rsid w:val="00C26A3A"/>
    <w:rsid w:val="00C27018"/>
    <w:rsid w:val="00C31089"/>
    <w:rsid w:val="00C315FD"/>
    <w:rsid w:val="00C3163E"/>
    <w:rsid w:val="00C31671"/>
    <w:rsid w:val="00C31F1E"/>
    <w:rsid w:val="00C35640"/>
    <w:rsid w:val="00C358A9"/>
    <w:rsid w:val="00C3597E"/>
    <w:rsid w:val="00C36261"/>
    <w:rsid w:val="00C363ED"/>
    <w:rsid w:val="00C368AA"/>
    <w:rsid w:val="00C368EB"/>
    <w:rsid w:val="00C36C0B"/>
    <w:rsid w:val="00C37A1F"/>
    <w:rsid w:val="00C37C02"/>
    <w:rsid w:val="00C401FA"/>
    <w:rsid w:val="00C40214"/>
    <w:rsid w:val="00C405EF"/>
    <w:rsid w:val="00C4090D"/>
    <w:rsid w:val="00C40A1D"/>
    <w:rsid w:val="00C40DFD"/>
    <w:rsid w:val="00C41ED2"/>
    <w:rsid w:val="00C424BF"/>
    <w:rsid w:val="00C42646"/>
    <w:rsid w:val="00C43485"/>
    <w:rsid w:val="00C43632"/>
    <w:rsid w:val="00C43815"/>
    <w:rsid w:val="00C44493"/>
    <w:rsid w:val="00C445C2"/>
    <w:rsid w:val="00C448C8"/>
    <w:rsid w:val="00C45025"/>
    <w:rsid w:val="00C45A49"/>
    <w:rsid w:val="00C45BAB"/>
    <w:rsid w:val="00C45E00"/>
    <w:rsid w:val="00C45E42"/>
    <w:rsid w:val="00C46640"/>
    <w:rsid w:val="00C466EE"/>
    <w:rsid w:val="00C46987"/>
    <w:rsid w:val="00C46E48"/>
    <w:rsid w:val="00C47075"/>
    <w:rsid w:val="00C47AE1"/>
    <w:rsid w:val="00C47F04"/>
    <w:rsid w:val="00C50687"/>
    <w:rsid w:val="00C507F8"/>
    <w:rsid w:val="00C509B0"/>
    <w:rsid w:val="00C51BC0"/>
    <w:rsid w:val="00C527DE"/>
    <w:rsid w:val="00C52B2C"/>
    <w:rsid w:val="00C52E23"/>
    <w:rsid w:val="00C5396D"/>
    <w:rsid w:val="00C53E31"/>
    <w:rsid w:val="00C54501"/>
    <w:rsid w:val="00C54DD6"/>
    <w:rsid w:val="00C55428"/>
    <w:rsid w:val="00C55712"/>
    <w:rsid w:val="00C55749"/>
    <w:rsid w:val="00C569B0"/>
    <w:rsid w:val="00C56EA9"/>
    <w:rsid w:val="00C57627"/>
    <w:rsid w:val="00C57966"/>
    <w:rsid w:val="00C601CC"/>
    <w:rsid w:val="00C60207"/>
    <w:rsid w:val="00C6038D"/>
    <w:rsid w:val="00C60738"/>
    <w:rsid w:val="00C61114"/>
    <w:rsid w:val="00C61C02"/>
    <w:rsid w:val="00C61DF8"/>
    <w:rsid w:val="00C62154"/>
    <w:rsid w:val="00C6253F"/>
    <w:rsid w:val="00C6259F"/>
    <w:rsid w:val="00C62842"/>
    <w:rsid w:val="00C62BD2"/>
    <w:rsid w:val="00C6328C"/>
    <w:rsid w:val="00C63394"/>
    <w:rsid w:val="00C6455C"/>
    <w:rsid w:val="00C64841"/>
    <w:rsid w:val="00C64C08"/>
    <w:rsid w:val="00C64C6F"/>
    <w:rsid w:val="00C65199"/>
    <w:rsid w:val="00C65248"/>
    <w:rsid w:val="00C6614C"/>
    <w:rsid w:val="00C66873"/>
    <w:rsid w:val="00C668B8"/>
    <w:rsid w:val="00C6720A"/>
    <w:rsid w:val="00C67302"/>
    <w:rsid w:val="00C67796"/>
    <w:rsid w:val="00C67FEB"/>
    <w:rsid w:val="00C70025"/>
    <w:rsid w:val="00C702B7"/>
    <w:rsid w:val="00C704B2"/>
    <w:rsid w:val="00C707F5"/>
    <w:rsid w:val="00C711FF"/>
    <w:rsid w:val="00C713E4"/>
    <w:rsid w:val="00C71D55"/>
    <w:rsid w:val="00C7222C"/>
    <w:rsid w:val="00C723E7"/>
    <w:rsid w:val="00C72C28"/>
    <w:rsid w:val="00C72EB4"/>
    <w:rsid w:val="00C72ECA"/>
    <w:rsid w:val="00C72F49"/>
    <w:rsid w:val="00C73A12"/>
    <w:rsid w:val="00C73A93"/>
    <w:rsid w:val="00C74B0B"/>
    <w:rsid w:val="00C74E4E"/>
    <w:rsid w:val="00C752FE"/>
    <w:rsid w:val="00C759F6"/>
    <w:rsid w:val="00C75D78"/>
    <w:rsid w:val="00C75FC8"/>
    <w:rsid w:val="00C7639A"/>
    <w:rsid w:val="00C77185"/>
    <w:rsid w:val="00C77D6B"/>
    <w:rsid w:val="00C77DB9"/>
    <w:rsid w:val="00C8047B"/>
    <w:rsid w:val="00C814FD"/>
    <w:rsid w:val="00C81813"/>
    <w:rsid w:val="00C81995"/>
    <w:rsid w:val="00C81DF8"/>
    <w:rsid w:val="00C8213A"/>
    <w:rsid w:val="00C82869"/>
    <w:rsid w:val="00C82D40"/>
    <w:rsid w:val="00C82E48"/>
    <w:rsid w:val="00C83E01"/>
    <w:rsid w:val="00C842DC"/>
    <w:rsid w:val="00C84388"/>
    <w:rsid w:val="00C844DC"/>
    <w:rsid w:val="00C84D2C"/>
    <w:rsid w:val="00C85622"/>
    <w:rsid w:val="00C85A0C"/>
    <w:rsid w:val="00C85B71"/>
    <w:rsid w:val="00C861FD"/>
    <w:rsid w:val="00C86257"/>
    <w:rsid w:val="00C862CD"/>
    <w:rsid w:val="00C86967"/>
    <w:rsid w:val="00C86CF5"/>
    <w:rsid w:val="00C86FD2"/>
    <w:rsid w:val="00C8724B"/>
    <w:rsid w:val="00C87833"/>
    <w:rsid w:val="00C904FA"/>
    <w:rsid w:val="00C90803"/>
    <w:rsid w:val="00C9081D"/>
    <w:rsid w:val="00C9097E"/>
    <w:rsid w:val="00C90CC0"/>
    <w:rsid w:val="00C90D4E"/>
    <w:rsid w:val="00C90E88"/>
    <w:rsid w:val="00C918E4"/>
    <w:rsid w:val="00C92456"/>
    <w:rsid w:val="00C92529"/>
    <w:rsid w:val="00C92AC1"/>
    <w:rsid w:val="00C92BA9"/>
    <w:rsid w:val="00C94537"/>
    <w:rsid w:val="00C94A80"/>
    <w:rsid w:val="00C94A94"/>
    <w:rsid w:val="00C94BB4"/>
    <w:rsid w:val="00C9567B"/>
    <w:rsid w:val="00C96088"/>
    <w:rsid w:val="00C96B72"/>
    <w:rsid w:val="00C97389"/>
    <w:rsid w:val="00C976A6"/>
    <w:rsid w:val="00C97C08"/>
    <w:rsid w:val="00CA0012"/>
    <w:rsid w:val="00CA07FD"/>
    <w:rsid w:val="00CA0B57"/>
    <w:rsid w:val="00CA10CA"/>
    <w:rsid w:val="00CA1671"/>
    <w:rsid w:val="00CA1C6E"/>
    <w:rsid w:val="00CA25CE"/>
    <w:rsid w:val="00CA293A"/>
    <w:rsid w:val="00CA2FE9"/>
    <w:rsid w:val="00CA33A1"/>
    <w:rsid w:val="00CA3D6C"/>
    <w:rsid w:val="00CA4322"/>
    <w:rsid w:val="00CA4990"/>
    <w:rsid w:val="00CA4A59"/>
    <w:rsid w:val="00CA63BD"/>
    <w:rsid w:val="00CA72BF"/>
    <w:rsid w:val="00CA7592"/>
    <w:rsid w:val="00CA77CA"/>
    <w:rsid w:val="00CB0E65"/>
    <w:rsid w:val="00CB1317"/>
    <w:rsid w:val="00CB162B"/>
    <w:rsid w:val="00CB1C1A"/>
    <w:rsid w:val="00CB2074"/>
    <w:rsid w:val="00CB212A"/>
    <w:rsid w:val="00CB28F6"/>
    <w:rsid w:val="00CB2FF0"/>
    <w:rsid w:val="00CB39F7"/>
    <w:rsid w:val="00CB3A3F"/>
    <w:rsid w:val="00CB42C2"/>
    <w:rsid w:val="00CB4BBD"/>
    <w:rsid w:val="00CB52F6"/>
    <w:rsid w:val="00CB5413"/>
    <w:rsid w:val="00CB5BCE"/>
    <w:rsid w:val="00CB6AC6"/>
    <w:rsid w:val="00CB78D1"/>
    <w:rsid w:val="00CB7F85"/>
    <w:rsid w:val="00CC00E2"/>
    <w:rsid w:val="00CC0709"/>
    <w:rsid w:val="00CC0830"/>
    <w:rsid w:val="00CC086F"/>
    <w:rsid w:val="00CC1257"/>
    <w:rsid w:val="00CC17AC"/>
    <w:rsid w:val="00CC1875"/>
    <w:rsid w:val="00CC1F43"/>
    <w:rsid w:val="00CC1F53"/>
    <w:rsid w:val="00CC37ED"/>
    <w:rsid w:val="00CC3C1D"/>
    <w:rsid w:val="00CC4272"/>
    <w:rsid w:val="00CC442E"/>
    <w:rsid w:val="00CC4C0F"/>
    <w:rsid w:val="00CC4E71"/>
    <w:rsid w:val="00CC5595"/>
    <w:rsid w:val="00CC5E6E"/>
    <w:rsid w:val="00CC5EB2"/>
    <w:rsid w:val="00CC6AB1"/>
    <w:rsid w:val="00CC6B96"/>
    <w:rsid w:val="00CC713B"/>
    <w:rsid w:val="00CC72B6"/>
    <w:rsid w:val="00CC79B4"/>
    <w:rsid w:val="00CC7F4D"/>
    <w:rsid w:val="00CC7F61"/>
    <w:rsid w:val="00CD045A"/>
    <w:rsid w:val="00CD0974"/>
    <w:rsid w:val="00CD0DD6"/>
    <w:rsid w:val="00CD11A8"/>
    <w:rsid w:val="00CD1942"/>
    <w:rsid w:val="00CD27A6"/>
    <w:rsid w:val="00CD2C88"/>
    <w:rsid w:val="00CD3C03"/>
    <w:rsid w:val="00CD41A3"/>
    <w:rsid w:val="00CD4698"/>
    <w:rsid w:val="00CD4AA6"/>
    <w:rsid w:val="00CD55ED"/>
    <w:rsid w:val="00CD70B6"/>
    <w:rsid w:val="00CD751C"/>
    <w:rsid w:val="00CD76AA"/>
    <w:rsid w:val="00CD7DBD"/>
    <w:rsid w:val="00CE143C"/>
    <w:rsid w:val="00CE1623"/>
    <w:rsid w:val="00CE1D95"/>
    <w:rsid w:val="00CE2C91"/>
    <w:rsid w:val="00CE303E"/>
    <w:rsid w:val="00CE316E"/>
    <w:rsid w:val="00CE451C"/>
    <w:rsid w:val="00CE4BC3"/>
    <w:rsid w:val="00CE5355"/>
    <w:rsid w:val="00CE556A"/>
    <w:rsid w:val="00CE5B45"/>
    <w:rsid w:val="00CE5BD8"/>
    <w:rsid w:val="00CE5CA4"/>
    <w:rsid w:val="00CE5FA8"/>
    <w:rsid w:val="00CE6325"/>
    <w:rsid w:val="00CE71C0"/>
    <w:rsid w:val="00CE71F8"/>
    <w:rsid w:val="00CE7607"/>
    <w:rsid w:val="00CE776F"/>
    <w:rsid w:val="00CE777A"/>
    <w:rsid w:val="00CE7C31"/>
    <w:rsid w:val="00CE7DC3"/>
    <w:rsid w:val="00CE7F43"/>
    <w:rsid w:val="00CF037B"/>
    <w:rsid w:val="00CF07B8"/>
    <w:rsid w:val="00CF0963"/>
    <w:rsid w:val="00CF099D"/>
    <w:rsid w:val="00CF0E5E"/>
    <w:rsid w:val="00CF10F8"/>
    <w:rsid w:val="00CF15CE"/>
    <w:rsid w:val="00CF1776"/>
    <w:rsid w:val="00CF28AD"/>
    <w:rsid w:val="00CF4572"/>
    <w:rsid w:val="00CF5301"/>
    <w:rsid w:val="00CF5BC5"/>
    <w:rsid w:val="00CF6E60"/>
    <w:rsid w:val="00CF7AAC"/>
    <w:rsid w:val="00D00622"/>
    <w:rsid w:val="00D00BF2"/>
    <w:rsid w:val="00D00D8D"/>
    <w:rsid w:val="00D01496"/>
    <w:rsid w:val="00D01615"/>
    <w:rsid w:val="00D019CF"/>
    <w:rsid w:val="00D01B32"/>
    <w:rsid w:val="00D01B92"/>
    <w:rsid w:val="00D01C9A"/>
    <w:rsid w:val="00D01E88"/>
    <w:rsid w:val="00D02327"/>
    <w:rsid w:val="00D02682"/>
    <w:rsid w:val="00D02AA7"/>
    <w:rsid w:val="00D02E72"/>
    <w:rsid w:val="00D03022"/>
    <w:rsid w:val="00D032CA"/>
    <w:rsid w:val="00D03919"/>
    <w:rsid w:val="00D03A39"/>
    <w:rsid w:val="00D03DB7"/>
    <w:rsid w:val="00D04ACD"/>
    <w:rsid w:val="00D04D5F"/>
    <w:rsid w:val="00D04E93"/>
    <w:rsid w:val="00D0510D"/>
    <w:rsid w:val="00D05826"/>
    <w:rsid w:val="00D05C12"/>
    <w:rsid w:val="00D0602E"/>
    <w:rsid w:val="00D0686E"/>
    <w:rsid w:val="00D068A4"/>
    <w:rsid w:val="00D069D6"/>
    <w:rsid w:val="00D06B94"/>
    <w:rsid w:val="00D10A3A"/>
    <w:rsid w:val="00D10C6B"/>
    <w:rsid w:val="00D1138C"/>
    <w:rsid w:val="00D11633"/>
    <w:rsid w:val="00D117D2"/>
    <w:rsid w:val="00D118AC"/>
    <w:rsid w:val="00D11A72"/>
    <w:rsid w:val="00D11AC0"/>
    <w:rsid w:val="00D1287C"/>
    <w:rsid w:val="00D12A01"/>
    <w:rsid w:val="00D12DFD"/>
    <w:rsid w:val="00D13281"/>
    <w:rsid w:val="00D1362F"/>
    <w:rsid w:val="00D13707"/>
    <w:rsid w:val="00D138BD"/>
    <w:rsid w:val="00D13B5B"/>
    <w:rsid w:val="00D13E38"/>
    <w:rsid w:val="00D14072"/>
    <w:rsid w:val="00D151D1"/>
    <w:rsid w:val="00D15563"/>
    <w:rsid w:val="00D15FF9"/>
    <w:rsid w:val="00D1669D"/>
    <w:rsid w:val="00D17390"/>
    <w:rsid w:val="00D176FB"/>
    <w:rsid w:val="00D178CD"/>
    <w:rsid w:val="00D17F55"/>
    <w:rsid w:val="00D22148"/>
    <w:rsid w:val="00D221E9"/>
    <w:rsid w:val="00D22ADD"/>
    <w:rsid w:val="00D241ED"/>
    <w:rsid w:val="00D24669"/>
    <w:rsid w:val="00D248B7"/>
    <w:rsid w:val="00D2504C"/>
    <w:rsid w:val="00D2541E"/>
    <w:rsid w:val="00D25F57"/>
    <w:rsid w:val="00D260D5"/>
    <w:rsid w:val="00D26C86"/>
    <w:rsid w:val="00D26D85"/>
    <w:rsid w:val="00D26E28"/>
    <w:rsid w:val="00D275A6"/>
    <w:rsid w:val="00D27B9E"/>
    <w:rsid w:val="00D27D50"/>
    <w:rsid w:val="00D30233"/>
    <w:rsid w:val="00D30260"/>
    <w:rsid w:val="00D305B8"/>
    <w:rsid w:val="00D30A78"/>
    <w:rsid w:val="00D311C8"/>
    <w:rsid w:val="00D318A6"/>
    <w:rsid w:val="00D322A3"/>
    <w:rsid w:val="00D3251F"/>
    <w:rsid w:val="00D325C0"/>
    <w:rsid w:val="00D3304E"/>
    <w:rsid w:val="00D33281"/>
    <w:rsid w:val="00D33595"/>
    <w:rsid w:val="00D33A3F"/>
    <w:rsid w:val="00D33D42"/>
    <w:rsid w:val="00D3402A"/>
    <w:rsid w:val="00D342CC"/>
    <w:rsid w:val="00D34517"/>
    <w:rsid w:val="00D355D8"/>
    <w:rsid w:val="00D35ED4"/>
    <w:rsid w:val="00D35FB8"/>
    <w:rsid w:val="00D36866"/>
    <w:rsid w:val="00D36BD0"/>
    <w:rsid w:val="00D36C54"/>
    <w:rsid w:val="00D37053"/>
    <w:rsid w:val="00D377F9"/>
    <w:rsid w:val="00D400DB"/>
    <w:rsid w:val="00D404E5"/>
    <w:rsid w:val="00D40E8C"/>
    <w:rsid w:val="00D4101C"/>
    <w:rsid w:val="00D41546"/>
    <w:rsid w:val="00D41747"/>
    <w:rsid w:val="00D41FBC"/>
    <w:rsid w:val="00D422A6"/>
    <w:rsid w:val="00D43AF0"/>
    <w:rsid w:val="00D44515"/>
    <w:rsid w:val="00D44860"/>
    <w:rsid w:val="00D44E21"/>
    <w:rsid w:val="00D44F20"/>
    <w:rsid w:val="00D45076"/>
    <w:rsid w:val="00D45163"/>
    <w:rsid w:val="00D462AC"/>
    <w:rsid w:val="00D462CF"/>
    <w:rsid w:val="00D464DF"/>
    <w:rsid w:val="00D47106"/>
    <w:rsid w:val="00D47725"/>
    <w:rsid w:val="00D47ACA"/>
    <w:rsid w:val="00D5017E"/>
    <w:rsid w:val="00D505AB"/>
    <w:rsid w:val="00D506A2"/>
    <w:rsid w:val="00D50F4A"/>
    <w:rsid w:val="00D511C5"/>
    <w:rsid w:val="00D51C0A"/>
    <w:rsid w:val="00D52B67"/>
    <w:rsid w:val="00D52F93"/>
    <w:rsid w:val="00D53DCB"/>
    <w:rsid w:val="00D53EF2"/>
    <w:rsid w:val="00D5427D"/>
    <w:rsid w:val="00D55169"/>
    <w:rsid w:val="00D55396"/>
    <w:rsid w:val="00D56F82"/>
    <w:rsid w:val="00D57031"/>
    <w:rsid w:val="00D570E1"/>
    <w:rsid w:val="00D5728F"/>
    <w:rsid w:val="00D577FE"/>
    <w:rsid w:val="00D57DA6"/>
    <w:rsid w:val="00D57F9F"/>
    <w:rsid w:val="00D60151"/>
    <w:rsid w:val="00D603C2"/>
    <w:rsid w:val="00D60638"/>
    <w:rsid w:val="00D60F10"/>
    <w:rsid w:val="00D6158B"/>
    <w:rsid w:val="00D61B18"/>
    <w:rsid w:val="00D61B4A"/>
    <w:rsid w:val="00D6202C"/>
    <w:rsid w:val="00D62363"/>
    <w:rsid w:val="00D62404"/>
    <w:rsid w:val="00D62741"/>
    <w:rsid w:val="00D629D4"/>
    <w:rsid w:val="00D62B62"/>
    <w:rsid w:val="00D63097"/>
    <w:rsid w:val="00D63B28"/>
    <w:rsid w:val="00D63BA7"/>
    <w:rsid w:val="00D63F0F"/>
    <w:rsid w:val="00D644DF"/>
    <w:rsid w:val="00D652B1"/>
    <w:rsid w:val="00D656C6"/>
    <w:rsid w:val="00D65873"/>
    <w:rsid w:val="00D65DB6"/>
    <w:rsid w:val="00D65EB4"/>
    <w:rsid w:val="00D66AA5"/>
    <w:rsid w:val="00D66D7E"/>
    <w:rsid w:val="00D66F4D"/>
    <w:rsid w:val="00D67518"/>
    <w:rsid w:val="00D67671"/>
    <w:rsid w:val="00D6772C"/>
    <w:rsid w:val="00D70052"/>
    <w:rsid w:val="00D7026F"/>
    <w:rsid w:val="00D708D8"/>
    <w:rsid w:val="00D70971"/>
    <w:rsid w:val="00D70B5D"/>
    <w:rsid w:val="00D71058"/>
    <w:rsid w:val="00D7136C"/>
    <w:rsid w:val="00D71F78"/>
    <w:rsid w:val="00D7222F"/>
    <w:rsid w:val="00D72F87"/>
    <w:rsid w:val="00D73133"/>
    <w:rsid w:val="00D73622"/>
    <w:rsid w:val="00D740D9"/>
    <w:rsid w:val="00D750CE"/>
    <w:rsid w:val="00D75C33"/>
    <w:rsid w:val="00D75D43"/>
    <w:rsid w:val="00D7674E"/>
    <w:rsid w:val="00D76A82"/>
    <w:rsid w:val="00D76B73"/>
    <w:rsid w:val="00D77184"/>
    <w:rsid w:val="00D77726"/>
    <w:rsid w:val="00D804FA"/>
    <w:rsid w:val="00D807F6"/>
    <w:rsid w:val="00D8082A"/>
    <w:rsid w:val="00D80ED5"/>
    <w:rsid w:val="00D81800"/>
    <w:rsid w:val="00D81930"/>
    <w:rsid w:val="00D81A8E"/>
    <w:rsid w:val="00D81D4A"/>
    <w:rsid w:val="00D83007"/>
    <w:rsid w:val="00D83298"/>
    <w:rsid w:val="00D833E5"/>
    <w:rsid w:val="00D83AE7"/>
    <w:rsid w:val="00D83BF6"/>
    <w:rsid w:val="00D83F55"/>
    <w:rsid w:val="00D842DB"/>
    <w:rsid w:val="00D843EE"/>
    <w:rsid w:val="00D8497C"/>
    <w:rsid w:val="00D84E25"/>
    <w:rsid w:val="00D84F97"/>
    <w:rsid w:val="00D85494"/>
    <w:rsid w:val="00D85509"/>
    <w:rsid w:val="00D856A3"/>
    <w:rsid w:val="00D856A4"/>
    <w:rsid w:val="00D85C04"/>
    <w:rsid w:val="00D86A94"/>
    <w:rsid w:val="00D86D8F"/>
    <w:rsid w:val="00D90193"/>
    <w:rsid w:val="00D9125E"/>
    <w:rsid w:val="00D9129E"/>
    <w:rsid w:val="00D91BF2"/>
    <w:rsid w:val="00D91C0C"/>
    <w:rsid w:val="00D91D4D"/>
    <w:rsid w:val="00D91D73"/>
    <w:rsid w:val="00D93864"/>
    <w:rsid w:val="00D93AEE"/>
    <w:rsid w:val="00D93D1D"/>
    <w:rsid w:val="00D93F24"/>
    <w:rsid w:val="00D93F41"/>
    <w:rsid w:val="00D9404A"/>
    <w:rsid w:val="00D940A9"/>
    <w:rsid w:val="00D941BC"/>
    <w:rsid w:val="00D945A4"/>
    <w:rsid w:val="00D94878"/>
    <w:rsid w:val="00D94D58"/>
    <w:rsid w:val="00D94E8C"/>
    <w:rsid w:val="00D9593A"/>
    <w:rsid w:val="00D95E66"/>
    <w:rsid w:val="00D95FBD"/>
    <w:rsid w:val="00D960C4"/>
    <w:rsid w:val="00D966F1"/>
    <w:rsid w:val="00D96938"/>
    <w:rsid w:val="00D96AF2"/>
    <w:rsid w:val="00D96C2E"/>
    <w:rsid w:val="00D97C8F"/>
    <w:rsid w:val="00DA0A3D"/>
    <w:rsid w:val="00DA1652"/>
    <w:rsid w:val="00DA1839"/>
    <w:rsid w:val="00DA1D56"/>
    <w:rsid w:val="00DA212C"/>
    <w:rsid w:val="00DA268A"/>
    <w:rsid w:val="00DA3248"/>
    <w:rsid w:val="00DA343D"/>
    <w:rsid w:val="00DA4197"/>
    <w:rsid w:val="00DA4B84"/>
    <w:rsid w:val="00DA5614"/>
    <w:rsid w:val="00DA576B"/>
    <w:rsid w:val="00DA57F0"/>
    <w:rsid w:val="00DA6193"/>
    <w:rsid w:val="00DA62AB"/>
    <w:rsid w:val="00DA6393"/>
    <w:rsid w:val="00DA652E"/>
    <w:rsid w:val="00DA6988"/>
    <w:rsid w:val="00DA6A75"/>
    <w:rsid w:val="00DA6BD6"/>
    <w:rsid w:val="00DA7296"/>
    <w:rsid w:val="00DA7908"/>
    <w:rsid w:val="00DA7AC8"/>
    <w:rsid w:val="00DA7D6C"/>
    <w:rsid w:val="00DA7D6D"/>
    <w:rsid w:val="00DA7F74"/>
    <w:rsid w:val="00DB2897"/>
    <w:rsid w:val="00DB2D24"/>
    <w:rsid w:val="00DB314E"/>
    <w:rsid w:val="00DB32CA"/>
    <w:rsid w:val="00DB3408"/>
    <w:rsid w:val="00DB3E8C"/>
    <w:rsid w:val="00DB42C4"/>
    <w:rsid w:val="00DB4653"/>
    <w:rsid w:val="00DB4795"/>
    <w:rsid w:val="00DB4A72"/>
    <w:rsid w:val="00DB4FB0"/>
    <w:rsid w:val="00DB5B80"/>
    <w:rsid w:val="00DB64CB"/>
    <w:rsid w:val="00DB6701"/>
    <w:rsid w:val="00DB6A12"/>
    <w:rsid w:val="00DB6C29"/>
    <w:rsid w:val="00DB6E74"/>
    <w:rsid w:val="00DB7659"/>
    <w:rsid w:val="00DB78D4"/>
    <w:rsid w:val="00DB7C8F"/>
    <w:rsid w:val="00DC0B5C"/>
    <w:rsid w:val="00DC1266"/>
    <w:rsid w:val="00DC226C"/>
    <w:rsid w:val="00DC2755"/>
    <w:rsid w:val="00DC27DA"/>
    <w:rsid w:val="00DC3161"/>
    <w:rsid w:val="00DC34C4"/>
    <w:rsid w:val="00DC34F6"/>
    <w:rsid w:val="00DC3510"/>
    <w:rsid w:val="00DC397E"/>
    <w:rsid w:val="00DC3E43"/>
    <w:rsid w:val="00DC418B"/>
    <w:rsid w:val="00DC4BEA"/>
    <w:rsid w:val="00DC4C42"/>
    <w:rsid w:val="00DC5BA3"/>
    <w:rsid w:val="00DC5C41"/>
    <w:rsid w:val="00DC6399"/>
    <w:rsid w:val="00DC6558"/>
    <w:rsid w:val="00DC665E"/>
    <w:rsid w:val="00DC7995"/>
    <w:rsid w:val="00DC7C2E"/>
    <w:rsid w:val="00DD1555"/>
    <w:rsid w:val="00DD18C0"/>
    <w:rsid w:val="00DD22B6"/>
    <w:rsid w:val="00DD2369"/>
    <w:rsid w:val="00DD2731"/>
    <w:rsid w:val="00DD4966"/>
    <w:rsid w:val="00DD4B4F"/>
    <w:rsid w:val="00DD620A"/>
    <w:rsid w:val="00DD67DA"/>
    <w:rsid w:val="00DD6E70"/>
    <w:rsid w:val="00DD734A"/>
    <w:rsid w:val="00DD7E15"/>
    <w:rsid w:val="00DE0128"/>
    <w:rsid w:val="00DE0B86"/>
    <w:rsid w:val="00DE1077"/>
    <w:rsid w:val="00DE10FB"/>
    <w:rsid w:val="00DE1367"/>
    <w:rsid w:val="00DE1573"/>
    <w:rsid w:val="00DE1AE5"/>
    <w:rsid w:val="00DE1E09"/>
    <w:rsid w:val="00DE1E1D"/>
    <w:rsid w:val="00DE2313"/>
    <w:rsid w:val="00DE37E6"/>
    <w:rsid w:val="00DE385E"/>
    <w:rsid w:val="00DE3D24"/>
    <w:rsid w:val="00DE4F09"/>
    <w:rsid w:val="00DE5182"/>
    <w:rsid w:val="00DE5AEA"/>
    <w:rsid w:val="00DE5E40"/>
    <w:rsid w:val="00DE61E0"/>
    <w:rsid w:val="00DE629D"/>
    <w:rsid w:val="00DE637D"/>
    <w:rsid w:val="00DE65BE"/>
    <w:rsid w:val="00DE6D31"/>
    <w:rsid w:val="00DE7371"/>
    <w:rsid w:val="00DE7399"/>
    <w:rsid w:val="00DE7410"/>
    <w:rsid w:val="00DE78E5"/>
    <w:rsid w:val="00DE7ADD"/>
    <w:rsid w:val="00DF0380"/>
    <w:rsid w:val="00DF0B60"/>
    <w:rsid w:val="00DF0DCE"/>
    <w:rsid w:val="00DF1188"/>
    <w:rsid w:val="00DF12DF"/>
    <w:rsid w:val="00DF1909"/>
    <w:rsid w:val="00DF1B30"/>
    <w:rsid w:val="00DF2456"/>
    <w:rsid w:val="00DF2AE0"/>
    <w:rsid w:val="00DF2B3B"/>
    <w:rsid w:val="00DF2DB3"/>
    <w:rsid w:val="00DF2E08"/>
    <w:rsid w:val="00DF33BB"/>
    <w:rsid w:val="00DF3FB6"/>
    <w:rsid w:val="00DF5369"/>
    <w:rsid w:val="00DF560F"/>
    <w:rsid w:val="00DF5823"/>
    <w:rsid w:val="00DF5876"/>
    <w:rsid w:val="00DF66E8"/>
    <w:rsid w:val="00DF6C5D"/>
    <w:rsid w:val="00DF7DDE"/>
    <w:rsid w:val="00E0005F"/>
    <w:rsid w:val="00E008E4"/>
    <w:rsid w:val="00E011CA"/>
    <w:rsid w:val="00E01A8A"/>
    <w:rsid w:val="00E0204F"/>
    <w:rsid w:val="00E02230"/>
    <w:rsid w:val="00E0246D"/>
    <w:rsid w:val="00E029DC"/>
    <w:rsid w:val="00E04738"/>
    <w:rsid w:val="00E04A14"/>
    <w:rsid w:val="00E04D54"/>
    <w:rsid w:val="00E058AF"/>
    <w:rsid w:val="00E05B7F"/>
    <w:rsid w:val="00E05E05"/>
    <w:rsid w:val="00E06A27"/>
    <w:rsid w:val="00E06AB4"/>
    <w:rsid w:val="00E07750"/>
    <w:rsid w:val="00E07B0E"/>
    <w:rsid w:val="00E1050A"/>
    <w:rsid w:val="00E10811"/>
    <w:rsid w:val="00E10AF3"/>
    <w:rsid w:val="00E116A6"/>
    <w:rsid w:val="00E1173F"/>
    <w:rsid w:val="00E11AE4"/>
    <w:rsid w:val="00E11B6B"/>
    <w:rsid w:val="00E11BEF"/>
    <w:rsid w:val="00E12122"/>
    <w:rsid w:val="00E125A4"/>
    <w:rsid w:val="00E125C0"/>
    <w:rsid w:val="00E126D5"/>
    <w:rsid w:val="00E12A2D"/>
    <w:rsid w:val="00E12F26"/>
    <w:rsid w:val="00E14D5A"/>
    <w:rsid w:val="00E15029"/>
    <w:rsid w:val="00E1506D"/>
    <w:rsid w:val="00E156DF"/>
    <w:rsid w:val="00E15B39"/>
    <w:rsid w:val="00E16220"/>
    <w:rsid w:val="00E16297"/>
    <w:rsid w:val="00E165F3"/>
    <w:rsid w:val="00E168EF"/>
    <w:rsid w:val="00E16CE6"/>
    <w:rsid w:val="00E16D5B"/>
    <w:rsid w:val="00E16D8D"/>
    <w:rsid w:val="00E17426"/>
    <w:rsid w:val="00E17682"/>
    <w:rsid w:val="00E17AAE"/>
    <w:rsid w:val="00E17F3C"/>
    <w:rsid w:val="00E207BB"/>
    <w:rsid w:val="00E209C1"/>
    <w:rsid w:val="00E20C8B"/>
    <w:rsid w:val="00E21687"/>
    <w:rsid w:val="00E21A26"/>
    <w:rsid w:val="00E21D08"/>
    <w:rsid w:val="00E2204F"/>
    <w:rsid w:val="00E2219B"/>
    <w:rsid w:val="00E2250F"/>
    <w:rsid w:val="00E228A0"/>
    <w:rsid w:val="00E229CB"/>
    <w:rsid w:val="00E22A94"/>
    <w:rsid w:val="00E22D20"/>
    <w:rsid w:val="00E231F2"/>
    <w:rsid w:val="00E2336A"/>
    <w:rsid w:val="00E2466C"/>
    <w:rsid w:val="00E24EDC"/>
    <w:rsid w:val="00E251CB"/>
    <w:rsid w:val="00E2595C"/>
    <w:rsid w:val="00E25AF1"/>
    <w:rsid w:val="00E279B6"/>
    <w:rsid w:val="00E27C78"/>
    <w:rsid w:val="00E27D7F"/>
    <w:rsid w:val="00E30DF3"/>
    <w:rsid w:val="00E30EA5"/>
    <w:rsid w:val="00E317F0"/>
    <w:rsid w:val="00E318ED"/>
    <w:rsid w:val="00E31A9F"/>
    <w:rsid w:val="00E31BF8"/>
    <w:rsid w:val="00E32139"/>
    <w:rsid w:val="00E32261"/>
    <w:rsid w:val="00E3226E"/>
    <w:rsid w:val="00E322ED"/>
    <w:rsid w:val="00E324A8"/>
    <w:rsid w:val="00E324D5"/>
    <w:rsid w:val="00E32637"/>
    <w:rsid w:val="00E326CA"/>
    <w:rsid w:val="00E33A68"/>
    <w:rsid w:val="00E33E27"/>
    <w:rsid w:val="00E33FED"/>
    <w:rsid w:val="00E343E6"/>
    <w:rsid w:val="00E344ED"/>
    <w:rsid w:val="00E348A5"/>
    <w:rsid w:val="00E357BB"/>
    <w:rsid w:val="00E35CD0"/>
    <w:rsid w:val="00E3601E"/>
    <w:rsid w:val="00E36286"/>
    <w:rsid w:val="00E36597"/>
    <w:rsid w:val="00E369BC"/>
    <w:rsid w:val="00E36C3E"/>
    <w:rsid w:val="00E4013E"/>
    <w:rsid w:val="00E401C4"/>
    <w:rsid w:val="00E405F7"/>
    <w:rsid w:val="00E41122"/>
    <w:rsid w:val="00E4119E"/>
    <w:rsid w:val="00E4172A"/>
    <w:rsid w:val="00E43F4B"/>
    <w:rsid w:val="00E45C96"/>
    <w:rsid w:val="00E45E36"/>
    <w:rsid w:val="00E45EB3"/>
    <w:rsid w:val="00E463D0"/>
    <w:rsid w:val="00E4647F"/>
    <w:rsid w:val="00E46649"/>
    <w:rsid w:val="00E47654"/>
    <w:rsid w:val="00E47C9C"/>
    <w:rsid w:val="00E47D88"/>
    <w:rsid w:val="00E503FB"/>
    <w:rsid w:val="00E5063C"/>
    <w:rsid w:val="00E50729"/>
    <w:rsid w:val="00E50CFE"/>
    <w:rsid w:val="00E52EC2"/>
    <w:rsid w:val="00E52F13"/>
    <w:rsid w:val="00E53790"/>
    <w:rsid w:val="00E54239"/>
    <w:rsid w:val="00E5476A"/>
    <w:rsid w:val="00E54967"/>
    <w:rsid w:val="00E55A77"/>
    <w:rsid w:val="00E55C4C"/>
    <w:rsid w:val="00E56416"/>
    <w:rsid w:val="00E56577"/>
    <w:rsid w:val="00E56896"/>
    <w:rsid w:val="00E576D0"/>
    <w:rsid w:val="00E577A1"/>
    <w:rsid w:val="00E60440"/>
    <w:rsid w:val="00E60A40"/>
    <w:rsid w:val="00E60FEE"/>
    <w:rsid w:val="00E619F5"/>
    <w:rsid w:val="00E619FC"/>
    <w:rsid w:val="00E621BF"/>
    <w:rsid w:val="00E62939"/>
    <w:rsid w:val="00E62A1B"/>
    <w:rsid w:val="00E62FCB"/>
    <w:rsid w:val="00E652E8"/>
    <w:rsid w:val="00E6590E"/>
    <w:rsid w:val="00E65DD1"/>
    <w:rsid w:val="00E66098"/>
    <w:rsid w:val="00E660C2"/>
    <w:rsid w:val="00E669C7"/>
    <w:rsid w:val="00E66C3D"/>
    <w:rsid w:val="00E67470"/>
    <w:rsid w:val="00E67621"/>
    <w:rsid w:val="00E700C7"/>
    <w:rsid w:val="00E70975"/>
    <w:rsid w:val="00E7242A"/>
    <w:rsid w:val="00E72DC8"/>
    <w:rsid w:val="00E72E14"/>
    <w:rsid w:val="00E72FF2"/>
    <w:rsid w:val="00E73002"/>
    <w:rsid w:val="00E734E5"/>
    <w:rsid w:val="00E7378F"/>
    <w:rsid w:val="00E738E0"/>
    <w:rsid w:val="00E73D5C"/>
    <w:rsid w:val="00E74334"/>
    <w:rsid w:val="00E74520"/>
    <w:rsid w:val="00E74A0A"/>
    <w:rsid w:val="00E74D73"/>
    <w:rsid w:val="00E74D94"/>
    <w:rsid w:val="00E750A8"/>
    <w:rsid w:val="00E750BA"/>
    <w:rsid w:val="00E753FB"/>
    <w:rsid w:val="00E75ADC"/>
    <w:rsid w:val="00E762E8"/>
    <w:rsid w:val="00E77B6C"/>
    <w:rsid w:val="00E80869"/>
    <w:rsid w:val="00E808DF"/>
    <w:rsid w:val="00E80EE3"/>
    <w:rsid w:val="00E80FF8"/>
    <w:rsid w:val="00E8145C"/>
    <w:rsid w:val="00E8164F"/>
    <w:rsid w:val="00E81903"/>
    <w:rsid w:val="00E82164"/>
    <w:rsid w:val="00E8241A"/>
    <w:rsid w:val="00E82445"/>
    <w:rsid w:val="00E8271C"/>
    <w:rsid w:val="00E82C53"/>
    <w:rsid w:val="00E834CB"/>
    <w:rsid w:val="00E836A8"/>
    <w:rsid w:val="00E83C8E"/>
    <w:rsid w:val="00E84202"/>
    <w:rsid w:val="00E842A5"/>
    <w:rsid w:val="00E84917"/>
    <w:rsid w:val="00E851BF"/>
    <w:rsid w:val="00E855B7"/>
    <w:rsid w:val="00E85D4B"/>
    <w:rsid w:val="00E862C4"/>
    <w:rsid w:val="00E86DD3"/>
    <w:rsid w:val="00E87445"/>
    <w:rsid w:val="00E87E96"/>
    <w:rsid w:val="00E90AC1"/>
    <w:rsid w:val="00E90B69"/>
    <w:rsid w:val="00E9123B"/>
    <w:rsid w:val="00E91240"/>
    <w:rsid w:val="00E91265"/>
    <w:rsid w:val="00E914B6"/>
    <w:rsid w:val="00E91FAA"/>
    <w:rsid w:val="00E92573"/>
    <w:rsid w:val="00E92A68"/>
    <w:rsid w:val="00E930AF"/>
    <w:rsid w:val="00E9310E"/>
    <w:rsid w:val="00E942ED"/>
    <w:rsid w:val="00E946E1"/>
    <w:rsid w:val="00E94CB2"/>
    <w:rsid w:val="00E951A2"/>
    <w:rsid w:val="00E95312"/>
    <w:rsid w:val="00E9557B"/>
    <w:rsid w:val="00E95774"/>
    <w:rsid w:val="00E9678A"/>
    <w:rsid w:val="00E96869"/>
    <w:rsid w:val="00E976C7"/>
    <w:rsid w:val="00EA044B"/>
    <w:rsid w:val="00EA04F4"/>
    <w:rsid w:val="00EA0552"/>
    <w:rsid w:val="00EA0C4C"/>
    <w:rsid w:val="00EA1571"/>
    <w:rsid w:val="00EA15C1"/>
    <w:rsid w:val="00EA31B1"/>
    <w:rsid w:val="00EA352C"/>
    <w:rsid w:val="00EA357E"/>
    <w:rsid w:val="00EA35BD"/>
    <w:rsid w:val="00EA3757"/>
    <w:rsid w:val="00EA3B42"/>
    <w:rsid w:val="00EA4662"/>
    <w:rsid w:val="00EA49AC"/>
    <w:rsid w:val="00EA4DD6"/>
    <w:rsid w:val="00EA4DDA"/>
    <w:rsid w:val="00EA53ED"/>
    <w:rsid w:val="00EA5738"/>
    <w:rsid w:val="00EA57CD"/>
    <w:rsid w:val="00EA57D7"/>
    <w:rsid w:val="00EA5BA9"/>
    <w:rsid w:val="00EA5EE4"/>
    <w:rsid w:val="00EA600E"/>
    <w:rsid w:val="00EA6673"/>
    <w:rsid w:val="00EA680D"/>
    <w:rsid w:val="00EA6B52"/>
    <w:rsid w:val="00EA75D6"/>
    <w:rsid w:val="00EA7C30"/>
    <w:rsid w:val="00EA7DA3"/>
    <w:rsid w:val="00EA7F32"/>
    <w:rsid w:val="00EA7FB8"/>
    <w:rsid w:val="00EB05BB"/>
    <w:rsid w:val="00EB06D0"/>
    <w:rsid w:val="00EB0B47"/>
    <w:rsid w:val="00EB0E54"/>
    <w:rsid w:val="00EB0F00"/>
    <w:rsid w:val="00EB1031"/>
    <w:rsid w:val="00EB1179"/>
    <w:rsid w:val="00EB1618"/>
    <w:rsid w:val="00EB1961"/>
    <w:rsid w:val="00EB19EC"/>
    <w:rsid w:val="00EB2FB3"/>
    <w:rsid w:val="00EB3434"/>
    <w:rsid w:val="00EB3B07"/>
    <w:rsid w:val="00EB3C23"/>
    <w:rsid w:val="00EB4F68"/>
    <w:rsid w:val="00EB5163"/>
    <w:rsid w:val="00EB5279"/>
    <w:rsid w:val="00EB52EB"/>
    <w:rsid w:val="00EB54C6"/>
    <w:rsid w:val="00EB5E3B"/>
    <w:rsid w:val="00EB6A9C"/>
    <w:rsid w:val="00EB7A3D"/>
    <w:rsid w:val="00EB7E31"/>
    <w:rsid w:val="00EC08D8"/>
    <w:rsid w:val="00EC096F"/>
    <w:rsid w:val="00EC0A08"/>
    <w:rsid w:val="00EC202E"/>
    <w:rsid w:val="00EC209C"/>
    <w:rsid w:val="00EC3A1C"/>
    <w:rsid w:val="00EC456D"/>
    <w:rsid w:val="00EC479A"/>
    <w:rsid w:val="00EC4B8D"/>
    <w:rsid w:val="00EC51AA"/>
    <w:rsid w:val="00EC52F2"/>
    <w:rsid w:val="00EC54DE"/>
    <w:rsid w:val="00EC5E08"/>
    <w:rsid w:val="00EC6307"/>
    <w:rsid w:val="00EC6739"/>
    <w:rsid w:val="00EC67CA"/>
    <w:rsid w:val="00EC6C1D"/>
    <w:rsid w:val="00EC719E"/>
    <w:rsid w:val="00EC753E"/>
    <w:rsid w:val="00ED00A9"/>
    <w:rsid w:val="00ED066C"/>
    <w:rsid w:val="00ED0A73"/>
    <w:rsid w:val="00ED0B93"/>
    <w:rsid w:val="00ED11AD"/>
    <w:rsid w:val="00ED13E5"/>
    <w:rsid w:val="00ED20FB"/>
    <w:rsid w:val="00ED2944"/>
    <w:rsid w:val="00ED2954"/>
    <w:rsid w:val="00ED323E"/>
    <w:rsid w:val="00ED37B6"/>
    <w:rsid w:val="00ED4368"/>
    <w:rsid w:val="00ED4DEB"/>
    <w:rsid w:val="00ED50DD"/>
    <w:rsid w:val="00ED57D7"/>
    <w:rsid w:val="00ED62D0"/>
    <w:rsid w:val="00ED68A0"/>
    <w:rsid w:val="00ED695F"/>
    <w:rsid w:val="00ED6C6A"/>
    <w:rsid w:val="00ED7095"/>
    <w:rsid w:val="00ED70FB"/>
    <w:rsid w:val="00EE039A"/>
    <w:rsid w:val="00EE0582"/>
    <w:rsid w:val="00EE06F7"/>
    <w:rsid w:val="00EE0A27"/>
    <w:rsid w:val="00EE114D"/>
    <w:rsid w:val="00EE1215"/>
    <w:rsid w:val="00EE147B"/>
    <w:rsid w:val="00EE154D"/>
    <w:rsid w:val="00EE1AC6"/>
    <w:rsid w:val="00EE1BB2"/>
    <w:rsid w:val="00EE1BF9"/>
    <w:rsid w:val="00EE2870"/>
    <w:rsid w:val="00EE28A4"/>
    <w:rsid w:val="00EE2D13"/>
    <w:rsid w:val="00EE2D3C"/>
    <w:rsid w:val="00EE3947"/>
    <w:rsid w:val="00EE4839"/>
    <w:rsid w:val="00EE51A0"/>
    <w:rsid w:val="00EE5747"/>
    <w:rsid w:val="00EE57C1"/>
    <w:rsid w:val="00EE65A8"/>
    <w:rsid w:val="00EE690A"/>
    <w:rsid w:val="00EE6993"/>
    <w:rsid w:val="00EE7631"/>
    <w:rsid w:val="00EE7665"/>
    <w:rsid w:val="00EF06CE"/>
    <w:rsid w:val="00EF141D"/>
    <w:rsid w:val="00EF2612"/>
    <w:rsid w:val="00EF2847"/>
    <w:rsid w:val="00EF2BB6"/>
    <w:rsid w:val="00EF2CA3"/>
    <w:rsid w:val="00EF3007"/>
    <w:rsid w:val="00EF3444"/>
    <w:rsid w:val="00EF35B2"/>
    <w:rsid w:val="00EF3801"/>
    <w:rsid w:val="00EF38BD"/>
    <w:rsid w:val="00EF409C"/>
    <w:rsid w:val="00EF41C5"/>
    <w:rsid w:val="00EF45CF"/>
    <w:rsid w:val="00EF4A0C"/>
    <w:rsid w:val="00EF5152"/>
    <w:rsid w:val="00EF5495"/>
    <w:rsid w:val="00EF6097"/>
    <w:rsid w:val="00EF667E"/>
    <w:rsid w:val="00EF6887"/>
    <w:rsid w:val="00EF6D71"/>
    <w:rsid w:val="00EF72CD"/>
    <w:rsid w:val="00EF75C6"/>
    <w:rsid w:val="00EF78BE"/>
    <w:rsid w:val="00EF79F7"/>
    <w:rsid w:val="00F00185"/>
    <w:rsid w:val="00F00415"/>
    <w:rsid w:val="00F00D1A"/>
    <w:rsid w:val="00F013B2"/>
    <w:rsid w:val="00F015FA"/>
    <w:rsid w:val="00F01677"/>
    <w:rsid w:val="00F01A62"/>
    <w:rsid w:val="00F01C0B"/>
    <w:rsid w:val="00F01C99"/>
    <w:rsid w:val="00F01E3B"/>
    <w:rsid w:val="00F02213"/>
    <w:rsid w:val="00F024B2"/>
    <w:rsid w:val="00F02628"/>
    <w:rsid w:val="00F03751"/>
    <w:rsid w:val="00F04184"/>
    <w:rsid w:val="00F04D89"/>
    <w:rsid w:val="00F056A1"/>
    <w:rsid w:val="00F05A28"/>
    <w:rsid w:val="00F068B2"/>
    <w:rsid w:val="00F06A97"/>
    <w:rsid w:val="00F072CB"/>
    <w:rsid w:val="00F07591"/>
    <w:rsid w:val="00F078ED"/>
    <w:rsid w:val="00F07DDC"/>
    <w:rsid w:val="00F1055C"/>
    <w:rsid w:val="00F10B5D"/>
    <w:rsid w:val="00F1100A"/>
    <w:rsid w:val="00F118FF"/>
    <w:rsid w:val="00F12551"/>
    <w:rsid w:val="00F128D9"/>
    <w:rsid w:val="00F1318C"/>
    <w:rsid w:val="00F1324D"/>
    <w:rsid w:val="00F13BCB"/>
    <w:rsid w:val="00F13F83"/>
    <w:rsid w:val="00F157FA"/>
    <w:rsid w:val="00F160BC"/>
    <w:rsid w:val="00F16179"/>
    <w:rsid w:val="00F165FC"/>
    <w:rsid w:val="00F16B06"/>
    <w:rsid w:val="00F17B67"/>
    <w:rsid w:val="00F200DC"/>
    <w:rsid w:val="00F20A7B"/>
    <w:rsid w:val="00F20FE0"/>
    <w:rsid w:val="00F22CC8"/>
    <w:rsid w:val="00F22F19"/>
    <w:rsid w:val="00F23FBD"/>
    <w:rsid w:val="00F24E6A"/>
    <w:rsid w:val="00F251DA"/>
    <w:rsid w:val="00F2525D"/>
    <w:rsid w:val="00F2550E"/>
    <w:rsid w:val="00F25578"/>
    <w:rsid w:val="00F2575A"/>
    <w:rsid w:val="00F25969"/>
    <w:rsid w:val="00F25B57"/>
    <w:rsid w:val="00F25FB3"/>
    <w:rsid w:val="00F2626F"/>
    <w:rsid w:val="00F266E1"/>
    <w:rsid w:val="00F26C5B"/>
    <w:rsid w:val="00F278B3"/>
    <w:rsid w:val="00F27A96"/>
    <w:rsid w:val="00F3017D"/>
    <w:rsid w:val="00F302D4"/>
    <w:rsid w:val="00F304EA"/>
    <w:rsid w:val="00F305D5"/>
    <w:rsid w:val="00F307C3"/>
    <w:rsid w:val="00F30FF5"/>
    <w:rsid w:val="00F3107C"/>
    <w:rsid w:val="00F325D7"/>
    <w:rsid w:val="00F32765"/>
    <w:rsid w:val="00F327B9"/>
    <w:rsid w:val="00F32B61"/>
    <w:rsid w:val="00F330FE"/>
    <w:rsid w:val="00F33DED"/>
    <w:rsid w:val="00F349FA"/>
    <w:rsid w:val="00F34A67"/>
    <w:rsid w:val="00F36E97"/>
    <w:rsid w:val="00F3752B"/>
    <w:rsid w:val="00F3773F"/>
    <w:rsid w:val="00F3780F"/>
    <w:rsid w:val="00F378CB"/>
    <w:rsid w:val="00F40505"/>
    <w:rsid w:val="00F40B35"/>
    <w:rsid w:val="00F417DF"/>
    <w:rsid w:val="00F41B00"/>
    <w:rsid w:val="00F41C4D"/>
    <w:rsid w:val="00F42439"/>
    <w:rsid w:val="00F42629"/>
    <w:rsid w:val="00F42AF9"/>
    <w:rsid w:val="00F42BC2"/>
    <w:rsid w:val="00F43291"/>
    <w:rsid w:val="00F43552"/>
    <w:rsid w:val="00F435A3"/>
    <w:rsid w:val="00F446BC"/>
    <w:rsid w:val="00F447F7"/>
    <w:rsid w:val="00F45089"/>
    <w:rsid w:val="00F451C9"/>
    <w:rsid w:val="00F45357"/>
    <w:rsid w:val="00F45636"/>
    <w:rsid w:val="00F45812"/>
    <w:rsid w:val="00F45D4E"/>
    <w:rsid w:val="00F45E4F"/>
    <w:rsid w:val="00F46156"/>
    <w:rsid w:val="00F461EA"/>
    <w:rsid w:val="00F469A5"/>
    <w:rsid w:val="00F46D40"/>
    <w:rsid w:val="00F47418"/>
    <w:rsid w:val="00F47618"/>
    <w:rsid w:val="00F479A8"/>
    <w:rsid w:val="00F47F04"/>
    <w:rsid w:val="00F515EB"/>
    <w:rsid w:val="00F52162"/>
    <w:rsid w:val="00F523F1"/>
    <w:rsid w:val="00F52737"/>
    <w:rsid w:val="00F52765"/>
    <w:rsid w:val="00F52D15"/>
    <w:rsid w:val="00F52EC3"/>
    <w:rsid w:val="00F5425B"/>
    <w:rsid w:val="00F5439B"/>
    <w:rsid w:val="00F5487F"/>
    <w:rsid w:val="00F54888"/>
    <w:rsid w:val="00F54D3B"/>
    <w:rsid w:val="00F5539E"/>
    <w:rsid w:val="00F55F05"/>
    <w:rsid w:val="00F562C1"/>
    <w:rsid w:val="00F565D2"/>
    <w:rsid w:val="00F56EF3"/>
    <w:rsid w:val="00F57334"/>
    <w:rsid w:val="00F5759E"/>
    <w:rsid w:val="00F57AA9"/>
    <w:rsid w:val="00F57AE8"/>
    <w:rsid w:val="00F57BA8"/>
    <w:rsid w:val="00F60438"/>
    <w:rsid w:val="00F605D3"/>
    <w:rsid w:val="00F606BE"/>
    <w:rsid w:val="00F60802"/>
    <w:rsid w:val="00F60979"/>
    <w:rsid w:val="00F61B07"/>
    <w:rsid w:val="00F61E5E"/>
    <w:rsid w:val="00F6244E"/>
    <w:rsid w:val="00F634DA"/>
    <w:rsid w:val="00F63A90"/>
    <w:rsid w:val="00F64236"/>
    <w:rsid w:val="00F64FBE"/>
    <w:rsid w:val="00F64FED"/>
    <w:rsid w:val="00F652C8"/>
    <w:rsid w:val="00F65559"/>
    <w:rsid w:val="00F65F33"/>
    <w:rsid w:val="00F66813"/>
    <w:rsid w:val="00F66B08"/>
    <w:rsid w:val="00F66B54"/>
    <w:rsid w:val="00F66E4B"/>
    <w:rsid w:val="00F66E6B"/>
    <w:rsid w:val="00F66FB1"/>
    <w:rsid w:val="00F70259"/>
    <w:rsid w:val="00F70A80"/>
    <w:rsid w:val="00F70A84"/>
    <w:rsid w:val="00F70A99"/>
    <w:rsid w:val="00F70DE9"/>
    <w:rsid w:val="00F70F12"/>
    <w:rsid w:val="00F71298"/>
    <w:rsid w:val="00F71794"/>
    <w:rsid w:val="00F723A7"/>
    <w:rsid w:val="00F731DA"/>
    <w:rsid w:val="00F736D7"/>
    <w:rsid w:val="00F75C32"/>
    <w:rsid w:val="00F75F84"/>
    <w:rsid w:val="00F767B3"/>
    <w:rsid w:val="00F76847"/>
    <w:rsid w:val="00F76C31"/>
    <w:rsid w:val="00F76CAC"/>
    <w:rsid w:val="00F76E2B"/>
    <w:rsid w:val="00F770ED"/>
    <w:rsid w:val="00F773F4"/>
    <w:rsid w:val="00F77966"/>
    <w:rsid w:val="00F77B7E"/>
    <w:rsid w:val="00F77C02"/>
    <w:rsid w:val="00F77D3A"/>
    <w:rsid w:val="00F80B1E"/>
    <w:rsid w:val="00F80CA6"/>
    <w:rsid w:val="00F81227"/>
    <w:rsid w:val="00F816BF"/>
    <w:rsid w:val="00F81887"/>
    <w:rsid w:val="00F81BD7"/>
    <w:rsid w:val="00F82727"/>
    <w:rsid w:val="00F82AED"/>
    <w:rsid w:val="00F832D4"/>
    <w:rsid w:val="00F834DD"/>
    <w:rsid w:val="00F83685"/>
    <w:rsid w:val="00F838BE"/>
    <w:rsid w:val="00F83F3A"/>
    <w:rsid w:val="00F84306"/>
    <w:rsid w:val="00F850ED"/>
    <w:rsid w:val="00F8569F"/>
    <w:rsid w:val="00F8573F"/>
    <w:rsid w:val="00F86B31"/>
    <w:rsid w:val="00F873A7"/>
    <w:rsid w:val="00F8788C"/>
    <w:rsid w:val="00F87A26"/>
    <w:rsid w:val="00F87A93"/>
    <w:rsid w:val="00F87EAE"/>
    <w:rsid w:val="00F87FCA"/>
    <w:rsid w:val="00F90E42"/>
    <w:rsid w:val="00F91E27"/>
    <w:rsid w:val="00F922ED"/>
    <w:rsid w:val="00F92754"/>
    <w:rsid w:val="00F92794"/>
    <w:rsid w:val="00F927B4"/>
    <w:rsid w:val="00F93188"/>
    <w:rsid w:val="00F94F67"/>
    <w:rsid w:val="00F95100"/>
    <w:rsid w:val="00F9528A"/>
    <w:rsid w:val="00F96559"/>
    <w:rsid w:val="00F9691A"/>
    <w:rsid w:val="00F96D2B"/>
    <w:rsid w:val="00F97986"/>
    <w:rsid w:val="00F97A3C"/>
    <w:rsid w:val="00F97A89"/>
    <w:rsid w:val="00FA0AE1"/>
    <w:rsid w:val="00FA0E76"/>
    <w:rsid w:val="00FA2BC0"/>
    <w:rsid w:val="00FA2C0F"/>
    <w:rsid w:val="00FA2CE9"/>
    <w:rsid w:val="00FA2D54"/>
    <w:rsid w:val="00FA318D"/>
    <w:rsid w:val="00FA3B5A"/>
    <w:rsid w:val="00FA3CDD"/>
    <w:rsid w:val="00FA3E87"/>
    <w:rsid w:val="00FA4E66"/>
    <w:rsid w:val="00FA5521"/>
    <w:rsid w:val="00FA5683"/>
    <w:rsid w:val="00FA5B87"/>
    <w:rsid w:val="00FA5F66"/>
    <w:rsid w:val="00FA62EC"/>
    <w:rsid w:val="00FA6528"/>
    <w:rsid w:val="00FA70D8"/>
    <w:rsid w:val="00FA7845"/>
    <w:rsid w:val="00FB0A1C"/>
    <w:rsid w:val="00FB189F"/>
    <w:rsid w:val="00FB1972"/>
    <w:rsid w:val="00FB1A4A"/>
    <w:rsid w:val="00FB1F1F"/>
    <w:rsid w:val="00FB242D"/>
    <w:rsid w:val="00FB2753"/>
    <w:rsid w:val="00FB2774"/>
    <w:rsid w:val="00FB2BC4"/>
    <w:rsid w:val="00FB2C74"/>
    <w:rsid w:val="00FB31C5"/>
    <w:rsid w:val="00FB6181"/>
    <w:rsid w:val="00FB6381"/>
    <w:rsid w:val="00FB65E4"/>
    <w:rsid w:val="00FB7A1D"/>
    <w:rsid w:val="00FC024E"/>
    <w:rsid w:val="00FC1795"/>
    <w:rsid w:val="00FC1EA5"/>
    <w:rsid w:val="00FC1EC7"/>
    <w:rsid w:val="00FC1FC4"/>
    <w:rsid w:val="00FC2F83"/>
    <w:rsid w:val="00FC2FC2"/>
    <w:rsid w:val="00FC34C5"/>
    <w:rsid w:val="00FC3943"/>
    <w:rsid w:val="00FC4687"/>
    <w:rsid w:val="00FC46A1"/>
    <w:rsid w:val="00FC4769"/>
    <w:rsid w:val="00FC4A53"/>
    <w:rsid w:val="00FC4EA9"/>
    <w:rsid w:val="00FC522B"/>
    <w:rsid w:val="00FC5478"/>
    <w:rsid w:val="00FC58BB"/>
    <w:rsid w:val="00FC6DCD"/>
    <w:rsid w:val="00FC7273"/>
    <w:rsid w:val="00FD0560"/>
    <w:rsid w:val="00FD1F52"/>
    <w:rsid w:val="00FD216A"/>
    <w:rsid w:val="00FD227D"/>
    <w:rsid w:val="00FD2534"/>
    <w:rsid w:val="00FD4059"/>
    <w:rsid w:val="00FD43B1"/>
    <w:rsid w:val="00FD4691"/>
    <w:rsid w:val="00FD4AC8"/>
    <w:rsid w:val="00FD59E0"/>
    <w:rsid w:val="00FD5E63"/>
    <w:rsid w:val="00FD6026"/>
    <w:rsid w:val="00FD67F7"/>
    <w:rsid w:val="00FD6C6A"/>
    <w:rsid w:val="00FD723F"/>
    <w:rsid w:val="00FD7285"/>
    <w:rsid w:val="00FD7B66"/>
    <w:rsid w:val="00FE01F1"/>
    <w:rsid w:val="00FE0B74"/>
    <w:rsid w:val="00FE1EE7"/>
    <w:rsid w:val="00FE22A1"/>
    <w:rsid w:val="00FE302B"/>
    <w:rsid w:val="00FE3054"/>
    <w:rsid w:val="00FE361E"/>
    <w:rsid w:val="00FE3869"/>
    <w:rsid w:val="00FE3A5B"/>
    <w:rsid w:val="00FE3B08"/>
    <w:rsid w:val="00FE3B14"/>
    <w:rsid w:val="00FE3C75"/>
    <w:rsid w:val="00FE4199"/>
    <w:rsid w:val="00FE71DC"/>
    <w:rsid w:val="00FE72A0"/>
    <w:rsid w:val="00FE7FA5"/>
    <w:rsid w:val="00FF0BD2"/>
    <w:rsid w:val="00FF15DE"/>
    <w:rsid w:val="00FF183A"/>
    <w:rsid w:val="00FF1B11"/>
    <w:rsid w:val="00FF1F64"/>
    <w:rsid w:val="00FF22FC"/>
    <w:rsid w:val="00FF29E0"/>
    <w:rsid w:val="00FF3AEB"/>
    <w:rsid w:val="00FF400F"/>
    <w:rsid w:val="00FF48CE"/>
    <w:rsid w:val="00FF4B03"/>
    <w:rsid w:val="00FF58B4"/>
    <w:rsid w:val="00FF5ADE"/>
    <w:rsid w:val="00FF66B5"/>
    <w:rsid w:val="00FF6862"/>
    <w:rsid w:val="00FF6E50"/>
    <w:rsid w:val="00FF6ECA"/>
    <w:rsid w:val="00FF76B8"/>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E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7C7"/>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466FBF"/>
    <w:pPr>
      <w:keepNext/>
      <w:keepLines/>
      <w:pageBreakBefore/>
      <w:numPr>
        <w:numId w:val="77"/>
      </w:numPr>
      <w:adjustRightInd/>
      <w:textAlignment w:val="auto"/>
      <w:outlineLvl w:val="0"/>
    </w:pPr>
    <w:rPr>
      <w:rFonts w:ascii="Calibri" w:hAnsi="Calibri"/>
      <w:b/>
      <w:bCs/>
      <w:color w:val="1795D2" w:themeColor="accent1"/>
      <w:sz w:val="36"/>
      <w:szCs w:val="36"/>
    </w:rPr>
  </w:style>
  <w:style w:type="paragraph" w:styleId="Heading2">
    <w:name w:val="heading 2"/>
    <w:basedOn w:val="Normal"/>
    <w:next w:val="Normal"/>
    <w:link w:val="Heading2Char"/>
    <w:autoRedefine/>
    <w:qFormat/>
    <w:rsid w:val="00B8270A"/>
    <w:pPr>
      <w:keepNext/>
      <w:keepLines/>
      <w:numPr>
        <w:ilvl w:val="1"/>
        <w:numId w:val="77"/>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D27B9E"/>
    <w:pPr>
      <w:keepNext/>
      <w:keepLines/>
      <w:numPr>
        <w:ilvl w:val="2"/>
        <w:numId w:val="77"/>
      </w:numPr>
      <w:spacing w:after="120" w:line="240" w:lineRule="auto"/>
      <w:outlineLvl w:val="2"/>
    </w:pPr>
    <w:rPr>
      <w:rFonts w:ascii="Calibri" w:hAnsi="Calibri"/>
      <w:b/>
      <w:iCs/>
      <w:color w:val="000000"/>
      <w:szCs w:val="18"/>
    </w:rPr>
  </w:style>
  <w:style w:type="paragraph" w:styleId="Heading4">
    <w:name w:val="heading 4"/>
    <w:basedOn w:val="Normal"/>
    <w:next w:val="Normal"/>
    <w:link w:val="Heading4Char"/>
    <w:autoRedefine/>
    <w:qFormat/>
    <w:rsid w:val="0040198C"/>
    <w:pPr>
      <w:keepNext/>
      <w:keepLines/>
      <w:numPr>
        <w:ilvl w:val="3"/>
        <w:numId w:val="77"/>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EB3C23"/>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B64774"/>
    <w:pPr>
      <w:tabs>
        <w:tab w:val="right" w:leader="dot" w:pos="8990"/>
      </w:tabs>
      <w:spacing w:after="120" w:line="240" w:lineRule="auto"/>
      <w:ind w:left="1260" w:hanging="1260"/>
    </w:pPr>
    <w:rPr>
      <w:rFonts w:ascii="Calibri" w:hAnsi="Calibri"/>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5D20DB"/>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5D20DB"/>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3"/>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466FBF"/>
    <w:rPr>
      <w:rFonts w:ascii="Calibri" w:hAnsi="Calibri"/>
      <w:b/>
      <w:bCs/>
      <w:color w:val="1795D2" w:themeColor="accent1"/>
      <w:sz w:val="36"/>
      <w:szCs w:val="36"/>
    </w:rPr>
  </w:style>
  <w:style w:type="character" w:customStyle="1" w:styleId="Heading2Char">
    <w:name w:val="Heading 2 Char"/>
    <w:link w:val="Heading2"/>
    <w:rsid w:val="00B8270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uiPriority w:val="99"/>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D27B9E"/>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40198C"/>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1795D2" w:themeColor="accent1"/>
      </w:pBdr>
      <w:spacing w:before="200" w:after="280"/>
      <w:ind w:left="936" w:right="936"/>
    </w:pPr>
    <w:rPr>
      <w:b/>
      <w:bCs/>
      <w:i/>
      <w:iCs/>
      <w:color w:val="1795D2"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1795D2" w:themeColor="accent1"/>
      <w:szCs w:val="22"/>
    </w:rPr>
  </w:style>
  <w:style w:type="character" w:customStyle="1" w:styleId="CaptionChar">
    <w:name w:val="Caption Char"/>
    <w:basedOn w:val="DefaultParagraphFont"/>
    <w:link w:val="Caption"/>
    <w:locked/>
    <w:rsid w:val="00EB3C23"/>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 w:type="paragraph" w:styleId="PlainText">
    <w:name w:val="Plain Text"/>
    <w:basedOn w:val="Normal"/>
    <w:link w:val="PlainTextChar"/>
    <w:uiPriority w:val="99"/>
    <w:semiHidden/>
    <w:unhideWhenUsed/>
    <w:rsid w:val="00300BFD"/>
    <w:pPr>
      <w:adjustRightInd/>
      <w:spacing w:after="0" w:line="240" w:lineRule="auto"/>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00BF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30611459">
      <w:bodyDiv w:val="1"/>
      <w:marLeft w:val="0"/>
      <w:marRight w:val="0"/>
      <w:marTop w:val="0"/>
      <w:marBottom w:val="0"/>
      <w:divBdr>
        <w:top w:val="none" w:sz="0" w:space="0" w:color="auto"/>
        <w:left w:val="none" w:sz="0" w:space="0" w:color="auto"/>
        <w:bottom w:val="none" w:sz="0" w:space="0" w:color="auto"/>
        <w:right w:val="none" w:sz="0" w:space="0" w:color="auto"/>
      </w:divBdr>
      <w:divsChild>
        <w:div w:id="967978734">
          <w:marLeft w:val="547"/>
          <w:marRight w:val="0"/>
          <w:marTop w:val="240"/>
          <w:marBottom w:val="0"/>
          <w:divBdr>
            <w:top w:val="none" w:sz="0" w:space="0" w:color="auto"/>
            <w:left w:val="none" w:sz="0" w:space="0" w:color="auto"/>
            <w:bottom w:val="none" w:sz="0" w:space="0" w:color="auto"/>
            <w:right w:val="none" w:sz="0" w:space="0" w:color="auto"/>
          </w:divBdr>
        </w:div>
      </w:divsChild>
    </w:div>
    <w:div w:id="54203941">
      <w:bodyDiv w:val="1"/>
      <w:marLeft w:val="0"/>
      <w:marRight w:val="0"/>
      <w:marTop w:val="0"/>
      <w:marBottom w:val="0"/>
      <w:divBdr>
        <w:top w:val="none" w:sz="0" w:space="0" w:color="auto"/>
        <w:left w:val="none" w:sz="0" w:space="0" w:color="auto"/>
        <w:bottom w:val="none" w:sz="0" w:space="0" w:color="auto"/>
        <w:right w:val="none" w:sz="0" w:space="0" w:color="auto"/>
      </w:divBdr>
    </w:div>
    <w:div w:id="84542275">
      <w:bodyDiv w:val="1"/>
      <w:marLeft w:val="0"/>
      <w:marRight w:val="0"/>
      <w:marTop w:val="0"/>
      <w:marBottom w:val="0"/>
      <w:divBdr>
        <w:top w:val="none" w:sz="0" w:space="0" w:color="auto"/>
        <w:left w:val="none" w:sz="0" w:space="0" w:color="auto"/>
        <w:bottom w:val="none" w:sz="0" w:space="0" w:color="auto"/>
        <w:right w:val="none" w:sz="0" w:space="0" w:color="auto"/>
      </w:divBdr>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121458343">
      <w:bodyDiv w:val="1"/>
      <w:marLeft w:val="0"/>
      <w:marRight w:val="0"/>
      <w:marTop w:val="0"/>
      <w:marBottom w:val="0"/>
      <w:divBdr>
        <w:top w:val="none" w:sz="0" w:space="0" w:color="auto"/>
        <w:left w:val="none" w:sz="0" w:space="0" w:color="auto"/>
        <w:bottom w:val="none" w:sz="0" w:space="0" w:color="auto"/>
        <w:right w:val="none" w:sz="0" w:space="0" w:color="auto"/>
      </w:divBdr>
      <w:divsChild>
        <w:div w:id="62531518">
          <w:marLeft w:val="547"/>
          <w:marRight w:val="0"/>
          <w:marTop w:val="240"/>
          <w:marBottom w:val="0"/>
          <w:divBdr>
            <w:top w:val="none" w:sz="0" w:space="0" w:color="auto"/>
            <w:left w:val="none" w:sz="0" w:space="0" w:color="auto"/>
            <w:bottom w:val="none" w:sz="0" w:space="0" w:color="auto"/>
            <w:right w:val="none" w:sz="0" w:space="0" w:color="auto"/>
          </w:divBdr>
        </w:div>
        <w:div w:id="278343131">
          <w:marLeft w:val="1166"/>
          <w:marRight w:val="0"/>
          <w:marTop w:val="0"/>
          <w:marBottom w:val="0"/>
          <w:divBdr>
            <w:top w:val="none" w:sz="0" w:space="0" w:color="auto"/>
            <w:left w:val="none" w:sz="0" w:space="0" w:color="auto"/>
            <w:bottom w:val="none" w:sz="0" w:space="0" w:color="auto"/>
            <w:right w:val="none" w:sz="0" w:space="0" w:color="auto"/>
          </w:divBdr>
        </w:div>
        <w:div w:id="1104614952">
          <w:marLeft w:val="547"/>
          <w:marRight w:val="0"/>
          <w:marTop w:val="240"/>
          <w:marBottom w:val="0"/>
          <w:divBdr>
            <w:top w:val="none" w:sz="0" w:space="0" w:color="auto"/>
            <w:left w:val="none" w:sz="0" w:space="0" w:color="auto"/>
            <w:bottom w:val="none" w:sz="0" w:space="0" w:color="auto"/>
            <w:right w:val="none" w:sz="0" w:space="0" w:color="auto"/>
          </w:divBdr>
        </w:div>
        <w:div w:id="1170487365">
          <w:marLeft w:val="1166"/>
          <w:marRight w:val="0"/>
          <w:marTop w:val="0"/>
          <w:marBottom w:val="0"/>
          <w:divBdr>
            <w:top w:val="none" w:sz="0" w:space="0" w:color="auto"/>
            <w:left w:val="none" w:sz="0" w:space="0" w:color="auto"/>
            <w:bottom w:val="none" w:sz="0" w:space="0" w:color="auto"/>
            <w:right w:val="none" w:sz="0" w:space="0" w:color="auto"/>
          </w:divBdr>
        </w:div>
        <w:div w:id="1354302771">
          <w:marLeft w:val="1166"/>
          <w:marRight w:val="0"/>
          <w:marTop w:val="0"/>
          <w:marBottom w:val="0"/>
          <w:divBdr>
            <w:top w:val="none" w:sz="0" w:space="0" w:color="auto"/>
            <w:left w:val="none" w:sz="0" w:space="0" w:color="auto"/>
            <w:bottom w:val="none" w:sz="0" w:space="0" w:color="auto"/>
            <w:right w:val="none" w:sz="0" w:space="0" w:color="auto"/>
          </w:divBdr>
        </w:div>
        <w:div w:id="1396709099">
          <w:marLeft w:val="547"/>
          <w:marRight w:val="0"/>
          <w:marTop w:val="240"/>
          <w:marBottom w:val="0"/>
          <w:divBdr>
            <w:top w:val="none" w:sz="0" w:space="0" w:color="auto"/>
            <w:left w:val="none" w:sz="0" w:space="0" w:color="auto"/>
            <w:bottom w:val="none" w:sz="0" w:space="0" w:color="auto"/>
            <w:right w:val="none" w:sz="0" w:space="0" w:color="auto"/>
          </w:divBdr>
        </w:div>
        <w:div w:id="1685325614">
          <w:marLeft w:val="547"/>
          <w:marRight w:val="0"/>
          <w:marTop w:val="240"/>
          <w:marBottom w:val="0"/>
          <w:divBdr>
            <w:top w:val="none" w:sz="0" w:space="0" w:color="auto"/>
            <w:left w:val="none" w:sz="0" w:space="0" w:color="auto"/>
            <w:bottom w:val="none" w:sz="0" w:space="0" w:color="auto"/>
            <w:right w:val="none" w:sz="0" w:space="0" w:color="auto"/>
          </w:divBdr>
        </w:div>
      </w:divsChild>
    </w:div>
    <w:div w:id="122695178">
      <w:bodyDiv w:val="1"/>
      <w:marLeft w:val="0"/>
      <w:marRight w:val="0"/>
      <w:marTop w:val="0"/>
      <w:marBottom w:val="0"/>
      <w:divBdr>
        <w:top w:val="none" w:sz="0" w:space="0" w:color="auto"/>
        <w:left w:val="none" w:sz="0" w:space="0" w:color="auto"/>
        <w:bottom w:val="none" w:sz="0" w:space="0" w:color="auto"/>
        <w:right w:val="none" w:sz="0" w:space="0" w:color="auto"/>
      </w:divBdr>
    </w:div>
    <w:div w:id="155153729">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1671032">
      <w:bodyDiv w:val="1"/>
      <w:marLeft w:val="0"/>
      <w:marRight w:val="0"/>
      <w:marTop w:val="0"/>
      <w:marBottom w:val="0"/>
      <w:divBdr>
        <w:top w:val="none" w:sz="0" w:space="0" w:color="auto"/>
        <w:left w:val="none" w:sz="0" w:space="0" w:color="auto"/>
        <w:bottom w:val="none" w:sz="0" w:space="0" w:color="auto"/>
        <w:right w:val="none" w:sz="0" w:space="0" w:color="auto"/>
      </w:divBdr>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291061643">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41318246">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895">
      <w:bodyDiv w:val="1"/>
      <w:marLeft w:val="0"/>
      <w:marRight w:val="0"/>
      <w:marTop w:val="0"/>
      <w:marBottom w:val="0"/>
      <w:divBdr>
        <w:top w:val="none" w:sz="0" w:space="0" w:color="auto"/>
        <w:left w:val="none" w:sz="0" w:space="0" w:color="auto"/>
        <w:bottom w:val="none" w:sz="0" w:space="0" w:color="auto"/>
        <w:right w:val="none" w:sz="0" w:space="0" w:color="auto"/>
      </w:divBdr>
    </w:div>
    <w:div w:id="516967329">
      <w:bodyDiv w:val="1"/>
      <w:marLeft w:val="0"/>
      <w:marRight w:val="0"/>
      <w:marTop w:val="0"/>
      <w:marBottom w:val="0"/>
      <w:divBdr>
        <w:top w:val="none" w:sz="0" w:space="0" w:color="auto"/>
        <w:left w:val="none" w:sz="0" w:space="0" w:color="auto"/>
        <w:bottom w:val="none" w:sz="0" w:space="0" w:color="auto"/>
        <w:right w:val="none" w:sz="0" w:space="0" w:color="auto"/>
      </w:divBdr>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567884084">
      <w:bodyDiv w:val="1"/>
      <w:marLeft w:val="0"/>
      <w:marRight w:val="0"/>
      <w:marTop w:val="0"/>
      <w:marBottom w:val="0"/>
      <w:divBdr>
        <w:top w:val="none" w:sz="0" w:space="0" w:color="auto"/>
        <w:left w:val="none" w:sz="0" w:space="0" w:color="auto"/>
        <w:bottom w:val="none" w:sz="0" w:space="0" w:color="auto"/>
        <w:right w:val="none" w:sz="0" w:space="0" w:color="auto"/>
      </w:divBdr>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51257586">
      <w:bodyDiv w:val="1"/>
      <w:marLeft w:val="0"/>
      <w:marRight w:val="0"/>
      <w:marTop w:val="0"/>
      <w:marBottom w:val="0"/>
      <w:divBdr>
        <w:top w:val="none" w:sz="0" w:space="0" w:color="auto"/>
        <w:left w:val="none" w:sz="0" w:space="0" w:color="auto"/>
        <w:bottom w:val="none" w:sz="0" w:space="0" w:color="auto"/>
        <w:right w:val="none" w:sz="0" w:space="0" w:color="auto"/>
      </w:divBdr>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805509130">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4339827">
      <w:bodyDiv w:val="1"/>
      <w:marLeft w:val="0"/>
      <w:marRight w:val="0"/>
      <w:marTop w:val="0"/>
      <w:marBottom w:val="0"/>
      <w:divBdr>
        <w:top w:val="none" w:sz="0" w:space="0" w:color="auto"/>
        <w:left w:val="none" w:sz="0" w:space="0" w:color="auto"/>
        <w:bottom w:val="none" w:sz="0" w:space="0" w:color="auto"/>
        <w:right w:val="none" w:sz="0" w:space="0" w:color="auto"/>
      </w:divBdr>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43465201">
      <w:bodyDiv w:val="1"/>
      <w:marLeft w:val="0"/>
      <w:marRight w:val="0"/>
      <w:marTop w:val="0"/>
      <w:marBottom w:val="0"/>
      <w:divBdr>
        <w:top w:val="none" w:sz="0" w:space="0" w:color="auto"/>
        <w:left w:val="none" w:sz="0" w:space="0" w:color="auto"/>
        <w:bottom w:val="none" w:sz="0" w:space="0" w:color="auto"/>
        <w:right w:val="none" w:sz="0" w:space="0" w:color="auto"/>
      </w:divBdr>
    </w:div>
    <w:div w:id="947539913">
      <w:bodyDiv w:val="1"/>
      <w:marLeft w:val="0"/>
      <w:marRight w:val="0"/>
      <w:marTop w:val="0"/>
      <w:marBottom w:val="0"/>
      <w:divBdr>
        <w:top w:val="none" w:sz="0" w:space="0" w:color="auto"/>
        <w:left w:val="none" w:sz="0" w:space="0" w:color="auto"/>
        <w:bottom w:val="none" w:sz="0" w:space="0" w:color="auto"/>
        <w:right w:val="none" w:sz="0" w:space="0" w:color="auto"/>
      </w:divBdr>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89286523">
      <w:bodyDiv w:val="1"/>
      <w:marLeft w:val="0"/>
      <w:marRight w:val="0"/>
      <w:marTop w:val="0"/>
      <w:marBottom w:val="0"/>
      <w:divBdr>
        <w:top w:val="none" w:sz="0" w:space="0" w:color="auto"/>
        <w:left w:val="none" w:sz="0" w:space="0" w:color="auto"/>
        <w:bottom w:val="none" w:sz="0" w:space="0" w:color="auto"/>
        <w:right w:val="none" w:sz="0" w:space="0" w:color="auto"/>
      </w:divBdr>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1037391843">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17026115">
      <w:bodyDiv w:val="1"/>
      <w:marLeft w:val="0"/>
      <w:marRight w:val="0"/>
      <w:marTop w:val="0"/>
      <w:marBottom w:val="0"/>
      <w:divBdr>
        <w:top w:val="none" w:sz="0" w:space="0" w:color="auto"/>
        <w:left w:val="none" w:sz="0" w:space="0" w:color="auto"/>
        <w:bottom w:val="none" w:sz="0" w:space="0" w:color="auto"/>
        <w:right w:val="none" w:sz="0" w:space="0" w:color="auto"/>
      </w:divBdr>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37068833">
      <w:bodyDiv w:val="1"/>
      <w:marLeft w:val="0"/>
      <w:marRight w:val="0"/>
      <w:marTop w:val="0"/>
      <w:marBottom w:val="0"/>
      <w:divBdr>
        <w:top w:val="none" w:sz="0" w:space="0" w:color="auto"/>
        <w:left w:val="none" w:sz="0" w:space="0" w:color="auto"/>
        <w:bottom w:val="none" w:sz="0" w:space="0" w:color="auto"/>
        <w:right w:val="none" w:sz="0" w:space="0" w:color="auto"/>
      </w:divBdr>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167869780">
      <w:bodyDiv w:val="1"/>
      <w:marLeft w:val="0"/>
      <w:marRight w:val="0"/>
      <w:marTop w:val="0"/>
      <w:marBottom w:val="0"/>
      <w:divBdr>
        <w:top w:val="none" w:sz="0" w:space="0" w:color="auto"/>
        <w:left w:val="none" w:sz="0" w:space="0" w:color="auto"/>
        <w:bottom w:val="none" w:sz="0" w:space="0" w:color="auto"/>
        <w:right w:val="none" w:sz="0" w:space="0" w:color="auto"/>
      </w:divBdr>
    </w:div>
    <w:div w:id="1193302812">
      <w:bodyDiv w:val="1"/>
      <w:marLeft w:val="0"/>
      <w:marRight w:val="0"/>
      <w:marTop w:val="0"/>
      <w:marBottom w:val="0"/>
      <w:divBdr>
        <w:top w:val="none" w:sz="0" w:space="0" w:color="auto"/>
        <w:left w:val="none" w:sz="0" w:space="0" w:color="auto"/>
        <w:bottom w:val="none" w:sz="0" w:space="0" w:color="auto"/>
        <w:right w:val="none" w:sz="0" w:space="0" w:color="auto"/>
      </w:divBdr>
    </w:div>
    <w:div w:id="1229268057">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36428129">
      <w:bodyDiv w:val="1"/>
      <w:marLeft w:val="0"/>
      <w:marRight w:val="0"/>
      <w:marTop w:val="0"/>
      <w:marBottom w:val="0"/>
      <w:divBdr>
        <w:top w:val="none" w:sz="0" w:space="0" w:color="auto"/>
        <w:left w:val="none" w:sz="0" w:space="0" w:color="auto"/>
        <w:bottom w:val="none" w:sz="0" w:space="0" w:color="auto"/>
        <w:right w:val="none" w:sz="0" w:space="0" w:color="auto"/>
      </w:divBdr>
    </w:div>
    <w:div w:id="1268469497">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35110857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72145073">
      <w:bodyDiv w:val="1"/>
      <w:marLeft w:val="0"/>
      <w:marRight w:val="0"/>
      <w:marTop w:val="0"/>
      <w:marBottom w:val="0"/>
      <w:divBdr>
        <w:top w:val="none" w:sz="0" w:space="0" w:color="auto"/>
        <w:left w:val="none" w:sz="0" w:space="0" w:color="auto"/>
        <w:bottom w:val="none" w:sz="0" w:space="0" w:color="auto"/>
        <w:right w:val="none" w:sz="0" w:space="0" w:color="auto"/>
      </w:divBdr>
      <w:divsChild>
        <w:div w:id="359092870">
          <w:marLeft w:val="1166"/>
          <w:marRight w:val="0"/>
          <w:marTop w:val="0"/>
          <w:marBottom w:val="0"/>
          <w:divBdr>
            <w:top w:val="none" w:sz="0" w:space="0" w:color="auto"/>
            <w:left w:val="none" w:sz="0" w:space="0" w:color="auto"/>
            <w:bottom w:val="none" w:sz="0" w:space="0" w:color="auto"/>
            <w:right w:val="none" w:sz="0" w:space="0" w:color="auto"/>
          </w:divBdr>
        </w:div>
        <w:div w:id="656030319">
          <w:marLeft w:val="1166"/>
          <w:marRight w:val="0"/>
          <w:marTop w:val="0"/>
          <w:marBottom w:val="0"/>
          <w:divBdr>
            <w:top w:val="none" w:sz="0" w:space="0" w:color="auto"/>
            <w:left w:val="none" w:sz="0" w:space="0" w:color="auto"/>
            <w:bottom w:val="none" w:sz="0" w:space="0" w:color="auto"/>
            <w:right w:val="none" w:sz="0" w:space="0" w:color="auto"/>
          </w:divBdr>
        </w:div>
        <w:div w:id="882984212">
          <w:marLeft w:val="1166"/>
          <w:marRight w:val="0"/>
          <w:marTop w:val="0"/>
          <w:marBottom w:val="0"/>
          <w:divBdr>
            <w:top w:val="none" w:sz="0" w:space="0" w:color="auto"/>
            <w:left w:val="none" w:sz="0" w:space="0" w:color="auto"/>
            <w:bottom w:val="none" w:sz="0" w:space="0" w:color="auto"/>
            <w:right w:val="none" w:sz="0" w:space="0" w:color="auto"/>
          </w:divBdr>
        </w:div>
      </w:divsChild>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8329">
      <w:bodyDiv w:val="1"/>
      <w:marLeft w:val="0"/>
      <w:marRight w:val="0"/>
      <w:marTop w:val="0"/>
      <w:marBottom w:val="0"/>
      <w:divBdr>
        <w:top w:val="none" w:sz="0" w:space="0" w:color="auto"/>
        <w:left w:val="none" w:sz="0" w:space="0" w:color="auto"/>
        <w:bottom w:val="none" w:sz="0" w:space="0" w:color="auto"/>
        <w:right w:val="none" w:sz="0" w:space="0" w:color="auto"/>
      </w:divBdr>
    </w:div>
    <w:div w:id="1452016922">
      <w:bodyDiv w:val="1"/>
      <w:marLeft w:val="0"/>
      <w:marRight w:val="0"/>
      <w:marTop w:val="0"/>
      <w:marBottom w:val="0"/>
      <w:divBdr>
        <w:top w:val="none" w:sz="0" w:space="0" w:color="auto"/>
        <w:left w:val="none" w:sz="0" w:space="0" w:color="auto"/>
        <w:bottom w:val="none" w:sz="0" w:space="0" w:color="auto"/>
        <w:right w:val="none" w:sz="0" w:space="0" w:color="auto"/>
      </w:divBdr>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679480">
      <w:bodyDiv w:val="1"/>
      <w:marLeft w:val="0"/>
      <w:marRight w:val="0"/>
      <w:marTop w:val="0"/>
      <w:marBottom w:val="0"/>
      <w:divBdr>
        <w:top w:val="none" w:sz="0" w:space="0" w:color="auto"/>
        <w:left w:val="none" w:sz="0" w:space="0" w:color="auto"/>
        <w:bottom w:val="none" w:sz="0" w:space="0" w:color="auto"/>
        <w:right w:val="none" w:sz="0" w:space="0" w:color="auto"/>
      </w:divBdr>
    </w:div>
    <w:div w:id="1503008026">
      <w:bodyDiv w:val="1"/>
      <w:marLeft w:val="0"/>
      <w:marRight w:val="0"/>
      <w:marTop w:val="0"/>
      <w:marBottom w:val="0"/>
      <w:divBdr>
        <w:top w:val="none" w:sz="0" w:space="0" w:color="auto"/>
        <w:left w:val="none" w:sz="0" w:space="0" w:color="auto"/>
        <w:bottom w:val="none" w:sz="0" w:space="0" w:color="auto"/>
        <w:right w:val="none" w:sz="0" w:space="0" w:color="auto"/>
      </w:divBdr>
    </w:div>
    <w:div w:id="1512062244">
      <w:bodyDiv w:val="1"/>
      <w:marLeft w:val="0"/>
      <w:marRight w:val="0"/>
      <w:marTop w:val="0"/>
      <w:marBottom w:val="0"/>
      <w:divBdr>
        <w:top w:val="none" w:sz="0" w:space="0" w:color="auto"/>
        <w:left w:val="none" w:sz="0" w:space="0" w:color="auto"/>
        <w:bottom w:val="none" w:sz="0" w:space="0" w:color="auto"/>
        <w:right w:val="none" w:sz="0" w:space="0" w:color="auto"/>
      </w:divBdr>
    </w:div>
    <w:div w:id="1525555870">
      <w:bodyDiv w:val="1"/>
      <w:marLeft w:val="0"/>
      <w:marRight w:val="0"/>
      <w:marTop w:val="0"/>
      <w:marBottom w:val="0"/>
      <w:divBdr>
        <w:top w:val="none" w:sz="0" w:space="0" w:color="auto"/>
        <w:left w:val="none" w:sz="0" w:space="0" w:color="auto"/>
        <w:bottom w:val="none" w:sz="0" w:space="0" w:color="auto"/>
        <w:right w:val="none" w:sz="0" w:space="0" w:color="auto"/>
      </w:divBdr>
    </w:div>
    <w:div w:id="1581518540">
      <w:bodyDiv w:val="1"/>
      <w:marLeft w:val="0"/>
      <w:marRight w:val="0"/>
      <w:marTop w:val="0"/>
      <w:marBottom w:val="0"/>
      <w:divBdr>
        <w:top w:val="none" w:sz="0" w:space="0" w:color="auto"/>
        <w:left w:val="none" w:sz="0" w:space="0" w:color="auto"/>
        <w:bottom w:val="none" w:sz="0" w:space="0" w:color="auto"/>
        <w:right w:val="none" w:sz="0" w:space="0" w:color="auto"/>
      </w:divBdr>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3781382">
      <w:bodyDiv w:val="1"/>
      <w:marLeft w:val="0"/>
      <w:marRight w:val="0"/>
      <w:marTop w:val="0"/>
      <w:marBottom w:val="0"/>
      <w:divBdr>
        <w:top w:val="none" w:sz="0" w:space="0" w:color="auto"/>
        <w:left w:val="none" w:sz="0" w:space="0" w:color="auto"/>
        <w:bottom w:val="none" w:sz="0" w:space="0" w:color="auto"/>
        <w:right w:val="none" w:sz="0" w:space="0" w:color="auto"/>
      </w:divBdr>
    </w:div>
    <w:div w:id="1614899636">
      <w:bodyDiv w:val="1"/>
      <w:marLeft w:val="0"/>
      <w:marRight w:val="0"/>
      <w:marTop w:val="0"/>
      <w:marBottom w:val="0"/>
      <w:divBdr>
        <w:top w:val="none" w:sz="0" w:space="0" w:color="auto"/>
        <w:left w:val="none" w:sz="0" w:space="0" w:color="auto"/>
        <w:bottom w:val="none" w:sz="0" w:space="0" w:color="auto"/>
        <w:right w:val="none" w:sz="0" w:space="0" w:color="auto"/>
      </w:divBdr>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2514">
      <w:bodyDiv w:val="1"/>
      <w:marLeft w:val="0"/>
      <w:marRight w:val="0"/>
      <w:marTop w:val="0"/>
      <w:marBottom w:val="0"/>
      <w:divBdr>
        <w:top w:val="none" w:sz="0" w:space="0" w:color="auto"/>
        <w:left w:val="none" w:sz="0" w:space="0" w:color="auto"/>
        <w:bottom w:val="none" w:sz="0" w:space="0" w:color="auto"/>
        <w:right w:val="none" w:sz="0" w:space="0" w:color="auto"/>
      </w:divBdr>
    </w:div>
    <w:div w:id="1668442957">
      <w:bodyDiv w:val="1"/>
      <w:marLeft w:val="0"/>
      <w:marRight w:val="0"/>
      <w:marTop w:val="0"/>
      <w:marBottom w:val="0"/>
      <w:divBdr>
        <w:top w:val="none" w:sz="0" w:space="0" w:color="auto"/>
        <w:left w:val="none" w:sz="0" w:space="0" w:color="auto"/>
        <w:bottom w:val="none" w:sz="0" w:space="0" w:color="auto"/>
        <w:right w:val="none" w:sz="0" w:space="0" w:color="auto"/>
      </w:divBdr>
    </w:div>
    <w:div w:id="1673945268">
      <w:bodyDiv w:val="1"/>
      <w:marLeft w:val="0"/>
      <w:marRight w:val="0"/>
      <w:marTop w:val="0"/>
      <w:marBottom w:val="0"/>
      <w:divBdr>
        <w:top w:val="none" w:sz="0" w:space="0" w:color="auto"/>
        <w:left w:val="none" w:sz="0" w:space="0" w:color="auto"/>
        <w:bottom w:val="none" w:sz="0" w:space="0" w:color="auto"/>
        <w:right w:val="none" w:sz="0" w:space="0" w:color="auto"/>
      </w:divBdr>
    </w:div>
    <w:div w:id="1694648180">
      <w:bodyDiv w:val="1"/>
      <w:marLeft w:val="0"/>
      <w:marRight w:val="0"/>
      <w:marTop w:val="0"/>
      <w:marBottom w:val="0"/>
      <w:divBdr>
        <w:top w:val="none" w:sz="0" w:space="0" w:color="auto"/>
        <w:left w:val="none" w:sz="0" w:space="0" w:color="auto"/>
        <w:bottom w:val="none" w:sz="0" w:space="0" w:color="auto"/>
        <w:right w:val="none" w:sz="0" w:space="0" w:color="auto"/>
      </w:divBdr>
    </w:div>
    <w:div w:id="1723752916">
      <w:bodyDiv w:val="1"/>
      <w:marLeft w:val="0"/>
      <w:marRight w:val="0"/>
      <w:marTop w:val="0"/>
      <w:marBottom w:val="0"/>
      <w:divBdr>
        <w:top w:val="none" w:sz="0" w:space="0" w:color="auto"/>
        <w:left w:val="none" w:sz="0" w:space="0" w:color="auto"/>
        <w:bottom w:val="none" w:sz="0" w:space="0" w:color="auto"/>
        <w:right w:val="none" w:sz="0" w:space="0" w:color="auto"/>
      </w:divBdr>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226392">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6893760">
      <w:marLeft w:val="0"/>
      <w:marRight w:val="0"/>
      <w:marTop w:val="0"/>
      <w:marBottom w:val="0"/>
      <w:divBdr>
        <w:top w:val="none" w:sz="0" w:space="0" w:color="auto"/>
        <w:left w:val="none" w:sz="0" w:space="0" w:color="auto"/>
        <w:bottom w:val="none" w:sz="0" w:space="0" w:color="auto"/>
        <w:right w:val="none" w:sz="0" w:space="0" w:color="auto"/>
      </w:divBdr>
    </w:div>
    <w:div w:id="1937328523">
      <w:bodyDiv w:val="1"/>
      <w:marLeft w:val="0"/>
      <w:marRight w:val="0"/>
      <w:marTop w:val="0"/>
      <w:marBottom w:val="0"/>
      <w:divBdr>
        <w:top w:val="none" w:sz="0" w:space="0" w:color="auto"/>
        <w:left w:val="none" w:sz="0" w:space="0" w:color="auto"/>
        <w:bottom w:val="none" w:sz="0" w:space="0" w:color="auto"/>
        <w:right w:val="none" w:sz="0" w:space="0" w:color="auto"/>
      </w:divBdr>
      <w:divsChild>
        <w:div w:id="479271276">
          <w:marLeft w:val="547"/>
          <w:marRight w:val="0"/>
          <w:marTop w:val="240"/>
          <w:marBottom w:val="0"/>
          <w:divBdr>
            <w:top w:val="none" w:sz="0" w:space="0" w:color="auto"/>
            <w:left w:val="none" w:sz="0" w:space="0" w:color="auto"/>
            <w:bottom w:val="none" w:sz="0" w:space="0" w:color="auto"/>
            <w:right w:val="none" w:sz="0" w:space="0" w:color="auto"/>
          </w:divBdr>
        </w:div>
        <w:div w:id="964507248">
          <w:marLeft w:val="547"/>
          <w:marRight w:val="0"/>
          <w:marTop w:val="240"/>
          <w:marBottom w:val="0"/>
          <w:divBdr>
            <w:top w:val="none" w:sz="0" w:space="0" w:color="auto"/>
            <w:left w:val="none" w:sz="0" w:space="0" w:color="auto"/>
            <w:bottom w:val="none" w:sz="0" w:space="0" w:color="auto"/>
            <w:right w:val="none" w:sz="0" w:space="0" w:color="auto"/>
          </w:divBdr>
        </w:div>
        <w:div w:id="1409620086">
          <w:marLeft w:val="547"/>
          <w:marRight w:val="0"/>
          <w:marTop w:val="240"/>
          <w:marBottom w:val="0"/>
          <w:divBdr>
            <w:top w:val="none" w:sz="0" w:space="0" w:color="auto"/>
            <w:left w:val="none" w:sz="0" w:space="0" w:color="auto"/>
            <w:bottom w:val="none" w:sz="0" w:space="0" w:color="auto"/>
            <w:right w:val="none" w:sz="0" w:space="0" w:color="auto"/>
          </w:divBdr>
        </w:div>
        <w:div w:id="1779062408">
          <w:marLeft w:val="547"/>
          <w:marRight w:val="0"/>
          <w:marTop w:val="240"/>
          <w:marBottom w:val="0"/>
          <w:divBdr>
            <w:top w:val="none" w:sz="0" w:space="0" w:color="auto"/>
            <w:left w:val="none" w:sz="0" w:space="0" w:color="auto"/>
            <w:bottom w:val="none" w:sz="0" w:space="0" w:color="auto"/>
            <w:right w:val="none" w:sz="0" w:space="0" w:color="auto"/>
          </w:divBdr>
        </w:div>
      </w:divsChild>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2234">
      <w:bodyDiv w:val="1"/>
      <w:marLeft w:val="0"/>
      <w:marRight w:val="0"/>
      <w:marTop w:val="0"/>
      <w:marBottom w:val="0"/>
      <w:divBdr>
        <w:top w:val="none" w:sz="0" w:space="0" w:color="auto"/>
        <w:left w:val="none" w:sz="0" w:space="0" w:color="auto"/>
        <w:bottom w:val="none" w:sz="0" w:space="0" w:color="auto"/>
        <w:right w:val="none" w:sz="0" w:space="0" w:color="auto"/>
      </w:divBdr>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1965651681">
      <w:bodyDiv w:val="1"/>
      <w:marLeft w:val="0"/>
      <w:marRight w:val="0"/>
      <w:marTop w:val="0"/>
      <w:marBottom w:val="0"/>
      <w:divBdr>
        <w:top w:val="none" w:sz="0" w:space="0" w:color="auto"/>
        <w:left w:val="none" w:sz="0" w:space="0" w:color="auto"/>
        <w:bottom w:val="none" w:sz="0" w:space="0" w:color="auto"/>
        <w:right w:val="none" w:sz="0" w:space="0" w:color="auto"/>
      </w:divBdr>
      <w:divsChild>
        <w:div w:id="966861066">
          <w:marLeft w:val="1166"/>
          <w:marRight w:val="0"/>
          <w:marTop w:val="0"/>
          <w:marBottom w:val="0"/>
          <w:divBdr>
            <w:top w:val="none" w:sz="0" w:space="0" w:color="auto"/>
            <w:left w:val="none" w:sz="0" w:space="0" w:color="auto"/>
            <w:bottom w:val="none" w:sz="0" w:space="0" w:color="auto"/>
            <w:right w:val="none" w:sz="0" w:space="0" w:color="auto"/>
          </w:divBdr>
        </w:div>
        <w:div w:id="1008286157">
          <w:marLeft w:val="1166"/>
          <w:marRight w:val="0"/>
          <w:marTop w:val="0"/>
          <w:marBottom w:val="0"/>
          <w:divBdr>
            <w:top w:val="none" w:sz="0" w:space="0" w:color="auto"/>
            <w:left w:val="none" w:sz="0" w:space="0" w:color="auto"/>
            <w:bottom w:val="none" w:sz="0" w:space="0" w:color="auto"/>
            <w:right w:val="none" w:sz="0" w:space="0" w:color="auto"/>
          </w:divBdr>
        </w:div>
        <w:div w:id="1423455842">
          <w:marLeft w:val="1166"/>
          <w:marRight w:val="0"/>
          <w:marTop w:val="0"/>
          <w:marBottom w:val="0"/>
          <w:divBdr>
            <w:top w:val="none" w:sz="0" w:space="0" w:color="auto"/>
            <w:left w:val="none" w:sz="0" w:space="0" w:color="auto"/>
            <w:bottom w:val="none" w:sz="0" w:space="0" w:color="auto"/>
            <w:right w:val="none" w:sz="0" w:space="0" w:color="auto"/>
          </w:divBdr>
        </w:div>
      </w:divsChild>
    </w:div>
    <w:div w:id="1976135547">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iso-ne.com/static-assets/documents/2018/02/a3_2017_economic_study.pdf" TargetMode="External"/><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hyperlink" Target="https://smd.iso-ne.com/operations-services/ceii/pac/2016/06/a3_transmission_transfer_capabilities_update.pdf" TargetMode="External"/><Relationship Id="rId42" Type="http://schemas.openxmlformats.org/officeDocument/2006/relationships/footer" Target="footer9.xml"/><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rggi.org/" TargetMode="External"/><Relationship Id="rId33" Type="http://schemas.openxmlformats.org/officeDocument/2006/relationships/hyperlink" Target="https://smd.iso-ne.com/operations-services/ceii/pac/2016/06/a3_transmission_transfer_capabilities_update.pdf" TargetMode="External"/><Relationship Id="rId38" Type="http://schemas.openxmlformats.org/officeDocument/2006/relationships/image" Target="media/image11.emf"/><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smd.iso-ne.com/operations-services/ceii/pac/2016/06/a3_transmission_transfer_capabilities_update.pdf" TargetMode="Externa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6.emf"/><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6.emf"/><Relationship Id="rId36" Type="http://schemas.openxmlformats.org/officeDocument/2006/relationships/image" Target="media/image9.emf"/><Relationship Id="rId49"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s://smd.iso-ne.com/operations-services/ceii/pac/2016/06/a3_transmission_transfer_capabilities_update.pdf" TargetMode="External"/><Relationship Id="rId44" Type="http://schemas.openxmlformats.org/officeDocument/2006/relationships/image" Target="media/image15.png"/><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5.jpeg"/><Relationship Id="rId30" Type="http://schemas.openxmlformats.org/officeDocument/2006/relationships/hyperlink" Target="https://smd.iso-ne.com/operations-services/ceii/pac/2016/06/a3_transmission_transfer_capabilities_update.pdf" TargetMode="External"/><Relationship Id="rId35" Type="http://schemas.openxmlformats.org/officeDocument/2006/relationships/image" Target="media/image8.emf"/><Relationship Id="rId43" Type="http://schemas.openxmlformats.org/officeDocument/2006/relationships/footer" Target="footer10.xml"/><Relationship Id="rId48" Type="http://schemas.openxmlformats.org/officeDocument/2006/relationships/image" Target="media/image1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2016/10/a3_integration_and_planning_of_large_amounts_of_inverter_based_resources.pptx" TargetMode="External"/><Relationship Id="rId13" Type="http://schemas.openxmlformats.org/officeDocument/2006/relationships/hyperlink" Target="https://www.iso-ne.com/static-assets/documents/2018/02/a3_2017_economic_study.pdf" TargetMode="External"/><Relationship Id="rId18" Type="http://schemas.openxmlformats.org/officeDocument/2006/relationships/hyperlink" Target="https://www.iso-ne.com/system-planning/system-plans-studies/rsp" TargetMode="External"/><Relationship Id="rId26" Type="http://schemas.openxmlformats.org/officeDocument/2006/relationships/hyperlink" Target="https://view.officeapps.live.com/op/view.aspx?src=https%3A%2F%2Fwww.iso-ne.com%2Fstatic-assets%2Fdocuments%2F2016%2F09%2Fa7_cone_ortp_concentric_energy_advisors.pptx" TargetMode="External"/><Relationship Id="rId3" Type="http://schemas.openxmlformats.org/officeDocument/2006/relationships/hyperlink" Target="https://www.iso-ne.com/static-assets/documents/2017/04/a7_2017_economic_study_request_clf_presentation.pdf" TargetMode="External"/><Relationship Id="rId21" Type="http://schemas.openxmlformats.org/officeDocument/2006/relationships/hyperlink" Target="https://www.iso-ne.com/static-assets/documents/2016/09/2015_economic_study_keene_road_increased_export_limits_fina.docx" TargetMode="External"/><Relationship Id="rId34" Type="http://schemas.openxmlformats.org/officeDocument/2006/relationships/hyperlink" Target="http://www.nerc.com/comm/Other/Pages/Essential-Reliability-Services-Task-Force-(ERSTF).aspx" TargetMode="External"/><Relationship Id="rId7" Type="http://schemas.openxmlformats.org/officeDocument/2006/relationships/hyperlink" Target="https://www.eia.gov/outlooks/archive/aeo16/" TargetMode="External"/><Relationship Id="rId12" Type="http://schemas.openxmlformats.org/officeDocument/2006/relationships/hyperlink" Target="https://www.iso-ne.com/static-assets/documents/2017/05/a2_2017_economic_study_scope_of_work.pdf" TargetMode="External"/><Relationship Id="rId17" Type="http://schemas.openxmlformats.org/officeDocument/2006/relationships/hyperlink" Target="https://www.nrel.gov/grid/solar-power-data.html" TargetMode="External"/><Relationship Id="rId25" Type="http://schemas.openxmlformats.org/officeDocument/2006/relationships/hyperlink" Target="http://www.nyiso.com/public/webdocs/markets_operations/services/planning/Planning_Studies/Economic_Planning_Studies_(CARIS)/CARIS_Input_Assumptions/2016%20CARIS%202%20Input%20Data%20Summary.xls" TargetMode="External"/><Relationship Id="rId33" Type="http://schemas.openxmlformats.org/officeDocument/2006/relationships/hyperlink" Target="http://www.nerc.com/comm/Other/essntlrlbltysrvcstskfrcDL/ERSTF%20Framework%20Report%20-%20Final.pdf" TargetMode="External"/><Relationship Id="rId38" Type="http://schemas.openxmlformats.org/officeDocument/2006/relationships/hyperlink" Target="https://www.iso-ne.com/static-assets/documents/2017/11/final_2016_phase1_nepool_scenario_analysis_economic_study.docx" TargetMode="External"/><Relationship Id="rId2" Type="http://schemas.openxmlformats.org/officeDocument/2006/relationships/hyperlink" Target="https://www.iso-ne.com/static-assets/documents/2017/04/a7_2017_economic_study_request_clf.pdf" TargetMode="External"/><Relationship Id="rId16" Type="http://schemas.openxmlformats.org/officeDocument/2006/relationships/hyperlink" Target="https://www.iso-ne.com/committees/planning/energy-efficiency-forecast" TargetMode="External"/><Relationship Id="rId20" Type="http://schemas.openxmlformats.org/officeDocument/2006/relationships/hyperlink" Target="https://www.iso-ne.com/static-assets/documents/2016/09/2015_economic_study_offshore_wind_development_final.docx" TargetMode="External"/><Relationship Id="rId29" Type="http://schemas.openxmlformats.org/officeDocument/2006/relationships/hyperlink" Target="https://www.iso-ne.com/static-assets/documents/2018/02/a3_2017_economic_study.pdf" TargetMode="External"/><Relationship Id="rId1" Type="http://schemas.openxmlformats.org/officeDocument/2006/relationships/hyperlink" Target="https://www.iso-ne.com/static-assets/documents/regulatory/tariff/sect_2/oatt/sect_ii.pdf" TargetMode="External"/><Relationship Id="rId6" Type="http://schemas.openxmlformats.org/officeDocument/2006/relationships/hyperlink" Target="https://smd.iso-ne.com/operations-services/ceii/pac/2016/06/a3_transmission_transfer_capabilities_update.pdf" TargetMode="External"/><Relationship Id="rId11" Type="http://schemas.openxmlformats.org/officeDocument/2006/relationships/hyperlink" Target="https://www.iso-ne.com/static-assets/documents/2017/04/a7_2017_economic_study_request_clf_presentation.pdf" TargetMode="External"/><Relationship Id="rId24" Type="http://schemas.openxmlformats.org/officeDocument/2006/relationships/hyperlink" Target="http://www.eia.gov/forecasts/aeo/index.cfm" TargetMode="External"/><Relationship Id="rId32" Type="http://schemas.openxmlformats.org/officeDocument/2006/relationships/hyperlink" Target="https://www.iso-ne.com/static-assets/documents/2016/10/a3_integration_and_planning_of_large_amounts_of_inverter_based_resources.pptx" TargetMode="External"/><Relationship Id="rId37" Type="http://schemas.openxmlformats.org/officeDocument/2006/relationships/hyperlink" Target="http://www.nerc.com/pa/rapa/ra/reliability%20assessments%20dl/nerc_ltra_12132017_final.pdf" TargetMode="External"/><Relationship Id="rId5" Type="http://schemas.openxmlformats.org/officeDocument/2006/relationships/hyperlink" Target="https://www.iso-ne.com/static-assets/documents/2016/05/2016_celt_report.xls" TargetMode="External"/><Relationship Id="rId15" Type="http://schemas.openxmlformats.org/officeDocument/2006/relationships/hyperlink" Target="https://www.iso-ne.com/static-assets/documents/2017/05/a2_2017_economic_study_scope_of_work.pdf" TargetMode="External"/><Relationship Id="rId23" Type="http://schemas.openxmlformats.org/officeDocument/2006/relationships/hyperlink" Target="https://www.iso-ne.com/static-assets/documents/2016/09/2015_economic_study_onshore_wind_integration_final.docx" TargetMode="External"/><Relationship Id="rId28" Type="http://schemas.openxmlformats.org/officeDocument/2006/relationships/hyperlink" Target="https://smd.iso-ne.com/operations-services/ceii/pac/2016/09/a3_maine_resource_integration_study.pdf%20" TargetMode="External"/><Relationship Id="rId36" Type="http://schemas.openxmlformats.org/officeDocument/2006/relationships/hyperlink" Target="http://www.rggi.org/design/overview" TargetMode="External"/><Relationship Id="rId10" Type="http://schemas.openxmlformats.org/officeDocument/2006/relationships/hyperlink" Target="https://www.iso-ne.com/static-assets/documents/2017/04/a7_2017_economic_study_request_clf.pdf" TargetMode="External"/><Relationship Id="rId19" Type="http://schemas.openxmlformats.org/officeDocument/2006/relationships/hyperlink" Target="https://www.iso-ne.com/static-assets/documents/rules_proceds/operating/isone/op8/op8_rto_final.pdf" TargetMode="External"/><Relationship Id="rId31" Type="http://schemas.openxmlformats.org/officeDocument/2006/relationships/hyperlink" Target="https://www.ieee.org/index.html%20" TargetMode="External"/><Relationship Id="rId4" Type="http://schemas.openxmlformats.org/officeDocument/2006/relationships/hyperlink" Target="https://www.iso-ne.com/static-assets/documents/2017/11/final_2016_phase1_nepool_scenario_analysis_economic_study.docx" TargetMode="External"/><Relationship Id="rId9" Type="http://schemas.openxmlformats.org/officeDocument/2006/relationships/hyperlink" Target="https://iso-ne.com/static-assets/documents/regulatory/tariff/sect_2/oatt/sect_ii.pdf" TargetMode="External"/><Relationship Id="rId14" Type="http://schemas.openxmlformats.org/officeDocument/2006/relationships/hyperlink" Target="https://www.iso-ne.com/system-planning/transmission-planning/interconnection-request-queue%20" TargetMode="External"/><Relationship Id="rId22" Type="http://schemas.openxmlformats.org/officeDocument/2006/relationships/hyperlink" Target="https://www.iso-ne.com/static-assets/documents/2016/09/2015_economic_study_offshore_wind_development_final.docx" TargetMode="External"/><Relationship Id="rId27" Type="http://schemas.openxmlformats.org/officeDocument/2006/relationships/hyperlink" Target="https://smd.iso-ne.com/operations-services/ceii/pac/2017/02/a6_maine_resource_integration_study.pdf" TargetMode="External"/><Relationship Id="rId30" Type="http://schemas.openxmlformats.org/officeDocument/2006/relationships/hyperlink" Target="https://www.iso-ne.com/system-planning/key-study-areas/maine" TargetMode="External"/><Relationship Id="rId35" Type="http://schemas.openxmlformats.org/officeDocument/2006/relationships/hyperlink" Target="https://elibrary.ferc.gov/idmws/common/downloadOpen.asp?downloadfile=20180802%2D4021%2833041655%29%2Epdf&amp;folder=2940727&amp;fileid=14991749&amp;trial=1"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75AE-F17F-4172-A762-0FD39DE4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24443</Words>
  <Characters>139331</Characters>
  <Application>Microsoft Office Word</Application>
  <DocSecurity>8</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163448</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2018-10-29T15:09:00Z</dcterms:created>
  <dcterms:modified xsi:type="dcterms:W3CDTF">2018-10-29T15:09:00Z</dcterms:modified>
</cp:coreProperties>
</file>