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EE92A" w14:textId="77777777" w:rsidR="008A7365" w:rsidRPr="00A95617" w:rsidRDefault="008A7365" w:rsidP="00870D7F">
      <w:pPr>
        <w:pStyle w:val="Date"/>
        <w:tabs>
          <w:tab w:val="left" w:pos="540"/>
        </w:tabs>
        <w:spacing w:line="280" w:lineRule="atLeast"/>
        <w:jc w:val="left"/>
        <w:rPr>
          <w:rFonts w:ascii="Calibri" w:hAnsi="Calibri"/>
          <w:sz w:val="22"/>
          <w:szCs w:val="22"/>
        </w:rPr>
      </w:pPr>
    </w:p>
    <w:p w14:paraId="70439A84" w14:textId="77777777" w:rsidR="008A7365" w:rsidRPr="00A95617" w:rsidRDefault="008A7365" w:rsidP="008A7365">
      <w:pPr>
        <w:pStyle w:val="InsideAddressName"/>
      </w:pPr>
    </w:p>
    <w:p w14:paraId="6C8BA4E0" w14:textId="77777777" w:rsidR="00057F47" w:rsidRPr="00A95617" w:rsidRDefault="00057F47" w:rsidP="008A7365">
      <w:pPr>
        <w:pStyle w:val="Date"/>
        <w:tabs>
          <w:tab w:val="left" w:pos="540"/>
        </w:tabs>
        <w:spacing w:line="280" w:lineRule="atLeast"/>
        <w:jc w:val="left"/>
        <w:rPr>
          <w:rFonts w:ascii="Calibri" w:hAnsi="Calibri"/>
          <w:sz w:val="22"/>
          <w:szCs w:val="22"/>
        </w:rPr>
        <w:sectPr w:rsidR="00057F47" w:rsidRPr="00A95617" w:rsidSect="005E6329">
          <w:headerReference w:type="default" r:id="rId8"/>
          <w:footerReference w:type="default" r:id="rId9"/>
          <w:headerReference w:type="first" r:id="rId10"/>
          <w:footerReference w:type="first" r:id="rId11"/>
          <w:type w:val="continuous"/>
          <w:pgSz w:w="12240" w:h="15840" w:code="1"/>
          <w:pgMar w:top="1800" w:right="1440" w:bottom="1800" w:left="1800" w:header="0" w:footer="720" w:gutter="0"/>
          <w:cols w:space="720"/>
          <w:titlePg/>
          <w:docGrid w:linePitch="272"/>
        </w:sectPr>
      </w:pPr>
      <w:r w:rsidRPr="00A95617">
        <w:rPr>
          <w:rFonts w:ascii="Calibri" w:hAnsi="Calibri"/>
          <w:sz w:val="22"/>
          <w:szCs w:val="22"/>
        </w:rPr>
        <w:br/>
      </w:r>
    </w:p>
    <w:tbl>
      <w:tblPr>
        <w:tblW w:w="0" w:type="auto"/>
        <w:jc w:val="center"/>
        <w:tblLook w:val="0000" w:firstRow="0" w:lastRow="0" w:firstColumn="0" w:lastColumn="0" w:noHBand="0" w:noVBand="0"/>
      </w:tblPr>
      <w:tblGrid>
        <w:gridCol w:w="913"/>
        <w:gridCol w:w="8264"/>
      </w:tblGrid>
      <w:tr w:rsidR="00057F47" w:rsidRPr="00A95617" w14:paraId="32EF6E8F" w14:textId="77777777" w:rsidTr="006D0DC6">
        <w:trPr>
          <w:trHeight w:val="300"/>
          <w:jc w:val="center"/>
        </w:trPr>
        <w:tc>
          <w:tcPr>
            <w:tcW w:w="884" w:type="dxa"/>
            <w:vAlign w:val="center"/>
          </w:tcPr>
          <w:p w14:paraId="44410702"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To:</w:instrText>
            </w:r>
            <w:r w:rsidRPr="00A95617">
              <w:rPr>
                <w:rFonts w:ascii="Calibri" w:hAnsi="Calibri" w:cs="Arial"/>
                <w:sz w:val="22"/>
                <w:szCs w:val="22"/>
              </w:rPr>
              <w:fldChar w:fldCharType="end"/>
            </w:r>
          </w:p>
        </w:tc>
        <w:tc>
          <w:tcPr>
            <w:tcW w:w="8264" w:type="dxa"/>
            <w:vAlign w:val="center"/>
          </w:tcPr>
          <w:p w14:paraId="0DB6A548" w14:textId="77777777" w:rsidR="00057F47" w:rsidRPr="00A95617" w:rsidRDefault="000E0EDB">
            <w:pPr>
              <w:pStyle w:val="Date"/>
              <w:tabs>
                <w:tab w:val="left" w:pos="540"/>
              </w:tabs>
              <w:spacing w:line="280" w:lineRule="atLeast"/>
              <w:jc w:val="left"/>
              <w:rPr>
                <w:rFonts w:ascii="Calibri" w:hAnsi="Calibri"/>
                <w:sz w:val="22"/>
                <w:szCs w:val="22"/>
              </w:rPr>
            </w:pPr>
            <w:r>
              <w:rPr>
                <w:rFonts w:ascii="Calibri" w:hAnsi="Calibri"/>
                <w:sz w:val="22"/>
                <w:szCs w:val="22"/>
              </w:rPr>
              <w:t>Planning Advisory Committee</w:t>
            </w:r>
          </w:p>
        </w:tc>
      </w:tr>
      <w:tr w:rsidR="00057F47" w:rsidRPr="00A95617" w14:paraId="2782A490" w14:textId="77777777" w:rsidTr="006D0DC6">
        <w:trPr>
          <w:jc w:val="center"/>
        </w:trPr>
        <w:tc>
          <w:tcPr>
            <w:tcW w:w="884" w:type="dxa"/>
            <w:vAlign w:val="center"/>
          </w:tcPr>
          <w:p w14:paraId="26712EA8"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From:</w:instrText>
            </w:r>
            <w:r w:rsidRPr="00A95617">
              <w:rPr>
                <w:rFonts w:ascii="Calibri" w:hAnsi="Calibri" w:cs="Arial"/>
                <w:sz w:val="22"/>
                <w:szCs w:val="22"/>
              </w:rPr>
              <w:fldChar w:fldCharType="end"/>
            </w:r>
          </w:p>
        </w:tc>
        <w:tc>
          <w:tcPr>
            <w:tcW w:w="8264" w:type="dxa"/>
            <w:vAlign w:val="center"/>
          </w:tcPr>
          <w:p w14:paraId="5F179A2D" w14:textId="77777777" w:rsidR="00057F47" w:rsidRPr="00A95617" w:rsidRDefault="000E0EDB" w:rsidP="00AF65BA">
            <w:pPr>
              <w:pStyle w:val="Date"/>
              <w:tabs>
                <w:tab w:val="left" w:pos="540"/>
              </w:tabs>
              <w:spacing w:line="280" w:lineRule="atLeast"/>
              <w:jc w:val="left"/>
              <w:rPr>
                <w:rFonts w:ascii="Calibri" w:hAnsi="Calibri"/>
                <w:sz w:val="22"/>
                <w:szCs w:val="22"/>
              </w:rPr>
            </w:pPr>
            <w:r>
              <w:rPr>
                <w:rFonts w:ascii="Calibri" w:hAnsi="Calibri"/>
                <w:sz w:val="22"/>
                <w:szCs w:val="22"/>
              </w:rPr>
              <w:t>Michael I. Henderson and Carissa P. Sedlacek</w:t>
            </w:r>
          </w:p>
        </w:tc>
      </w:tr>
      <w:tr w:rsidR="00057F47" w:rsidRPr="00A95617" w14:paraId="462DB5E9" w14:textId="77777777" w:rsidTr="006D0DC6">
        <w:trPr>
          <w:jc w:val="center"/>
        </w:trPr>
        <w:tc>
          <w:tcPr>
            <w:tcW w:w="884" w:type="dxa"/>
            <w:vAlign w:val="center"/>
          </w:tcPr>
          <w:p w14:paraId="59EFF796"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Date:</w:instrText>
            </w:r>
            <w:r w:rsidRPr="00A95617">
              <w:rPr>
                <w:rFonts w:ascii="Calibri" w:hAnsi="Calibri" w:cs="Arial"/>
                <w:sz w:val="22"/>
                <w:szCs w:val="22"/>
              </w:rPr>
              <w:fldChar w:fldCharType="end"/>
            </w:r>
            <w:r w:rsidR="00057F47" w:rsidRPr="00A95617">
              <w:rPr>
                <w:rFonts w:ascii="Calibri" w:hAnsi="Calibri" w:cs="Arial"/>
                <w:sz w:val="22"/>
                <w:szCs w:val="22"/>
              </w:rPr>
              <w:t xml:space="preserve">  </w:t>
            </w:r>
          </w:p>
        </w:tc>
        <w:tc>
          <w:tcPr>
            <w:tcW w:w="8264" w:type="dxa"/>
            <w:vAlign w:val="center"/>
          </w:tcPr>
          <w:p w14:paraId="65FA1613" w14:textId="77777777" w:rsidR="00057F47" w:rsidRPr="00A95617" w:rsidRDefault="000E0EDB" w:rsidP="00835E93">
            <w:pPr>
              <w:pStyle w:val="Date"/>
              <w:tabs>
                <w:tab w:val="left" w:pos="540"/>
              </w:tabs>
              <w:spacing w:line="280" w:lineRule="atLeast"/>
              <w:jc w:val="left"/>
              <w:rPr>
                <w:rFonts w:ascii="Calibri" w:hAnsi="Calibri"/>
                <w:sz w:val="22"/>
                <w:szCs w:val="22"/>
              </w:rPr>
            </w:pPr>
            <w:r>
              <w:rPr>
                <w:rFonts w:ascii="Calibri" w:hAnsi="Calibri"/>
                <w:sz w:val="22"/>
                <w:szCs w:val="22"/>
              </w:rPr>
              <w:t>July 8, 2019</w:t>
            </w:r>
          </w:p>
        </w:tc>
      </w:tr>
      <w:tr w:rsidR="00057F47" w:rsidRPr="00A95617" w14:paraId="5F51BD4D" w14:textId="77777777" w:rsidTr="006D0DC6">
        <w:trPr>
          <w:jc w:val="center"/>
        </w:trPr>
        <w:tc>
          <w:tcPr>
            <w:tcW w:w="884" w:type="dxa"/>
            <w:vAlign w:val="center"/>
          </w:tcPr>
          <w:p w14:paraId="62A891C5" w14:textId="77777777" w:rsidR="00057F47" w:rsidRPr="00A95617" w:rsidRDefault="0036658D">
            <w:pPr>
              <w:pStyle w:val="Date"/>
              <w:tabs>
                <w:tab w:val="left" w:pos="540"/>
              </w:tabs>
              <w:spacing w:line="280" w:lineRule="atLeast"/>
              <w:jc w:val="left"/>
              <w:rPr>
                <w:rFonts w:ascii="Calibri" w:hAnsi="Calibri"/>
                <w:sz w:val="22"/>
                <w:szCs w:val="22"/>
              </w:rPr>
            </w:pPr>
            <w:r w:rsidRPr="00A95617">
              <w:rPr>
                <w:rFonts w:ascii="Calibri" w:hAnsi="Calibri" w:cs="Arial"/>
                <w:sz w:val="22"/>
                <w:szCs w:val="22"/>
              </w:rPr>
              <w:fldChar w:fldCharType="begin"/>
            </w:r>
            <w:r w:rsidR="00057F47" w:rsidRPr="00A95617">
              <w:rPr>
                <w:rFonts w:ascii="Calibri" w:hAnsi="Calibri" w:cs="Arial"/>
                <w:sz w:val="22"/>
                <w:szCs w:val="22"/>
              </w:rPr>
              <w:instrText xml:space="preserve">MACROBUTTON NoMacro </w:instrText>
            </w:r>
            <w:r w:rsidR="00057F47" w:rsidRPr="00A95617">
              <w:rPr>
                <w:rFonts w:ascii="Calibri" w:hAnsi="Calibri" w:cs="Arial"/>
                <w:b/>
                <w:bCs/>
                <w:sz w:val="22"/>
                <w:szCs w:val="22"/>
              </w:rPr>
              <w:instrText>Subject:</w:instrText>
            </w:r>
            <w:r w:rsidRPr="00A95617">
              <w:rPr>
                <w:rFonts w:ascii="Calibri" w:hAnsi="Calibri" w:cs="Arial"/>
                <w:sz w:val="22"/>
                <w:szCs w:val="22"/>
              </w:rPr>
              <w:fldChar w:fldCharType="end"/>
            </w:r>
          </w:p>
        </w:tc>
        <w:tc>
          <w:tcPr>
            <w:tcW w:w="8264" w:type="dxa"/>
            <w:vAlign w:val="center"/>
          </w:tcPr>
          <w:p w14:paraId="77ED2282" w14:textId="77777777" w:rsidR="00057F47" w:rsidRPr="00A95617" w:rsidRDefault="000E0EDB">
            <w:pPr>
              <w:pStyle w:val="Date"/>
              <w:tabs>
                <w:tab w:val="left" w:pos="540"/>
              </w:tabs>
              <w:spacing w:line="280" w:lineRule="atLeast"/>
              <w:jc w:val="left"/>
              <w:rPr>
                <w:rFonts w:ascii="Calibri" w:hAnsi="Calibri"/>
                <w:sz w:val="22"/>
                <w:szCs w:val="22"/>
              </w:rPr>
            </w:pPr>
            <w:r>
              <w:rPr>
                <w:rFonts w:ascii="Calibri" w:hAnsi="Calibri"/>
                <w:sz w:val="22"/>
                <w:szCs w:val="22"/>
              </w:rPr>
              <w:t>RSP19 Comment Submittal</w:t>
            </w:r>
          </w:p>
        </w:tc>
      </w:tr>
    </w:tbl>
    <w:p w14:paraId="5DD81859" w14:textId="77777777" w:rsidR="000E0EDB" w:rsidRPr="007427DA" w:rsidRDefault="00057F47" w:rsidP="000E0EDB">
      <w:pPr>
        <w:ind w:left="180"/>
        <w:jc w:val="left"/>
        <w:rPr>
          <w:rFonts w:asciiTheme="minorHAnsi" w:hAnsiTheme="minorHAnsi"/>
          <w:sz w:val="22"/>
          <w:szCs w:val="22"/>
        </w:rPr>
      </w:pPr>
      <w:r w:rsidRPr="00A95617">
        <w:rPr>
          <w:rFonts w:ascii="Calibri" w:hAnsi="Calibri"/>
          <w:sz w:val="22"/>
          <w:szCs w:val="22"/>
        </w:rPr>
        <w:br/>
      </w:r>
      <w:r w:rsidR="000E0EDB" w:rsidRPr="007427DA">
        <w:rPr>
          <w:rFonts w:asciiTheme="minorHAnsi" w:hAnsiTheme="minorHAnsi"/>
          <w:sz w:val="22"/>
          <w:szCs w:val="22"/>
        </w:rPr>
        <w:t xml:space="preserve">ISO New England, Inc. (the ISO) </w:t>
      </w:r>
      <w:r w:rsidR="000E0EDB">
        <w:rPr>
          <w:rFonts w:asciiTheme="minorHAnsi" w:hAnsiTheme="minorHAnsi"/>
          <w:sz w:val="22"/>
          <w:szCs w:val="22"/>
        </w:rPr>
        <w:t xml:space="preserve">has posted the draft </w:t>
      </w:r>
      <w:r w:rsidR="000E0EDB" w:rsidRPr="007427DA">
        <w:rPr>
          <w:rFonts w:asciiTheme="minorHAnsi" w:hAnsiTheme="minorHAnsi"/>
          <w:sz w:val="22"/>
          <w:szCs w:val="22"/>
        </w:rPr>
        <w:t>2019 Regional System Plan (RSP1</w:t>
      </w:r>
      <w:r w:rsidR="000E0EDB">
        <w:rPr>
          <w:rFonts w:asciiTheme="minorHAnsi" w:hAnsiTheme="minorHAnsi"/>
          <w:sz w:val="22"/>
          <w:szCs w:val="22"/>
        </w:rPr>
        <w:t>9</w:t>
      </w:r>
      <w:r w:rsidR="000E0EDB" w:rsidRPr="007427DA">
        <w:rPr>
          <w:rFonts w:asciiTheme="minorHAnsi" w:hAnsiTheme="minorHAnsi"/>
          <w:sz w:val="22"/>
          <w:szCs w:val="22"/>
        </w:rPr>
        <w:t>)</w:t>
      </w:r>
      <w:r w:rsidR="000E0EDB">
        <w:rPr>
          <w:rFonts w:asciiTheme="minorHAnsi" w:hAnsiTheme="minorHAnsi"/>
          <w:sz w:val="22"/>
          <w:szCs w:val="22"/>
        </w:rPr>
        <w:t xml:space="preserve"> for review by </w:t>
      </w:r>
      <w:r w:rsidR="000E0EDB" w:rsidRPr="007427DA">
        <w:rPr>
          <w:rFonts w:asciiTheme="minorHAnsi" w:hAnsiTheme="minorHAnsi"/>
          <w:sz w:val="22"/>
          <w:szCs w:val="22"/>
        </w:rPr>
        <w:t xml:space="preserve">interested stakeholders, </w:t>
      </w:r>
      <w:r w:rsidR="000E0EDB">
        <w:rPr>
          <w:rFonts w:asciiTheme="minorHAnsi" w:hAnsiTheme="minorHAnsi"/>
          <w:sz w:val="22"/>
          <w:szCs w:val="22"/>
        </w:rPr>
        <w:t>especially</w:t>
      </w:r>
      <w:r w:rsidR="000E0EDB" w:rsidRPr="007427DA">
        <w:rPr>
          <w:rFonts w:asciiTheme="minorHAnsi" w:hAnsiTheme="minorHAnsi"/>
          <w:sz w:val="22"/>
          <w:szCs w:val="22"/>
        </w:rPr>
        <w:t xml:space="preserve"> the P</w:t>
      </w:r>
      <w:r w:rsidR="000E0EDB">
        <w:rPr>
          <w:rFonts w:asciiTheme="minorHAnsi" w:hAnsiTheme="minorHAnsi"/>
          <w:sz w:val="22"/>
          <w:szCs w:val="22"/>
        </w:rPr>
        <w:t xml:space="preserve">lanning </w:t>
      </w:r>
      <w:r w:rsidR="000E0EDB" w:rsidRPr="007427DA">
        <w:rPr>
          <w:rFonts w:asciiTheme="minorHAnsi" w:hAnsiTheme="minorHAnsi"/>
          <w:sz w:val="22"/>
          <w:szCs w:val="22"/>
        </w:rPr>
        <w:t>Advisory Committee (PAC). Comments to RSP1</w:t>
      </w:r>
      <w:r w:rsidR="000E0EDB">
        <w:rPr>
          <w:rFonts w:asciiTheme="minorHAnsi" w:hAnsiTheme="minorHAnsi"/>
          <w:sz w:val="22"/>
          <w:szCs w:val="22"/>
        </w:rPr>
        <w:t>9</w:t>
      </w:r>
      <w:r w:rsidR="000E0EDB" w:rsidRPr="007427DA">
        <w:rPr>
          <w:rFonts w:asciiTheme="minorHAnsi" w:hAnsiTheme="minorHAnsi"/>
          <w:sz w:val="22"/>
          <w:szCs w:val="22"/>
        </w:rPr>
        <w:t xml:space="preserve"> may be submitted to the ISO in writing via email to </w:t>
      </w:r>
      <w:hyperlink r:id="rId12" w:history="1">
        <w:r w:rsidR="000E0EDB" w:rsidRPr="007427DA">
          <w:rPr>
            <w:rStyle w:val="Hyperlink"/>
            <w:rFonts w:asciiTheme="minorHAnsi" w:hAnsiTheme="minorHAnsi"/>
            <w:sz w:val="22"/>
            <w:szCs w:val="22"/>
          </w:rPr>
          <w:t>pacmatters@iso-ne.com</w:t>
        </w:r>
      </w:hyperlink>
      <w:r w:rsidR="000E0EDB" w:rsidRPr="007427DA">
        <w:rPr>
          <w:rFonts w:asciiTheme="minorHAnsi" w:hAnsiTheme="minorHAnsi"/>
          <w:sz w:val="22"/>
          <w:szCs w:val="22"/>
        </w:rPr>
        <w:t xml:space="preserve"> no later than </w:t>
      </w:r>
      <w:r w:rsidR="000E0EDB">
        <w:rPr>
          <w:rFonts w:asciiTheme="minorHAnsi" w:hAnsiTheme="minorHAnsi"/>
          <w:b/>
          <w:sz w:val="22"/>
          <w:szCs w:val="22"/>
        </w:rPr>
        <w:t>July 24</w:t>
      </w:r>
      <w:r w:rsidR="000E0EDB" w:rsidRPr="007427DA">
        <w:rPr>
          <w:rFonts w:asciiTheme="minorHAnsi" w:hAnsiTheme="minorHAnsi"/>
          <w:b/>
          <w:sz w:val="22"/>
          <w:szCs w:val="22"/>
        </w:rPr>
        <w:t>, 201</w:t>
      </w:r>
      <w:r w:rsidR="000E0EDB">
        <w:rPr>
          <w:rFonts w:asciiTheme="minorHAnsi" w:hAnsiTheme="minorHAnsi"/>
          <w:b/>
          <w:sz w:val="22"/>
          <w:szCs w:val="22"/>
        </w:rPr>
        <w:t>9</w:t>
      </w:r>
      <w:r w:rsidR="000E0EDB" w:rsidRPr="007427DA">
        <w:rPr>
          <w:rFonts w:asciiTheme="minorHAnsi" w:hAnsiTheme="minorHAnsi"/>
          <w:b/>
          <w:sz w:val="22"/>
          <w:szCs w:val="22"/>
        </w:rPr>
        <w:t xml:space="preserve">.  </w:t>
      </w:r>
      <w:r w:rsidR="000E0EDB" w:rsidRPr="007427DA">
        <w:rPr>
          <w:rFonts w:asciiTheme="minorHAnsi" w:hAnsiTheme="minorHAnsi"/>
          <w:sz w:val="22"/>
          <w:szCs w:val="22"/>
        </w:rPr>
        <w:t xml:space="preserve">The attached form should be used to submit comments, and directions are listed below. </w:t>
      </w:r>
    </w:p>
    <w:p w14:paraId="462B0551" w14:textId="77777777" w:rsidR="000E0EDB" w:rsidRPr="007427DA" w:rsidRDefault="000E0EDB" w:rsidP="000E0EDB">
      <w:pPr>
        <w:rPr>
          <w:rFonts w:asciiTheme="minorHAnsi" w:hAnsiTheme="minorHAnsi"/>
          <w:b/>
          <w:sz w:val="22"/>
          <w:szCs w:val="22"/>
          <w:u w:val="single"/>
        </w:rPr>
      </w:pPr>
    </w:p>
    <w:p w14:paraId="7B77DF58" w14:textId="77777777" w:rsidR="000E0EDB" w:rsidRPr="007427DA" w:rsidRDefault="000E0EDB" w:rsidP="000E0EDB">
      <w:pPr>
        <w:spacing w:after="120"/>
        <w:ind w:left="180"/>
        <w:rPr>
          <w:rFonts w:asciiTheme="minorHAnsi" w:hAnsiTheme="minorHAnsi"/>
          <w:b/>
          <w:sz w:val="22"/>
          <w:szCs w:val="22"/>
          <w:u w:val="single"/>
        </w:rPr>
      </w:pPr>
      <w:r w:rsidRPr="007427DA">
        <w:rPr>
          <w:rFonts w:asciiTheme="minorHAnsi" w:hAnsiTheme="minorHAnsi"/>
          <w:b/>
          <w:sz w:val="22"/>
          <w:szCs w:val="22"/>
          <w:u w:val="single"/>
        </w:rPr>
        <w:t>Directions</w:t>
      </w:r>
    </w:p>
    <w:p w14:paraId="40C03AE4"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sidRPr="007427DA">
        <w:rPr>
          <w:rFonts w:asciiTheme="minorHAnsi" w:hAnsiTheme="minorHAnsi"/>
          <w:sz w:val="22"/>
          <w:szCs w:val="22"/>
        </w:rPr>
        <w:t xml:space="preserve">Comments must be relevant to information previously presented to PAC and not introduce new scopes of work </w:t>
      </w:r>
    </w:p>
    <w:p w14:paraId="29A0037D"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 xml:space="preserve">ISO </w:t>
      </w:r>
      <w:r>
        <w:rPr>
          <w:rFonts w:asciiTheme="minorHAnsi" w:hAnsiTheme="minorHAnsi"/>
          <w:sz w:val="22"/>
          <w:szCs w:val="22"/>
        </w:rPr>
        <w:t xml:space="preserve">and PAC have discussed </w:t>
      </w:r>
      <w:r w:rsidRPr="007427DA">
        <w:rPr>
          <w:rFonts w:asciiTheme="minorHAnsi" w:hAnsiTheme="minorHAnsi"/>
          <w:sz w:val="22"/>
          <w:szCs w:val="22"/>
        </w:rPr>
        <w:t xml:space="preserve">the scope of work </w:t>
      </w:r>
      <w:r>
        <w:rPr>
          <w:rFonts w:asciiTheme="minorHAnsi" w:hAnsiTheme="minorHAnsi"/>
          <w:sz w:val="22"/>
          <w:szCs w:val="22"/>
        </w:rPr>
        <w:t>and draft study results summarized in the report</w:t>
      </w:r>
    </w:p>
    <w:p w14:paraId="7AB290E6"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Pr>
          <w:rFonts w:asciiTheme="minorHAnsi" w:hAnsiTheme="minorHAnsi"/>
          <w:sz w:val="22"/>
          <w:szCs w:val="22"/>
        </w:rPr>
        <w:t>The report is approximately 18</w:t>
      </w:r>
      <w:r w:rsidRPr="007427DA">
        <w:rPr>
          <w:rFonts w:asciiTheme="minorHAnsi" w:hAnsiTheme="minorHAnsi"/>
          <w:sz w:val="22"/>
          <w:szCs w:val="22"/>
        </w:rPr>
        <w:t xml:space="preserve">0 </w:t>
      </w:r>
      <w:r>
        <w:rPr>
          <w:rFonts w:asciiTheme="minorHAnsi" w:hAnsiTheme="minorHAnsi"/>
          <w:sz w:val="22"/>
          <w:szCs w:val="22"/>
        </w:rPr>
        <w:t xml:space="preserve">content </w:t>
      </w:r>
      <w:r w:rsidRPr="007427DA">
        <w:rPr>
          <w:rFonts w:asciiTheme="minorHAnsi" w:hAnsiTheme="minorHAnsi"/>
          <w:sz w:val="22"/>
          <w:szCs w:val="22"/>
        </w:rPr>
        <w:t xml:space="preserve">pages and provides references to detailed information </w:t>
      </w:r>
    </w:p>
    <w:p w14:paraId="2F6DB421" w14:textId="77777777" w:rsidR="000E0EDB" w:rsidRDefault="000E0EDB" w:rsidP="000E0EDB">
      <w:pPr>
        <w:ind w:left="360"/>
        <w:jc w:val="left"/>
        <w:rPr>
          <w:rFonts w:asciiTheme="minorHAnsi" w:hAnsiTheme="minorHAnsi"/>
          <w:sz w:val="22"/>
          <w:szCs w:val="22"/>
        </w:rPr>
      </w:pPr>
    </w:p>
    <w:p w14:paraId="1EA4111C"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sidRPr="007427DA">
        <w:rPr>
          <w:rFonts w:asciiTheme="minorHAnsi" w:hAnsiTheme="minorHAnsi"/>
          <w:sz w:val="22"/>
          <w:szCs w:val="22"/>
        </w:rPr>
        <w:t xml:space="preserve">Please focus </w:t>
      </w:r>
      <w:r w:rsidRPr="007427DA">
        <w:rPr>
          <w:rFonts w:asciiTheme="minorHAnsi" w:hAnsiTheme="minorHAnsi"/>
          <w:b/>
          <w:i/>
          <w:sz w:val="22"/>
          <w:szCs w:val="22"/>
          <w:u w:val="single"/>
        </w:rPr>
        <w:t>comments on the substance</w:t>
      </w:r>
      <w:r w:rsidRPr="007427DA">
        <w:rPr>
          <w:rFonts w:asciiTheme="minorHAnsi" w:hAnsiTheme="minorHAnsi"/>
          <w:sz w:val="22"/>
          <w:szCs w:val="22"/>
        </w:rPr>
        <w:t xml:space="preserve"> of the report</w:t>
      </w:r>
    </w:p>
    <w:p w14:paraId="17311EB7"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 xml:space="preserve">ISO’s Technical Editor will reflect comments in the report as appropriate to avoid repetition, etc. </w:t>
      </w:r>
    </w:p>
    <w:p w14:paraId="52740727"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The final report will be fully copy edited, contain revised footnotes with live links, and will reflect updates to items marked in yellow within the report</w:t>
      </w:r>
    </w:p>
    <w:p w14:paraId="4843579B" w14:textId="77777777" w:rsidR="000E0EDB" w:rsidRDefault="000E0EDB" w:rsidP="000E0EDB">
      <w:pPr>
        <w:ind w:left="360"/>
        <w:jc w:val="left"/>
        <w:rPr>
          <w:rFonts w:asciiTheme="minorHAnsi" w:hAnsiTheme="minorHAnsi"/>
          <w:sz w:val="22"/>
          <w:szCs w:val="22"/>
        </w:rPr>
      </w:pPr>
    </w:p>
    <w:p w14:paraId="5A84B97D"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sidRPr="007427DA">
        <w:rPr>
          <w:rFonts w:asciiTheme="minorHAnsi" w:hAnsiTheme="minorHAnsi"/>
          <w:sz w:val="22"/>
          <w:szCs w:val="22"/>
        </w:rPr>
        <w:t xml:space="preserve">Original comments will be </w:t>
      </w:r>
      <w:r>
        <w:rPr>
          <w:rFonts w:asciiTheme="minorHAnsi" w:hAnsiTheme="minorHAnsi"/>
          <w:sz w:val="22"/>
          <w:szCs w:val="22"/>
        </w:rPr>
        <w:t xml:space="preserve">publicly </w:t>
      </w:r>
      <w:r w:rsidRPr="007427DA">
        <w:rPr>
          <w:rFonts w:asciiTheme="minorHAnsi" w:hAnsiTheme="minorHAnsi"/>
          <w:sz w:val="22"/>
          <w:szCs w:val="22"/>
        </w:rPr>
        <w:t>posted on the ISO website</w:t>
      </w:r>
      <w:r>
        <w:rPr>
          <w:rFonts w:asciiTheme="minorHAnsi" w:hAnsiTheme="minorHAnsi"/>
          <w:sz w:val="22"/>
          <w:szCs w:val="22"/>
        </w:rPr>
        <w:t xml:space="preserve"> and as such should not discuss CEII materials.  Although RSP does not discuss CEII materials, it does include links to </w:t>
      </w:r>
      <w:r w:rsidRPr="007427DA">
        <w:rPr>
          <w:rFonts w:asciiTheme="minorHAnsi" w:hAnsiTheme="minorHAnsi"/>
          <w:sz w:val="22"/>
          <w:szCs w:val="22"/>
        </w:rPr>
        <w:t>CEII protected</w:t>
      </w:r>
      <w:r>
        <w:rPr>
          <w:rFonts w:asciiTheme="minorHAnsi" w:hAnsiTheme="minorHAnsi"/>
          <w:sz w:val="22"/>
          <w:szCs w:val="22"/>
        </w:rPr>
        <w:t xml:space="preserve"> materials for those interested in more details. </w:t>
      </w:r>
    </w:p>
    <w:p w14:paraId="30CCC4A1" w14:textId="77777777" w:rsidR="000E0EDB" w:rsidRDefault="000E0EDB" w:rsidP="000E0EDB">
      <w:pPr>
        <w:ind w:left="360"/>
        <w:jc w:val="left"/>
        <w:rPr>
          <w:rFonts w:asciiTheme="minorHAnsi" w:hAnsiTheme="minorHAnsi"/>
          <w:sz w:val="22"/>
          <w:szCs w:val="22"/>
        </w:rPr>
      </w:pPr>
    </w:p>
    <w:p w14:paraId="3AA0349F" w14:textId="77777777" w:rsidR="000E0EDB" w:rsidRPr="007427DA" w:rsidRDefault="000E0EDB" w:rsidP="000E0EDB">
      <w:pPr>
        <w:numPr>
          <w:ilvl w:val="0"/>
          <w:numId w:val="9"/>
        </w:numPr>
        <w:tabs>
          <w:tab w:val="clear" w:pos="720"/>
          <w:tab w:val="num" w:pos="450"/>
        </w:tabs>
        <w:ind w:left="450" w:hanging="270"/>
        <w:jc w:val="left"/>
        <w:rPr>
          <w:rFonts w:asciiTheme="minorHAnsi" w:hAnsiTheme="minorHAnsi"/>
          <w:sz w:val="22"/>
          <w:szCs w:val="22"/>
        </w:rPr>
      </w:pPr>
      <w:r>
        <w:rPr>
          <w:rFonts w:asciiTheme="minorHAnsi" w:hAnsiTheme="minorHAnsi"/>
          <w:sz w:val="22"/>
          <w:szCs w:val="22"/>
        </w:rPr>
        <w:t>Those wishing to submit c</w:t>
      </w:r>
      <w:r w:rsidRPr="007427DA">
        <w:rPr>
          <w:rFonts w:asciiTheme="minorHAnsi" w:hAnsiTheme="minorHAnsi"/>
          <w:sz w:val="22"/>
          <w:szCs w:val="22"/>
        </w:rPr>
        <w:t xml:space="preserve">omments  </w:t>
      </w:r>
      <w:r>
        <w:rPr>
          <w:rFonts w:asciiTheme="minorHAnsi" w:hAnsiTheme="minorHAnsi"/>
          <w:sz w:val="22"/>
          <w:szCs w:val="22"/>
        </w:rPr>
        <w:t xml:space="preserve">must submit them to </w:t>
      </w:r>
      <w:hyperlink r:id="rId13" w:history="1">
        <w:r w:rsidRPr="007427DA">
          <w:rPr>
            <w:rStyle w:val="Hyperlink"/>
            <w:rFonts w:asciiTheme="minorHAnsi" w:hAnsiTheme="minorHAnsi"/>
            <w:sz w:val="22"/>
            <w:szCs w:val="22"/>
          </w:rPr>
          <w:t>pacmatters@iso-ne.com</w:t>
        </w:r>
      </w:hyperlink>
      <w:r w:rsidRPr="007427DA">
        <w:rPr>
          <w:rFonts w:asciiTheme="minorHAnsi" w:hAnsiTheme="minorHAnsi"/>
          <w:sz w:val="22"/>
          <w:szCs w:val="22"/>
        </w:rPr>
        <w:t xml:space="preserve"> using the </w:t>
      </w:r>
      <w:r w:rsidRPr="007427DA">
        <w:rPr>
          <w:rFonts w:asciiTheme="minorHAnsi" w:hAnsiTheme="minorHAnsi"/>
          <w:b/>
          <w:i/>
          <w:sz w:val="22"/>
          <w:szCs w:val="22"/>
          <w:u w:val="single"/>
        </w:rPr>
        <w:t>form</w:t>
      </w:r>
      <w:r w:rsidRPr="007427DA">
        <w:rPr>
          <w:rFonts w:asciiTheme="minorHAnsi" w:hAnsiTheme="minorHAnsi"/>
          <w:sz w:val="22"/>
          <w:szCs w:val="22"/>
        </w:rPr>
        <w:t xml:space="preserve"> attach</w:t>
      </w:r>
      <w:r>
        <w:rPr>
          <w:rFonts w:asciiTheme="minorHAnsi" w:hAnsiTheme="minorHAnsi"/>
          <w:sz w:val="22"/>
          <w:szCs w:val="22"/>
        </w:rPr>
        <w:t xml:space="preserve">ed </w:t>
      </w:r>
      <w:r w:rsidRPr="007427DA">
        <w:rPr>
          <w:rFonts w:asciiTheme="minorHAnsi" w:hAnsiTheme="minorHAnsi"/>
          <w:sz w:val="22"/>
          <w:szCs w:val="22"/>
        </w:rPr>
        <w:t>to this memo</w:t>
      </w:r>
    </w:p>
    <w:p w14:paraId="2F0F9353"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Pr>
          <w:rFonts w:asciiTheme="minorHAnsi" w:hAnsiTheme="minorHAnsi"/>
          <w:sz w:val="22"/>
          <w:szCs w:val="22"/>
        </w:rPr>
        <w:t>Please indicate the p</w:t>
      </w:r>
      <w:r w:rsidRPr="007427DA">
        <w:rPr>
          <w:rFonts w:asciiTheme="minorHAnsi" w:hAnsiTheme="minorHAnsi"/>
          <w:sz w:val="22"/>
          <w:szCs w:val="22"/>
        </w:rPr>
        <w:t xml:space="preserve">ages and section numbers </w:t>
      </w:r>
    </w:p>
    <w:p w14:paraId="0393AFA6"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Individual comments pertaining to each page of the RSP should be entered separately into the form</w:t>
      </w:r>
    </w:p>
    <w:p w14:paraId="53C61446"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Pr>
          <w:rFonts w:asciiTheme="minorHAnsi" w:hAnsiTheme="minorHAnsi"/>
          <w:sz w:val="22"/>
          <w:szCs w:val="22"/>
        </w:rPr>
        <w:t>Redlined c</w:t>
      </w:r>
      <w:r w:rsidRPr="007427DA">
        <w:rPr>
          <w:rFonts w:asciiTheme="minorHAnsi" w:hAnsiTheme="minorHAnsi"/>
          <w:sz w:val="22"/>
          <w:szCs w:val="22"/>
        </w:rPr>
        <w:t>omments</w:t>
      </w:r>
      <w:r>
        <w:rPr>
          <w:rFonts w:asciiTheme="minorHAnsi" w:hAnsiTheme="minorHAnsi"/>
          <w:sz w:val="22"/>
          <w:szCs w:val="22"/>
        </w:rPr>
        <w:t xml:space="preserve"> </w:t>
      </w:r>
      <w:r w:rsidRPr="007427DA">
        <w:rPr>
          <w:rFonts w:asciiTheme="minorHAnsi" w:hAnsiTheme="minorHAnsi"/>
          <w:sz w:val="22"/>
          <w:szCs w:val="22"/>
        </w:rPr>
        <w:t>to the draft RSP1</w:t>
      </w:r>
      <w:r>
        <w:rPr>
          <w:rFonts w:asciiTheme="minorHAnsi" w:hAnsiTheme="minorHAnsi"/>
          <w:sz w:val="22"/>
          <w:szCs w:val="22"/>
        </w:rPr>
        <w:t>9</w:t>
      </w:r>
      <w:r w:rsidRPr="007427DA">
        <w:rPr>
          <w:rFonts w:asciiTheme="minorHAnsi" w:hAnsiTheme="minorHAnsi"/>
          <w:sz w:val="22"/>
          <w:szCs w:val="22"/>
        </w:rPr>
        <w:t xml:space="preserve"> are acceptable, but need to appear in the appropriate column of the form</w:t>
      </w:r>
      <w:r>
        <w:rPr>
          <w:rFonts w:asciiTheme="minorHAnsi" w:hAnsiTheme="minorHAnsi"/>
          <w:sz w:val="22"/>
          <w:szCs w:val="22"/>
        </w:rPr>
        <w:t xml:space="preserve"> for consideration </w:t>
      </w:r>
    </w:p>
    <w:p w14:paraId="71049845" w14:textId="77777777" w:rsidR="000E0EDB" w:rsidRPr="007427DA" w:rsidRDefault="000E0EDB" w:rsidP="000E0EDB">
      <w:pPr>
        <w:numPr>
          <w:ilvl w:val="1"/>
          <w:numId w:val="9"/>
        </w:numPr>
        <w:tabs>
          <w:tab w:val="clear" w:pos="1440"/>
          <w:tab w:val="num" w:pos="900"/>
        </w:tabs>
        <w:ind w:left="900"/>
        <w:jc w:val="left"/>
        <w:rPr>
          <w:rFonts w:asciiTheme="minorHAnsi" w:hAnsiTheme="minorHAnsi"/>
          <w:sz w:val="22"/>
          <w:szCs w:val="22"/>
        </w:rPr>
      </w:pPr>
      <w:r w:rsidRPr="007427DA">
        <w:rPr>
          <w:rFonts w:asciiTheme="minorHAnsi" w:hAnsiTheme="minorHAnsi"/>
          <w:sz w:val="22"/>
          <w:szCs w:val="22"/>
        </w:rPr>
        <w:t xml:space="preserve">Do not send comments in PDF format </w:t>
      </w:r>
    </w:p>
    <w:p w14:paraId="58527CE9" w14:textId="77777777" w:rsidR="009A175B" w:rsidRPr="009A175B" w:rsidRDefault="009A175B" w:rsidP="009A175B">
      <w:pPr>
        <w:pStyle w:val="ListParagraph"/>
        <w:numPr>
          <w:ilvl w:val="0"/>
          <w:numId w:val="9"/>
        </w:numPr>
        <w:rPr>
          <w:rFonts w:asciiTheme="minorHAnsi" w:hAnsiTheme="minorHAnsi"/>
        </w:rPr>
        <w:sectPr w:rsidR="009A175B" w:rsidRPr="009A175B" w:rsidSect="007427DA">
          <w:footerReference w:type="default" r:id="rId14"/>
          <w:type w:val="continuous"/>
          <w:pgSz w:w="12240" w:h="15840"/>
          <w:pgMar w:top="1440" w:right="1440" w:bottom="1440" w:left="1440" w:header="720" w:footer="720" w:gutter="0"/>
          <w:cols w:space="720"/>
          <w:docGrid w:linePitch="360"/>
        </w:sectPr>
      </w:pPr>
    </w:p>
    <w:p w14:paraId="6F8EDB92" w14:textId="77777777" w:rsidR="009A175B" w:rsidRDefault="009A175B" w:rsidP="009A175B">
      <w:pPr>
        <w:pStyle w:val="Date"/>
        <w:numPr>
          <w:ilvl w:val="0"/>
          <w:numId w:val="9"/>
        </w:numPr>
        <w:spacing w:after="120" w:line="260" w:lineRule="atLeast"/>
        <w:jc w:val="left"/>
        <w:rPr>
          <w:rFonts w:asciiTheme="minorHAnsi" w:hAnsiTheme="minorHAnsi"/>
          <w:sz w:val="22"/>
          <w:szCs w:val="22"/>
        </w:rPr>
        <w:sectPr w:rsidR="009A175B" w:rsidSect="00AE5C7B">
          <w:headerReference w:type="default" r:id="rId15"/>
          <w:headerReference w:type="first" r:id="rId16"/>
          <w:footerReference w:type="first" r:id="rId17"/>
          <w:type w:val="continuous"/>
          <w:pgSz w:w="12240" w:h="15840" w:code="1"/>
          <w:pgMar w:top="1800" w:right="1440" w:bottom="1800" w:left="1800" w:header="720" w:footer="720" w:gutter="0"/>
          <w:cols w:space="720"/>
          <w:titlePg/>
          <w:docGrid w:linePitch="272"/>
        </w:sectPr>
      </w:pPr>
    </w:p>
    <w:tbl>
      <w:tblPr>
        <w:tblStyle w:val="TableGrid"/>
        <w:tblW w:w="14490" w:type="dxa"/>
        <w:tblInd w:w="-612" w:type="dxa"/>
        <w:tblLayout w:type="fixed"/>
        <w:tblLook w:val="04A0" w:firstRow="1" w:lastRow="0" w:firstColumn="1" w:lastColumn="0" w:noHBand="0" w:noVBand="1"/>
      </w:tblPr>
      <w:tblGrid>
        <w:gridCol w:w="1543"/>
        <w:gridCol w:w="1731"/>
        <w:gridCol w:w="2734"/>
        <w:gridCol w:w="4198"/>
        <w:gridCol w:w="4284"/>
      </w:tblGrid>
      <w:tr w:rsidR="009A175B" w:rsidRPr="00640C24" w14:paraId="161B0234" w14:textId="77777777" w:rsidTr="0007438E">
        <w:trPr>
          <w:trHeight w:val="530"/>
        </w:trPr>
        <w:tc>
          <w:tcPr>
            <w:tcW w:w="14490" w:type="dxa"/>
            <w:gridSpan w:val="5"/>
            <w:shd w:val="clear" w:color="auto" w:fill="A6A6A6" w:themeFill="background1" w:themeFillShade="A6"/>
            <w:vAlign w:val="center"/>
          </w:tcPr>
          <w:p w14:paraId="568A6394" w14:textId="77777777" w:rsidR="009A175B" w:rsidRPr="00640C24" w:rsidRDefault="009A175B" w:rsidP="00DA3469">
            <w:pPr>
              <w:jc w:val="center"/>
              <w:rPr>
                <w:b/>
              </w:rPr>
            </w:pPr>
            <w:bookmarkStart w:id="0" w:name="_Hlk14179957"/>
            <w:r>
              <w:rPr>
                <w:b/>
              </w:rPr>
              <w:lastRenderedPageBreak/>
              <w:t>RSP19 Comment Form</w:t>
            </w:r>
          </w:p>
        </w:tc>
      </w:tr>
      <w:tr w:rsidR="009A175B" w:rsidRPr="00640C24" w14:paraId="21BEDCF3" w14:textId="77777777" w:rsidTr="0007438E">
        <w:trPr>
          <w:trHeight w:val="530"/>
        </w:trPr>
        <w:tc>
          <w:tcPr>
            <w:tcW w:w="1543" w:type="dxa"/>
            <w:shd w:val="clear" w:color="auto" w:fill="A6A6A6" w:themeFill="background1" w:themeFillShade="A6"/>
            <w:vAlign w:val="center"/>
          </w:tcPr>
          <w:p w14:paraId="25304BC6" w14:textId="77777777" w:rsidR="009A175B" w:rsidRPr="00640C24" w:rsidRDefault="009A175B" w:rsidP="00DA3469">
            <w:pPr>
              <w:jc w:val="center"/>
              <w:rPr>
                <w:b/>
              </w:rPr>
            </w:pPr>
            <w:r w:rsidRPr="00640C24">
              <w:rPr>
                <w:b/>
              </w:rPr>
              <w:t>Page Number</w:t>
            </w:r>
          </w:p>
        </w:tc>
        <w:tc>
          <w:tcPr>
            <w:tcW w:w="1731" w:type="dxa"/>
            <w:shd w:val="clear" w:color="auto" w:fill="A6A6A6" w:themeFill="background1" w:themeFillShade="A6"/>
            <w:vAlign w:val="center"/>
          </w:tcPr>
          <w:p w14:paraId="48D7BE53" w14:textId="77777777" w:rsidR="009A175B" w:rsidRPr="00640C24" w:rsidRDefault="009A175B" w:rsidP="00DA3469">
            <w:pPr>
              <w:jc w:val="center"/>
              <w:rPr>
                <w:b/>
              </w:rPr>
            </w:pPr>
            <w:r w:rsidRPr="00640C24">
              <w:rPr>
                <w:b/>
              </w:rPr>
              <w:t>RSP Section</w:t>
            </w:r>
          </w:p>
        </w:tc>
        <w:tc>
          <w:tcPr>
            <w:tcW w:w="2734" w:type="dxa"/>
            <w:shd w:val="clear" w:color="auto" w:fill="A6A6A6" w:themeFill="background1" w:themeFillShade="A6"/>
            <w:vAlign w:val="center"/>
          </w:tcPr>
          <w:p w14:paraId="17AD565D" w14:textId="77777777" w:rsidR="009A175B" w:rsidRPr="00640C24" w:rsidRDefault="009A175B" w:rsidP="00DA3469">
            <w:pPr>
              <w:jc w:val="center"/>
              <w:rPr>
                <w:b/>
              </w:rPr>
            </w:pPr>
            <w:r w:rsidRPr="00640C24">
              <w:rPr>
                <w:b/>
              </w:rPr>
              <w:t>Commenter</w:t>
            </w:r>
            <w:r>
              <w:rPr>
                <w:b/>
              </w:rPr>
              <w:t xml:space="preserve"> (Name/Organization)</w:t>
            </w:r>
          </w:p>
        </w:tc>
        <w:tc>
          <w:tcPr>
            <w:tcW w:w="4198" w:type="dxa"/>
            <w:shd w:val="clear" w:color="auto" w:fill="A6A6A6" w:themeFill="background1" w:themeFillShade="A6"/>
            <w:vAlign w:val="center"/>
          </w:tcPr>
          <w:p w14:paraId="6FD6E9F3" w14:textId="77777777" w:rsidR="009A175B" w:rsidRPr="00640C24" w:rsidRDefault="009A175B" w:rsidP="00DA3469">
            <w:pPr>
              <w:jc w:val="center"/>
              <w:rPr>
                <w:b/>
              </w:rPr>
            </w:pPr>
            <w:r w:rsidRPr="00640C24">
              <w:rPr>
                <w:b/>
              </w:rPr>
              <w:t>Comment</w:t>
            </w:r>
          </w:p>
        </w:tc>
        <w:tc>
          <w:tcPr>
            <w:tcW w:w="4284" w:type="dxa"/>
            <w:shd w:val="clear" w:color="auto" w:fill="A6A6A6" w:themeFill="background1" w:themeFillShade="A6"/>
            <w:vAlign w:val="center"/>
          </w:tcPr>
          <w:p w14:paraId="22DA0A03" w14:textId="77777777" w:rsidR="009A175B" w:rsidRPr="00640C24" w:rsidRDefault="009A175B" w:rsidP="00DA3469">
            <w:pPr>
              <w:jc w:val="center"/>
              <w:rPr>
                <w:b/>
              </w:rPr>
            </w:pPr>
            <w:r w:rsidRPr="00640C24">
              <w:rPr>
                <w:b/>
              </w:rPr>
              <w:t>Initial ISO Response</w:t>
            </w:r>
          </w:p>
        </w:tc>
      </w:tr>
      <w:tr w:rsidR="00065ACD" w14:paraId="7FCB9890" w14:textId="77777777" w:rsidTr="0007438E">
        <w:tc>
          <w:tcPr>
            <w:tcW w:w="1543" w:type="dxa"/>
          </w:tcPr>
          <w:p w14:paraId="322F112C" w14:textId="7DE9D00D" w:rsidR="00065ACD" w:rsidRDefault="00065ACD" w:rsidP="00065ACD">
            <w:r>
              <w:t>1</w:t>
            </w:r>
          </w:p>
        </w:tc>
        <w:tc>
          <w:tcPr>
            <w:tcW w:w="1731" w:type="dxa"/>
          </w:tcPr>
          <w:p w14:paraId="52B295FB" w14:textId="5E6EDA25" w:rsidR="00065ACD" w:rsidRDefault="00065ACD" w:rsidP="00065ACD">
            <w:r>
              <w:t>Executive Summary, first bullet</w:t>
            </w:r>
          </w:p>
        </w:tc>
        <w:tc>
          <w:tcPr>
            <w:tcW w:w="2734" w:type="dxa"/>
          </w:tcPr>
          <w:p w14:paraId="2830A596" w14:textId="7AEB041E" w:rsidR="00065ACD" w:rsidRDefault="00065ACD" w:rsidP="00065ACD">
            <w:r>
              <w:t>Synapse</w:t>
            </w:r>
            <w:r w:rsidR="00AA5AE4">
              <w:t xml:space="preserve">, on behalf of Maine OPA and </w:t>
            </w:r>
            <w:proofErr w:type="spellStart"/>
            <w:r w:rsidR="00AA5AE4">
              <w:t>PowerOptions</w:t>
            </w:r>
            <w:proofErr w:type="spellEnd"/>
          </w:p>
        </w:tc>
        <w:tc>
          <w:tcPr>
            <w:tcW w:w="4198" w:type="dxa"/>
          </w:tcPr>
          <w:p w14:paraId="6D4D3871" w14:textId="450E2C25" w:rsidR="00065ACD" w:rsidRPr="00AF265A" w:rsidRDefault="00065ACD" w:rsidP="00065ACD">
            <w:pPr>
              <w:rPr>
                <w:sz w:val="24"/>
              </w:rPr>
            </w:pPr>
            <w:r w:rsidRPr="00AC586C">
              <w:t>Suggest change from “reliability issues have risen” to “reliability issues may arise”. We have not actually suffered any such reliability or energy-security issues. To date we have had only market price spikes and shifts between fuel.</w:t>
            </w:r>
          </w:p>
        </w:tc>
        <w:tc>
          <w:tcPr>
            <w:tcW w:w="4284" w:type="dxa"/>
          </w:tcPr>
          <w:p w14:paraId="467B35CB" w14:textId="77777777" w:rsidR="00065ACD" w:rsidRDefault="00065ACD" w:rsidP="00065ACD"/>
        </w:tc>
      </w:tr>
      <w:tr w:rsidR="00AA5AE4" w14:paraId="68B0E0B3" w14:textId="77777777" w:rsidTr="0007438E">
        <w:tc>
          <w:tcPr>
            <w:tcW w:w="1543" w:type="dxa"/>
          </w:tcPr>
          <w:p w14:paraId="40A8DB20" w14:textId="6F58027F" w:rsidR="00AA5AE4" w:rsidRDefault="00AA5AE4" w:rsidP="00AA5AE4">
            <w:r>
              <w:t>1</w:t>
            </w:r>
          </w:p>
        </w:tc>
        <w:tc>
          <w:tcPr>
            <w:tcW w:w="1731" w:type="dxa"/>
          </w:tcPr>
          <w:p w14:paraId="28EB3C8F" w14:textId="3FDF0584" w:rsidR="00AA5AE4" w:rsidRDefault="00AA5AE4" w:rsidP="00AA5AE4">
            <w:r>
              <w:t>Executive Summary, second bullet</w:t>
            </w:r>
          </w:p>
        </w:tc>
        <w:tc>
          <w:tcPr>
            <w:tcW w:w="2734" w:type="dxa"/>
          </w:tcPr>
          <w:p w14:paraId="637EFCEF" w14:textId="7287C9B8"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9BA4580" w14:textId="4BC050B9" w:rsidR="00AA5AE4" w:rsidRDefault="00AA5AE4" w:rsidP="00AA5AE4">
            <w:pPr>
              <w:pStyle w:val="CommentText"/>
            </w:pPr>
            <w:r w:rsidRPr="00AC586C">
              <w:t>Suggest change from “Transmission improvements are needed” to “Transmission improvements may be needed”. We have not built a major transmission project for reliability in several years. New offshore wind projects may land at well-connected points on the existing system, such as Brayton Point, and the same may be true for Mystic. Depending upon what is proposed, we cannot say that new projects will be needed, only that they might be.</w:t>
            </w:r>
          </w:p>
        </w:tc>
        <w:tc>
          <w:tcPr>
            <w:tcW w:w="4284" w:type="dxa"/>
          </w:tcPr>
          <w:p w14:paraId="1A090FD3" w14:textId="77777777" w:rsidR="00AA5AE4" w:rsidRDefault="00AA5AE4" w:rsidP="00AA5AE4"/>
        </w:tc>
      </w:tr>
      <w:tr w:rsidR="00AA5AE4" w14:paraId="293A514F" w14:textId="77777777" w:rsidTr="0007438E">
        <w:tc>
          <w:tcPr>
            <w:tcW w:w="1543" w:type="dxa"/>
          </w:tcPr>
          <w:p w14:paraId="64A92511" w14:textId="58B7996F" w:rsidR="00AA5AE4" w:rsidRDefault="00AA5AE4" w:rsidP="00AA5AE4">
            <w:r>
              <w:t>1</w:t>
            </w:r>
          </w:p>
        </w:tc>
        <w:tc>
          <w:tcPr>
            <w:tcW w:w="1731" w:type="dxa"/>
          </w:tcPr>
          <w:p w14:paraId="47FFE88C" w14:textId="52DE15C7" w:rsidR="00AA5AE4" w:rsidRDefault="00AA5AE4" w:rsidP="00AA5AE4">
            <w:r>
              <w:t>Executive Summary, third bullet</w:t>
            </w:r>
          </w:p>
        </w:tc>
        <w:tc>
          <w:tcPr>
            <w:tcW w:w="2734" w:type="dxa"/>
          </w:tcPr>
          <w:p w14:paraId="3F8927DD" w14:textId="2074E38F" w:rsidR="00AA5AE4" w:rsidRDefault="00AA5AE4" w:rsidP="00AA5AE4">
            <w:r w:rsidRPr="00FE2471">
              <w:t xml:space="preserve">Synapse, on behalf of Maine OPA and </w:t>
            </w:r>
            <w:proofErr w:type="spellStart"/>
            <w:r w:rsidRPr="00FE2471">
              <w:t>PowerOptions</w:t>
            </w:r>
            <w:proofErr w:type="spellEnd"/>
          </w:p>
        </w:tc>
        <w:tc>
          <w:tcPr>
            <w:tcW w:w="4198" w:type="dxa"/>
          </w:tcPr>
          <w:p w14:paraId="0BCB1D6F" w14:textId="2BE59569" w:rsidR="00AA5AE4" w:rsidRDefault="00AA5AE4" w:rsidP="00AA5AE4">
            <w:pPr>
              <w:pStyle w:val="CommentText"/>
            </w:pPr>
            <w:r w:rsidRPr="00AC586C">
              <w:t xml:space="preserve">Suggest changing the entire parenthetical “(which use power electronics…power systems)” to “(which operate asynchronously)”. As written, it implies that they operate at a different frequency, which </w:t>
            </w:r>
            <w:r>
              <w:t>we</w:t>
            </w:r>
            <w:r w:rsidRPr="00AC586C">
              <w:t xml:space="preserve"> don’t think is what is intended.</w:t>
            </w:r>
          </w:p>
        </w:tc>
        <w:tc>
          <w:tcPr>
            <w:tcW w:w="4284" w:type="dxa"/>
          </w:tcPr>
          <w:p w14:paraId="0A34DE21" w14:textId="77777777" w:rsidR="00AA5AE4" w:rsidRDefault="00AA5AE4" w:rsidP="00AA5AE4"/>
        </w:tc>
      </w:tr>
      <w:tr w:rsidR="00AA5AE4" w14:paraId="758A5690" w14:textId="77777777" w:rsidTr="0007438E">
        <w:tc>
          <w:tcPr>
            <w:tcW w:w="1543" w:type="dxa"/>
          </w:tcPr>
          <w:p w14:paraId="3D4E1BD1" w14:textId="155C54A8" w:rsidR="00AA5AE4" w:rsidRDefault="00AA5AE4" w:rsidP="00AA5AE4">
            <w:r>
              <w:t>1</w:t>
            </w:r>
          </w:p>
        </w:tc>
        <w:tc>
          <w:tcPr>
            <w:tcW w:w="1731" w:type="dxa"/>
          </w:tcPr>
          <w:p w14:paraId="788DEBC7" w14:textId="122878D1" w:rsidR="00AA5AE4" w:rsidRDefault="00AA5AE4" w:rsidP="00AA5AE4">
            <w:r>
              <w:t>Executive Summary, third bullet</w:t>
            </w:r>
          </w:p>
        </w:tc>
        <w:tc>
          <w:tcPr>
            <w:tcW w:w="2734" w:type="dxa"/>
          </w:tcPr>
          <w:p w14:paraId="779B1CBD" w14:textId="2DBD68A4"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4AA6AC9" w14:textId="21A1AC92" w:rsidR="00AA5AE4" w:rsidRDefault="00AA5AE4" w:rsidP="00AA5AE4">
            <w:pPr>
              <w:pStyle w:val="CommentText"/>
            </w:pPr>
            <w:r w:rsidRPr="00AC586C">
              <w:t>Suggest change from “requires transmission upgrades and control system improvements” to “may require transmission equipment”</w:t>
            </w:r>
          </w:p>
        </w:tc>
        <w:tc>
          <w:tcPr>
            <w:tcW w:w="4284" w:type="dxa"/>
          </w:tcPr>
          <w:p w14:paraId="68CF58B0" w14:textId="77777777" w:rsidR="00AA5AE4" w:rsidRDefault="00AA5AE4" w:rsidP="00AA5AE4"/>
        </w:tc>
      </w:tr>
      <w:tr w:rsidR="00AA5AE4" w14:paraId="7693F7E2" w14:textId="77777777" w:rsidTr="0007438E">
        <w:tc>
          <w:tcPr>
            <w:tcW w:w="1543" w:type="dxa"/>
          </w:tcPr>
          <w:p w14:paraId="5727D177" w14:textId="2BD7BBB3" w:rsidR="00AA5AE4" w:rsidRDefault="00AA5AE4" w:rsidP="00AA5AE4">
            <w:r>
              <w:t>2</w:t>
            </w:r>
          </w:p>
        </w:tc>
        <w:tc>
          <w:tcPr>
            <w:tcW w:w="1731" w:type="dxa"/>
          </w:tcPr>
          <w:p w14:paraId="2D9BA583" w14:textId="6045EE74" w:rsidR="00AA5AE4" w:rsidRDefault="00AA5AE4" w:rsidP="00AA5AE4">
            <w:r>
              <w:t>Executive Summary</w:t>
            </w:r>
          </w:p>
        </w:tc>
        <w:tc>
          <w:tcPr>
            <w:tcW w:w="2734" w:type="dxa"/>
          </w:tcPr>
          <w:p w14:paraId="47295FEA" w14:textId="58B93136"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9517F3C" w14:textId="52662532" w:rsidR="00AA5AE4" w:rsidRDefault="00AA5AE4" w:rsidP="00AA5AE4">
            <w:r w:rsidRPr="00AC586C">
              <w:t>The sentence “The development of renewable resources, EE, and imports and the continued investment in gas-efficiency measures will help mitigate these risks” should also include energy storage.</w:t>
            </w:r>
          </w:p>
        </w:tc>
        <w:tc>
          <w:tcPr>
            <w:tcW w:w="4284" w:type="dxa"/>
          </w:tcPr>
          <w:p w14:paraId="668AD180" w14:textId="77777777" w:rsidR="00AA5AE4" w:rsidRDefault="00AA5AE4" w:rsidP="00AA5AE4"/>
        </w:tc>
      </w:tr>
      <w:tr w:rsidR="00AA5AE4" w14:paraId="1A9412DE" w14:textId="77777777" w:rsidTr="0007438E">
        <w:tc>
          <w:tcPr>
            <w:tcW w:w="1543" w:type="dxa"/>
          </w:tcPr>
          <w:p w14:paraId="259997E2" w14:textId="74443FB6" w:rsidR="00AA5AE4" w:rsidRDefault="00AA5AE4" w:rsidP="00AA5AE4">
            <w:r>
              <w:lastRenderedPageBreak/>
              <w:t>2</w:t>
            </w:r>
          </w:p>
        </w:tc>
        <w:tc>
          <w:tcPr>
            <w:tcW w:w="1731" w:type="dxa"/>
          </w:tcPr>
          <w:p w14:paraId="10647978" w14:textId="67311500" w:rsidR="00AA5AE4" w:rsidRDefault="00AA5AE4" w:rsidP="00AA5AE4">
            <w:r>
              <w:t>Executive Summary</w:t>
            </w:r>
          </w:p>
        </w:tc>
        <w:tc>
          <w:tcPr>
            <w:tcW w:w="2734" w:type="dxa"/>
          </w:tcPr>
          <w:p w14:paraId="7994A531" w14:textId="0258DA8C" w:rsidR="00AA5AE4" w:rsidRDefault="00AA5AE4" w:rsidP="00AA5AE4">
            <w:r w:rsidRPr="00FE2471">
              <w:t xml:space="preserve">Synapse, on behalf of Maine OPA and </w:t>
            </w:r>
            <w:proofErr w:type="spellStart"/>
            <w:r w:rsidRPr="00FE2471">
              <w:t>PowerOptions</w:t>
            </w:r>
            <w:proofErr w:type="spellEnd"/>
          </w:p>
        </w:tc>
        <w:tc>
          <w:tcPr>
            <w:tcW w:w="4198" w:type="dxa"/>
          </w:tcPr>
          <w:p w14:paraId="33ADC5EF" w14:textId="77777777" w:rsidR="00AA5AE4" w:rsidRDefault="00AA5AE4" w:rsidP="00AA5AE4">
            <w:r>
              <w:t>Suggest an explanation of the difference between the published “$1.3 billion of planned transmission upgrades over the next 10 years” to the value in slide 4 of the 5-year RNS rate forecast slides, which states &gt; $3.5b over the next 4 years. The $1.3b value also contradicts the $4b value found on page 93. Please verify the correct value and provide additional information about how this value was calculated.</w:t>
            </w:r>
          </w:p>
          <w:p w14:paraId="56923645" w14:textId="2C8F2257" w:rsidR="00AA5AE4" w:rsidRDefault="00AA5AE4" w:rsidP="00AA5AE4">
            <w:r w:rsidRPr="00AC586C">
              <w:t xml:space="preserve">How much of the $1.3b will be </w:t>
            </w:r>
            <w:r>
              <w:t>charged</w:t>
            </w:r>
            <w:r w:rsidRPr="00AC586C">
              <w:t xml:space="preserve"> to customers?</w:t>
            </w:r>
            <w:r>
              <w:t xml:space="preserve"> And which projects are included in this cost estimate?</w:t>
            </w:r>
          </w:p>
        </w:tc>
        <w:tc>
          <w:tcPr>
            <w:tcW w:w="4284" w:type="dxa"/>
          </w:tcPr>
          <w:p w14:paraId="4238DD71" w14:textId="77777777" w:rsidR="00AA5AE4" w:rsidRDefault="00AA5AE4" w:rsidP="00AA5AE4"/>
        </w:tc>
      </w:tr>
      <w:tr w:rsidR="00AA5AE4" w14:paraId="3C9A3369" w14:textId="77777777" w:rsidTr="0007438E">
        <w:tc>
          <w:tcPr>
            <w:tcW w:w="1543" w:type="dxa"/>
          </w:tcPr>
          <w:p w14:paraId="3DA487D2" w14:textId="14368EB0" w:rsidR="00AA5AE4" w:rsidRDefault="00AA5AE4" w:rsidP="00AA5AE4">
            <w:r>
              <w:t>3</w:t>
            </w:r>
          </w:p>
        </w:tc>
        <w:tc>
          <w:tcPr>
            <w:tcW w:w="1731" w:type="dxa"/>
          </w:tcPr>
          <w:p w14:paraId="6BFB4D77" w14:textId="15F67777" w:rsidR="00AA5AE4" w:rsidRDefault="00AA5AE4" w:rsidP="00AA5AE4">
            <w:r>
              <w:t>1.1.1</w:t>
            </w:r>
          </w:p>
        </w:tc>
        <w:tc>
          <w:tcPr>
            <w:tcW w:w="2734" w:type="dxa"/>
          </w:tcPr>
          <w:p w14:paraId="22D7C7B1" w14:textId="0B4F86E5" w:rsidR="00AA5AE4" w:rsidRDefault="00AA5AE4" w:rsidP="00AA5AE4">
            <w:r w:rsidRPr="00FE2471">
              <w:t xml:space="preserve">Synapse, on behalf of Maine OPA and </w:t>
            </w:r>
            <w:proofErr w:type="spellStart"/>
            <w:r w:rsidRPr="00FE2471">
              <w:t>PowerOptions</w:t>
            </w:r>
            <w:proofErr w:type="spellEnd"/>
          </w:p>
        </w:tc>
        <w:tc>
          <w:tcPr>
            <w:tcW w:w="4198" w:type="dxa"/>
          </w:tcPr>
          <w:p w14:paraId="0A252625" w14:textId="77777777" w:rsidR="00AA5AE4" w:rsidRPr="00AC586C" w:rsidRDefault="00AA5AE4" w:rsidP="00AA5AE4">
            <w:pPr>
              <w:pStyle w:val="CommentText"/>
            </w:pPr>
            <w:r w:rsidRPr="00AC586C">
              <w:t xml:space="preserve">Suggest the ISO state clearly </w:t>
            </w:r>
            <w:proofErr w:type="gramStart"/>
            <w:r w:rsidRPr="00AC586C">
              <w:t>whether or not</w:t>
            </w:r>
            <w:proofErr w:type="gramEnd"/>
            <w:r w:rsidRPr="00AC586C">
              <w:t xml:space="preserve"> energy storage is included in the RSP19 peak demand forecasts. Anyone who installs on-site storage (i.e., BTM) will always use it to reduce their load during peak hours to avoid transmission and capacity costs. ISO should assume that every MW of storage that exists is discharged during the peak hour.</w:t>
            </w:r>
          </w:p>
          <w:p w14:paraId="4B1495B6" w14:textId="4E35184E" w:rsidR="00AA5AE4" w:rsidRDefault="00AA5AE4" w:rsidP="00AA5AE4">
            <w:r w:rsidRPr="00AC586C">
              <w:t>We suggest that storage merits its own bullet point in the list below. Even if the ISO doesn’t assume any value from storage, the ISO could state that they know some value exists, they cannot yet predict how much and that they are watching it and will include it in RSP21.</w:t>
            </w:r>
          </w:p>
        </w:tc>
        <w:tc>
          <w:tcPr>
            <w:tcW w:w="4284" w:type="dxa"/>
          </w:tcPr>
          <w:p w14:paraId="6FC03ABC" w14:textId="77777777" w:rsidR="00AA5AE4" w:rsidRDefault="00AA5AE4" w:rsidP="00AA5AE4"/>
        </w:tc>
      </w:tr>
      <w:tr w:rsidR="00AA5AE4" w14:paraId="41034B3A" w14:textId="77777777" w:rsidTr="0007438E">
        <w:tc>
          <w:tcPr>
            <w:tcW w:w="1543" w:type="dxa"/>
          </w:tcPr>
          <w:p w14:paraId="02B31964" w14:textId="0C0CB0D6" w:rsidR="00AA5AE4" w:rsidRDefault="00AA5AE4" w:rsidP="00AA5AE4">
            <w:r>
              <w:t>5</w:t>
            </w:r>
          </w:p>
        </w:tc>
        <w:tc>
          <w:tcPr>
            <w:tcW w:w="1731" w:type="dxa"/>
          </w:tcPr>
          <w:p w14:paraId="2BE1C76E" w14:textId="263337F5" w:rsidR="00AA5AE4" w:rsidRDefault="00AA5AE4" w:rsidP="00AA5AE4">
            <w:r>
              <w:t>1.1.2</w:t>
            </w:r>
          </w:p>
        </w:tc>
        <w:tc>
          <w:tcPr>
            <w:tcW w:w="2734" w:type="dxa"/>
          </w:tcPr>
          <w:p w14:paraId="0FAC7FFD" w14:textId="0A2DB965" w:rsidR="00AA5AE4" w:rsidRDefault="00AA5AE4" w:rsidP="00AA5AE4">
            <w:r w:rsidRPr="00FE2471">
              <w:t xml:space="preserve">Synapse, on behalf of Maine OPA and </w:t>
            </w:r>
            <w:proofErr w:type="spellStart"/>
            <w:r w:rsidRPr="00FE2471">
              <w:t>PowerOptions</w:t>
            </w:r>
            <w:proofErr w:type="spellEnd"/>
          </w:p>
        </w:tc>
        <w:tc>
          <w:tcPr>
            <w:tcW w:w="4198" w:type="dxa"/>
          </w:tcPr>
          <w:p w14:paraId="67B6B9CA" w14:textId="65F25162" w:rsidR="00AA5AE4" w:rsidRDefault="00AA5AE4" w:rsidP="00AA5AE4">
            <w:r w:rsidRPr="00AC586C">
              <w:t>In the sentence “Transmission improvements can continue to help reduce or eliminate operating-reserve needs in the major import areas” – we suggest including energy storage, since providing reserves is a key benefit of storage.</w:t>
            </w:r>
          </w:p>
        </w:tc>
        <w:tc>
          <w:tcPr>
            <w:tcW w:w="4284" w:type="dxa"/>
          </w:tcPr>
          <w:p w14:paraId="68027304" w14:textId="77777777" w:rsidR="00AA5AE4" w:rsidRDefault="00AA5AE4" w:rsidP="00AA5AE4"/>
        </w:tc>
      </w:tr>
      <w:tr w:rsidR="00AA5AE4" w14:paraId="59C94C7A" w14:textId="77777777" w:rsidTr="0007438E">
        <w:tc>
          <w:tcPr>
            <w:tcW w:w="1543" w:type="dxa"/>
          </w:tcPr>
          <w:p w14:paraId="3669C3B1" w14:textId="65F667C3" w:rsidR="00AA5AE4" w:rsidRDefault="00AA5AE4" w:rsidP="00AA5AE4">
            <w:r>
              <w:lastRenderedPageBreak/>
              <w:t>5</w:t>
            </w:r>
          </w:p>
        </w:tc>
        <w:tc>
          <w:tcPr>
            <w:tcW w:w="1731" w:type="dxa"/>
          </w:tcPr>
          <w:p w14:paraId="12852C0E" w14:textId="45927756" w:rsidR="00AA5AE4" w:rsidRDefault="00AA5AE4" w:rsidP="00AA5AE4">
            <w:r>
              <w:t>1.1.2</w:t>
            </w:r>
          </w:p>
        </w:tc>
        <w:tc>
          <w:tcPr>
            <w:tcW w:w="2734" w:type="dxa"/>
          </w:tcPr>
          <w:p w14:paraId="19F7C4E5" w14:textId="5ED0A6E0" w:rsidR="00AA5AE4" w:rsidRDefault="00AA5AE4" w:rsidP="00AA5AE4">
            <w:r w:rsidRPr="00FE2471">
              <w:t xml:space="preserve">Synapse, on behalf of Maine OPA and </w:t>
            </w:r>
            <w:proofErr w:type="spellStart"/>
            <w:r w:rsidRPr="00FE2471">
              <w:t>PowerOptions</w:t>
            </w:r>
            <w:proofErr w:type="spellEnd"/>
          </w:p>
        </w:tc>
        <w:tc>
          <w:tcPr>
            <w:tcW w:w="4198" w:type="dxa"/>
          </w:tcPr>
          <w:p w14:paraId="51493452" w14:textId="1C290FC5" w:rsidR="00AA5AE4" w:rsidRDefault="00AA5AE4" w:rsidP="00AA5AE4">
            <w:r w:rsidRPr="00AC586C">
              <w:t xml:space="preserve">In the sentence “This includes 11,316 MW of wind resources and 3,070 MW of large-scale PV” – we suggest including the amount of storage (1,381 MW). And please specify if this includes behind-the-meter, front-of-the-meter, or both. </w:t>
            </w:r>
          </w:p>
        </w:tc>
        <w:tc>
          <w:tcPr>
            <w:tcW w:w="4284" w:type="dxa"/>
          </w:tcPr>
          <w:p w14:paraId="0069114C" w14:textId="77777777" w:rsidR="00AA5AE4" w:rsidRDefault="00AA5AE4" w:rsidP="00AA5AE4"/>
        </w:tc>
      </w:tr>
      <w:tr w:rsidR="00AA5AE4" w14:paraId="30F3066A" w14:textId="77777777" w:rsidTr="0007438E">
        <w:tc>
          <w:tcPr>
            <w:tcW w:w="1543" w:type="dxa"/>
          </w:tcPr>
          <w:p w14:paraId="1A87C32F" w14:textId="5343F635" w:rsidR="00AA5AE4" w:rsidRDefault="00AA5AE4" w:rsidP="00AA5AE4">
            <w:r>
              <w:t>10</w:t>
            </w:r>
          </w:p>
        </w:tc>
        <w:tc>
          <w:tcPr>
            <w:tcW w:w="1731" w:type="dxa"/>
          </w:tcPr>
          <w:p w14:paraId="6557A249" w14:textId="5E0A20A0" w:rsidR="00AA5AE4" w:rsidRDefault="00AA5AE4" w:rsidP="00AA5AE4">
            <w:r>
              <w:t>1.1.5</w:t>
            </w:r>
          </w:p>
        </w:tc>
        <w:tc>
          <w:tcPr>
            <w:tcW w:w="2734" w:type="dxa"/>
          </w:tcPr>
          <w:p w14:paraId="6DF9BDE8" w14:textId="3670766D" w:rsidR="00AA5AE4" w:rsidRDefault="00AA5AE4" w:rsidP="00AA5AE4">
            <w:r w:rsidRPr="00FE2471">
              <w:t xml:space="preserve">Synapse, on behalf of Maine OPA and </w:t>
            </w:r>
            <w:proofErr w:type="spellStart"/>
            <w:r w:rsidRPr="00FE2471">
              <w:t>PowerOptions</w:t>
            </w:r>
            <w:proofErr w:type="spellEnd"/>
          </w:p>
        </w:tc>
        <w:tc>
          <w:tcPr>
            <w:tcW w:w="4198" w:type="dxa"/>
          </w:tcPr>
          <w:p w14:paraId="6E4EB302" w14:textId="77777777" w:rsidR="00AA5AE4" w:rsidRPr="00AC586C" w:rsidRDefault="00AA5AE4" w:rsidP="00AA5AE4">
            <w:pPr>
              <w:pStyle w:val="CommentText"/>
            </w:pPr>
            <w:r w:rsidRPr="00AC586C">
              <w:t>Suggest deleting “System events, as well as...” and just starting with “Several interregional and ISO studies”.</w:t>
            </w:r>
          </w:p>
          <w:p w14:paraId="20F762FF" w14:textId="5C3647A4" w:rsidR="00AA5AE4" w:rsidRDefault="00AA5AE4" w:rsidP="00AA5AE4">
            <w:pPr>
              <w:pStyle w:val="CommentText"/>
            </w:pPr>
            <w:r w:rsidRPr="00AC586C">
              <w:t>We have not had any system reliability events, even during cold snaps. Studies show that it might happen, but it has not happened.</w:t>
            </w:r>
          </w:p>
        </w:tc>
        <w:tc>
          <w:tcPr>
            <w:tcW w:w="4284" w:type="dxa"/>
          </w:tcPr>
          <w:p w14:paraId="4D9D91E6" w14:textId="77777777" w:rsidR="00AA5AE4" w:rsidRDefault="00AA5AE4" w:rsidP="00AA5AE4"/>
        </w:tc>
      </w:tr>
      <w:tr w:rsidR="00AA5AE4" w14:paraId="7A6B0060" w14:textId="77777777" w:rsidTr="0007438E">
        <w:tc>
          <w:tcPr>
            <w:tcW w:w="1543" w:type="dxa"/>
          </w:tcPr>
          <w:p w14:paraId="7649CC86" w14:textId="1167E296" w:rsidR="00AA5AE4" w:rsidRDefault="00AA5AE4" w:rsidP="00AA5AE4">
            <w:r>
              <w:t>11</w:t>
            </w:r>
          </w:p>
        </w:tc>
        <w:tc>
          <w:tcPr>
            <w:tcW w:w="1731" w:type="dxa"/>
          </w:tcPr>
          <w:p w14:paraId="08381D7B" w14:textId="093486B4" w:rsidR="00AA5AE4" w:rsidRDefault="00AA5AE4" w:rsidP="00AA5AE4">
            <w:r>
              <w:t>1.1.5.2</w:t>
            </w:r>
          </w:p>
        </w:tc>
        <w:tc>
          <w:tcPr>
            <w:tcW w:w="2734" w:type="dxa"/>
          </w:tcPr>
          <w:p w14:paraId="6BCFA144" w14:textId="1A1947FB"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76AA6A4" w14:textId="2967386B" w:rsidR="00AA5AE4" w:rsidRDefault="00AA5AE4" w:rsidP="00AA5AE4">
            <w:r w:rsidRPr="00AC586C">
              <w:t xml:space="preserve">Pertaining to paragraph starting with “Renewable resources play a valuable…” –We suggest that the ISO explain </w:t>
            </w:r>
            <w:proofErr w:type="gramStart"/>
            <w:r w:rsidRPr="00AC586C">
              <w:t>whether or not</w:t>
            </w:r>
            <w:proofErr w:type="gramEnd"/>
            <w:r w:rsidRPr="00AC586C">
              <w:t xml:space="preserve"> battery storage currently in the queue was modeled as an option to mitigate these risks. </w:t>
            </w:r>
          </w:p>
        </w:tc>
        <w:tc>
          <w:tcPr>
            <w:tcW w:w="4284" w:type="dxa"/>
          </w:tcPr>
          <w:p w14:paraId="71879BA5" w14:textId="77777777" w:rsidR="00AA5AE4" w:rsidRDefault="00AA5AE4" w:rsidP="00AA5AE4"/>
        </w:tc>
      </w:tr>
      <w:tr w:rsidR="00AA5AE4" w14:paraId="2E3197EA" w14:textId="77777777" w:rsidTr="0007438E">
        <w:tc>
          <w:tcPr>
            <w:tcW w:w="1543" w:type="dxa"/>
          </w:tcPr>
          <w:p w14:paraId="75FA5164" w14:textId="2C889382" w:rsidR="00AA5AE4" w:rsidRDefault="00AA5AE4" w:rsidP="00AA5AE4">
            <w:r>
              <w:t>11</w:t>
            </w:r>
          </w:p>
        </w:tc>
        <w:tc>
          <w:tcPr>
            <w:tcW w:w="1731" w:type="dxa"/>
          </w:tcPr>
          <w:p w14:paraId="1F116689" w14:textId="0E8F9EEC" w:rsidR="00AA5AE4" w:rsidRDefault="00AA5AE4" w:rsidP="00AA5AE4">
            <w:r>
              <w:t>1.1.5.2</w:t>
            </w:r>
          </w:p>
        </w:tc>
        <w:tc>
          <w:tcPr>
            <w:tcW w:w="2734" w:type="dxa"/>
          </w:tcPr>
          <w:p w14:paraId="79975D53" w14:textId="17A490A2" w:rsidR="00AA5AE4" w:rsidRDefault="00AA5AE4" w:rsidP="00AA5AE4">
            <w:r w:rsidRPr="00FE2471">
              <w:t xml:space="preserve">Synapse, on behalf of Maine OPA and </w:t>
            </w:r>
            <w:proofErr w:type="spellStart"/>
            <w:r w:rsidRPr="00FE2471">
              <w:t>PowerOptions</w:t>
            </w:r>
            <w:proofErr w:type="spellEnd"/>
          </w:p>
        </w:tc>
        <w:tc>
          <w:tcPr>
            <w:tcW w:w="4198" w:type="dxa"/>
          </w:tcPr>
          <w:p w14:paraId="3EE424E6" w14:textId="77EC328A" w:rsidR="00AA5AE4" w:rsidRDefault="00AA5AE4" w:rsidP="00AA5AE4">
            <w:pPr>
              <w:pStyle w:val="CommentText"/>
            </w:pPr>
            <w:r w:rsidRPr="00AC586C">
              <w:t>Suggest adding language to clarify the intensity of this cold snap. We could say “historic” or the “deepest cold snap recorded in New England in 100 years”. This was not just a regular cold snap; it was much more severe and still “regional demand was met”, as is stated at the end of this paragraph.</w:t>
            </w:r>
          </w:p>
        </w:tc>
        <w:tc>
          <w:tcPr>
            <w:tcW w:w="4284" w:type="dxa"/>
          </w:tcPr>
          <w:p w14:paraId="51686D2F" w14:textId="77777777" w:rsidR="00AA5AE4" w:rsidRDefault="00AA5AE4" w:rsidP="00AA5AE4"/>
        </w:tc>
      </w:tr>
      <w:tr w:rsidR="00AA5AE4" w14:paraId="1CA8E9B2" w14:textId="77777777" w:rsidTr="0007438E">
        <w:tc>
          <w:tcPr>
            <w:tcW w:w="1543" w:type="dxa"/>
          </w:tcPr>
          <w:p w14:paraId="3F9DBECE" w14:textId="6ACD32ED" w:rsidR="00AA5AE4" w:rsidRDefault="00AA5AE4" w:rsidP="00AA5AE4">
            <w:r>
              <w:t>11</w:t>
            </w:r>
          </w:p>
        </w:tc>
        <w:tc>
          <w:tcPr>
            <w:tcW w:w="1731" w:type="dxa"/>
          </w:tcPr>
          <w:p w14:paraId="21ADB3AA" w14:textId="271831C1" w:rsidR="00AA5AE4" w:rsidRDefault="00AA5AE4" w:rsidP="00AA5AE4">
            <w:r>
              <w:t>1.1.5.3</w:t>
            </w:r>
          </w:p>
        </w:tc>
        <w:tc>
          <w:tcPr>
            <w:tcW w:w="2734" w:type="dxa"/>
          </w:tcPr>
          <w:p w14:paraId="1FD23788" w14:textId="7659A575" w:rsidR="00AA5AE4" w:rsidRDefault="00AA5AE4" w:rsidP="00AA5AE4">
            <w:r w:rsidRPr="00FE2471">
              <w:t xml:space="preserve">Synapse, on behalf of Maine OPA and </w:t>
            </w:r>
            <w:proofErr w:type="spellStart"/>
            <w:r w:rsidRPr="00FE2471">
              <w:t>PowerOptions</w:t>
            </w:r>
            <w:proofErr w:type="spellEnd"/>
          </w:p>
        </w:tc>
        <w:tc>
          <w:tcPr>
            <w:tcW w:w="4198" w:type="dxa"/>
          </w:tcPr>
          <w:p w14:paraId="5EA92DC7" w14:textId="3B5BD7E3" w:rsidR="00AA5AE4" w:rsidRDefault="00AA5AE4" w:rsidP="00AA5AE4">
            <w:pPr>
              <w:pStyle w:val="CommentText"/>
            </w:pPr>
            <w:r w:rsidRPr="00AC586C">
              <w:t xml:space="preserve">Pertaining to the sentence ending with “LNG or CNG storage would also benefit the New England system” -- This statement is too broad to be considered accurate. Certain types of infrastructure additions </w:t>
            </w:r>
            <w:r>
              <w:t xml:space="preserve">would improve reliability metrics during a small subset of hours but </w:t>
            </w:r>
            <w:r w:rsidRPr="00AC586C">
              <w:t xml:space="preserve">would be </w:t>
            </w:r>
            <w:r>
              <w:t xml:space="preserve">a very </w:t>
            </w:r>
            <w:r w:rsidRPr="00AC586C">
              <w:t>costly</w:t>
            </w:r>
            <w:r>
              <w:t xml:space="preserve"> investment</w:t>
            </w:r>
            <w:r w:rsidRPr="00AC586C">
              <w:t xml:space="preserve">. If the phrase was limited to “benefit the reliable operation of the New </w:t>
            </w:r>
            <w:r w:rsidRPr="00AC586C">
              <w:lastRenderedPageBreak/>
              <w:t>England system but could be costly” that would be more accurate.</w:t>
            </w:r>
          </w:p>
        </w:tc>
        <w:tc>
          <w:tcPr>
            <w:tcW w:w="4284" w:type="dxa"/>
          </w:tcPr>
          <w:p w14:paraId="1B4E0F2D" w14:textId="77777777" w:rsidR="00AA5AE4" w:rsidRDefault="00AA5AE4" w:rsidP="00AA5AE4"/>
        </w:tc>
      </w:tr>
      <w:tr w:rsidR="00AA5AE4" w14:paraId="78209AF6" w14:textId="77777777" w:rsidTr="0007438E">
        <w:tc>
          <w:tcPr>
            <w:tcW w:w="1543" w:type="dxa"/>
          </w:tcPr>
          <w:p w14:paraId="171A1BEC" w14:textId="2DA351B0" w:rsidR="00AA5AE4" w:rsidRDefault="00AA5AE4" w:rsidP="00AA5AE4">
            <w:r>
              <w:t>12</w:t>
            </w:r>
          </w:p>
        </w:tc>
        <w:tc>
          <w:tcPr>
            <w:tcW w:w="1731" w:type="dxa"/>
          </w:tcPr>
          <w:p w14:paraId="5FADE06F" w14:textId="24CB7F15" w:rsidR="00AA5AE4" w:rsidRDefault="00AA5AE4" w:rsidP="00AA5AE4">
            <w:r>
              <w:t>1.1.6</w:t>
            </w:r>
          </w:p>
        </w:tc>
        <w:tc>
          <w:tcPr>
            <w:tcW w:w="2734" w:type="dxa"/>
          </w:tcPr>
          <w:p w14:paraId="2C87E8E7" w14:textId="30A648E7" w:rsidR="00AA5AE4" w:rsidRDefault="00AA5AE4" w:rsidP="00AA5AE4">
            <w:r w:rsidRPr="00FE2471">
              <w:t xml:space="preserve">Synapse, on behalf of Maine OPA and </w:t>
            </w:r>
            <w:proofErr w:type="spellStart"/>
            <w:r w:rsidRPr="00FE2471">
              <w:t>PowerOptions</w:t>
            </w:r>
            <w:proofErr w:type="spellEnd"/>
          </w:p>
        </w:tc>
        <w:tc>
          <w:tcPr>
            <w:tcW w:w="4198" w:type="dxa"/>
          </w:tcPr>
          <w:p w14:paraId="74FEB2F1" w14:textId="4D75EDC4" w:rsidR="00AA5AE4" w:rsidRDefault="00AA5AE4" w:rsidP="00AA5AE4">
            <w:pPr>
              <w:pStyle w:val="CommentText"/>
            </w:pPr>
            <w:r w:rsidRPr="00AC586C">
              <w:t>Suggest that the ISO state the quantity of offshore wind and HQ ties. It is a very large number and omitting the quantity leaves the reader with an inaccurate picture. If it is possible to do so briefly, please add in-service dates as well, as that would be helpful to the reader.</w:t>
            </w:r>
          </w:p>
        </w:tc>
        <w:tc>
          <w:tcPr>
            <w:tcW w:w="4284" w:type="dxa"/>
          </w:tcPr>
          <w:p w14:paraId="6A23BD43" w14:textId="77777777" w:rsidR="00AA5AE4" w:rsidRDefault="00AA5AE4" w:rsidP="00AA5AE4"/>
        </w:tc>
      </w:tr>
      <w:tr w:rsidR="00AA5AE4" w14:paraId="5EC8086F" w14:textId="77777777" w:rsidTr="0007438E">
        <w:tc>
          <w:tcPr>
            <w:tcW w:w="1543" w:type="dxa"/>
          </w:tcPr>
          <w:p w14:paraId="15E5D797" w14:textId="1CA764C9" w:rsidR="00AA5AE4" w:rsidRDefault="00AA5AE4" w:rsidP="00AA5AE4">
            <w:r>
              <w:t>13</w:t>
            </w:r>
          </w:p>
        </w:tc>
        <w:tc>
          <w:tcPr>
            <w:tcW w:w="1731" w:type="dxa"/>
          </w:tcPr>
          <w:p w14:paraId="2D8C7806" w14:textId="44402762" w:rsidR="00AA5AE4" w:rsidRDefault="00AA5AE4" w:rsidP="00AA5AE4">
            <w:r>
              <w:t>1.1.7</w:t>
            </w:r>
          </w:p>
        </w:tc>
        <w:tc>
          <w:tcPr>
            <w:tcW w:w="2734" w:type="dxa"/>
          </w:tcPr>
          <w:p w14:paraId="00E5528E" w14:textId="33501817" w:rsidR="00AA5AE4" w:rsidRDefault="00AA5AE4" w:rsidP="00AA5AE4">
            <w:r w:rsidRPr="00FE2471">
              <w:t xml:space="preserve">Synapse, on behalf of Maine OPA and </w:t>
            </w:r>
            <w:proofErr w:type="spellStart"/>
            <w:r w:rsidRPr="00FE2471">
              <w:t>PowerOptions</w:t>
            </w:r>
            <w:proofErr w:type="spellEnd"/>
          </w:p>
        </w:tc>
        <w:tc>
          <w:tcPr>
            <w:tcW w:w="4198" w:type="dxa"/>
          </w:tcPr>
          <w:p w14:paraId="789CB2ED" w14:textId="402F4AED" w:rsidR="00AA5AE4" w:rsidRDefault="00AA5AE4" w:rsidP="00AA5AE4">
            <w:r w:rsidRPr="00AC586C">
              <w:t>To the sentence ending in “present protection and control issues”, we suggest adding “unless and until these inverters provide these ancillary services, as smart inverters are capable of doing”. This is described in Section 9.2.</w:t>
            </w:r>
          </w:p>
        </w:tc>
        <w:tc>
          <w:tcPr>
            <w:tcW w:w="4284" w:type="dxa"/>
          </w:tcPr>
          <w:p w14:paraId="2E8927C9" w14:textId="77777777" w:rsidR="00AA5AE4" w:rsidRDefault="00AA5AE4" w:rsidP="00AA5AE4"/>
        </w:tc>
      </w:tr>
      <w:tr w:rsidR="00AA5AE4" w14:paraId="04229034" w14:textId="77777777" w:rsidTr="0007438E">
        <w:tc>
          <w:tcPr>
            <w:tcW w:w="1543" w:type="dxa"/>
          </w:tcPr>
          <w:p w14:paraId="3AF86FED" w14:textId="4D38BD87" w:rsidR="00AA5AE4" w:rsidRDefault="00AA5AE4" w:rsidP="00AA5AE4">
            <w:r>
              <w:t>15</w:t>
            </w:r>
          </w:p>
        </w:tc>
        <w:tc>
          <w:tcPr>
            <w:tcW w:w="1731" w:type="dxa"/>
          </w:tcPr>
          <w:p w14:paraId="67EABCA0" w14:textId="0FA922A3" w:rsidR="00AA5AE4" w:rsidRDefault="00AA5AE4" w:rsidP="00AA5AE4">
            <w:r>
              <w:t>1.1.7.3</w:t>
            </w:r>
          </w:p>
        </w:tc>
        <w:tc>
          <w:tcPr>
            <w:tcW w:w="2734" w:type="dxa"/>
          </w:tcPr>
          <w:p w14:paraId="335324B0" w14:textId="2F3EBFB3"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7B33042" w14:textId="715A2DF4" w:rsidR="00AA5AE4" w:rsidRPr="005C202E" w:rsidRDefault="00AA5AE4" w:rsidP="00AA5AE4">
            <w:pPr>
              <w:spacing w:after="120" w:line="260" w:lineRule="atLeast"/>
              <w:jc w:val="left"/>
              <w:rPr>
                <w:rFonts w:eastAsia="Times New Roman"/>
                <w:szCs w:val="24"/>
              </w:rPr>
            </w:pPr>
            <w:r w:rsidRPr="00AC586C">
              <w:rPr>
                <w:rFonts w:eastAsia="Times New Roman"/>
              </w:rPr>
              <w:t>To the sentence “Natural gas will remain an important source of fuel for electric power generators” we suggest adding “during the planning period”</w:t>
            </w:r>
          </w:p>
        </w:tc>
        <w:tc>
          <w:tcPr>
            <w:tcW w:w="4284" w:type="dxa"/>
          </w:tcPr>
          <w:p w14:paraId="504F0FEB" w14:textId="77777777" w:rsidR="00AA5AE4" w:rsidRDefault="00AA5AE4" w:rsidP="00AA5AE4"/>
        </w:tc>
      </w:tr>
      <w:tr w:rsidR="00AA5AE4" w14:paraId="43A6CA1A" w14:textId="77777777" w:rsidTr="0007438E">
        <w:tc>
          <w:tcPr>
            <w:tcW w:w="1543" w:type="dxa"/>
          </w:tcPr>
          <w:p w14:paraId="3D02C899" w14:textId="640F7D8A" w:rsidR="00AA5AE4" w:rsidRDefault="00AA5AE4" w:rsidP="00AA5AE4">
            <w:r>
              <w:t>15</w:t>
            </w:r>
          </w:p>
        </w:tc>
        <w:tc>
          <w:tcPr>
            <w:tcW w:w="1731" w:type="dxa"/>
          </w:tcPr>
          <w:p w14:paraId="2ED667C8" w14:textId="414FF4A5" w:rsidR="00AA5AE4" w:rsidRDefault="00AA5AE4" w:rsidP="00AA5AE4">
            <w:r>
              <w:t>1.1.7.3</w:t>
            </w:r>
          </w:p>
        </w:tc>
        <w:tc>
          <w:tcPr>
            <w:tcW w:w="2734" w:type="dxa"/>
          </w:tcPr>
          <w:p w14:paraId="72582118" w14:textId="45D16711" w:rsidR="00AA5AE4" w:rsidRDefault="00AA5AE4" w:rsidP="00AA5AE4">
            <w:r w:rsidRPr="00FE2471">
              <w:t xml:space="preserve">Synapse, on behalf of Maine OPA and </w:t>
            </w:r>
            <w:proofErr w:type="spellStart"/>
            <w:r w:rsidRPr="00FE2471">
              <w:t>PowerOptions</w:t>
            </w:r>
            <w:proofErr w:type="spellEnd"/>
          </w:p>
        </w:tc>
        <w:tc>
          <w:tcPr>
            <w:tcW w:w="4198" w:type="dxa"/>
          </w:tcPr>
          <w:p w14:paraId="39FA93D3" w14:textId="2BA1CAE6" w:rsidR="00AA5AE4" w:rsidRDefault="00AA5AE4" w:rsidP="00AA5AE4">
            <w:r w:rsidRPr="00AC586C">
              <w:t xml:space="preserve">Suggest deleting the clause “the higher cost of new entry for renewables and”, as </w:t>
            </w:r>
            <w:r>
              <w:t>this phrase</w:t>
            </w:r>
            <w:r w:rsidRPr="00AC586C">
              <w:t xml:space="preserve"> is no longer accurate.</w:t>
            </w:r>
          </w:p>
        </w:tc>
        <w:tc>
          <w:tcPr>
            <w:tcW w:w="4284" w:type="dxa"/>
          </w:tcPr>
          <w:p w14:paraId="5D05D41A" w14:textId="77777777" w:rsidR="00AA5AE4" w:rsidRDefault="00AA5AE4" w:rsidP="00AA5AE4"/>
        </w:tc>
      </w:tr>
      <w:tr w:rsidR="00AA5AE4" w14:paraId="271A782C" w14:textId="77777777" w:rsidTr="0007438E">
        <w:tc>
          <w:tcPr>
            <w:tcW w:w="1543" w:type="dxa"/>
          </w:tcPr>
          <w:p w14:paraId="70A42D6C" w14:textId="74B975E2" w:rsidR="00AA5AE4" w:rsidRDefault="00AA5AE4" w:rsidP="00AA5AE4">
            <w:r>
              <w:t>16</w:t>
            </w:r>
          </w:p>
        </w:tc>
        <w:tc>
          <w:tcPr>
            <w:tcW w:w="1731" w:type="dxa"/>
          </w:tcPr>
          <w:p w14:paraId="656F6A3D" w14:textId="7466076F" w:rsidR="00AA5AE4" w:rsidRDefault="00AA5AE4" w:rsidP="00AA5AE4">
            <w:r>
              <w:t>1.1.7.3</w:t>
            </w:r>
          </w:p>
        </w:tc>
        <w:tc>
          <w:tcPr>
            <w:tcW w:w="2734" w:type="dxa"/>
          </w:tcPr>
          <w:p w14:paraId="7E4B9679" w14:textId="7A7DEC4C" w:rsidR="00AA5AE4" w:rsidRDefault="00AA5AE4" w:rsidP="00AA5AE4">
            <w:r w:rsidRPr="00FE2471">
              <w:t xml:space="preserve">Synapse, on behalf of Maine OPA and </w:t>
            </w:r>
            <w:proofErr w:type="spellStart"/>
            <w:r w:rsidRPr="00FE2471">
              <w:t>PowerOptions</w:t>
            </w:r>
            <w:proofErr w:type="spellEnd"/>
          </w:p>
        </w:tc>
        <w:tc>
          <w:tcPr>
            <w:tcW w:w="4198" w:type="dxa"/>
          </w:tcPr>
          <w:p w14:paraId="34D8AAE0" w14:textId="78F1AAB3" w:rsidR="00AA5AE4" w:rsidRDefault="00AA5AE4" w:rsidP="00AA5AE4">
            <w:pPr>
              <w:pStyle w:val="CommentText"/>
            </w:pPr>
            <w:r w:rsidRPr="00AC586C">
              <w:rPr>
                <w:rFonts w:eastAsia="Times New Roman"/>
              </w:rPr>
              <w:t xml:space="preserve">Pertaining to the clause, “which showed an inability </w:t>
            </w:r>
            <w:r w:rsidRPr="00AC586C">
              <w:t xml:space="preserve">to satisfy the installed capacity of all natural-gas-fired generating units across the six resource-expansion scenarios” -- Suggest rewording this or deleting. Earlier in the Executive Summary the ISO states that natural gas will grow for a few years, and then shrink. That is inconsistent with this finding. Further, it is probably not necessary for the natural gas system to “satisfy the installed capacity of all natural-gas-fired … units”. There is no requirement that </w:t>
            </w:r>
            <w:proofErr w:type="gramStart"/>
            <w:r w:rsidRPr="00AC586C">
              <w:t>all of</w:t>
            </w:r>
            <w:proofErr w:type="gramEnd"/>
            <w:r w:rsidRPr="00AC586C">
              <w:t xml:space="preserve"> the gas units are running at one </w:t>
            </w:r>
            <w:r w:rsidRPr="00AC586C">
              <w:lastRenderedPageBreak/>
              <w:t>time, and might not ever be necessary, now or in the future, to meet load in real-time.</w:t>
            </w:r>
          </w:p>
        </w:tc>
        <w:tc>
          <w:tcPr>
            <w:tcW w:w="4284" w:type="dxa"/>
          </w:tcPr>
          <w:p w14:paraId="77202438" w14:textId="77777777" w:rsidR="00AA5AE4" w:rsidRDefault="00AA5AE4" w:rsidP="00AA5AE4"/>
        </w:tc>
      </w:tr>
      <w:tr w:rsidR="00AA5AE4" w14:paraId="597B52F5" w14:textId="77777777" w:rsidTr="0007438E">
        <w:tc>
          <w:tcPr>
            <w:tcW w:w="1543" w:type="dxa"/>
          </w:tcPr>
          <w:p w14:paraId="3D810554" w14:textId="0D013600" w:rsidR="00AA5AE4" w:rsidRDefault="00AA5AE4" w:rsidP="00AA5AE4">
            <w:r>
              <w:t>16</w:t>
            </w:r>
          </w:p>
        </w:tc>
        <w:tc>
          <w:tcPr>
            <w:tcW w:w="1731" w:type="dxa"/>
          </w:tcPr>
          <w:p w14:paraId="19B63D16" w14:textId="44F96598" w:rsidR="00AA5AE4" w:rsidRDefault="00AA5AE4" w:rsidP="00AA5AE4">
            <w:r>
              <w:t>1.2</w:t>
            </w:r>
          </w:p>
        </w:tc>
        <w:tc>
          <w:tcPr>
            <w:tcW w:w="2734" w:type="dxa"/>
          </w:tcPr>
          <w:p w14:paraId="7F523919" w14:textId="485E911F"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065788F" w14:textId="6A2E8A5D" w:rsidR="00AA5AE4" w:rsidRDefault="00AA5AE4" w:rsidP="00AA5AE4">
            <w:pPr>
              <w:pStyle w:val="CommentText"/>
            </w:pPr>
            <w:r w:rsidRPr="00AC586C">
              <w:t xml:space="preserve">Suggest replacing “NERC and NPCC will drive” with “NERC and NPCC may drive”, as is done elsewhere. This is not necessarily true, especially if smart inverters increase transfer limits, improve power system quality, provide voltage regulation, and more (as noted elsewhere </w:t>
            </w:r>
            <w:r>
              <w:t>in the draft plan</w:t>
            </w:r>
            <w:r w:rsidRPr="00AC586C">
              <w:t>)</w:t>
            </w:r>
          </w:p>
        </w:tc>
        <w:tc>
          <w:tcPr>
            <w:tcW w:w="4284" w:type="dxa"/>
          </w:tcPr>
          <w:p w14:paraId="1FCEBED2" w14:textId="77777777" w:rsidR="00AA5AE4" w:rsidRDefault="00AA5AE4" w:rsidP="00AA5AE4"/>
        </w:tc>
      </w:tr>
      <w:tr w:rsidR="00AA5AE4" w14:paraId="0906A8D0" w14:textId="77777777" w:rsidTr="0007438E">
        <w:tc>
          <w:tcPr>
            <w:tcW w:w="1543" w:type="dxa"/>
          </w:tcPr>
          <w:p w14:paraId="6B2A6495" w14:textId="64CD2399" w:rsidR="00AA5AE4" w:rsidRDefault="00AA5AE4" w:rsidP="00AA5AE4">
            <w:r>
              <w:t>17</w:t>
            </w:r>
          </w:p>
        </w:tc>
        <w:tc>
          <w:tcPr>
            <w:tcW w:w="1731" w:type="dxa"/>
          </w:tcPr>
          <w:p w14:paraId="54619154" w14:textId="35EB0F1A" w:rsidR="00AA5AE4" w:rsidRDefault="00AA5AE4" w:rsidP="00AA5AE4">
            <w:r>
              <w:t>1.2</w:t>
            </w:r>
          </w:p>
        </w:tc>
        <w:tc>
          <w:tcPr>
            <w:tcW w:w="2734" w:type="dxa"/>
          </w:tcPr>
          <w:p w14:paraId="3E111E41" w14:textId="5C590A31" w:rsidR="00AA5AE4" w:rsidRDefault="00AA5AE4" w:rsidP="00AA5AE4">
            <w:r w:rsidRPr="00FE2471">
              <w:t xml:space="preserve">Synapse, on behalf of Maine OPA and </w:t>
            </w:r>
            <w:proofErr w:type="spellStart"/>
            <w:r w:rsidRPr="00FE2471">
              <w:t>PowerOptions</w:t>
            </w:r>
            <w:proofErr w:type="spellEnd"/>
          </w:p>
        </w:tc>
        <w:tc>
          <w:tcPr>
            <w:tcW w:w="4198" w:type="dxa"/>
          </w:tcPr>
          <w:p w14:paraId="31C27C2E" w14:textId="167EFD03" w:rsidR="00AA5AE4" w:rsidRDefault="00AA5AE4" w:rsidP="00AA5AE4">
            <w:pPr>
              <w:pStyle w:val="CommentText"/>
            </w:pPr>
            <w:r w:rsidRPr="00AC586C">
              <w:t>Suggest adding “during historic cold snaps” after the words “can pose reliability issues and lead to price spikes in the wholesale electricity markets”. This would more accurately describe to the reader when that situation might occur.</w:t>
            </w:r>
          </w:p>
        </w:tc>
        <w:tc>
          <w:tcPr>
            <w:tcW w:w="4284" w:type="dxa"/>
          </w:tcPr>
          <w:p w14:paraId="0D22BF04" w14:textId="77777777" w:rsidR="00AA5AE4" w:rsidRDefault="00AA5AE4" w:rsidP="00AA5AE4"/>
        </w:tc>
      </w:tr>
      <w:tr w:rsidR="00AA5AE4" w14:paraId="5E5E47E3" w14:textId="77777777" w:rsidTr="0007438E">
        <w:tc>
          <w:tcPr>
            <w:tcW w:w="1543" w:type="dxa"/>
          </w:tcPr>
          <w:p w14:paraId="5F86FB6B" w14:textId="293F5247" w:rsidR="00AA5AE4" w:rsidRDefault="00AA5AE4" w:rsidP="00AA5AE4">
            <w:r>
              <w:t>17</w:t>
            </w:r>
          </w:p>
        </w:tc>
        <w:tc>
          <w:tcPr>
            <w:tcW w:w="1731" w:type="dxa"/>
          </w:tcPr>
          <w:p w14:paraId="58681920" w14:textId="7D444335" w:rsidR="00AA5AE4" w:rsidRDefault="00AA5AE4" w:rsidP="00AA5AE4">
            <w:r>
              <w:t>1.2</w:t>
            </w:r>
          </w:p>
        </w:tc>
        <w:tc>
          <w:tcPr>
            <w:tcW w:w="2734" w:type="dxa"/>
          </w:tcPr>
          <w:p w14:paraId="2C98D7FD" w14:textId="285EE5F9" w:rsidR="00AA5AE4" w:rsidRDefault="00AA5AE4" w:rsidP="00AA5AE4">
            <w:r w:rsidRPr="00FE2471">
              <w:t xml:space="preserve">Synapse, on behalf of Maine OPA and </w:t>
            </w:r>
            <w:proofErr w:type="spellStart"/>
            <w:r w:rsidRPr="00FE2471">
              <w:t>PowerOptions</w:t>
            </w:r>
            <w:proofErr w:type="spellEnd"/>
          </w:p>
        </w:tc>
        <w:tc>
          <w:tcPr>
            <w:tcW w:w="4198" w:type="dxa"/>
          </w:tcPr>
          <w:p w14:paraId="7EA2C5F2" w14:textId="20BD0CCC" w:rsidR="00AA5AE4" w:rsidRDefault="00AA5AE4" w:rsidP="00AA5AE4">
            <w:r w:rsidRPr="00AC586C">
              <w:t>The sentence “The greater development of renewable resources, energy efficiency…” does not include battery storage. Suggest including or adding an explanation why it is not included.</w:t>
            </w:r>
          </w:p>
        </w:tc>
        <w:tc>
          <w:tcPr>
            <w:tcW w:w="4284" w:type="dxa"/>
          </w:tcPr>
          <w:p w14:paraId="4590C83B" w14:textId="77777777" w:rsidR="00AA5AE4" w:rsidRDefault="00AA5AE4" w:rsidP="00AA5AE4"/>
        </w:tc>
      </w:tr>
      <w:tr w:rsidR="00AA5AE4" w14:paraId="2A227C66" w14:textId="77777777" w:rsidTr="0007438E">
        <w:tc>
          <w:tcPr>
            <w:tcW w:w="1543" w:type="dxa"/>
          </w:tcPr>
          <w:p w14:paraId="61F8C21A" w14:textId="36A6D7D8" w:rsidR="00AA5AE4" w:rsidRDefault="00AA5AE4" w:rsidP="00AA5AE4">
            <w:r>
              <w:t>35</w:t>
            </w:r>
          </w:p>
        </w:tc>
        <w:tc>
          <w:tcPr>
            <w:tcW w:w="1731" w:type="dxa"/>
          </w:tcPr>
          <w:p w14:paraId="1F3B5C34" w14:textId="39B34E5D" w:rsidR="00AA5AE4" w:rsidRDefault="00AA5AE4" w:rsidP="00AA5AE4">
            <w:r>
              <w:t>3</w:t>
            </w:r>
          </w:p>
        </w:tc>
        <w:tc>
          <w:tcPr>
            <w:tcW w:w="2734" w:type="dxa"/>
          </w:tcPr>
          <w:p w14:paraId="434CFAED" w14:textId="067A39D3" w:rsidR="00AA5AE4" w:rsidRDefault="00AA5AE4" w:rsidP="00AA5AE4">
            <w:r w:rsidRPr="00FE2471">
              <w:t xml:space="preserve">Synapse, on behalf of Maine OPA and </w:t>
            </w:r>
            <w:proofErr w:type="spellStart"/>
            <w:r w:rsidRPr="00FE2471">
              <w:t>PowerOptions</w:t>
            </w:r>
            <w:proofErr w:type="spellEnd"/>
          </w:p>
        </w:tc>
        <w:tc>
          <w:tcPr>
            <w:tcW w:w="4198" w:type="dxa"/>
          </w:tcPr>
          <w:p w14:paraId="7B432D3C" w14:textId="0FA0A423" w:rsidR="00AA5AE4" w:rsidRDefault="00AA5AE4" w:rsidP="00AA5AE4">
            <w:r w:rsidRPr="00AC586C">
              <w:t>In the sentence beginning “Energy efficiency is considered…”, we request that the ISO clarify if “BTM distributed generation” includes BTM storage.</w:t>
            </w:r>
          </w:p>
        </w:tc>
        <w:tc>
          <w:tcPr>
            <w:tcW w:w="4284" w:type="dxa"/>
          </w:tcPr>
          <w:p w14:paraId="5B2B6084" w14:textId="77777777" w:rsidR="00AA5AE4" w:rsidRDefault="00AA5AE4" w:rsidP="00AA5AE4"/>
        </w:tc>
      </w:tr>
      <w:tr w:rsidR="00AA5AE4" w14:paraId="674799F2" w14:textId="77777777" w:rsidTr="0007438E">
        <w:tc>
          <w:tcPr>
            <w:tcW w:w="1543" w:type="dxa"/>
          </w:tcPr>
          <w:p w14:paraId="080B23BC" w14:textId="12E482A8" w:rsidR="00AA5AE4" w:rsidRDefault="00AA5AE4" w:rsidP="00AA5AE4">
            <w:r>
              <w:t>162</w:t>
            </w:r>
          </w:p>
        </w:tc>
        <w:tc>
          <w:tcPr>
            <w:tcW w:w="1731" w:type="dxa"/>
          </w:tcPr>
          <w:p w14:paraId="2E668C22" w14:textId="74AAD7E4" w:rsidR="00AA5AE4" w:rsidRDefault="00AA5AE4" w:rsidP="00AA5AE4">
            <w:r>
              <w:t>9.4.2</w:t>
            </w:r>
          </w:p>
        </w:tc>
        <w:tc>
          <w:tcPr>
            <w:tcW w:w="2734" w:type="dxa"/>
          </w:tcPr>
          <w:p w14:paraId="2F1ACDF8" w14:textId="6A09B023" w:rsidR="00AA5AE4" w:rsidRDefault="00AA5AE4" w:rsidP="00AA5AE4">
            <w:r w:rsidRPr="00FE2471">
              <w:t xml:space="preserve">Synapse, on behalf of Maine OPA and </w:t>
            </w:r>
            <w:proofErr w:type="spellStart"/>
            <w:r w:rsidRPr="00FE2471">
              <w:t>PowerOptions</w:t>
            </w:r>
            <w:proofErr w:type="spellEnd"/>
          </w:p>
        </w:tc>
        <w:tc>
          <w:tcPr>
            <w:tcW w:w="4198" w:type="dxa"/>
          </w:tcPr>
          <w:p w14:paraId="325C5FDD" w14:textId="20C584C5" w:rsidR="00AA5AE4" w:rsidRDefault="00AA5AE4" w:rsidP="00AA5AE4">
            <w:r w:rsidRPr="00AC586C">
              <w:t>Paragraph starting with “Smart-inverter applications to DERs provide…” – we suggest that some of this language should be reflected in the E</w:t>
            </w:r>
            <w:r>
              <w:t xml:space="preserve">xecutive </w:t>
            </w:r>
            <w:r w:rsidRPr="00AC586C">
              <w:t>S</w:t>
            </w:r>
            <w:r>
              <w:t>ummary</w:t>
            </w:r>
            <w:r w:rsidRPr="00AC586C">
              <w:t>. They can, if implanted well, “increase transfer limits”, “improve power quality”, “provide voltage regulation”, etc.</w:t>
            </w:r>
          </w:p>
        </w:tc>
        <w:tc>
          <w:tcPr>
            <w:tcW w:w="4284" w:type="dxa"/>
          </w:tcPr>
          <w:p w14:paraId="1CD660AD" w14:textId="77777777" w:rsidR="00AA5AE4" w:rsidRDefault="00AA5AE4" w:rsidP="00AA5AE4"/>
        </w:tc>
      </w:tr>
      <w:tr w:rsidR="00AA5AE4" w14:paraId="16E9B52E" w14:textId="77777777" w:rsidTr="0007438E">
        <w:tc>
          <w:tcPr>
            <w:tcW w:w="1543" w:type="dxa"/>
          </w:tcPr>
          <w:p w14:paraId="40E9D598" w14:textId="6BA1DB0C" w:rsidR="00AA5AE4" w:rsidRDefault="00AA5AE4" w:rsidP="00AA5AE4">
            <w:r>
              <w:t>163</w:t>
            </w:r>
          </w:p>
        </w:tc>
        <w:tc>
          <w:tcPr>
            <w:tcW w:w="1731" w:type="dxa"/>
          </w:tcPr>
          <w:p w14:paraId="65B40BA6" w14:textId="7A310E27" w:rsidR="00AA5AE4" w:rsidRDefault="00AA5AE4" w:rsidP="00AA5AE4">
            <w:r>
              <w:t>9.4.4</w:t>
            </w:r>
          </w:p>
        </w:tc>
        <w:tc>
          <w:tcPr>
            <w:tcW w:w="2734" w:type="dxa"/>
          </w:tcPr>
          <w:p w14:paraId="472FBA91" w14:textId="5C791719" w:rsidR="00AA5AE4" w:rsidRDefault="00AA5AE4" w:rsidP="00AA5AE4">
            <w:r w:rsidRPr="00FE2471">
              <w:t xml:space="preserve">Synapse, on behalf of Maine OPA and </w:t>
            </w:r>
            <w:proofErr w:type="spellStart"/>
            <w:r w:rsidRPr="00FE2471">
              <w:t>PowerOptions</w:t>
            </w:r>
            <w:proofErr w:type="spellEnd"/>
          </w:p>
        </w:tc>
        <w:tc>
          <w:tcPr>
            <w:tcW w:w="4198" w:type="dxa"/>
          </w:tcPr>
          <w:p w14:paraId="0D152FA9" w14:textId="548339EE" w:rsidR="00AA5AE4" w:rsidRDefault="00AA5AE4" w:rsidP="00AA5AE4">
            <w:r w:rsidRPr="00AC586C">
              <w:t xml:space="preserve">Suggest removing the sentence beginning with, “Interestingly, the more storage added to system, the less economical…”. While potentially true, it is misleading because it </w:t>
            </w:r>
            <w:r w:rsidRPr="00AC586C">
              <w:lastRenderedPageBreak/>
              <w:t>provides a one-sentence treatment of a very complicated issue. Changes in the pattern of load or renewable energy could drastically change how we view storage today or provide reserve opportunities equal to or greater than energy arbitrage. Storage used to capture solar or wind power clipped by inverters may be a big opportunity. There are so many possibilities</w:t>
            </w:r>
            <w:r>
              <w:t xml:space="preserve"> that, when omitted, offered only a skewed perspective</w:t>
            </w:r>
            <w:r w:rsidRPr="00AC586C">
              <w:t>.</w:t>
            </w:r>
          </w:p>
        </w:tc>
        <w:tc>
          <w:tcPr>
            <w:tcW w:w="4284" w:type="dxa"/>
          </w:tcPr>
          <w:p w14:paraId="00D217DA" w14:textId="77777777" w:rsidR="00AA5AE4" w:rsidRDefault="00AA5AE4" w:rsidP="00AA5AE4"/>
        </w:tc>
      </w:tr>
      <w:tr w:rsidR="00AA5AE4" w14:paraId="2D9538DD" w14:textId="77777777" w:rsidTr="0007438E">
        <w:tc>
          <w:tcPr>
            <w:tcW w:w="1543" w:type="dxa"/>
          </w:tcPr>
          <w:p w14:paraId="1ED854EB" w14:textId="59B6E752" w:rsidR="00AA5AE4" w:rsidRDefault="00AA5AE4" w:rsidP="00AA5AE4">
            <w:r>
              <w:t>166</w:t>
            </w:r>
          </w:p>
        </w:tc>
        <w:tc>
          <w:tcPr>
            <w:tcW w:w="1731" w:type="dxa"/>
          </w:tcPr>
          <w:p w14:paraId="6C3E8AFB" w14:textId="63F3BD6A" w:rsidR="00AA5AE4" w:rsidRDefault="00AA5AE4" w:rsidP="00AA5AE4">
            <w:r>
              <w:t>9.6.3</w:t>
            </w:r>
          </w:p>
        </w:tc>
        <w:tc>
          <w:tcPr>
            <w:tcW w:w="2734" w:type="dxa"/>
          </w:tcPr>
          <w:p w14:paraId="3666ABF1" w14:textId="10A7787B" w:rsidR="00AA5AE4" w:rsidRDefault="00AA5AE4" w:rsidP="00AA5AE4">
            <w:r w:rsidRPr="00FE2471">
              <w:t xml:space="preserve">Synapse, on behalf of Maine OPA and </w:t>
            </w:r>
            <w:proofErr w:type="spellStart"/>
            <w:r w:rsidRPr="00FE2471">
              <w:t>PowerOptions</w:t>
            </w:r>
            <w:proofErr w:type="spellEnd"/>
          </w:p>
        </w:tc>
        <w:tc>
          <w:tcPr>
            <w:tcW w:w="4198" w:type="dxa"/>
          </w:tcPr>
          <w:p w14:paraId="1BDF1C3D" w14:textId="49523A6C" w:rsidR="00AA5AE4" w:rsidRDefault="00AA5AE4" w:rsidP="00AA5AE4">
            <w:pPr>
              <w:pStyle w:val="CommentText"/>
            </w:pPr>
            <w:r w:rsidRPr="00AC586C">
              <w:t xml:space="preserve">Suggest removing “and less predictable” from the second-to-last paragraph. Price responsive demand might </w:t>
            </w:r>
            <w:proofErr w:type="gramStart"/>
            <w:r w:rsidRPr="00AC586C">
              <w:t>actually be</w:t>
            </w:r>
            <w:proofErr w:type="gramEnd"/>
            <w:r w:rsidRPr="00AC586C">
              <w:t xml:space="preserve"> more predictable if we can see a clear response to time-varying rates at the distribution level.</w:t>
            </w:r>
          </w:p>
        </w:tc>
        <w:tc>
          <w:tcPr>
            <w:tcW w:w="4284" w:type="dxa"/>
          </w:tcPr>
          <w:p w14:paraId="594B01E9" w14:textId="77777777" w:rsidR="00AA5AE4" w:rsidRDefault="00AA5AE4" w:rsidP="00AA5AE4"/>
        </w:tc>
      </w:tr>
      <w:tr w:rsidR="00AA5AE4" w14:paraId="014E3DB3" w14:textId="77777777" w:rsidTr="0007438E">
        <w:tc>
          <w:tcPr>
            <w:tcW w:w="1543" w:type="dxa"/>
          </w:tcPr>
          <w:p w14:paraId="50B33B5E" w14:textId="0121294A" w:rsidR="00AA5AE4" w:rsidRDefault="00AA5AE4" w:rsidP="00AA5AE4">
            <w:r>
              <w:t>166</w:t>
            </w:r>
          </w:p>
        </w:tc>
        <w:tc>
          <w:tcPr>
            <w:tcW w:w="1731" w:type="dxa"/>
          </w:tcPr>
          <w:p w14:paraId="06F97120" w14:textId="3C0E30CC" w:rsidR="00AA5AE4" w:rsidRDefault="00AA5AE4" w:rsidP="00AA5AE4">
            <w:r>
              <w:t>9.6.4</w:t>
            </w:r>
          </w:p>
        </w:tc>
        <w:tc>
          <w:tcPr>
            <w:tcW w:w="2734" w:type="dxa"/>
          </w:tcPr>
          <w:p w14:paraId="2A758249" w14:textId="51D45BF7" w:rsidR="00AA5AE4" w:rsidRDefault="00AA5AE4" w:rsidP="00AA5AE4">
            <w:r w:rsidRPr="00FE2471">
              <w:t xml:space="preserve">Synapse, on behalf of Maine OPA and </w:t>
            </w:r>
            <w:proofErr w:type="spellStart"/>
            <w:r w:rsidRPr="00FE2471">
              <w:t>PowerOptions</w:t>
            </w:r>
            <w:proofErr w:type="spellEnd"/>
          </w:p>
        </w:tc>
        <w:tc>
          <w:tcPr>
            <w:tcW w:w="4198" w:type="dxa"/>
          </w:tcPr>
          <w:p w14:paraId="7914040E" w14:textId="72982EB4" w:rsidR="00AA5AE4" w:rsidRDefault="00AA5AE4" w:rsidP="00AA5AE4">
            <w:r w:rsidRPr="00AC586C">
              <w:t>Suggest including the quantity of MW that have been processed in the queue, to inform the reader of that magnitude.</w:t>
            </w:r>
          </w:p>
        </w:tc>
        <w:tc>
          <w:tcPr>
            <w:tcW w:w="4284" w:type="dxa"/>
          </w:tcPr>
          <w:p w14:paraId="0FEC8F9D" w14:textId="77777777" w:rsidR="00AA5AE4" w:rsidRDefault="00AA5AE4" w:rsidP="00AA5AE4"/>
        </w:tc>
      </w:tr>
      <w:tr w:rsidR="00AA5AE4" w14:paraId="6E449275" w14:textId="77777777" w:rsidTr="0007438E">
        <w:tc>
          <w:tcPr>
            <w:tcW w:w="1543" w:type="dxa"/>
          </w:tcPr>
          <w:p w14:paraId="31A1B054" w14:textId="112A7FA3" w:rsidR="00AA5AE4" w:rsidRDefault="00AA5AE4" w:rsidP="00AA5AE4">
            <w:r>
              <w:t>168</w:t>
            </w:r>
          </w:p>
        </w:tc>
        <w:tc>
          <w:tcPr>
            <w:tcW w:w="1731" w:type="dxa"/>
          </w:tcPr>
          <w:p w14:paraId="22F6581E" w14:textId="33186BF9" w:rsidR="00AA5AE4" w:rsidRDefault="00AA5AE4" w:rsidP="00AA5AE4">
            <w:r>
              <w:t>9.6.6</w:t>
            </w:r>
          </w:p>
        </w:tc>
        <w:tc>
          <w:tcPr>
            <w:tcW w:w="2734" w:type="dxa"/>
          </w:tcPr>
          <w:p w14:paraId="5F9F2E75" w14:textId="4F8DE7FC" w:rsidR="00AA5AE4" w:rsidRDefault="00AA5AE4" w:rsidP="00AA5AE4">
            <w:r w:rsidRPr="00FE2471">
              <w:t xml:space="preserve">Synapse, on behalf of Maine OPA and </w:t>
            </w:r>
            <w:proofErr w:type="spellStart"/>
            <w:r w:rsidRPr="00FE2471">
              <w:t>PowerOptions</w:t>
            </w:r>
            <w:bookmarkStart w:id="1" w:name="_GoBack"/>
            <w:bookmarkEnd w:id="1"/>
            <w:proofErr w:type="spellEnd"/>
          </w:p>
        </w:tc>
        <w:tc>
          <w:tcPr>
            <w:tcW w:w="4198" w:type="dxa"/>
          </w:tcPr>
          <w:p w14:paraId="78C61F7F" w14:textId="534497B1" w:rsidR="00AA5AE4" w:rsidRDefault="00AA5AE4" w:rsidP="00AA5AE4">
            <w:pPr>
              <w:pStyle w:val="CommentText"/>
            </w:pPr>
            <w:r w:rsidRPr="00AC586C">
              <w:t>Suggest slight change of words from “to obtain a CSO” to “the potential to obtain a CSO” to be clear that the substitution auction does not fully “enable” or guarantee a CSO … it only happens if enough existing resources choose to exit</w:t>
            </w:r>
            <w:r>
              <w:t>, which was not true in FCA-13 and unlikely to be true in FCA-14, for example</w:t>
            </w:r>
            <w:r w:rsidRPr="00AC586C">
              <w:t>.</w:t>
            </w:r>
          </w:p>
        </w:tc>
        <w:tc>
          <w:tcPr>
            <w:tcW w:w="4284" w:type="dxa"/>
          </w:tcPr>
          <w:p w14:paraId="63B33D53" w14:textId="77777777" w:rsidR="00AA5AE4" w:rsidRDefault="00AA5AE4" w:rsidP="00AA5AE4"/>
        </w:tc>
      </w:tr>
      <w:bookmarkEnd w:id="0"/>
    </w:tbl>
    <w:p w14:paraId="1657BAF0" w14:textId="77777777" w:rsidR="007B1CAF" w:rsidRPr="00F47624" w:rsidRDefault="007B1CAF" w:rsidP="009A175B">
      <w:pPr>
        <w:pStyle w:val="Date"/>
        <w:spacing w:after="120" w:line="260" w:lineRule="atLeast"/>
        <w:ind w:left="720"/>
        <w:jc w:val="left"/>
        <w:rPr>
          <w:rFonts w:asciiTheme="minorHAnsi" w:hAnsiTheme="minorHAnsi"/>
          <w:sz w:val="22"/>
          <w:szCs w:val="22"/>
        </w:rPr>
      </w:pPr>
    </w:p>
    <w:sectPr w:rsidR="007B1CAF" w:rsidRPr="00F47624" w:rsidSect="00154AE3">
      <w:pgSz w:w="15840" w:h="12240" w:orient="landscape" w:code="1"/>
      <w:pgMar w:top="1152"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55405" w14:textId="77777777" w:rsidR="004928F1" w:rsidRDefault="004928F1">
      <w:r>
        <w:separator/>
      </w:r>
    </w:p>
  </w:endnote>
  <w:endnote w:type="continuationSeparator" w:id="0">
    <w:p w14:paraId="102F2208" w14:textId="77777777" w:rsidR="004928F1" w:rsidRDefault="0049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88F03" w14:textId="77777777" w:rsidR="008A7365" w:rsidRDefault="00835E93" w:rsidP="008A7365">
    <w:pPr>
      <w:pStyle w:val="Footer"/>
      <w:jc w:val="left"/>
      <w:rPr>
        <w:rFonts w:ascii="Calibri" w:hAnsi="Calibri"/>
        <w:color w:val="82A1AE"/>
        <w:sz w:val="14"/>
        <w:szCs w:val="14"/>
      </w:rPr>
    </w:pPr>
    <w:r>
      <w:rPr>
        <w:noProof/>
      </w:rPr>
      <mc:AlternateContent>
        <mc:Choice Requires="wps">
          <w:drawing>
            <wp:anchor distT="0" distB="0" distL="114300" distR="114300" simplePos="0" relativeHeight="251670528" behindDoc="0" locked="0" layoutInCell="1" allowOverlap="1" wp14:anchorId="026C3715" wp14:editId="0C89C114">
              <wp:simplePos x="0" y="0"/>
              <wp:positionH relativeFrom="column">
                <wp:posOffset>4724400</wp:posOffset>
              </wp:positionH>
              <wp:positionV relativeFrom="page">
                <wp:posOffset>9032240</wp:posOffset>
              </wp:positionV>
              <wp:extent cx="1306195" cy="708025"/>
              <wp:effectExtent l="0" t="0" r="8255"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70802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01B4B8B3"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0D1E5F7B"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6141AADB"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2F4474BC"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703F0B0A"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3D97680F" w14:textId="77777777" w:rsidR="00F77A41" w:rsidRPr="00DB011C" w:rsidRDefault="00F77A41" w:rsidP="00F77A41">
                          <w:pPr>
                            <w:spacing w:line="160" w:lineRule="atLeast"/>
                            <w:jc w:val="right"/>
                            <w:rPr>
                              <w:color w:val="62777F"/>
                            </w:rPr>
                          </w:pPr>
                        </w:p>
                        <w:p w14:paraId="747FD0CD" w14:textId="77777777" w:rsidR="002A719C" w:rsidRPr="00F77A41" w:rsidRDefault="002A719C" w:rsidP="00F77A41"/>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6C3715" id="_x0000_t202" coordsize="21600,21600" o:spt="202" path="m,l,21600r21600,l21600,xe">
              <v:stroke joinstyle="miter"/>
              <v:path gradientshapeok="t" o:connecttype="rect"/>
            </v:shapetype>
            <v:shape id="Text Box 8" o:spid="_x0000_s1026" type="#_x0000_t202" style="position:absolute;margin-left:372pt;margin-top:711.2pt;width:102.85pt;height:5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" filled="f" stroked="f">
              <v:textbox inset="0,,0">
                <w:txbxContent>
                  <w:p w14:paraId="01B4B8B3"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0D1E5F7B"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6141AADB"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2F4474BC"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703F0B0A"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3D97680F" w14:textId="77777777" w:rsidR="00F77A41" w:rsidRPr="00DB011C" w:rsidRDefault="00F77A41" w:rsidP="00F77A41">
                    <w:pPr>
                      <w:spacing w:line="160" w:lineRule="atLeast"/>
                      <w:jc w:val="right"/>
                      <w:rPr>
                        <w:color w:val="62777F"/>
                      </w:rPr>
                    </w:pPr>
                  </w:p>
                  <w:p w14:paraId="747FD0CD" w14:textId="77777777" w:rsidR="002A719C" w:rsidRPr="00F77A41" w:rsidRDefault="002A719C" w:rsidP="00F77A41"/>
                </w:txbxContent>
              </v:textbox>
              <w10:wrap anchory="page"/>
            </v:shape>
          </w:pict>
        </mc:Fallback>
      </mc:AlternateContent>
    </w:r>
    <w:r>
      <w:rPr>
        <w:noProof/>
      </w:rPr>
      <mc:AlternateContent>
        <mc:Choice Requires="wps">
          <w:drawing>
            <wp:anchor distT="0" distB="0" distL="114300" distR="114300" simplePos="0" relativeHeight="251671552" behindDoc="0" locked="0" layoutInCell="1" allowOverlap="1" wp14:anchorId="1BC0C256" wp14:editId="4CEC0BD6">
              <wp:simplePos x="0" y="0"/>
              <wp:positionH relativeFrom="column">
                <wp:posOffset>-304165</wp:posOffset>
              </wp:positionH>
              <wp:positionV relativeFrom="page">
                <wp:posOffset>9023350</wp:posOffset>
              </wp:positionV>
              <wp:extent cx="1424940" cy="779780"/>
              <wp:effectExtent l="0" t="0" r="3810" b="127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77978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B43122D" w14:textId="77777777" w:rsidR="00872CB9" w:rsidRPr="00DB011C"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571D452D" w14:textId="77777777" w:rsidR="00872CB9"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18F3C0DE" w14:textId="77777777" w:rsidR="00872CB9" w:rsidRDefault="00736158"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A7D4D">
                            <w:rPr>
                              <w:rFonts w:ascii="Calibri" w:hAnsi="Calibri"/>
                              <w:color w:val="62777F"/>
                              <w:sz w:val="14"/>
                              <w:szCs w:val="14"/>
                            </w:rPr>
                            <w:t>4306</w:t>
                          </w:r>
                        </w:p>
                        <w:p w14:paraId="5A3ABF3E" w14:textId="77777777" w:rsidR="00872CB9" w:rsidRDefault="00DA7D4D"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srourke</w:t>
                          </w:r>
                          <w:r w:rsidR="00872CB9">
                            <w:rPr>
                              <w:rFonts w:ascii="Calibri" w:hAnsi="Calibri"/>
                              <w:color w:val="62777F"/>
                              <w:sz w:val="14"/>
                              <w:szCs w:val="14"/>
                            </w:rPr>
                            <w:t>@iso-ne.com</w:t>
                          </w:r>
                        </w:p>
                        <w:p w14:paraId="1AC78903" w14:textId="77777777" w:rsidR="002A719C" w:rsidRPr="006D0DC6" w:rsidRDefault="002A719C" w:rsidP="006D0DC6">
                          <w:pPr>
                            <w:rPr>
                              <w:szCs w:val="14"/>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0C256" id="Text Box 9" o:spid="_x0000_s1027" type="#_x0000_t202" style="position:absolute;margin-left:-23.95pt;margin-top:710.5pt;width:112.2pt;height:6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" filled="f" stroked="f">
              <v:textbox inset="0,,0">
                <w:txbxContent>
                  <w:p w14:paraId="7B43122D" w14:textId="77777777" w:rsidR="00872CB9" w:rsidRPr="00DB011C"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571D452D" w14:textId="77777777" w:rsidR="00872CB9" w:rsidRDefault="00872CB9" w:rsidP="00872CB9">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18F3C0DE" w14:textId="77777777" w:rsidR="00872CB9" w:rsidRDefault="00736158"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A7D4D">
                      <w:rPr>
                        <w:rFonts w:ascii="Calibri" w:hAnsi="Calibri"/>
                        <w:color w:val="62777F"/>
                        <w:sz w:val="14"/>
                        <w:szCs w:val="14"/>
                      </w:rPr>
                      <w:t>4306</w:t>
                    </w:r>
                  </w:p>
                  <w:p w14:paraId="5A3ABF3E" w14:textId="77777777" w:rsidR="00872CB9" w:rsidRDefault="00DA7D4D" w:rsidP="00872CB9">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srourke</w:t>
                    </w:r>
                    <w:r w:rsidR="00872CB9">
                      <w:rPr>
                        <w:rFonts w:ascii="Calibri" w:hAnsi="Calibri"/>
                        <w:color w:val="62777F"/>
                        <w:sz w:val="14"/>
                        <w:szCs w:val="14"/>
                      </w:rPr>
                      <w:t>@iso-ne.com</w:t>
                    </w:r>
                  </w:p>
                  <w:p w14:paraId="1AC78903" w14:textId="77777777" w:rsidR="002A719C" w:rsidRPr="006D0DC6" w:rsidRDefault="002A719C" w:rsidP="006D0DC6">
                    <w:pPr>
                      <w:rPr>
                        <w:szCs w:val="14"/>
                      </w:rPr>
                    </w:pPr>
                  </w:p>
                </w:txbxContent>
              </v:textbox>
              <w10:wrap anchory="page"/>
            </v:shape>
          </w:pict>
        </mc:Fallback>
      </mc:AlternateContent>
    </w:r>
    <w:r>
      <w:rPr>
        <w:rFonts w:ascii="Calibri" w:hAnsi="Calibri"/>
        <w:b/>
        <w:bCs/>
        <w:noProof/>
        <w:color w:val="82A1AE"/>
        <w:sz w:val="14"/>
        <w:szCs w:val="14"/>
      </w:rPr>
      <mc:AlternateContent>
        <mc:Choice Requires="wps">
          <w:drawing>
            <wp:anchor distT="0" distB="0" distL="114300" distR="114300" simplePos="0" relativeHeight="251669504" behindDoc="0" locked="0" layoutInCell="1" allowOverlap="1" wp14:anchorId="168F00F3" wp14:editId="0724312A">
              <wp:simplePos x="0" y="0"/>
              <wp:positionH relativeFrom="margin">
                <wp:posOffset>1640205</wp:posOffset>
              </wp:positionH>
              <wp:positionV relativeFrom="page">
                <wp:posOffset>9217025</wp:posOffset>
              </wp:positionV>
              <wp:extent cx="2256790" cy="474980"/>
              <wp:effectExtent l="0" t="0" r="10160" b="12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790" cy="474980"/>
                      </a:xfrm>
                      <a:prstGeom prst="rect">
                        <a:avLst/>
                      </a:prstGeom>
                      <a:noFill/>
                      <a:ln>
                        <a:no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4DD977C" w14:textId="77777777" w:rsidR="008A7365" w:rsidRDefault="008A7365" w:rsidP="008A7365">
                          <w:pPr>
                            <w:pStyle w:val="Footer"/>
                            <w:jc w:val="center"/>
                            <w:rPr>
                              <w:rFonts w:ascii="Calibri" w:hAnsi="Calibri"/>
                              <w:b/>
                              <w:color w:val="82A1AE"/>
                              <w:sz w:val="14"/>
                              <w:szCs w:val="14"/>
                            </w:rPr>
                          </w:pPr>
                        </w:p>
                        <w:p w14:paraId="74096CF3" w14:textId="77777777" w:rsidR="008A7365" w:rsidRDefault="008A7365" w:rsidP="008A7365">
                          <w:pPr>
                            <w:pStyle w:val="Footer"/>
                            <w:jc w:val="center"/>
                            <w:rPr>
                              <w:rFonts w:ascii="Calibri" w:hAnsi="Calibri"/>
                              <w:b/>
                              <w:color w:val="82A1AE"/>
                              <w:sz w:val="14"/>
                              <w:szCs w:val="14"/>
                            </w:rPr>
                          </w:pPr>
                        </w:p>
                        <w:p w14:paraId="28A59EB0" w14:textId="77777777" w:rsidR="008A7365" w:rsidRPr="006275DE" w:rsidRDefault="006B073F" w:rsidP="006B073F">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Pr>
                              <w:rFonts w:ascii="Calibri" w:hAnsi="Calibri"/>
                              <w:b/>
                              <w:color w:val="62777F"/>
                              <w:sz w:val="14"/>
                              <w:szCs w:val="14"/>
                            </w:rPr>
                            <w:t>CONFIDENTIAL – MARKET-SENSITIVE INFORMATION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F00F3" id="Text Box 14" o:spid="_x0000_s1028" type="#_x0000_t202" style="position:absolute;margin-left:129.15pt;margin-top:725.75pt;width:177.7pt;height:37.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" filled="f" stroked="f">
              <v:textbox inset="0,,0">
                <w:txbxContent>
                  <w:p w14:paraId="74DD977C" w14:textId="77777777" w:rsidR="008A7365" w:rsidRDefault="008A7365" w:rsidP="008A7365">
                    <w:pPr>
                      <w:pStyle w:val="Footer"/>
                      <w:jc w:val="center"/>
                      <w:rPr>
                        <w:rFonts w:ascii="Calibri" w:hAnsi="Calibri"/>
                        <w:b/>
                        <w:color w:val="82A1AE"/>
                        <w:sz w:val="14"/>
                        <w:szCs w:val="14"/>
                      </w:rPr>
                    </w:pPr>
                  </w:p>
                  <w:p w14:paraId="74096CF3" w14:textId="77777777" w:rsidR="008A7365" w:rsidRDefault="008A7365" w:rsidP="008A7365">
                    <w:pPr>
                      <w:pStyle w:val="Footer"/>
                      <w:jc w:val="center"/>
                      <w:rPr>
                        <w:rFonts w:ascii="Calibri" w:hAnsi="Calibri"/>
                        <w:b/>
                        <w:color w:val="82A1AE"/>
                        <w:sz w:val="14"/>
                        <w:szCs w:val="14"/>
                      </w:rPr>
                    </w:pPr>
                  </w:p>
                  <w:p w14:paraId="28A59EB0" w14:textId="77777777" w:rsidR="008A7365" w:rsidRPr="006275DE" w:rsidRDefault="006B073F" w:rsidP="006B073F">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Pr>
                        <w:rFonts w:ascii="Calibri" w:hAnsi="Calibri"/>
                        <w:b/>
                        <w:color w:val="62777F"/>
                        <w:sz w:val="14"/>
                        <w:szCs w:val="14"/>
                      </w:rPr>
                      <w:t>CONFIDENTIAL – MARKET-SENSITIVE INFORMATION</w:t>
                    </w:r>
                  </w:p>
                </w:txbxContent>
              </v:textbox>
              <w10:wrap anchorx="margin" anchory="page"/>
            </v:shape>
          </w:pict>
        </mc:Fallback>
      </mc:AlternateContent>
    </w:r>
    <w:r w:rsidR="008A7365" w:rsidRPr="00640949">
      <w:rPr>
        <w:rFonts w:ascii="Calibri" w:hAnsi="Calibri"/>
        <w:b/>
        <w:bCs/>
        <w:color w:val="82A1AE"/>
        <w:sz w:val="14"/>
        <w:szCs w:val="14"/>
      </w:rPr>
      <w:br/>
    </w:r>
    <w:r w:rsidR="008A7365" w:rsidRPr="00640949">
      <w:rPr>
        <w:rFonts w:ascii="Calibri" w:hAnsi="Calibri"/>
        <w:b/>
        <w:bCs/>
        <w:color w:val="82A1AE"/>
        <w:sz w:val="14"/>
        <w:szCs w:val="14"/>
      </w:rPr>
      <w:br/>
    </w:r>
  </w:p>
  <w:p w14:paraId="5E134DA4" w14:textId="77777777" w:rsidR="0055329F" w:rsidRPr="008A7365" w:rsidRDefault="0055329F" w:rsidP="008A7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E2E1B" w14:textId="77777777" w:rsidR="008A7365" w:rsidRDefault="006B073F" w:rsidP="008A7365">
    <w:pPr>
      <w:pStyle w:val="Footer"/>
      <w:jc w:val="left"/>
      <w:rPr>
        <w:rFonts w:ascii="Calibri" w:hAnsi="Calibri"/>
        <w:color w:val="82A1AE"/>
        <w:sz w:val="14"/>
        <w:szCs w:val="14"/>
      </w:rPr>
    </w:pPr>
    <w:r>
      <w:rPr>
        <w:rFonts w:ascii="Calibri" w:hAnsi="Calibri"/>
        <w:b/>
        <w:bCs/>
        <w:noProof/>
        <w:color w:val="82A1AE"/>
        <w:sz w:val="14"/>
        <w:szCs w:val="14"/>
      </w:rPr>
      <mc:AlternateContent>
        <mc:Choice Requires="wps">
          <w:drawing>
            <wp:anchor distT="0" distB="0" distL="114300" distR="114300" simplePos="0" relativeHeight="251665408" behindDoc="0" locked="0" layoutInCell="1" allowOverlap="1" wp14:anchorId="7948ED72" wp14:editId="7DCA2818">
              <wp:simplePos x="0" y="0"/>
              <wp:positionH relativeFrom="margin">
                <wp:posOffset>1639957</wp:posOffset>
              </wp:positionH>
              <wp:positionV relativeFrom="page">
                <wp:posOffset>9215562</wp:posOffset>
              </wp:positionV>
              <wp:extent cx="2536466" cy="474980"/>
              <wp:effectExtent l="0" t="0" r="16510"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6466" cy="474980"/>
                      </a:xfrm>
                      <a:prstGeom prst="rect">
                        <a:avLst/>
                      </a:prstGeom>
                      <a:noFill/>
                      <a:ln>
                        <a:no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5C6747AF" w14:textId="77777777" w:rsidR="008A7365" w:rsidRDefault="008A7365" w:rsidP="008A7365">
                          <w:pPr>
                            <w:pStyle w:val="Footer"/>
                            <w:jc w:val="center"/>
                            <w:rPr>
                              <w:rFonts w:ascii="Calibri" w:hAnsi="Calibri"/>
                              <w:b/>
                              <w:color w:val="82A1AE"/>
                              <w:sz w:val="14"/>
                              <w:szCs w:val="14"/>
                            </w:rPr>
                          </w:pPr>
                        </w:p>
                        <w:p w14:paraId="0135E5C3" w14:textId="77777777" w:rsidR="008A7365" w:rsidRDefault="008A7365" w:rsidP="008A7365">
                          <w:pPr>
                            <w:pStyle w:val="Footer"/>
                            <w:jc w:val="center"/>
                            <w:rPr>
                              <w:rFonts w:ascii="Calibri" w:hAnsi="Calibri"/>
                              <w:b/>
                              <w:color w:val="82A1AE"/>
                              <w:sz w:val="14"/>
                              <w:szCs w:val="14"/>
                            </w:rPr>
                          </w:pPr>
                        </w:p>
                        <w:p w14:paraId="0BBC0D82" w14:textId="77777777" w:rsidR="008A7365" w:rsidRPr="006275DE" w:rsidRDefault="008A7365" w:rsidP="008A7365">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sidR="00D21DAC">
                            <w:rPr>
                              <w:rFonts w:ascii="Calibri" w:hAnsi="Calibri"/>
                              <w:b/>
                              <w:color w:val="62777F"/>
                              <w:sz w:val="14"/>
                              <w:szCs w:val="14"/>
                            </w:rPr>
                            <w:t>PUBLIC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48ED72" id="_x0000_t202" coordsize="21600,21600" o:spt="202" path="m,l,21600r21600,l21600,xe">
              <v:stroke joinstyle="miter"/>
              <v:path gradientshapeok="t" o:connecttype="rect"/>
            </v:shapetype>
            <v:shape id="Text Box 10" o:spid="_x0000_s1030" type="#_x0000_t202" style="position:absolute;margin-left:129.15pt;margin-top:725.65pt;width:199.7pt;height:37.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" filled="f" stroked="f">
              <v:textbox inset="0,,0">
                <w:txbxContent>
                  <w:p w14:paraId="5C6747AF" w14:textId="77777777" w:rsidR="008A7365" w:rsidRDefault="008A7365" w:rsidP="008A7365">
                    <w:pPr>
                      <w:pStyle w:val="Footer"/>
                      <w:jc w:val="center"/>
                      <w:rPr>
                        <w:rFonts w:ascii="Calibri" w:hAnsi="Calibri"/>
                        <w:b/>
                        <w:color w:val="82A1AE"/>
                        <w:sz w:val="14"/>
                        <w:szCs w:val="14"/>
                      </w:rPr>
                    </w:pPr>
                  </w:p>
                  <w:p w14:paraId="0135E5C3" w14:textId="77777777" w:rsidR="008A7365" w:rsidRDefault="008A7365" w:rsidP="008A7365">
                    <w:pPr>
                      <w:pStyle w:val="Footer"/>
                      <w:jc w:val="center"/>
                      <w:rPr>
                        <w:rFonts w:ascii="Calibri" w:hAnsi="Calibri"/>
                        <w:b/>
                        <w:color w:val="82A1AE"/>
                        <w:sz w:val="14"/>
                        <w:szCs w:val="14"/>
                      </w:rPr>
                    </w:pPr>
                  </w:p>
                  <w:p w14:paraId="0BBC0D82" w14:textId="77777777" w:rsidR="008A7365" w:rsidRPr="006275DE" w:rsidRDefault="008A7365" w:rsidP="008A7365">
                    <w:pPr>
                      <w:pStyle w:val="Footer"/>
                      <w:jc w:val="center"/>
                      <w:rPr>
                        <w:rFonts w:ascii="Calibri" w:hAnsi="Calibri"/>
                        <w:b/>
                        <w:color w:val="62777F"/>
                        <w:sz w:val="14"/>
                        <w:szCs w:val="14"/>
                      </w:rPr>
                    </w:pPr>
                    <w:r w:rsidRPr="006275DE">
                      <w:rPr>
                        <w:rFonts w:ascii="Calibri" w:hAnsi="Calibri"/>
                        <w:b/>
                        <w:color w:val="62777F"/>
                        <w:sz w:val="14"/>
                        <w:szCs w:val="14"/>
                      </w:rPr>
                      <w:t xml:space="preserve">ISO-NE </w:t>
                    </w:r>
                    <w:r w:rsidR="00D21DAC">
                      <w:rPr>
                        <w:rFonts w:ascii="Calibri" w:hAnsi="Calibri"/>
                        <w:b/>
                        <w:color w:val="62777F"/>
                        <w:sz w:val="14"/>
                        <w:szCs w:val="14"/>
                      </w:rPr>
                      <w:t>PUBLIC</w:t>
                    </w:r>
                  </w:p>
                </w:txbxContent>
              </v:textbox>
              <w10:wrap anchorx="margin" anchory="page"/>
            </v:shape>
          </w:pict>
        </mc:Fallback>
      </mc:AlternateContent>
    </w:r>
    <w:r w:rsidR="00835E93">
      <w:rPr>
        <w:rFonts w:ascii="Calibri" w:hAnsi="Calibri"/>
        <w:b/>
        <w:bCs/>
        <w:noProof/>
        <w:color w:val="82A1AE"/>
        <w:sz w:val="14"/>
        <w:szCs w:val="14"/>
      </w:rPr>
      <mc:AlternateContent>
        <mc:Choice Requires="wps">
          <w:drawing>
            <wp:anchor distT="0" distB="0" distL="114300" distR="114300" simplePos="0" relativeHeight="251663360" behindDoc="0" locked="0" layoutInCell="1" allowOverlap="1" wp14:anchorId="4F712052" wp14:editId="41F1D084">
              <wp:simplePos x="0" y="0"/>
              <wp:positionH relativeFrom="column">
                <wp:posOffset>4572000</wp:posOffset>
              </wp:positionH>
              <wp:positionV relativeFrom="page">
                <wp:posOffset>9048750</wp:posOffset>
              </wp:positionV>
              <wp:extent cx="1306195" cy="710565"/>
              <wp:effectExtent l="0" t="0" r="825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71056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E92230A"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47573782"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77F9603F"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34EE51EA"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35C94FC1"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07057F7A" w14:textId="77777777" w:rsidR="00F77A41" w:rsidRPr="00DB011C" w:rsidRDefault="00F77A41" w:rsidP="00F77A41">
                          <w:pPr>
                            <w:spacing w:line="160" w:lineRule="atLeast"/>
                            <w:jc w:val="right"/>
                            <w:rPr>
                              <w:color w:val="62777F"/>
                            </w:rPr>
                          </w:pPr>
                        </w:p>
                        <w:p w14:paraId="78F80F0F" w14:textId="77777777" w:rsidR="008A7365" w:rsidRPr="00F77A41" w:rsidRDefault="008A7365" w:rsidP="00F77A41"/>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12052" id="_x0000_s1031" type="#_x0000_t202" style="position:absolute;margin-left:5in;margin-top:712.5pt;width:102.85pt;height:5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" filled="f" stroked="f">
              <v:textbox inset="0,,0">
                <w:txbxContent>
                  <w:p w14:paraId="7E92230A" w14:textId="77777777" w:rsidR="00F77A41" w:rsidRPr="00DB011C" w:rsidRDefault="00F77A41" w:rsidP="00F77A41">
                    <w:pPr>
                      <w:spacing w:line="160" w:lineRule="atLeast"/>
                      <w:jc w:val="right"/>
                      <w:rPr>
                        <w:rFonts w:ascii="Calibri" w:hAnsi="Calibri"/>
                        <w:b/>
                        <w:color w:val="62777F"/>
                        <w:sz w:val="14"/>
                        <w:szCs w:val="14"/>
                      </w:rPr>
                    </w:pPr>
                    <w:r w:rsidRPr="00DB011C">
                      <w:rPr>
                        <w:rFonts w:ascii="Calibri" w:hAnsi="Calibri"/>
                        <w:b/>
                        <w:color w:val="62777F"/>
                        <w:sz w:val="14"/>
                        <w:szCs w:val="14"/>
                      </w:rPr>
                      <w:t xml:space="preserve">iso-ne.com  </w:t>
                    </w:r>
                  </w:p>
                  <w:p w14:paraId="47573782"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isonewswire.com</w:t>
                    </w:r>
                  </w:p>
                  <w:p w14:paraId="77F9603F" w14:textId="77777777" w:rsidR="00F77A41" w:rsidRDefault="00F77A41" w:rsidP="00F77A41">
                    <w:pPr>
                      <w:spacing w:line="160" w:lineRule="atLeast"/>
                      <w:jc w:val="right"/>
                      <w:rPr>
                        <w:rFonts w:ascii="Calibri" w:hAnsi="Calibri"/>
                        <w:bCs/>
                        <w:color w:val="62777F"/>
                        <w:sz w:val="14"/>
                        <w:szCs w:val="14"/>
                      </w:rPr>
                    </w:pPr>
                    <w:r w:rsidRPr="00010F66">
                      <w:rPr>
                        <w:rFonts w:ascii="Calibri" w:hAnsi="Calibri"/>
                        <w:bCs/>
                        <w:color w:val="62777F"/>
                        <w:sz w:val="14"/>
                        <w:szCs w:val="14"/>
                      </w:rPr>
                      <w:t>@</w:t>
                    </w:r>
                    <w:proofErr w:type="spellStart"/>
                    <w:r w:rsidRPr="00010F66">
                      <w:rPr>
                        <w:rFonts w:ascii="Calibri" w:hAnsi="Calibri"/>
                        <w:bCs/>
                        <w:color w:val="62777F"/>
                        <w:sz w:val="14"/>
                        <w:szCs w:val="14"/>
                      </w:rPr>
                      <w:t>isonewengland</w:t>
                    </w:r>
                    <w:proofErr w:type="spellEnd"/>
                  </w:p>
                  <w:p w14:paraId="34EE51EA" w14:textId="77777777" w:rsidR="00F77A41" w:rsidRDefault="00F77A41" w:rsidP="00F77A41">
                    <w:pPr>
                      <w:spacing w:line="160" w:lineRule="atLeast"/>
                      <w:jc w:val="right"/>
                      <w:rPr>
                        <w:rFonts w:ascii="Calibri" w:hAnsi="Calibri"/>
                        <w:bCs/>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isotogo</w:t>
                    </w:r>
                    <w:proofErr w:type="spellEnd"/>
                  </w:p>
                  <w:p w14:paraId="35C94FC1" w14:textId="77777777" w:rsidR="00F77A41" w:rsidRPr="00010F66" w:rsidRDefault="00F77A41" w:rsidP="00F77A41">
                    <w:pPr>
                      <w:spacing w:line="160" w:lineRule="atLeast"/>
                      <w:jc w:val="right"/>
                      <w:rPr>
                        <w:rFonts w:ascii="Calibri" w:hAnsi="Calibri"/>
                        <w:color w:val="62777F"/>
                        <w:sz w:val="14"/>
                        <w:szCs w:val="14"/>
                      </w:rPr>
                    </w:pPr>
                    <w:r>
                      <w:rPr>
                        <w:rFonts w:ascii="Calibri" w:hAnsi="Calibri"/>
                        <w:bCs/>
                        <w:color w:val="62777F"/>
                        <w:sz w:val="14"/>
                        <w:szCs w:val="14"/>
                      </w:rPr>
                      <w:t>iso-ne.com/</w:t>
                    </w:r>
                    <w:proofErr w:type="spellStart"/>
                    <w:r>
                      <w:rPr>
                        <w:rFonts w:ascii="Calibri" w:hAnsi="Calibri"/>
                        <w:bCs/>
                        <w:color w:val="62777F"/>
                        <w:sz w:val="14"/>
                        <w:szCs w:val="14"/>
                      </w:rPr>
                      <w:t>isoexpress</w:t>
                    </w:r>
                    <w:proofErr w:type="spellEnd"/>
                    <w:r w:rsidRPr="00010F66">
                      <w:rPr>
                        <w:rFonts w:ascii="Calibri" w:hAnsi="Calibri"/>
                        <w:color w:val="62777F"/>
                        <w:sz w:val="14"/>
                        <w:szCs w:val="14"/>
                      </w:rPr>
                      <w:t xml:space="preserve">  </w:t>
                    </w:r>
                  </w:p>
                  <w:p w14:paraId="07057F7A" w14:textId="77777777" w:rsidR="00F77A41" w:rsidRPr="00DB011C" w:rsidRDefault="00F77A41" w:rsidP="00F77A41">
                    <w:pPr>
                      <w:spacing w:line="160" w:lineRule="atLeast"/>
                      <w:jc w:val="right"/>
                      <w:rPr>
                        <w:color w:val="62777F"/>
                      </w:rPr>
                    </w:pPr>
                  </w:p>
                  <w:p w14:paraId="78F80F0F" w14:textId="77777777" w:rsidR="008A7365" w:rsidRPr="00F77A41" w:rsidRDefault="008A7365" w:rsidP="00F77A41"/>
                </w:txbxContent>
              </v:textbox>
              <w10:wrap anchory="page"/>
            </v:shape>
          </w:pict>
        </mc:Fallback>
      </mc:AlternateContent>
    </w:r>
    <w:r w:rsidR="00835E93">
      <w:rPr>
        <w:rFonts w:ascii="Calibri" w:hAnsi="Calibri"/>
        <w:b/>
        <w:bCs/>
        <w:noProof/>
        <w:color w:val="82A1AE"/>
        <w:sz w:val="14"/>
        <w:szCs w:val="14"/>
      </w:rPr>
      <mc:AlternateContent>
        <mc:Choice Requires="wps">
          <w:drawing>
            <wp:anchor distT="0" distB="0" distL="114300" distR="114300" simplePos="0" relativeHeight="251664384" behindDoc="0" locked="0" layoutInCell="1" allowOverlap="1" wp14:anchorId="74D932EA" wp14:editId="4B83287A">
              <wp:simplePos x="0" y="0"/>
              <wp:positionH relativeFrom="column">
                <wp:posOffset>-456565</wp:posOffset>
              </wp:positionH>
              <wp:positionV relativeFrom="page">
                <wp:posOffset>9039860</wp:posOffset>
              </wp:positionV>
              <wp:extent cx="1424940" cy="719455"/>
              <wp:effectExtent l="0" t="0" r="3810" b="444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71945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7FD27A01" w14:textId="77777777" w:rsidR="00203BF7" w:rsidRPr="00DB011C"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489F6B01" w14:textId="77777777" w:rsidR="00203BF7"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26D8DBE8" w14:textId="77777777" w:rsidR="00203BF7" w:rsidRDefault="00736158"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21DAC">
                            <w:rPr>
                              <w:rFonts w:ascii="Calibri" w:hAnsi="Calibri"/>
                              <w:color w:val="62777F"/>
                              <w:sz w:val="14"/>
                              <w:szCs w:val="14"/>
                            </w:rPr>
                            <w:t>4166</w:t>
                          </w:r>
                        </w:p>
                        <w:p w14:paraId="68792540" w14:textId="77777777" w:rsidR="00203BF7" w:rsidRDefault="00D21DAC"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mhenderson</w:t>
                          </w:r>
                          <w:r w:rsidR="00203BF7">
                            <w:rPr>
                              <w:rFonts w:ascii="Calibri" w:hAnsi="Calibri"/>
                              <w:color w:val="62777F"/>
                              <w:sz w:val="14"/>
                              <w:szCs w:val="14"/>
                            </w:rPr>
                            <w:t>@iso-ne.com</w:t>
                          </w:r>
                        </w:p>
                        <w:p w14:paraId="0A96FD84" w14:textId="77777777" w:rsidR="008A7365" w:rsidRPr="00203BF7" w:rsidRDefault="008A7365" w:rsidP="00203BF7">
                          <w:pPr>
                            <w:rPr>
                              <w:szCs w:val="14"/>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932EA" id="_x0000_s1032" type="#_x0000_t202" style="position:absolute;margin-left:-35.95pt;margin-top:711.8pt;width:112.2pt;height:5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" filled="f" stroked="f">
              <v:textbox inset="0,,0">
                <w:txbxContent>
                  <w:p w14:paraId="7FD27A01" w14:textId="77777777" w:rsidR="00203BF7" w:rsidRPr="00DB011C"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14:paraId="489F6B01" w14:textId="77777777" w:rsidR="00203BF7" w:rsidRDefault="00203BF7" w:rsidP="00203BF7">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14:paraId="26D8DBE8" w14:textId="77777777" w:rsidR="00203BF7" w:rsidRDefault="00736158"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w:t>
                    </w:r>
                    <w:r w:rsidR="00DA7D4D">
                      <w:rPr>
                        <w:rFonts w:ascii="Calibri" w:hAnsi="Calibri"/>
                        <w:color w:val="62777F"/>
                        <w:sz w:val="14"/>
                        <w:szCs w:val="14"/>
                      </w:rPr>
                      <w:t>35</w:t>
                    </w:r>
                    <w:r>
                      <w:rPr>
                        <w:rFonts w:ascii="Calibri" w:hAnsi="Calibri"/>
                        <w:color w:val="62777F"/>
                        <w:sz w:val="14"/>
                        <w:szCs w:val="14"/>
                      </w:rPr>
                      <w:t>-</w:t>
                    </w:r>
                    <w:r w:rsidR="00D21DAC">
                      <w:rPr>
                        <w:rFonts w:ascii="Calibri" w:hAnsi="Calibri"/>
                        <w:color w:val="62777F"/>
                        <w:sz w:val="14"/>
                        <w:szCs w:val="14"/>
                      </w:rPr>
                      <w:t>4166</w:t>
                    </w:r>
                  </w:p>
                  <w:p w14:paraId="68792540" w14:textId="77777777" w:rsidR="00203BF7" w:rsidRDefault="00D21DAC" w:rsidP="00203BF7">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mhenderson</w:t>
                    </w:r>
                    <w:r w:rsidR="00203BF7">
                      <w:rPr>
                        <w:rFonts w:ascii="Calibri" w:hAnsi="Calibri"/>
                        <w:color w:val="62777F"/>
                        <w:sz w:val="14"/>
                        <w:szCs w:val="14"/>
                      </w:rPr>
                      <w:t>@iso-ne.com</w:t>
                    </w:r>
                  </w:p>
                  <w:p w14:paraId="0A96FD84" w14:textId="77777777" w:rsidR="008A7365" w:rsidRPr="00203BF7" w:rsidRDefault="008A7365" w:rsidP="00203BF7">
                    <w:pPr>
                      <w:rPr>
                        <w:szCs w:val="14"/>
                      </w:rPr>
                    </w:pPr>
                  </w:p>
                </w:txbxContent>
              </v:textbox>
              <w10:wrap anchory="page"/>
            </v:shape>
          </w:pict>
        </mc:Fallback>
      </mc:AlternateContent>
    </w:r>
    <w:r w:rsidR="008A7365" w:rsidRPr="00640949">
      <w:rPr>
        <w:rFonts w:ascii="Calibri" w:hAnsi="Calibri"/>
        <w:b/>
        <w:bCs/>
        <w:color w:val="82A1AE"/>
        <w:sz w:val="14"/>
        <w:szCs w:val="14"/>
      </w:rPr>
      <w:br/>
    </w:r>
    <w:r w:rsidR="008A7365" w:rsidRPr="00640949">
      <w:rPr>
        <w:rFonts w:ascii="Calibri" w:hAnsi="Calibri"/>
        <w:b/>
        <w:bCs/>
        <w:color w:val="82A1AE"/>
        <w:sz w:val="14"/>
        <w:szCs w:val="14"/>
      </w:rPr>
      <w:br/>
    </w:r>
  </w:p>
  <w:p w14:paraId="1F0B882B" w14:textId="77777777" w:rsidR="0055329F" w:rsidRPr="008A7365" w:rsidRDefault="0055329F" w:rsidP="008A73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1C4A4" w14:textId="77777777" w:rsidR="009A175B" w:rsidRPr="007427DA" w:rsidRDefault="009A175B" w:rsidP="007427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E4E53" w14:textId="77777777" w:rsidR="009A175B" w:rsidRPr="008D074F" w:rsidRDefault="009A175B" w:rsidP="008D074F">
    <w:pPr>
      <w:pStyle w:val="Footer"/>
      <w:jc w:val="center"/>
      <w:rPr>
        <w:sz w:val="18"/>
      </w:rPr>
    </w:pPr>
    <w:r w:rsidRPr="008D074F">
      <w:rPr>
        <w:sz w:val="18"/>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03D83" w14:textId="77777777" w:rsidR="004928F1" w:rsidRDefault="004928F1">
      <w:r>
        <w:separator/>
      </w:r>
    </w:p>
  </w:footnote>
  <w:footnote w:type="continuationSeparator" w:id="0">
    <w:p w14:paraId="608AABC6" w14:textId="77777777" w:rsidR="004928F1" w:rsidRDefault="00492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C0CA8" w14:textId="1651ED44" w:rsidR="0055329F" w:rsidRDefault="0055329F">
    <w:pPr>
      <w:pStyle w:val="Header"/>
    </w:pPr>
    <w:r>
      <w:sym w:font="Wingdings" w:char="F06C"/>
    </w:r>
    <w:r>
      <w:t xml:space="preserve">  Page </w:t>
    </w:r>
    <w:r w:rsidR="0036658D">
      <w:fldChar w:fldCharType="begin"/>
    </w:r>
    <w:r>
      <w:instrText xml:space="preserve"> PAGE \* Arabic \* MERGEFORMAT </w:instrText>
    </w:r>
    <w:r w:rsidR="0036658D">
      <w:fldChar w:fldCharType="separate"/>
    </w:r>
    <w:r>
      <w:rPr>
        <w:noProof/>
      </w:rPr>
      <w:t>2</w:t>
    </w:r>
    <w:r w:rsidR="0036658D">
      <w:rPr>
        <w:noProof/>
      </w:rPr>
      <w:fldChar w:fldCharType="end"/>
    </w:r>
    <w:r>
      <w:tab/>
    </w:r>
    <w:r>
      <w:tab/>
    </w:r>
    <w:r w:rsidR="0036658D">
      <w:fldChar w:fldCharType="begin"/>
    </w:r>
    <w:r>
      <w:instrText xml:space="preserve"> TIME \@ "MMMM d, yyyy" </w:instrText>
    </w:r>
    <w:r w:rsidR="0036658D">
      <w:fldChar w:fldCharType="separate"/>
    </w:r>
    <w:r w:rsidR="00AA5AE4">
      <w:rPr>
        <w:noProof/>
      </w:rPr>
      <w:t>July 23, 2019</w:t>
    </w:r>
    <w:r w:rsidR="0036658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26BC" w14:textId="77777777" w:rsidR="0055329F" w:rsidRDefault="0055329F">
    <w:pPr>
      <w:pStyle w:val="Header"/>
    </w:pPr>
  </w:p>
  <w:p w14:paraId="6B36C05A" w14:textId="77777777" w:rsidR="0055329F" w:rsidRDefault="0055329F">
    <w:pPr>
      <w:pStyle w:val="Header"/>
    </w:pPr>
  </w:p>
  <w:p w14:paraId="2E7E3688" w14:textId="77777777" w:rsidR="0055329F" w:rsidRDefault="0055329F">
    <w:pPr>
      <w:pStyle w:val="Header"/>
    </w:pPr>
  </w:p>
  <w:p w14:paraId="3AFEC05F" w14:textId="77777777" w:rsidR="0055329F" w:rsidRDefault="0055329F">
    <w:pPr>
      <w:pStyle w:val="Header"/>
    </w:pPr>
  </w:p>
  <w:p w14:paraId="5A26C27E" w14:textId="77777777" w:rsidR="0055329F" w:rsidRDefault="0055329F">
    <w:pPr>
      <w:pStyle w:val="Header"/>
    </w:pPr>
  </w:p>
  <w:p w14:paraId="1C004EA4" w14:textId="77777777" w:rsidR="0055329F" w:rsidRDefault="0055329F">
    <w:pPr>
      <w:pStyle w:val="Header"/>
    </w:pPr>
  </w:p>
  <w:p w14:paraId="52D5AE83" w14:textId="77777777" w:rsidR="0055329F" w:rsidRDefault="008A7365">
    <w:pPr>
      <w:pStyle w:val="Header"/>
    </w:pPr>
    <w:r>
      <w:rPr>
        <w:noProof/>
      </w:rPr>
      <w:drawing>
        <wp:anchor distT="0" distB="0" distL="114300" distR="114300" simplePos="0" relativeHeight="251661312" behindDoc="0" locked="0" layoutInCell="1" allowOverlap="1" wp14:anchorId="127EC54B" wp14:editId="24638818">
          <wp:simplePos x="0" y="0"/>
          <wp:positionH relativeFrom="column">
            <wp:posOffset>-454660</wp:posOffset>
          </wp:positionH>
          <wp:positionV relativeFrom="paragraph">
            <wp:posOffset>66675</wp:posOffset>
          </wp:positionV>
          <wp:extent cx="1607820" cy="8191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so_rgb_logoforltrh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07820" cy="819150"/>
                  </a:xfrm>
                  <a:prstGeom prst="rect">
                    <a:avLst/>
                  </a:prstGeom>
                  <a:noFill/>
                  <a:ln w="9525">
                    <a:noFill/>
                    <a:miter lim="800000"/>
                    <a:headEnd/>
                    <a:tailEnd/>
                  </a:ln>
                </pic:spPr>
              </pic:pic>
            </a:graphicData>
          </a:graphic>
        </wp:anchor>
      </w:drawing>
    </w:r>
  </w:p>
  <w:p w14:paraId="6A94B59F" w14:textId="77777777" w:rsidR="0055329F" w:rsidRDefault="0055329F">
    <w:pPr>
      <w:pStyle w:val="Header"/>
    </w:pPr>
  </w:p>
  <w:p w14:paraId="66089363" w14:textId="77777777" w:rsidR="0055329F" w:rsidRDefault="00835E93">
    <w:pPr>
      <w:pStyle w:val="Header"/>
    </w:pPr>
    <w:r>
      <w:rPr>
        <w:noProof/>
      </w:rPr>
      <mc:AlternateContent>
        <mc:Choice Requires="wps">
          <w:drawing>
            <wp:anchor distT="0" distB="0" distL="114300" distR="114300" simplePos="0" relativeHeight="251659264" behindDoc="0" locked="0" layoutInCell="1" allowOverlap="1" wp14:anchorId="1968BCE4" wp14:editId="622324D5">
              <wp:simplePos x="0" y="0"/>
              <wp:positionH relativeFrom="column">
                <wp:posOffset>4572000</wp:posOffset>
              </wp:positionH>
              <wp:positionV relativeFrom="paragraph">
                <wp:posOffset>93345</wp:posOffset>
              </wp:positionV>
              <wp:extent cx="1306195" cy="474980"/>
              <wp:effectExtent l="0" t="0" r="825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47498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5BF9EDB0" w14:textId="77777777" w:rsidR="0055329F" w:rsidRPr="006275DE" w:rsidRDefault="0055329F" w:rsidP="0055329F">
                          <w:pPr>
                            <w:pStyle w:val="Header"/>
                            <w:jc w:val="right"/>
                            <w:rPr>
                              <w:rFonts w:ascii="Calibri" w:hAnsi="Calibri"/>
                              <w:b/>
                              <w:bCs/>
                              <w:color w:val="62777F"/>
                              <w:sz w:val="28"/>
                              <w:szCs w:val="28"/>
                            </w:rPr>
                          </w:pPr>
                          <w:r w:rsidRPr="006275DE">
                            <w:rPr>
                              <w:rFonts w:ascii="Calibri" w:hAnsi="Calibri"/>
                              <w:b/>
                              <w:bCs/>
                              <w:color w:val="62777F"/>
                              <w:sz w:val="28"/>
                              <w:szCs w:val="28"/>
                            </w:rPr>
                            <w:t>memo</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968BCE4" id="_x0000_t202" coordsize="21600,21600" o:spt="202" path="m,l,21600r21600,l21600,xe">
              <v:stroke joinstyle="miter"/>
              <v:path gradientshapeok="t" o:connecttype="rect"/>
            </v:shapetype>
            <v:shape id="Text Box 2" o:spid="_x0000_s1029" type="#_x0000_t202" style="position:absolute;left:0;text-align:left;margin-left:5in;margin-top:7.35pt;width:102.85pt;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" filled="f" stroked="f">
              <v:textbox inset="0,,0">
                <w:txbxContent>
                  <w:p w14:paraId="5BF9EDB0" w14:textId="77777777" w:rsidR="0055329F" w:rsidRPr="006275DE" w:rsidRDefault="0055329F" w:rsidP="0055329F">
                    <w:pPr>
                      <w:pStyle w:val="Header"/>
                      <w:jc w:val="right"/>
                      <w:rPr>
                        <w:rFonts w:ascii="Calibri" w:hAnsi="Calibri"/>
                        <w:b/>
                        <w:bCs/>
                        <w:color w:val="62777F"/>
                        <w:sz w:val="28"/>
                        <w:szCs w:val="28"/>
                      </w:rPr>
                    </w:pPr>
                    <w:r w:rsidRPr="006275DE">
                      <w:rPr>
                        <w:rFonts w:ascii="Calibri" w:hAnsi="Calibri"/>
                        <w:b/>
                        <w:bCs/>
                        <w:color w:val="62777F"/>
                        <w:sz w:val="28"/>
                        <w:szCs w:val="28"/>
                      </w:rPr>
                      <w:t>memo</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36F48" w14:textId="77777777" w:rsidR="009A175B" w:rsidRDefault="009A175B" w:rsidP="00F40BEF">
    <w:pPr>
      <w:pStyle w:val="Header"/>
      <w:spacing w:line="240" w:lineRule="atLeast"/>
      <w:jc w:val="left"/>
      <w:rPr>
        <w:rStyle w:val="PageNumber"/>
        <w:rFonts w:ascii="Calibri" w:hAnsi="Calibri"/>
        <w:color w:val="62777F"/>
        <w:szCs w:val="18"/>
      </w:rPr>
    </w:pPr>
  </w:p>
  <w:p w14:paraId="0A610203" w14:textId="77777777" w:rsidR="009A175B" w:rsidRPr="006275DE" w:rsidRDefault="009A175B" w:rsidP="00F40BEF">
    <w:pPr>
      <w:pStyle w:val="Header"/>
      <w:spacing w:line="240" w:lineRule="atLeast"/>
      <w:jc w:val="left"/>
      <w:rPr>
        <w:rStyle w:val="PageNumber"/>
        <w:rFonts w:ascii="Calibri" w:hAnsi="Calibri"/>
        <w:color w:val="3A4B54"/>
        <w:sz w:val="18"/>
        <w:szCs w:val="18"/>
      </w:rPr>
    </w:pPr>
  </w:p>
  <w:p w14:paraId="4696F34C" w14:textId="77777777" w:rsidR="009A175B" w:rsidRPr="006275DE" w:rsidRDefault="009A175B" w:rsidP="00F40BEF">
    <w:pPr>
      <w:pStyle w:val="Header"/>
      <w:spacing w:line="240" w:lineRule="atLeast"/>
      <w:jc w:val="left"/>
      <w:rPr>
        <w:rFonts w:ascii="Calibri" w:hAnsi="Calibri"/>
        <w:color w:val="3A4B54"/>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85463" w14:textId="77777777" w:rsidR="009A175B" w:rsidRDefault="009A175B">
    <w:pPr>
      <w:pStyle w:val="Header"/>
      <w:jc w:val="right"/>
      <w:rPr>
        <w:b/>
        <w:bCs/>
        <w:color w:val="11479D"/>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86971"/>
    <w:multiLevelType w:val="hybridMultilevel"/>
    <w:tmpl w:val="8656100A"/>
    <w:lvl w:ilvl="0" w:tplc="C486C524">
      <w:start w:val="1"/>
      <w:numFmt w:val="bullet"/>
      <w:lvlText w:val=""/>
      <w:lvlJc w:val="left"/>
      <w:pPr>
        <w:ind w:left="1440" w:hanging="360"/>
      </w:pPr>
      <w:rPr>
        <w:rFonts w:ascii="Symbol" w:hAnsi="Symbol" w:hint="default"/>
      </w:rPr>
    </w:lvl>
    <w:lvl w:ilvl="1" w:tplc="10E44E48">
      <w:start w:val="1"/>
      <w:numFmt w:val="bullet"/>
      <w:lvlText w:val="-"/>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D25FA8"/>
    <w:multiLevelType w:val="hybridMultilevel"/>
    <w:tmpl w:val="1C4CEAA6"/>
    <w:lvl w:ilvl="0" w:tplc="99FCD69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7A2D54"/>
    <w:multiLevelType w:val="hybridMultilevel"/>
    <w:tmpl w:val="AF282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4" w15:restartNumberingAfterBreak="0">
    <w:nsid w:val="33882239"/>
    <w:multiLevelType w:val="hybridMultilevel"/>
    <w:tmpl w:val="3A28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580B63"/>
    <w:multiLevelType w:val="hybridMultilevel"/>
    <w:tmpl w:val="304C3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5E5EB0"/>
    <w:multiLevelType w:val="hybridMultilevel"/>
    <w:tmpl w:val="8F2865C8"/>
    <w:lvl w:ilvl="0" w:tplc="34AE7CB0">
      <w:start w:val="1"/>
      <w:numFmt w:val="bullet"/>
      <w:lvlText w:val="•"/>
      <w:lvlJc w:val="left"/>
      <w:pPr>
        <w:tabs>
          <w:tab w:val="num" w:pos="720"/>
        </w:tabs>
        <w:ind w:left="720" w:hanging="360"/>
      </w:pPr>
      <w:rPr>
        <w:rFonts w:ascii="Arial" w:hAnsi="Arial" w:hint="default"/>
      </w:rPr>
    </w:lvl>
    <w:lvl w:ilvl="1" w:tplc="EF60C318">
      <w:start w:val="1534"/>
      <w:numFmt w:val="bullet"/>
      <w:lvlText w:val="–"/>
      <w:lvlJc w:val="left"/>
      <w:pPr>
        <w:tabs>
          <w:tab w:val="num" w:pos="1440"/>
        </w:tabs>
        <w:ind w:left="1440" w:hanging="360"/>
      </w:pPr>
      <w:rPr>
        <w:rFonts w:ascii="Arial" w:hAnsi="Arial" w:hint="default"/>
      </w:rPr>
    </w:lvl>
    <w:lvl w:ilvl="2" w:tplc="1AD82F5A" w:tentative="1">
      <w:start w:val="1"/>
      <w:numFmt w:val="bullet"/>
      <w:lvlText w:val="•"/>
      <w:lvlJc w:val="left"/>
      <w:pPr>
        <w:tabs>
          <w:tab w:val="num" w:pos="2160"/>
        </w:tabs>
        <w:ind w:left="2160" w:hanging="360"/>
      </w:pPr>
      <w:rPr>
        <w:rFonts w:ascii="Arial" w:hAnsi="Arial" w:hint="default"/>
      </w:rPr>
    </w:lvl>
    <w:lvl w:ilvl="3" w:tplc="D9DC69E4" w:tentative="1">
      <w:start w:val="1"/>
      <w:numFmt w:val="bullet"/>
      <w:lvlText w:val="•"/>
      <w:lvlJc w:val="left"/>
      <w:pPr>
        <w:tabs>
          <w:tab w:val="num" w:pos="2880"/>
        </w:tabs>
        <w:ind w:left="2880" w:hanging="360"/>
      </w:pPr>
      <w:rPr>
        <w:rFonts w:ascii="Arial" w:hAnsi="Arial" w:hint="default"/>
      </w:rPr>
    </w:lvl>
    <w:lvl w:ilvl="4" w:tplc="CE40111A" w:tentative="1">
      <w:start w:val="1"/>
      <w:numFmt w:val="bullet"/>
      <w:lvlText w:val="•"/>
      <w:lvlJc w:val="left"/>
      <w:pPr>
        <w:tabs>
          <w:tab w:val="num" w:pos="3600"/>
        </w:tabs>
        <w:ind w:left="3600" w:hanging="360"/>
      </w:pPr>
      <w:rPr>
        <w:rFonts w:ascii="Arial" w:hAnsi="Arial" w:hint="default"/>
      </w:rPr>
    </w:lvl>
    <w:lvl w:ilvl="5" w:tplc="63CE3962" w:tentative="1">
      <w:start w:val="1"/>
      <w:numFmt w:val="bullet"/>
      <w:lvlText w:val="•"/>
      <w:lvlJc w:val="left"/>
      <w:pPr>
        <w:tabs>
          <w:tab w:val="num" w:pos="4320"/>
        </w:tabs>
        <w:ind w:left="4320" w:hanging="360"/>
      </w:pPr>
      <w:rPr>
        <w:rFonts w:ascii="Arial" w:hAnsi="Arial" w:hint="default"/>
      </w:rPr>
    </w:lvl>
    <w:lvl w:ilvl="6" w:tplc="EE8892C8" w:tentative="1">
      <w:start w:val="1"/>
      <w:numFmt w:val="bullet"/>
      <w:lvlText w:val="•"/>
      <w:lvlJc w:val="left"/>
      <w:pPr>
        <w:tabs>
          <w:tab w:val="num" w:pos="5040"/>
        </w:tabs>
        <w:ind w:left="5040" w:hanging="360"/>
      </w:pPr>
      <w:rPr>
        <w:rFonts w:ascii="Arial" w:hAnsi="Arial" w:hint="default"/>
      </w:rPr>
    </w:lvl>
    <w:lvl w:ilvl="7" w:tplc="807CA114" w:tentative="1">
      <w:start w:val="1"/>
      <w:numFmt w:val="bullet"/>
      <w:lvlText w:val="•"/>
      <w:lvlJc w:val="left"/>
      <w:pPr>
        <w:tabs>
          <w:tab w:val="num" w:pos="5760"/>
        </w:tabs>
        <w:ind w:left="5760" w:hanging="360"/>
      </w:pPr>
      <w:rPr>
        <w:rFonts w:ascii="Arial" w:hAnsi="Arial" w:hint="default"/>
      </w:rPr>
    </w:lvl>
    <w:lvl w:ilvl="8" w:tplc="176279B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7BD2479"/>
    <w:multiLevelType w:val="hybridMultilevel"/>
    <w:tmpl w:val="88EC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1638CD"/>
    <w:multiLevelType w:val="hybridMultilevel"/>
    <w:tmpl w:val="86481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944F7E"/>
    <w:multiLevelType w:val="hybridMultilevel"/>
    <w:tmpl w:val="D166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230FF8"/>
    <w:multiLevelType w:val="singleLevel"/>
    <w:tmpl w:val="CA8A963A"/>
    <w:lvl w:ilvl="0">
      <w:start w:val="1"/>
      <w:numFmt w:val="decimal"/>
      <w:pStyle w:val="ListNumber"/>
      <w:lvlText w:val="%1)"/>
      <w:lvlJc w:val="left"/>
      <w:pPr>
        <w:tabs>
          <w:tab w:val="num" w:pos="360"/>
        </w:tabs>
        <w:ind w:left="360" w:hanging="360"/>
      </w:pPr>
    </w:lvl>
  </w:abstractNum>
  <w:num w:numId="1">
    <w:abstractNumId w:val="3"/>
  </w:num>
  <w:num w:numId="2">
    <w:abstractNumId w:val="10"/>
  </w:num>
  <w:num w:numId="3">
    <w:abstractNumId w:val="4"/>
  </w:num>
  <w:num w:numId="4">
    <w:abstractNumId w:val="5"/>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D4D"/>
    <w:rsid w:val="00000C64"/>
    <w:rsid w:val="00000CF2"/>
    <w:rsid w:val="0000618C"/>
    <w:rsid w:val="000064EB"/>
    <w:rsid w:val="00010535"/>
    <w:rsid w:val="0001294B"/>
    <w:rsid w:val="00015C68"/>
    <w:rsid w:val="00022016"/>
    <w:rsid w:val="00041914"/>
    <w:rsid w:val="000453E7"/>
    <w:rsid w:val="00050A2F"/>
    <w:rsid w:val="00055081"/>
    <w:rsid w:val="00057CDA"/>
    <w:rsid w:val="00057F47"/>
    <w:rsid w:val="00065ACD"/>
    <w:rsid w:val="00066E4D"/>
    <w:rsid w:val="0007438E"/>
    <w:rsid w:val="00076F9B"/>
    <w:rsid w:val="000A1B71"/>
    <w:rsid w:val="000B7847"/>
    <w:rsid w:val="000C1F94"/>
    <w:rsid w:val="000D2072"/>
    <w:rsid w:val="000D3D36"/>
    <w:rsid w:val="000E0EDB"/>
    <w:rsid w:val="000F4D86"/>
    <w:rsid w:val="001004C5"/>
    <w:rsid w:val="00101EE3"/>
    <w:rsid w:val="00115BB0"/>
    <w:rsid w:val="00115FD1"/>
    <w:rsid w:val="00116C23"/>
    <w:rsid w:val="001215F1"/>
    <w:rsid w:val="00134AB8"/>
    <w:rsid w:val="0013605B"/>
    <w:rsid w:val="00140FA4"/>
    <w:rsid w:val="00151125"/>
    <w:rsid w:val="001619C7"/>
    <w:rsid w:val="001705C0"/>
    <w:rsid w:val="00172200"/>
    <w:rsid w:val="00175AE9"/>
    <w:rsid w:val="00175BCB"/>
    <w:rsid w:val="00176964"/>
    <w:rsid w:val="0019133A"/>
    <w:rsid w:val="001952D0"/>
    <w:rsid w:val="001D360E"/>
    <w:rsid w:val="001E4036"/>
    <w:rsid w:val="001F17BC"/>
    <w:rsid w:val="001F7514"/>
    <w:rsid w:val="002028D1"/>
    <w:rsid w:val="00202924"/>
    <w:rsid w:val="00203BF7"/>
    <w:rsid w:val="00215519"/>
    <w:rsid w:val="0024366A"/>
    <w:rsid w:val="00243D2A"/>
    <w:rsid w:val="00253DE8"/>
    <w:rsid w:val="002566A1"/>
    <w:rsid w:val="00280508"/>
    <w:rsid w:val="00281221"/>
    <w:rsid w:val="00282B73"/>
    <w:rsid w:val="002952A2"/>
    <w:rsid w:val="002975F9"/>
    <w:rsid w:val="00297AF4"/>
    <w:rsid w:val="002A212C"/>
    <w:rsid w:val="002A68D4"/>
    <w:rsid w:val="002A719C"/>
    <w:rsid w:val="002A74E4"/>
    <w:rsid w:val="002B09D8"/>
    <w:rsid w:val="002C1DED"/>
    <w:rsid w:val="002D2010"/>
    <w:rsid w:val="002D6E3B"/>
    <w:rsid w:val="002E2B1A"/>
    <w:rsid w:val="002F0E5F"/>
    <w:rsid w:val="002F10BC"/>
    <w:rsid w:val="00303F67"/>
    <w:rsid w:val="00307063"/>
    <w:rsid w:val="003135E6"/>
    <w:rsid w:val="00325517"/>
    <w:rsid w:val="00341570"/>
    <w:rsid w:val="0034344E"/>
    <w:rsid w:val="003608D6"/>
    <w:rsid w:val="0036658D"/>
    <w:rsid w:val="00367A2D"/>
    <w:rsid w:val="00372162"/>
    <w:rsid w:val="003812CB"/>
    <w:rsid w:val="00394747"/>
    <w:rsid w:val="003948A1"/>
    <w:rsid w:val="00395443"/>
    <w:rsid w:val="00396CA7"/>
    <w:rsid w:val="003A4B32"/>
    <w:rsid w:val="003B6FF3"/>
    <w:rsid w:val="003C47BB"/>
    <w:rsid w:val="003C651E"/>
    <w:rsid w:val="003D171B"/>
    <w:rsid w:val="003E725C"/>
    <w:rsid w:val="004002E3"/>
    <w:rsid w:val="0040580F"/>
    <w:rsid w:val="00405B98"/>
    <w:rsid w:val="0040673B"/>
    <w:rsid w:val="004338ED"/>
    <w:rsid w:val="004348BD"/>
    <w:rsid w:val="00435287"/>
    <w:rsid w:val="00436009"/>
    <w:rsid w:val="00455BF5"/>
    <w:rsid w:val="0046722A"/>
    <w:rsid w:val="004730A6"/>
    <w:rsid w:val="004820E3"/>
    <w:rsid w:val="004928F1"/>
    <w:rsid w:val="00495DBB"/>
    <w:rsid w:val="004A7925"/>
    <w:rsid w:val="004A7F2D"/>
    <w:rsid w:val="004B6A58"/>
    <w:rsid w:val="004C2665"/>
    <w:rsid w:val="004C4CE7"/>
    <w:rsid w:val="004D29FD"/>
    <w:rsid w:val="004D3C0A"/>
    <w:rsid w:val="004D6223"/>
    <w:rsid w:val="004E11C2"/>
    <w:rsid w:val="004F4D38"/>
    <w:rsid w:val="004F7190"/>
    <w:rsid w:val="00514D07"/>
    <w:rsid w:val="005233D2"/>
    <w:rsid w:val="00527723"/>
    <w:rsid w:val="00547C1C"/>
    <w:rsid w:val="0055329F"/>
    <w:rsid w:val="005755EF"/>
    <w:rsid w:val="005A0DEC"/>
    <w:rsid w:val="005A70CA"/>
    <w:rsid w:val="005B31CD"/>
    <w:rsid w:val="005C202E"/>
    <w:rsid w:val="005C2709"/>
    <w:rsid w:val="005C593C"/>
    <w:rsid w:val="005D1B68"/>
    <w:rsid w:val="005D768B"/>
    <w:rsid w:val="005E40D2"/>
    <w:rsid w:val="005E6329"/>
    <w:rsid w:val="005F1797"/>
    <w:rsid w:val="005F7CC3"/>
    <w:rsid w:val="00603165"/>
    <w:rsid w:val="006047EA"/>
    <w:rsid w:val="00606461"/>
    <w:rsid w:val="00607BC3"/>
    <w:rsid w:val="006275DE"/>
    <w:rsid w:val="00644002"/>
    <w:rsid w:val="00644737"/>
    <w:rsid w:val="0065780F"/>
    <w:rsid w:val="00672B09"/>
    <w:rsid w:val="006914A0"/>
    <w:rsid w:val="006934C7"/>
    <w:rsid w:val="006B073F"/>
    <w:rsid w:val="006B18BC"/>
    <w:rsid w:val="006D0DC6"/>
    <w:rsid w:val="006D1926"/>
    <w:rsid w:val="006E51B4"/>
    <w:rsid w:val="006E7742"/>
    <w:rsid w:val="00717446"/>
    <w:rsid w:val="007227F6"/>
    <w:rsid w:val="00723704"/>
    <w:rsid w:val="00724A9C"/>
    <w:rsid w:val="007278BF"/>
    <w:rsid w:val="007303BD"/>
    <w:rsid w:val="00732D07"/>
    <w:rsid w:val="00736158"/>
    <w:rsid w:val="0073633F"/>
    <w:rsid w:val="007526C7"/>
    <w:rsid w:val="00757F86"/>
    <w:rsid w:val="007639E2"/>
    <w:rsid w:val="00767947"/>
    <w:rsid w:val="00781138"/>
    <w:rsid w:val="007943D1"/>
    <w:rsid w:val="00794F57"/>
    <w:rsid w:val="007A3EB5"/>
    <w:rsid w:val="007B1CAF"/>
    <w:rsid w:val="007C0FE4"/>
    <w:rsid w:val="007C72DB"/>
    <w:rsid w:val="007E4803"/>
    <w:rsid w:val="007E5525"/>
    <w:rsid w:val="007F4BED"/>
    <w:rsid w:val="007F5EA0"/>
    <w:rsid w:val="008006B7"/>
    <w:rsid w:val="00801B30"/>
    <w:rsid w:val="00807679"/>
    <w:rsid w:val="008108B6"/>
    <w:rsid w:val="00811DD4"/>
    <w:rsid w:val="008138DE"/>
    <w:rsid w:val="00817DEE"/>
    <w:rsid w:val="00822D6D"/>
    <w:rsid w:val="00826292"/>
    <w:rsid w:val="00833DEA"/>
    <w:rsid w:val="00835E93"/>
    <w:rsid w:val="00836532"/>
    <w:rsid w:val="00840EB5"/>
    <w:rsid w:val="00843ECA"/>
    <w:rsid w:val="00845386"/>
    <w:rsid w:val="00855F1B"/>
    <w:rsid w:val="00863013"/>
    <w:rsid w:val="00864285"/>
    <w:rsid w:val="00870D7F"/>
    <w:rsid w:val="00872CB9"/>
    <w:rsid w:val="00874189"/>
    <w:rsid w:val="00890CBF"/>
    <w:rsid w:val="00892A89"/>
    <w:rsid w:val="0089571D"/>
    <w:rsid w:val="00895FE4"/>
    <w:rsid w:val="008A2791"/>
    <w:rsid w:val="008A5C73"/>
    <w:rsid w:val="008A67EA"/>
    <w:rsid w:val="008A6F4C"/>
    <w:rsid w:val="008A7365"/>
    <w:rsid w:val="008B4CAC"/>
    <w:rsid w:val="008C6B80"/>
    <w:rsid w:val="008C7DE2"/>
    <w:rsid w:val="008D0296"/>
    <w:rsid w:val="008D3B62"/>
    <w:rsid w:val="008E1860"/>
    <w:rsid w:val="008F3DF4"/>
    <w:rsid w:val="009067FC"/>
    <w:rsid w:val="00910CDC"/>
    <w:rsid w:val="009125B0"/>
    <w:rsid w:val="00915E39"/>
    <w:rsid w:val="00920EC6"/>
    <w:rsid w:val="009405CD"/>
    <w:rsid w:val="00940F30"/>
    <w:rsid w:val="00946BEB"/>
    <w:rsid w:val="00955BBE"/>
    <w:rsid w:val="0097547E"/>
    <w:rsid w:val="00975E03"/>
    <w:rsid w:val="00975E1D"/>
    <w:rsid w:val="00980C9B"/>
    <w:rsid w:val="00986A86"/>
    <w:rsid w:val="009A175B"/>
    <w:rsid w:val="009A382C"/>
    <w:rsid w:val="009B2D85"/>
    <w:rsid w:val="009B5A67"/>
    <w:rsid w:val="009C7428"/>
    <w:rsid w:val="009D068E"/>
    <w:rsid w:val="009E16E0"/>
    <w:rsid w:val="009E1B8C"/>
    <w:rsid w:val="009E2D9C"/>
    <w:rsid w:val="009E3723"/>
    <w:rsid w:val="009E7128"/>
    <w:rsid w:val="00A110FA"/>
    <w:rsid w:val="00A12CCB"/>
    <w:rsid w:val="00A143FB"/>
    <w:rsid w:val="00A1465C"/>
    <w:rsid w:val="00A306FF"/>
    <w:rsid w:val="00A33BAF"/>
    <w:rsid w:val="00A433FB"/>
    <w:rsid w:val="00A54CD6"/>
    <w:rsid w:val="00A70529"/>
    <w:rsid w:val="00A7057F"/>
    <w:rsid w:val="00A878B7"/>
    <w:rsid w:val="00A95617"/>
    <w:rsid w:val="00AA04B0"/>
    <w:rsid w:val="00AA1620"/>
    <w:rsid w:val="00AA569A"/>
    <w:rsid w:val="00AA5AE4"/>
    <w:rsid w:val="00AC502B"/>
    <w:rsid w:val="00AC5B23"/>
    <w:rsid w:val="00AC670B"/>
    <w:rsid w:val="00AD0A56"/>
    <w:rsid w:val="00AD5E26"/>
    <w:rsid w:val="00AE2621"/>
    <w:rsid w:val="00AE3765"/>
    <w:rsid w:val="00AE47C8"/>
    <w:rsid w:val="00AE5C7B"/>
    <w:rsid w:val="00AE6C25"/>
    <w:rsid w:val="00AE7249"/>
    <w:rsid w:val="00AF0A19"/>
    <w:rsid w:val="00AF16CD"/>
    <w:rsid w:val="00AF57D0"/>
    <w:rsid w:val="00AF65BA"/>
    <w:rsid w:val="00B0728C"/>
    <w:rsid w:val="00B07800"/>
    <w:rsid w:val="00B126AD"/>
    <w:rsid w:val="00B12EB5"/>
    <w:rsid w:val="00B1466D"/>
    <w:rsid w:val="00B23363"/>
    <w:rsid w:val="00B3425D"/>
    <w:rsid w:val="00B34C1C"/>
    <w:rsid w:val="00B36C3F"/>
    <w:rsid w:val="00B37CF3"/>
    <w:rsid w:val="00B4507B"/>
    <w:rsid w:val="00B547BA"/>
    <w:rsid w:val="00B75922"/>
    <w:rsid w:val="00B8238F"/>
    <w:rsid w:val="00B863C4"/>
    <w:rsid w:val="00B90C9A"/>
    <w:rsid w:val="00BA4E3B"/>
    <w:rsid w:val="00BA5AE3"/>
    <w:rsid w:val="00BA5E67"/>
    <w:rsid w:val="00BB4458"/>
    <w:rsid w:val="00BD15F1"/>
    <w:rsid w:val="00BD27CF"/>
    <w:rsid w:val="00BD58D0"/>
    <w:rsid w:val="00BE2179"/>
    <w:rsid w:val="00BF5A3E"/>
    <w:rsid w:val="00C01ED5"/>
    <w:rsid w:val="00C14FD5"/>
    <w:rsid w:val="00C355AB"/>
    <w:rsid w:val="00C36498"/>
    <w:rsid w:val="00C5035A"/>
    <w:rsid w:val="00C564C7"/>
    <w:rsid w:val="00C56DAC"/>
    <w:rsid w:val="00C57469"/>
    <w:rsid w:val="00C66405"/>
    <w:rsid w:val="00C709DC"/>
    <w:rsid w:val="00C73A75"/>
    <w:rsid w:val="00C92DCF"/>
    <w:rsid w:val="00CA238C"/>
    <w:rsid w:val="00CA2DD6"/>
    <w:rsid w:val="00CA3D61"/>
    <w:rsid w:val="00CB5399"/>
    <w:rsid w:val="00CC395C"/>
    <w:rsid w:val="00CD1EF7"/>
    <w:rsid w:val="00CF6B94"/>
    <w:rsid w:val="00D03F91"/>
    <w:rsid w:val="00D069C0"/>
    <w:rsid w:val="00D216FA"/>
    <w:rsid w:val="00D21DAC"/>
    <w:rsid w:val="00D36E21"/>
    <w:rsid w:val="00D44FDF"/>
    <w:rsid w:val="00D84952"/>
    <w:rsid w:val="00D95BC3"/>
    <w:rsid w:val="00DA0E39"/>
    <w:rsid w:val="00DA7D4D"/>
    <w:rsid w:val="00DB1090"/>
    <w:rsid w:val="00DC4B14"/>
    <w:rsid w:val="00DD4F6D"/>
    <w:rsid w:val="00DE3DB4"/>
    <w:rsid w:val="00DE42F8"/>
    <w:rsid w:val="00E0031E"/>
    <w:rsid w:val="00E03B09"/>
    <w:rsid w:val="00E1405D"/>
    <w:rsid w:val="00E1589D"/>
    <w:rsid w:val="00E1656E"/>
    <w:rsid w:val="00E33005"/>
    <w:rsid w:val="00E34064"/>
    <w:rsid w:val="00E371EC"/>
    <w:rsid w:val="00E410A7"/>
    <w:rsid w:val="00E64624"/>
    <w:rsid w:val="00E667B3"/>
    <w:rsid w:val="00E83426"/>
    <w:rsid w:val="00E908A0"/>
    <w:rsid w:val="00E913D4"/>
    <w:rsid w:val="00E9730E"/>
    <w:rsid w:val="00EB09BF"/>
    <w:rsid w:val="00EB2267"/>
    <w:rsid w:val="00EB58CD"/>
    <w:rsid w:val="00EC11FA"/>
    <w:rsid w:val="00EC27D3"/>
    <w:rsid w:val="00EC33B2"/>
    <w:rsid w:val="00EC62F5"/>
    <w:rsid w:val="00EC6CB9"/>
    <w:rsid w:val="00EC7273"/>
    <w:rsid w:val="00ED1071"/>
    <w:rsid w:val="00ED1751"/>
    <w:rsid w:val="00EF0227"/>
    <w:rsid w:val="00EF2EC3"/>
    <w:rsid w:val="00EF33E2"/>
    <w:rsid w:val="00EF55C8"/>
    <w:rsid w:val="00F015AC"/>
    <w:rsid w:val="00F16A3A"/>
    <w:rsid w:val="00F40072"/>
    <w:rsid w:val="00F409DB"/>
    <w:rsid w:val="00F40BEF"/>
    <w:rsid w:val="00F46FCF"/>
    <w:rsid w:val="00F47624"/>
    <w:rsid w:val="00F54700"/>
    <w:rsid w:val="00F54D2E"/>
    <w:rsid w:val="00F702F7"/>
    <w:rsid w:val="00F74806"/>
    <w:rsid w:val="00F75DCA"/>
    <w:rsid w:val="00F7735A"/>
    <w:rsid w:val="00F77A41"/>
    <w:rsid w:val="00F81554"/>
    <w:rsid w:val="00F83068"/>
    <w:rsid w:val="00F86798"/>
    <w:rsid w:val="00FD6CA2"/>
    <w:rsid w:val="00FE0598"/>
    <w:rsid w:val="00FE1095"/>
    <w:rsid w:val="00FE3142"/>
    <w:rsid w:val="00FE4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CE0D86"/>
  <w15:docId w15:val="{55991F9B-9F65-4BEF-A0D8-6394723D4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6F9B"/>
    <w:pPr>
      <w:jc w:val="both"/>
    </w:pPr>
    <w:rPr>
      <w:rFonts w:ascii="Arial" w:hAnsi="Arial"/>
      <w:spacing w:val="-5"/>
    </w:rPr>
  </w:style>
  <w:style w:type="paragraph" w:styleId="Heading1">
    <w:name w:val="heading 1"/>
    <w:basedOn w:val="HeadingBase"/>
    <w:next w:val="BodyText"/>
    <w:qFormat/>
    <w:rsid w:val="00076F9B"/>
    <w:pPr>
      <w:spacing w:after="220"/>
      <w:jc w:val="left"/>
      <w:outlineLvl w:val="0"/>
    </w:pPr>
  </w:style>
  <w:style w:type="paragraph" w:styleId="Heading2">
    <w:name w:val="heading 2"/>
    <w:basedOn w:val="HeadingBase"/>
    <w:next w:val="BodyText"/>
    <w:qFormat/>
    <w:rsid w:val="00076F9B"/>
    <w:pPr>
      <w:jc w:val="left"/>
      <w:outlineLvl w:val="1"/>
    </w:pPr>
    <w:rPr>
      <w:sz w:val="18"/>
    </w:rPr>
  </w:style>
  <w:style w:type="paragraph" w:styleId="Heading3">
    <w:name w:val="heading 3"/>
    <w:basedOn w:val="HeadingBase"/>
    <w:next w:val="BodyText"/>
    <w:qFormat/>
    <w:rsid w:val="00076F9B"/>
    <w:pPr>
      <w:spacing w:after="220"/>
      <w:jc w:val="left"/>
      <w:outlineLvl w:val="2"/>
    </w:pPr>
    <w:rPr>
      <w:rFonts w:ascii="Arial" w:hAnsi="Arial"/>
      <w:sz w:val="22"/>
    </w:rPr>
  </w:style>
  <w:style w:type="paragraph" w:styleId="Heading4">
    <w:name w:val="heading 4"/>
    <w:basedOn w:val="HeadingBase"/>
    <w:next w:val="BodyText"/>
    <w:qFormat/>
    <w:rsid w:val="00076F9B"/>
    <w:pPr>
      <w:ind w:left="360"/>
      <w:outlineLvl w:val="3"/>
    </w:pPr>
    <w:rPr>
      <w:spacing w:val="-5"/>
      <w:sz w:val="18"/>
    </w:rPr>
  </w:style>
  <w:style w:type="paragraph" w:styleId="Heading5">
    <w:name w:val="heading 5"/>
    <w:basedOn w:val="HeadingBase"/>
    <w:next w:val="BodyText"/>
    <w:qFormat/>
    <w:rsid w:val="00076F9B"/>
    <w:pPr>
      <w:ind w:left="720"/>
      <w:outlineLvl w:val="4"/>
    </w:pPr>
    <w:rPr>
      <w:spacing w:val="-5"/>
      <w:sz w:val="18"/>
    </w:rPr>
  </w:style>
  <w:style w:type="paragraph" w:styleId="Heading6">
    <w:name w:val="heading 6"/>
    <w:basedOn w:val="HeadingBase"/>
    <w:next w:val="BodyText"/>
    <w:qFormat/>
    <w:rsid w:val="00076F9B"/>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076F9B"/>
    <w:pPr>
      <w:spacing w:before="220" w:after="220" w:line="220" w:lineRule="atLeast"/>
    </w:pPr>
  </w:style>
  <w:style w:type="paragraph" w:styleId="Salutation">
    <w:name w:val="Salutation"/>
    <w:basedOn w:val="Normal"/>
    <w:next w:val="SubjectLine"/>
    <w:rsid w:val="00076F9B"/>
    <w:pPr>
      <w:spacing w:before="220" w:after="220" w:line="220" w:lineRule="atLeast"/>
      <w:jc w:val="left"/>
    </w:pPr>
  </w:style>
  <w:style w:type="paragraph" w:styleId="BodyText">
    <w:name w:val="Body Text"/>
    <w:basedOn w:val="Normal"/>
    <w:rsid w:val="00076F9B"/>
    <w:pPr>
      <w:spacing w:after="220" w:line="220" w:lineRule="atLeast"/>
    </w:pPr>
  </w:style>
  <w:style w:type="paragraph" w:customStyle="1" w:styleId="CcList">
    <w:name w:val="Cc List"/>
    <w:basedOn w:val="Normal"/>
    <w:rsid w:val="00076F9B"/>
    <w:pPr>
      <w:keepLines/>
      <w:spacing w:line="220" w:lineRule="atLeast"/>
      <w:ind w:left="360" w:hanging="360"/>
    </w:pPr>
  </w:style>
  <w:style w:type="paragraph" w:styleId="Closing">
    <w:name w:val="Closing"/>
    <w:basedOn w:val="Normal"/>
    <w:next w:val="Signature"/>
    <w:rsid w:val="00076F9B"/>
    <w:pPr>
      <w:keepNext/>
      <w:spacing w:after="60" w:line="220" w:lineRule="atLeast"/>
    </w:pPr>
  </w:style>
  <w:style w:type="paragraph" w:styleId="Signature">
    <w:name w:val="Signature"/>
    <w:basedOn w:val="Normal"/>
    <w:next w:val="SignatureJobTitle"/>
    <w:rsid w:val="00076F9B"/>
    <w:pPr>
      <w:keepNext/>
      <w:spacing w:before="880" w:line="220" w:lineRule="atLeast"/>
      <w:jc w:val="left"/>
    </w:pPr>
  </w:style>
  <w:style w:type="paragraph" w:customStyle="1" w:styleId="CompanyName">
    <w:name w:val="Company Name"/>
    <w:basedOn w:val="Normal"/>
    <w:rsid w:val="00076F9B"/>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link w:val="DateChar"/>
    <w:rsid w:val="00076F9B"/>
    <w:pPr>
      <w:spacing w:after="220" w:line="220" w:lineRule="atLeast"/>
    </w:pPr>
  </w:style>
  <w:style w:type="character" w:styleId="Emphasis">
    <w:name w:val="Emphasis"/>
    <w:qFormat/>
    <w:rsid w:val="00076F9B"/>
    <w:rPr>
      <w:rFonts w:ascii="Arial Black" w:hAnsi="Arial Black"/>
      <w:sz w:val="18"/>
    </w:rPr>
  </w:style>
  <w:style w:type="paragraph" w:customStyle="1" w:styleId="Enclosure">
    <w:name w:val="Enclosure"/>
    <w:basedOn w:val="Normal"/>
    <w:next w:val="CcList"/>
    <w:rsid w:val="00076F9B"/>
    <w:pPr>
      <w:keepNext/>
      <w:keepLines/>
      <w:spacing w:after="220" w:line="220" w:lineRule="atLeast"/>
    </w:pPr>
  </w:style>
  <w:style w:type="paragraph" w:customStyle="1" w:styleId="HeadingBase">
    <w:name w:val="Heading Base"/>
    <w:basedOn w:val="Normal"/>
    <w:next w:val="BodyText"/>
    <w:rsid w:val="00076F9B"/>
    <w:pPr>
      <w:keepNext/>
      <w:keepLines/>
      <w:spacing w:line="220" w:lineRule="atLeast"/>
    </w:pPr>
    <w:rPr>
      <w:rFonts w:ascii="Arial Black" w:hAnsi="Arial Black"/>
      <w:spacing w:val="-10"/>
      <w:kern w:val="20"/>
    </w:rPr>
  </w:style>
  <w:style w:type="paragraph" w:customStyle="1" w:styleId="InsideAddress">
    <w:name w:val="Inside Address"/>
    <w:basedOn w:val="Normal"/>
    <w:rsid w:val="00076F9B"/>
    <w:pPr>
      <w:spacing w:line="220" w:lineRule="atLeast"/>
    </w:pPr>
  </w:style>
  <w:style w:type="paragraph" w:customStyle="1" w:styleId="InsideAddressName">
    <w:name w:val="Inside Address Name"/>
    <w:basedOn w:val="InsideAddress"/>
    <w:next w:val="InsideAddress"/>
    <w:rsid w:val="00076F9B"/>
    <w:pPr>
      <w:spacing w:before="220"/>
    </w:pPr>
  </w:style>
  <w:style w:type="paragraph" w:customStyle="1" w:styleId="MailingInstructions">
    <w:name w:val="Mailing Instructions"/>
    <w:basedOn w:val="Normal"/>
    <w:next w:val="InsideAddressName"/>
    <w:rsid w:val="00076F9B"/>
    <w:pPr>
      <w:spacing w:after="220" w:line="220" w:lineRule="atLeast"/>
    </w:pPr>
    <w:rPr>
      <w:caps/>
    </w:rPr>
  </w:style>
  <w:style w:type="paragraph" w:customStyle="1" w:styleId="ReferenceInitials">
    <w:name w:val="Reference Initials"/>
    <w:basedOn w:val="Normal"/>
    <w:next w:val="Enclosure"/>
    <w:rsid w:val="00076F9B"/>
    <w:pPr>
      <w:keepNext/>
      <w:keepLines/>
      <w:spacing w:before="220" w:line="220" w:lineRule="atLeast"/>
    </w:pPr>
  </w:style>
  <w:style w:type="paragraph" w:customStyle="1" w:styleId="ReferenceLine">
    <w:name w:val="Reference Line"/>
    <w:basedOn w:val="Normal"/>
    <w:next w:val="MailingInstructions"/>
    <w:rsid w:val="00076F9B"/>
    <w:pPr>
      <w:spacing w:after="220" w:line="220" w:lineRule="atLeast"/>
      <w:jc w:val="left"/>
    </w:pPr>
  </w:style>
  <w:style w:type="paragraph" w:customStyle="1" w:styleId="ReturnAddress">
    <w:name w:val="Return Address"/>
    <w:basedOn w:val="Normal"/>
    <w:rsid w:val="00076F9B"/>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076F9B"/>
    <w:pPr>
      <w:spacing w:before="0"/>
    </w:pPr>
  </w:style>
  <w:style w:type="paragraph" w:customStyle="1" w:styleId="SignatureJobTitle">
    <w:name w:val="Signature Job Title"/>
    <w:basedOn w:val="Signature"/>
    <w:next w:val="SignatureCompany"/>
    <w:rsid w:val="00076F9B"/>
    <w:pPr>
      <w:spacing w:before="0"/>
    </w:pPr>
  </w:style>
  <w:style w:type="character" w:customStyle="1" w:styleId="Slogan">
    <w:name w:val="Slogan"/>
    <w:basedOn w:val="DefaultParagraphFont"/>
    <w:rsid w:val="00076F9B"/>
    <w:rPr>
      <w:rFonts w:ascii="Arial Black" w:hAnsi="Arial Black"/>
      <w:sz w:val="18"/>
    </w:rPr>
  </w:style>
  <w:style w:type="paragraph" w:customStyle="1" w:styleId="SubjectLine">
    <w:name w:val="Subject Line"/>
    <w:basedOn w:val="Normal"/>
    <w:next w:val="BodyText"/>
    <w:rsid w:val="00076F9B"/>
    <w:pPr>
      <w:spacing w:after="220" w:line="220" w:lineRule="atLeast"/>
      <w:jc w:val="left"/>
    </w:pPr>
    <w:rPr>
      <w:rFonts w:ascii="Arial Black" w:hAnsi="Arial Black"/>
      <w:spacing w:val="-10"/>
    </w:rPr>
  </w:style>
  <w:style w:type="paragraph" w:styleId="Header">
    <w:name w:val="header"/>
    <w:basedOn w:val="Normal"/>
    <w:rsid w:val="00076F9B"/>
    <w:pPr>
      <w:tabs>
        <w:tab w:val="center" w:pos="4320"/>
        <w:tab w:val="right" w:pos="8640"/>
      </w:tabs>
    </w:pPr>
  </w:style>
  <w:style w:type="paragraph" w:styleId="Footer">
    <w:name w:val="footer"/>
    <w:basedOn w:val="Normal"/>
    <w:link w:val="FooterChar"/>
    <w:uiPriority w:val="99"/>
    <w:rsid w:val="00076F9B"/>
    <w:pPr>
      <w:tabs>
        <w:tab w:val="center" w:pos="4320"/>
        <w:tab w:val="right" w:pos="8640"/>
      </w:tabs>
    </w:pPr>
  </w:style>
  <w:style w:type="character" w:styleId="Hyperlink">
    <w:name w:val="Hyperlink"/>
    <w:basedOn w:val="DefaultParagraphFont"/>
    <w:uiPriority w:val="99"/>
    <w:rsid w:val="00076F9B"/>
    <w:rPr>
      <w:color w:val="0000FF"/>
      <w:u w:val="single"/>
    </w:rPr>
  </w:style>
  <w:style w:type="paragraph" w:styleId="List">
    <w:name w:val="List"/>
    <w:basedOn w:val="BodyText"/>
    <w:rsid w:val="00076F9B"/>
    <w:pPr>
      <w:ind w:left="360" w:hanging="360"/>
    </w:pPr>
  </w:style>
  <w:style w:type="paragraph" w:styleId="ListBullet">
    <w:name w:val="List Bullet"/>
    <w:basedOn w:val="List"/>
    <w:autoRedefine/>
    <w:rsid w:val="00076F9B"/>
    <w:pPr>
      <w:numPr>
        <w:numId w:val="1"/>
      </w:numPr>
    </w:pPr>
  </w:style>
  <w:style w:type="paragraph" w:styleId="ListNumber">
    <w:name w:val="List Number"/>
    <w:basedOn w:val="BodyText"/>
    <w:rsid w:val="00076F9B"/>
    <w:pPr>
      <w:numPr>
        <w:numId w:val="2"/>
      </w:numPr>
    </w:pPr>
  </w:style>
  <w:style w:type="character" w:styleId="FollowedHyperlink">
    <w:name w:val="FollowedHyperlink"/>
    <w:basedOn w:val="DefaultParagraphFont"/>
    <w:rsid w:val="00076F9B"/>
    <w:rPr>
      <w:color w:val="800080"/>
      <w:u w:val="single"/>
    </w:rPr>
  </w:style>
  <w:style w:type="paragraph" w:styleId="BodyText2">
    <w:name w:val="Body Text 2"/>
    <w:basedOn w:val="Normal"/>
    <w:rsid w:val="00076F9B"/>
    <w:pPr>
      <w:spacing w:line="180" w:lineRule="atLeast"/>
      <w:jc w:val="right"/>
    </w:pPr>
    <w:rPr>
      <w:rFonts w:cs="Arial"/>
      <w:b/>
      <w:bCs/>
      <w:color w:val="9B8F83"/>
      <w:spacing w:val="0"/>
      <w:sz w:val="13"/>
      <w:szCs w:val="24"/>
    </w:rPr>
  </w:style>
  <w:style w:type="character" w:styleId="PageNumber">
    <w:name w:val="page number"/>
    <w:basedOn w:val="DefaultParagraphFont"/>
    <w:rsid w:val="00076F9B"/>
  </w:style>
  <w:style w:type="character" w:customStyle="1" w:styleId="FooterChar">
    <w:name w:val="Footer Char"/>
    <w:basedOn w:val="DefaultParagraphFont"/>
    <w:link w:val="Footer"/>
    <w:uiPriority w:val="99"/>
    <w:rsid w:val="007A3EB5"/>
    <w:rPr>
      <w:rFonts w:ascii="Arial" w:hAnsi="Arial"/>
      <w:spacing w:val="-5"/>
    </w:rPr>
  </w:style>
  <w:style w:type="character" w:styleId="CommentReference">
    <w:name w:val="annotation reference"/>
    <w:basedOn w:val="DefaultParagraphFont"/>
    <w:uiPriority w:val="99"/>
    <w:rsid w:val="005D768B"/>
    <w:rPr>
      <w:sz w:val="16"/>
      <w:szCs w:val="16"/>
    </w:rPr>
  </w:style>
  <w:style w:type="paragraph" w:styleId="CommentText">
    <w:name w:val="annotation text"/>
    <w:basedOn w:val="Normal"/>
    <w:link w:val="CommentTextChar"/>
    <w:uiPriority w:val="99"/>
    <w:rsid w:val="005D768B"/>
  </w:style>
  <w:style w:type="character" w:customStyle="1" w:styleId="CommentTextChar">
    <w:name w:val="Comment Text Char"/>
    <w:basedOn w:val="DefaultParagraphFont"/>
    <w:link w:val="CommentText"/>
    <w:uiPriority w:val="99"/>
    <w:rsid w:val="005D768B"/>
    <w:rPr>
      <w:rFonts w:ascii="Arial" w:hAnsi="Arial"/>
      <w:spacing w:val="-5"/>
    </w:rPr>
  </w:style>
  <w:style w:type="paragraph" w:styleId="CommentSubject">
    <w:name w:val="annotation subject"/>
    <w:basedOn w:val="CommentText"/>
    <w:next w:val="CommentText"/>
    <w:link w:val="CommentSubjectChar"/>
    <w:rsid w:val="005D768B"/>
    <w:rPr>
      <w:b/>
      <w:bCs/>
    </w:rPr>
  </w:style>
  <w:style w:type="character" w:customStyle="1" w:styleId="CommentSubjectChar">
    <w:name w:val="Comment Subject Char"/>
    <w:basedOn w:val="CommentTextChar"/>
    <w:link w:val="CommentSubject"/>
    <w:rsid w:val="005D768B"/>
    <w:rPr>
      <w:rFonts w:ascii="Arial" w:hAnsi="Arial"/>
      <w:b/>
      <w:bCs/>
      <w:spacing w:val="-5"/>
    </w:rPr>
  </w:style>
  <w:style w:type="paragraph" w:styleId="BalloonText">
    <w:name w:val="Balloon Text"/>
    <w:basedOn w:val="Normal"/>
    <w:link w:val="BalloonTextChar"/>
    <w:rsid w:val="005D768B"/>
    <w:rPr>
      <w:rFonts w:ascii="Tahoma" w:hAnsi="Tahoma" w:cs="Tahoma"/>
      <w:sz w:val="16"/>
      <w:szCs w:val="16"/>
    </w:rPr>
  </w:style>
  <w:style w:type="character" w:customStyle="1" w:styleId="BalloonTextChar">
    <w:name w:val="Balloon Text Char"/>
    <w:basedOn w:val="DefaultParagraphFont"/>
    <w:link w:val="BalloonText"/>
    <w:rsid w:val="005D768B"/>
    <w:rPr>
      <w:rFonts w:ascii="Tahoma" w:hAnsi="Tahoma" w:cs="Tahoma"/>
      <w:spacing w:val="-5"/>
      <w:sz w:val="16"/>
      <w:szCs w:val="16"/>
    </w:rPr>
  </w:style>
  <w:style w:type="paragraph" w:styleId="ListParagraph">
    <w:name w:val="List Paragraph"/>
    <w:aliases w:val="Bullet List 1"/>
    <w:basedOn w:val="Normal"/>
    <w:link w:val="ListParagraphChar"/>
    <w:uiPriority w:val="34"/>
    <w:qFormat/>
    <w:rsid w:val="007B1CAF"/>
    <w:pPr>
      <w:ind w:left="720"/>
      <w:jc w:val="left"/>
    </w:pPr>
    <w:rPr>
      <w:rFonts w:ascii="Calibri" w:eastAsiaTheme="minorHAnsi" w:hAnsi="Calibri"/>
      <w:spacing w:val="0"/>
      <w:sz w:val="22"/>
      <w:szCs w:val="22"/>
    </w:rPr>
  </w:style>
  <w:style w:type="character" w:customStyle="1" w:styleId="DateChar">
    <w:name w:val="Date Char"/>
    <w:basedOn w:val="DefaultParagraphFont"/>
    <w:link w:val="Date"/>
    <w:uiPriority w:val="99"/>
    <w:rsid w:val="00243D2A"/>
    <w:rPr>
      <w:rFonts w:ascii="Arial" w:hAnsi="Arial"/>
      <w:spacing w:val="-5"/>
    </w:rPr>
  </w:style>
  <w:style w:type="paragraph" w:styleId="FootnoteText">
    <w:name w:val="footnote text"/>
    <w:basedOn w:val="Normal"/>
    <w:link w:val="FootnoteTextChar"/>
    <w:semiHidden/>
    <w:unhideWhenUsed/>
    <w:rsid w:val="00F54D2E"/>
  </w:style>
  <w:style w:type="character" w:customStyle="1" w:styleId="FootnoteTextChar">
    <w:name w:val="Footnote Text Char"/>
    <w:basedOn w:val="DefaultParagraphFont"/>
    <w:link w:val="FootnoteText"/>
    <w:semiHidden/>
    <w:rsid w:val="00F54D2E"/>
    <w:rPr>
      <w:rFonts w:ascii="Arial" w:hAnsi="Arial"/>
      <w:spacing w:val="-5"/>
    </w:rPr>
  </w:style>
  <w:style w:type="character" w:styleId="FootnoteReference">
    <w:name w:val="footnote reference"/>
    <w:basedOn w:val="DefaultParagraphFont"/>
    <w:semiHidden/>
    <w:unhideWhenUsed/>
    <w:rsid w:val="00F54D2E"/>
    <w:rPr>
      <w:vertAlign w:val="superscript"/>
    </w:rPr>
  </w:style>
  <w:style w:type="table" w:styleId="TableGrid">
    <w:name w:val="Table Grid"/>
    <w:basedOn w:val="TableNormal"/>
    <w:uiPriority w:val="59"/>
    <w:rsid w:val="009A175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1 Char"/>
    <w:link w:val="ListParagraph"/>
    <w:uiPriority w:val="34"/>
    <w:rsid w:val="00065ACD"/>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914793">
      <w:bodyDiv w:val="1"/>
      <w:marLeft w:val="0"/>
      <w:marRight w:val="0"/>
      <w:marTop w:val="0"/>
      <w:marBottom w:val="0"/>
      <w:divBdr>
        <w:top w:val="none" w:sz="0" w:space="0" w:color="auto"/>
        <w:left w:val="none" w:sz="0" w:space="0" w:color="auto"/>
        <w:bottom w:val="none" w:sz="0" w:space="0" w:color="auto"/>
        <w:right w:val="none" w:sz="0" w:space="0" w:color="auto"/>
      </w:divBdr>
    </w:div>
    <w:div w:id="560792470">
      <w:bodyDiv w:val="1"/>
      <w:marLeft w:val="0"/>
      <w:marRight w:val="0"/>
      <w:marTop w:val="0"/>
      <w:marBottom w:val="0"/>
      <w:divBdr>
        <w:top w:val="none" w:sz="0" w:space="0" w:color="auto"/>
        <w:left w:val="none" w:sz="0" w:space="0" w:color="auto"/>
        <w:bottom w:val="none" w:sz="0" w:space="0" w:color="auto"/>
        <w:right w:val="none" w:sz="0" w:space="0" w:color="auto"/>
      </w:divBdr>
    </w:div>
    <w:div w:id="699009664">
      <w:bodyDiv w:val="1"/>
      <w:marLeft w:val="0"/>
      <w:marRight w:val="0"/>
      <w:marTop w:val="0"/>
      <w:marBottom w:val="0"/>
      <w:divBdr>
        <w:top w:val="none" w:sz="0" w:space="0" w:color="auto"/>
        <w:left w:val="none" w:sz="0" w:space="0" w:color="auto"/>
        <w:bottom w:val="none" w:sz="0" w:space="0" w:color="auto"/>
        <w:right w:val="none" w:sz="0" w:space="0" w:color="auto"/>
      </w:divBdr>
      <w:divsChild>
        <w:div w:id="1453012275">
          <w:marLeft w:val="0"/>
          <w:marRight w:val="0"/>
          <w:marTop w:val="0"/>
          <w:marBottom w:val="0"/>
          <w:divBdr>
            <w:top w:val="none" w:sz="0" w:space="0" w:color="auto"/>
            <w:left w:val="none" w:sz="0" w:space="0" w:color="auto"/>
            <w:bottom w:val="none" w:sz="0" w:space="0" w:color="auto"/>
            <w:right w:val="none" w:sz="0" w:space="0" w:color="auto"/>
          </w:divBdr>
        </w:div>
        <w:div w:id="1864323255">
          <w:marLeft w:val="0"/>
          <w:marRight w:val="0"/>
          <w:marTop w:val="0"/>
          <w:marBottom w:val="0"/>
          <w:divBdr>
            <w:top w:val="none" w:sz="0" w:space="0" w:color="auto"/>
            <w:left w:val="none" w:sz="0" w:space="0" w:color="auto"/>
            <w:bottom w:val="none" w:sz="0" w:space="0" w:color="auto"/>
            <w:right w:val="none" w:sz="0" w:space="0" w:color="auto"/>
          </w:divBdr>
        </w:div>
        <w:div w:id="683290488">
          <w:marLeft w:val="0"/>
          <w:marRight w:val="0"/>
          <w:marTop w:val="0"/>
          <w:marBottom w:val="0"/>
          <w:divBdr>
            <w:top w:val="none" w:sz="0" w:space="0" w:color="auto"/>
            <w:left w:val="none" w:sz="0" w:space="0" w:color="auto"/>
            <w:bottom w:val="none" w:sz="0" w:space="0" w:color="auto"/>
            <w:right w:val="none" w:sz="0" w:space="0" w:color="auto"/>
          </w:divBdr>
        </w:div>
        <w:div w:id="385762102">
          <w:marLeft w:val="0"/>
          <w:marRight w:val="0"/>
          <w:marTop w:val="0"/>
          <w:marBottom w:val="0"/>
          <w:divBdr>
            <w:top w:val="none" w:sz="0" w:space="0" w:color="auto"/>
            <w:left w:val="none" w:sz="0" w:space="0" w:color="auto"/>
            <w:bottom w:val="none" w:sz="0" w:space="0" w:color="auto"/>
            <w:right w:val="none" w:sz="0" w:space="0" w:color="auto"/>
          </w:divBdr>
        </w:div>
        <w:div w:id="2036688018">
          <w:marLeft w:val="0"/>
          <w:marRight w:val="0"/>
          <w:marTop w:val="0"/>
          <w:marBottom w:val="0"/>
          <w:divBdr>
            <w:top w:val="none" w:sz="0" w:space="0" w:color="auto"/>
            <w:left w:val="none" w:sz="0" w:space="0" w:color="auto"/>
            <w:bottom w:val="none" w:sz="0" w:space="0" w:color="auto"/>
            <w:right w:val="none" w:sz="0" w:space="0" w:color="auto"/>
          </w:divBdr>
        </w:div>
        <w:div w:id="1419255650">
          <w:marLeft w:val="0"/>
          <w:marRight w:val="0"/>
          <w:marTop w:val="0"/>
          <w:marBottom w:val="0"/>
          <w:divBdr>
            <w:top w:val="none" w:sz="0" w:space="0" w:color="auto"/>
            <w:left w:val="none" w:sz="0" w:space="0" w:color="auto"/>
            <w:bottom w:val="none" w:sz="0" w:space="0" w:color="auto"/>
            <w:right w:val="none" w:sz="0" w:space="0" w:color="auto"/>
          </w:divBdr>
        </w:div>
        <w:div w:id="210191794">
          <w:marLeft w:val="0"/>
          <w:marRight w:val="0"/>
          <w:marTop w:val="0"/>
          <w:marBottom w:val="0"/>
          <w:divBdr>
            <w:top w:val="none" w:sz="0" w:space="0" w:color="auto"/>
            <w:left w:val="none" w:sz="0" w:space="0" w:color="auto"/>
            <w:bottom w:val="none" w:sz="0" w:space="0" w:color="auto"/>
            <w:right w:val="none" w:sz="0" w:space="0" w:color="auto"/>
          </w:divBdr>
        </w:div>
        <w:div w:id="1210142589">
          <w:marLeft w:val="0"/>
          <w:marRight w:val="0"/>
          <w:marTop w:val="0"/>
          <w:marBottom w:val="0"/>
          <w:divBdr>
            <w:top w:val="none" w:sz="0" w:space="0" w:color="auto"/>
            <w:left w:val="none" w:sz="0" w:space="0" w:color="auto"/>
            <w:bottom w:val="none" w:sz="0" w:space="0" w:color="auto"/>
            <w:right w:val="none" w:sz="0" w:space="0" w:color="auto"/>
          </w:divBdr>
        </w:div>
        <w:div w:id="479813946">
          <w:marLeft w:val="0"/>
          <w:marRight w:val="0"/>
          <w:marTop w:val="0"/>
          <w:marBottom w:val="0"/>
          <w:divBdr>
            <w:top w:val="none" w:sz="0" w:space="0" w:color="auto"/>
            <w:left w:val="none" w:sz="0" w:space="0" w:color="auto"/>
            <w:bottom w:val="none" w:sz="0" w:space="0" w:color="auto"/>
            <w:right w:val="none" w:sz="0" w:space="0" w:color="auto"/>
          </w:divBdr>
        </w:div>
        <w:div w:id="285308150">
          <w:marLeft w:val="0"/>
          <w:marRight w:val="0"/>
          <w:marTop w:val="0"/>
          <w:marBottom w:val="0"/>
          <w:divBdr>
            <w:top w:val="none" w:sz="0" w:space="0" w:color="auto"/>
            <w:left w:val="none" w:sz="0" w:space="0" w:color="auto"/>
            <w:bottom w:val="none" w:sz="0" w:space="0" w:color="auto"/>
            <w:right w:val="none" w:sz="0" w:space="0" w:color="auto"/>
          </w:divBdr>
        </w:div>
        <w:div w:id="643897722">
          <w:marLeft w:val="0"/>
          <w:marRight w:val="0"/>
          <w:marTop w:val="0"/>
          <w:marBottom w:val="0"/>
          <w:divBdr>
            <w:top w:val="none" w:sz="0" w:space="0" w:color="auto"/>
            <w:left w:val="none" w:sz="0" w:space="0" w:color="auto"/>
            <w:bottom w:val="none" w:sz="0" w:space="0" w:color="auto"/>
            <w:right w:val="none" w:sz="0" w:space="0" w:color="auto"/>
          </w:divBdr>
        </w:div>
        <w:div w:id="1576739436">
          <w:marLeft w:val="0"/>
          <w:marRight w:val="0"/>
          <w:marTop w:val="0"/>
          <w:marBottom w:val="0"/>
          <w:divBdr>
            <w:top w:val="none" w:sz="0" w:space="0" w:color="auto"/>
            <w:left w:val="none" w:sz="0" w:space="0" w:color="auto"/>
            <w:bottom w:val="none" w:sz="0" w:space="0" w:color="auto"/>
            <w:right w:val="none" w:sz="0" w:space="0" w:color="auto"/>
          </w:divBdr>
        </w:div>
        <w:div w:id="492336473">
          <w:marLeft w:val="0"/>
          <w:marRight w:val="0"/>
          <w:marTop w:val="0"/>
          <w:marBottom w:val="0"/>
          <w:divBdr>
            <w:top w:val="none" w:sz="0" w:space="0" w:color="auto"/>
            <w:left w:val="none" w:sz="0" w:space="0" w:color="auto"/>
            <w:bottom w:val="none" w:sz="0" w:space="0" w:color="auto"/>
            <w:right w:val="none" w:sz="0" w:space="0" w:color="auto"/>
          </w:divBdr>
        </w:div>
        <w:div w:id="306980059">
          <w:marLeft w:val="0"/>
          <w:marRight w:val="0"/>
          <w:marTop w:val="0"/>
          <w:marBottom w:val="0"/>
          <w:divBdr>
            <w:top w:val="none" w:sz="0" w:space="0" w:color="auto"/>
            <w:left w:val="none" w:sz="0" w:space="0" w:color="auto"/>
            <w:bottom w:val="none" w:sz="0" w:space="0" w:color="auto"/>
            <w:right w:val="none" w:sz="0" w:space="0" w:color="auto"/>
          </w:divBdr>
        </w:div>
        <w:div w:id="1731416518">
          <w:marLeft w:val="0"/>
          <w:marRight w:val="0"/>
          <w:marTop w:val="0"/>
          <w:marBottom w:val="0"/>
          <w:divBdr>
            <w:top w:val="none" w:sz="0" w:space="0" w:color="auto"/>
            <w:left w:val="none" w:sz="0" w:space="0" w:color="auto"/>
            <w:bottom w:val="none" w:sz="0" w:space="0" w:color="auto"/>
            <w:right w:val="none" w:sz="0" w:space="0" w:color="auto"/>
          </w:divBdr>
        </w:div>
        <w:div w:id="1241407415">
          <w:marLeft w:val="0"/>
          <w:marRight w:val="0"/>
          <w:marTop w:val="0"/>
          <w:marBottom w:val="0"/>
          <w:divBdr>
            <w:top w:val="none" w:sz="0" w:space="0" w:color="auto"/>
            <w:left w:val="none" w:sz="0" w:space="0" w:color="auto"/>
            <w:bottom w:val="none" w:sz="0" w:space="0" w:color="auto"/>
            <w:right w:val="none" w:sz="0" w:space="0" w:color="auto"/>
          </w:divBdr>
        </w:div>
        <w:div w:id="416168291">
          <w:marLeft w:val="0"/>
          <w:marRight w:val="0"/>
          <w:marTop w:val="0"/>
          <w:marBottom w:val="0"/>
          <w:divBdr>
            <w:top w:val="none" w:sz="0" w:space="0" w:color="auto"/>
            <w:left w:val="none" w:sz="0" w:space="0" w:color="auto"/>
            <w:bottom w:val="none" w:sz="0" w:space="0" w:color="auto"/>
            <w:right w:val="none" w:sz="0" w:space="0" w:color="auto"/>
          </w:divBdr>
        </w:div>
        <w:div w:id="710812513">
          <w:marLeft w:val="0"/>
          <w:marRight w:val="0"/>
          <w:marTop w:val="0"/>
          <w:marBottom w:val="0"/>
          <w:divBdr>
            <w:top w:val="none" w:sz="0" w:space="0" w:color="auto"/>
            <w:left w:val="none" w:sz="0" w:space="0" w:color="auto"/>
            <w:bottom w:val="none" w:sz="0" w:space="0" w:color="auto"/>
            <w:right w:val="none" w:sz="0" w:space="0" w:color="auto"/>
          </w:divBdr>
        </w:div>
        <w:div w:id="1571042372">
          <w:marLeft w:val="0"/>
          <w:marRight w:val="0"/>
          <w:marTop w:val="0"/>
          <w:marBottom w:val="0"/>
          <w:divBdr>
            <w:top w:val="none" w:sz="0" w:space="0" w:color="auto"/>
            <w:left w:val="none" w:sz="0" w:space="0" w:color="auto"/>
            <w:bottom w:val="none" w:sz="0" w:space="0" w:color="auto"/>
            <w:right w:val="none" w:sz="0" w:space="0" w:color="auto"/>
          </w:divBdr>
        </w:div>
        <w:div w:id="775759692">
          <w:marLeft w:val="0"/>
          <w:marRight w:val="0"/>
          <w:marTop w:val="0"/>
          <w:marBottom w:val="0"/>
          <w:divBdr>
            <w:top w:val="none" w:sz="0" w:space="0" w:color="auto"/>
            <w:left w:val="none" w:sz="0" w:space="0" w:color="auto"/>
            <w:bottom w:val="none" w:sz="0" w:space="0" w:color="auto"/>
            <w:right w:val="none" w:sz="0" w:space="0" w:color="auto"/>
          </w:divBdr>
        </w:div>
        <w:div w:id="647829479">
          <w:marLeft w:val="0"/>
          <w:marRight w:val="0"/>
          <w:marTop w:val="0"/>
          <w:marBottom w:val="0"/>
          <w:divBdr>
            <w:top w:val="none" w:sz="0" w:space="0" w:color="auto"/>
            <w:left w:val="none" w:sz="0" w:space="0" w:color="auto"/>
            <w:bottom w:val="none" w:sz="0" w:space="0" w:color="auto"/>
            <w:right w:val="none" w:sz="0" w:space="0" w:color="auto"/>
          </w:divBdr>
        </w:div>
        <w:div w:id="156655838">
          <w:marLeft w:val="0"/>
          <w:marRight w:val="0"/>
          <w:marTop w:val="0"/>
          <w:marBottom w:val="0"/>
          <w:divBdr>
            <w:top w:val="none" w:sz="0" w:space="0" w:color="auto"/>
            <w:left w:val="none" w:sz="0" w:space="0" w:color="auto"/>
            <w:bottom w:val="none" w:sz="0" w:space="0" w:color="auto"/>
            <w:right w:val="none" w:sz="0" w:space="0" w:color="auto"/>
          </w:divBdr>
        </w:div>
        <w:div w:id="950626738">
          <w:marLeft w:val="0"/>
          <w:marRight w:val="0"/>
          <w:marTop w:val="0"/>
          <w:marBottom w:val="0"/>
          <w:divBdr>
            <w:top w:val="none" w:sz="0" w:space="0" w:color="auto"/>
            <w:left w:val="none" w:sz="0" w:space="0" w:color="auto"/>
            <w:bottom w:val="none" w:sz="0" w:space="0" w:color="auto"/>
            <w:right w:val="none" w:sz="0" w:space="0" w:color="auto"/>
          </w:divBdr>
        </w:div>
        <w:div w:id="2078361290">
          <w:marLeft w:val="0"/>
          <w:marRight w:val="0"/>
          <w:marTop w:val="0"/>
          <w:marBottom w:val="0"/>
          <w:divBdr>
            <w:top w:val="none" w:sz="0" w:space="0" w:color="auto"/>
            <w:left w:val="none" w:sz="0" w:space="0" w:color="auto"/>
            <w:bottom w:val="none" w:sz="0" w:space="0" w:color="auto"/>
            <w:right w:val="none" w:sz="0" w:space="0" w:color="auto"/>
          </w:divBdr>
        </w:div>
        <w:div w:id="1360668541">
          <w:marLeft w:val="0"/>
          <w:marRight w:val="0"/>
          <w:marTop w:val="0"/>
          <w:marBottom w:val="0"/>
          <w:divBdr>
            <w:top w:val="none" w:sz="0" w:space="0" w:color="auto"/>
            <w:left w:val="none" w:sz="0" w:space="0" w:color="auto"/>
            <w:bottom w:val="none" w:sz="0" w:space="0" w:color="auto"/>
            <w:right w:val="none" w:sz="0" w:space="0" w:color="auto"/>
          </w:divBdr>
        </w:div>
        <w:div w:id="1946034437">
          <w:marLeft w:val="0"/>
          <w:marRight w:val="0"/>
          <w:marTop w:val="0"/>
          <w:marBottom w:val="0"/>
          <w:divBdr>
            <w:top w:val="none" w:sz="0" w:space="0" w:color="auto"/>
            <w:left w:val="none" w:sz="0" w:space="0" w:color="auto"/>
            <w:bottom w:val="none" w:sz="0" w:space="0" w:color="auto"/>
            <w:right w:val="none" w:sz="0" w:space="0" w:color="auto"/>
          </w:divBdr>
        </w:div>
        <w:div w:id="1470200576">
          <w:marLeft w:val="0"/>
          <w:marRight w:val="0"/>
          <w:marTop w:val="0"/>
          <w:marBottom w:val="0"/>
          <w:divBdr>
            <w:top w:val="none" w:sz="0" w:space="0" w:color="auto"/>
            <w:left w:val="none" w:sz="0" w:space="0" w:color="auto"/>
            <w:bottom w:val="none" w:sz="0" w:space="0" w:color="auto"/>
            <w:right w:val="none" w:sz="0" w:space="0" w:color="auto"/>
          </w:divBdr>
        </w:div>
        <w:div w:id="1408458802">
          <w:marLeft w:val="0"/>
          <w:marRight w:val="0"/>
          <w:marTop w:val="0"/>
          <w:marBottom w:val="0"/>
          <w:divBdr>
            <w:top w:val="none" w:sz="0" w:space="0" w:color="auto"/>
            <w:left w:val="none" w:sz="0" w:space="0" w:color="auto"/>
            <w:bottom w:val="none" w:sz="0" w:space="0" w:color="auto"/>
            <w:right w:val="none" w:sz="0" w:space="0" w:color="auto"/>
          </w:divBdr>
        </w:div>
        <w:div w:id="116219793">
          <w:marLeft w:val="0"/>
          <w:marRight w:val="0"/>
          <w:marTop w:val="0"/>
          <w:marBottom w:val="0"/>
          <w:divBdr>
            <w:top w:val="none" w:sz="0" w:space="0" w:color="auto"/>
            <w:left w:val="none" w:sz="0" w:space="0" w:color="auto"/>
            <w:bottom w:val="none" w:sz="0" w:space="0" w:color="auto"/>
            <w:right w:val="none" w:sz="0" w:space="0" w:color="auto"/>
          </w:divBdr>
        </w:div>
        <w:div w:id="1756046060">
          <w:marLeft w:val="0"/>
          <w:marRight w:val="0"/>
          <w:marTop w:val="0"/>
          <w:marBottom w:val="0"/>
          <w:divBdr>
            <w:top w:val="none" w:sz="0" w:space="0" w:color="auto"/>
            <w:left w:val="none" w:sz="0" w:space="0" w:color="auto"/>
            <w:bottom w:val="none" w:sz="0" w:space="0" w:color="auto"/>
            <w:right w:val="none" w:sz="0" w:space="0" w:color="auto"/>
          </w:divBdr>
        </w:div>
        <w:div w:id="1403335426">
          <w:marLeft w:val="0"/>
          <w:marRight w:val="0"/>
          <w:marTop w:val="0"/>
          <w:marBottom w:val="0"/>
          <w:divBdr>
            <w:top w:val="none" w:sz="0" w:space="0" w:color="auto"/>
            <w:left w:val="none" w:sz="0" w:space="0" w:color="auto"/>
            <w:bottom w:val="none" w:sz="0" w:space="0" w:color="auto"/>
            <w:right w:val="none" w:sz="0" w:space="0" w:color="auto"/>
          </w:divBdr>
        </w:div>
        <w:div w:id="1725717623">
          <w:marLeft w:val="0"/>
          <w:marRight w:val="0"/>
          <w:marTop w:val="0"/>
          <w:marBottom w:val="0"/>
          <w:divBdr>
            <w:top w:val="none" w:sz="0" w:space="0" w:color="auto"/>
            <w:left w:val="none" w:sz="0" w:space="0" w:color="auto"/>
            <w:bottom w:val="none" w:sz="0" w:space="0" w:color="auto"/>
            <w:right w:val="none" w:sz="0" w:space="0" w:color="auto"/>
          </w:divBdr>
        </w:div>
        <w:div w:id="1968856780">
          <w:marLeft w:val="0"/>
          <w:marRight w:val="0"/>
          <w:marTop w:val="0"/>
          <w:marBottom w:val="0"/>
          <w:divBdr>
            <w:top w:val="none" w:sz="0" w:space="0" w:color="auto"/>
            <w:left w:val="none" w:sz="0" w:space="0" w:color="auto"/>
            <w:bottom w:val="none" w:sz="0" w:space="0" w:color="auto"/>
            <w:right w:val="none" w:sz="0" w:space="0" w:color="auto"/>
          </w:divBdr>
        </w:div>
        <w:div w:id="1329677765">
          <w:marLeft w:val="0"/>
          <w:marRight w:val="0"/>
          <w:marTop w:val="0"/>
          <w:marBottom w:val="0"/>
          <w:divBdr>
            <w:top w:val="none" w:sz="0" w:space="0" w:color="auto"/>
            <w:left w:val="none" w:sz="0" w:space="0" w:color="auto"/>
            <w:bottom w:val="none" w:sz="0" w:space="0" w:color="auto"/>
            <w:right w:val="none" w:sz="0" w:space="0" w:color="auto"/>
          </w:divBdr>
        </w:div>
        <w:div w:id="1150320233">
          <w:marLeft w:val="0"/>
          <w:marRight w:val="0"/>
          <w:marTop w:val="0"/>
          <w:marBottom w:val="0"/>
          <w:divBdr>
            <w:top w:val="none" w:sz="0" w:space="0" w:color="auto"/>
            <w:left w:val="none" w:sz="0" w:space="0" w:color="auto"/>
            <w:bottom w:val="none" w:sz="0" w:space="0" w:color="auto"/>
            <w:right w:val="none" w:sz="0" w:space="0" w:color="auto"/>
          </w:divBdr>
        </w:div>
        <w:div w:id="855771700">
          <w:marLeft w:val="0"/>
          <w:marRight w:val="0"/>
          <w:marTop w:val="0"/>
          <w:marBottom w:val="0"/>
          <w:divBdr>
            <w:top w:val="none" w:sz="0" w:space="0" w:color="auto"/>
            <w:left w:val="none" w:sz="0" w:space="0" w:color="auto"/>
            <w:bottom w:val="none" w:sz="0" w:space="0" w:color="auto"/>
            <w:right w:val="none" w:sz="0" w:space="0" w:color="auto"/>
          </w:divBdr>
        </w:div>
        <w:div w:id="1908369893">
          <w:marLeft w:val="0"/>
          <w:marRight w:val="0"/>
          <w:marTop w:val="0"/>
          <w:marBottom w:val="0"/>
          <w:divBdr>
            <w:top w:val="none" w:sz="0" w:space="0" w:color="auto"/>
            <w:left w:val="none" w:sz="0" w:space="0" w:color="auto"/>
            <w:bottom w:val="none" w:sz="0" w:space="0" w:color="auto"/>
            <w:right w:val="none" w:sz="0" w:space="0" w:color="auto"/>
          </w:divBdr>
        </w:div>
        <w:div w:id="477840197">
          <w:marLeft w:val="0"/>
          <w:marRight w:val="0"/>
          <w:marTop w:val="0"/>
          <w:marBottom w:val="0"/>
          <w:divBdr>
            <w:top w:val="none" w:sz="0" w:space="0" w:color="auto"/>
            <w:left w:val="none" w:sz="0" w:space="0" w:color="auto"/>
            <w:bottom w:val="none" w:sz="0" w:space="0" w:color="auto"/>
            <w:right w:val="none" w:sz="0" w:space="0" w:color="auto"/>
          </w:divBdr>
        </w:div>
        <w:div w:id="1268735931">
          <w:marLeft w:val="0"/>
          <w:marRight w:val="0"/>
          <w:marTop w:val="0"/>
          <w:marBottom w:val="0"/>
          <w:divBdr>
            <w:top w:val="none" w:sz="0" w:space="0" w:color="auto"/>
            <w:left w:val="none" w:sz="0" w:space="0" w:color="auto"/>
            <w:bottom w:val="none" w:sz="0" w:space="0" w:color="auto"/>
            <w:right w:val="none" w:sz="0" w:space="0" w:color="auto"/>
          </w:divBdr>
        </w:div>
        <w:div w:id="928008146">
          <w:marLeft w:val="0"/>
          <w:marRight w:val="0"/>
          <w:marTop w:val="0"/>
          <w:marBottom w:val="0"/>
          <w:divBdr>
            <w:top w:val="none" w:sz="0" w:space="0" w:color="auto"/>
            <w:left w:val="none" w:sz="0" w:space="0" w:color="auto"/>
            <w:bottom w:val="none" w:sz="0" w:space="0" w:color="auto"/>
            <w:right w:val="none" w:sz="0" w:space="0" w:color="auto"/>
          </w:divBdr>
        </w:div>
        <w:div w:id="1754352312">
          <w:marLeft w:val="0"/>
          <w:marRight w:val="0"/>
          <w:marTop w:val="0"/>
          <w:marBottom w:val="0"/>
          <w:divBdr>
            <w:top w:val="none" w:sz="0" w:space="0" w:color="auto"/>
            <w:left w:val="none" w:sz="0" w:space="0" w:color="auto"/>
            <w:bottom w:val="none" w:sz="0" w:space="0" w:color="auto"/>
            <w:right w:val="none" w:sz="0" w:space="0" w:color="auto"/>
          </w:divBdr>
        </w:div>
        <w:div w:id="223488734">
          <w:marLeft w:val="0"/>
          <w:marRight w:val="0"/>
          <w:marTop w:val="0"/>
          <w:marBottom w:val="0"/>
          <w:divBdr>
            <w:top w:val="none" w:sz="0" w:space="0" w:color="auto"/>
            <w:left w:val="none" w:sz="0" w:space="0" w:color="auto"/>
            <w:bottom w:val="none" w:sz="0" w:space="0" w:color="auto"/>
            <w:right w:val="none" w:sz="0" w:space="0" w:color="auto"/>
          </w:divBdr>
        </w:div>
      </w:divsChild>
    </w:div>
    <w:div w:id="78407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acmatters@iso-n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cmatters@iso-ne.co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edlacek\Appdata\Roaming\Microsoft\Templates\iso_memo_internal%20use.dotx"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6B2C2-C9CA-4C47-B0E9-FD1BE3DBA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iso_memo_internal use.dotx</Template>
  <TotalTime>64</TotalTime>
  <Pages>7</Pages>
  <Words>1741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ISO New England</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shaas</dc:creator>
  <cp:lastModifiedBy>Erin Camp</cp:lastModifiedBy>
  <cp:revision>6</cp:revision>
  <cp:lastPrinted>2019-04-09T17:07:00Z</cp:lastPrinted>
  <dcterms:created xsi:type="dcterms:W3CDTF">2019-07-16T13:30:00Z</dcterms:created>
  <dcterms:modified xsi:type="dcterms:W3CDTF">2019-07-23T20:49:00Z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