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2D5" w:rsidRPr="00EA2DA8" w:rsidRDefault="00B152D5" w:rsidP="00B152D5">
      <w:pPr>
        <w:pStyle w:val="Heading3C0"/>
        <w:rPr>
          <w:szCs w:val="24"/>
          <w:u w:val="single"/>
        </w:rPr>
      </w:pPr>
      <w:bookmarkStart w:id="0" w:name="_GoBack"/>
      <w:bookmarkEnd w:id="0"/>
      <w:r w:rsidRPr="00EA2DA8">
        <w:rPr>
          <w:szCs w:val="24"/>
          <w:u w:val="single"/>
        </w:rPr>
        <w:t>M E M O R A N D U M</w:t>
      </w:r>
    </w:p>
    <w:p w:rsidR="00B152D5" w:rsidRPr="00EA2DA8" w:rsidRDefault="00B152D5" w:rsidP="00B152D5">
      <w:pPr>
        <w:pStyle w:val="MHeader"/>
        <w:jc w:val="both"/>
        <w:rPr>
          <w:sz w:val="24"/>
          <w:szCs w:val="24"/>
        </w:rPr>
      </w:pPr>
      <w:r w:rsidRPr="00EA2DA8">
        <w:rPr>
          <w:b/>
          <w:sz w:val="24"/>
          <w:szCs w:val="24"/>
        </w:rPr>
        <w:t>TO:</w:t>
      </w:r>
      <w:r w:rsidRPr="00EA2DA8">
        <w:rPr>
          <w:b/>
          <w:sz w:val="24"/>
          <w:szCs w:val="24"/>
        </w:rPr>
        <w:tab/>
      </w:r>
      <w:r w:rsidRPr="00EA2DA8">
        <w:rPr>
          <w:sz w:val="24"/>
          <w:szCs w:val="24"/>
        </w:rPr>
        <w:t>Transmission Committee</w:t>
      </w:r>
    </w:p>
    <w:p w:rsidR="00B152D5" w:rsidRPr="00EA2DA8" w:rsidRDefault="00B152D5" w:rsidP="00B152D5">
      <w:pPr>
        <w:pStyle w:val="MHeader"/>
        <w:jc w:val="both"/>
        <w:outlineLvl w:val="0"/>
        <w:rPr>
          <w:sz w:val="24"/>
          <w:szCs w:val="24"/>
        </w:rPr>
      </w:pPr>
      <w:r w:rsidRPr="00EA2DA8">
        <w:rPr>
          <w:b/>
          <w:sz w:val="24"/>
          <w:szCs w:val="24"/>
        </w:rPr>
        <w:t>FROM:</w:t>
      </w:r>
      <w:r w:rsidRPr="00EA2DA8">
        <w:rPr>
          <w:b/>
          <w:sz w:val="24"/>
          <w:szCs w:val="24"/>
        </w:rPr>
        <w:tab/>
      </w:r>
      <w:r w:rsidRPr="00EA2DA8">
        <w:rPr>
          <w:sz w:val="24"/>
          <w:szCs w:val="24"/>
        </w:rPr>
        <w:t>Eric Runge</w:t>
      </w:r>
      <w:r w:rsidR="001E601F" w:rsidRPr="00EA2DA8">
        <w:rPr>
          <w:sz w:val="24"/>
          <w:szCs w:val="24"/>
        </w:rPr>
        <w:t xml:space="preserve"> </w:t>
      </w:r>
    </w:p>
    <w:p w:rsidR="00B152D5" w:rsidRPr="00EA2DA8" w:rsidRDefault="00B152D5" w:rsidP="00B152D5">
      <w:pPr>
        <w:pStyle w:val="MHeader"/>
        <w:jc w:val="both"/>
        <w:rPr>
          <w:sz w:val="24"/>
          <w:szCs w:val="24"/>
        </w:rPr>
      </w:pPr>
      <w:r w:rsidRPr="00EA2DA8">
        <w:rPr>
          <w:b/>
          <w:sz w:val="24"/>
          <w:szCs w:val="24"/>
        </w:rPr>
        <w:t>DATE:</w:t>
      </w:r>
      <w:r w:rsidRPr="00EA2DA8">
        <w:rPr>
          <w:b/>
          <w:sz w:val="24"/>
          <w:szCs w:val="24"/>
        </w:rPr>
        <w:tab/>
      </w:r>
      <w:r w:rsidR="001E5C0B" w:rsidRPr="00EA2DA8">
        <w:rPr>
          <w:sz w:val="24"/>
          <w:szCs w:val="24"/>
        </w:rPr>
        <w:t>November 25</w:t>
      </w:r>
      <w:r w:rsidR="00854582" w:rsidRPr="00EA2DA8">
        <w:rPr>
          <w:sz w:val="24"/>
          <w:szCs w:val="24"/>
        </w:rPr>
        <w:t>, 2019</w:t>
      </w:r>
    </w:p>
    <w:p w:rsidR="00B152D5" w:rsidRPr="00EA2DA8" w:rsidRDefault="00B152D5" w:rsidP="00B152D5">
      <w:pPr>
        <w:pStyle w:val="MHeaderLast"/>
        <w:spacing w:after="120"/>
        <w:jc w:val="both"/>
        <w:rPr>
          <w:sz w:val="24"/>
          <w:szCs w:val="24"/>
        </w:rPr>
      </w:pPr>
      <w:r w:rsidRPr="00EA2DA8">
        <w:rPr>
          <w:b/>
          <w:sz w:val="24"/>
          <w:szCs w:val="24"/>
        </w:rPr>
        <w:t>RE:</w:t>
      </w:r>
      <w:r w:rsidRPr="00EA2DA8">
        <w:rPr>
          <w:b/>
          <w:sz w:val="24"/>
          <w:szCs w:val="24"/>
        </w:rPr>
        <w:tab/>
      </w:r>
      <w:r w:rsidR="00864EBB" w:rsidRPr="00EA2DA8">
        <w:rPr>
          <w:sz w:val="24"/>
          <w:szCs w:val="24"/>
        </w:rPr>
        <w:t>FERC</w:t>
      </w:r>
      <w:r w:rsidR="001E5C0B" w:rsidRPr="00EA2DA8">
        <w:rPr>
          <w:sz w:val="24"/>
          <w:szCs w:val="24"/>
        </w:rPr>
        <w:t xml:space="preserve"> </w:t>
      </w:r>
      <w:r w:rsidR="008A7230" w:rsidRPr="00EA2DA8">
        <w:rPr>
          <w:sz w:val="24"/>
          <w:szCs w:val="24"/>
        </w:rPr>
        <w:t>Opinion</w:t>
      </w:r>
      <w:r w:rsidR="00F80016" w:rsidRPr="00EA2DA8">
        <w:rPr>
          <w:sz w:val="24"/>
          <w:szCs w:val="24"/>
        </w:rPr>
        <w:t xml:space="preserve"> </w:t>
      </w:r>
      <w:r w:rsidR="001E5C0B" w:rsidRPr="00EA2DA8">
        <w:rPr>
          <w:sz w:val="24"/>
          <w:szCs w:val="24"/>
        </w:rPr>
        <w:t xml:space="preserve">No. 569 </w:t>
      </w:r>
      <w:r w:rsidR="00F80016" w:rsidRPr="00EA2DA8">
        <w:rPr>
          <w:sz w:val="24"/>
          <w:szCs w:val="24"/>
        </w:rPr>
        <w:t>on</w:t>
      </w:r>
      <w:r w:rsidR="001E5C0B" w:rsidRPr="00EA2DA8">
        <w:rPr>
          <w:sz w:val="24"/>
          <w:szCs w:val="24"/>
        </w:rPr>
        <w:t xml:space="preserve"> Base ROE Methodology</w:t>
      </w:r>
      <w:r w:rsidRPr="00EA2DA8">
        <w:rPr>
          <w:sz w:val="24"/>
          <w:szCs w:val="24"/>
        </w:rPr>
        <w:tab/>
      </w:r>
    </w:p>
    <w:p w:rsidR="00AA3619" w:rsidRDefault="00B152D5" w:rsidP="00C153C4">
      <w:pPr>
        <w:spacing w:after="200" w:line="276" w:lineRule="auto"/>
        <w:ind w:firstLine="720"/>
        <w:jc w:val="both"/>
      </w:pPr>
      <w:r>
        <w:t>This memora</w:t>
      </w:r>
      <w:r w:rsidR="001E5C0B">
        <w:t>ndum briefly summarizes the Novem</w:t>
      </w:r>
      <w:r>
        <w:t xml:space="preserve">ber </w:t>
      </w:r>
      <w:r w:rsidR="001E5C0B">
        <w:t>21</w:t>
      </w:r>
      <w:r w:rsidR="00854582">
        <w:t>, 2019</w:t>
      </w:r>
      <w:r w:rsidR="00630FEF">
        <w:t xml:space="preserve">, </w:t>
      </w:r>
      <w:r>
        <w:t xml:space="preserve">order of the Federal Energy Regulatory Commission (the “FERC” or the “Commission”) </w:t>
      </w:r>
      <w:r w:rsidR="001E5C0B">
        <w:t xml:space="preserve">regarding the methodology it will use to </w:t>
      </w:r>
      <w:r w:rsidR="00021FB7">
        <w:t xml:space="preserve">evaluate and set </w:t>
      </w:r>
      <w:r w:rsidR="001E5C0B">
        <w:t>a just and reasonable base return on equity (“ROE”)</w:t>
      </w:r>
      <w:r w:rsidR="00C153C4">
        <w:t xml:space="preserve"> </w:t>
      </w:r>
      <w:r w:rsidR="00021FB7">
        <w:t xml:space="preserve">for transmission rates </w:t>
      </w:r>
      <w:r w:rsidR="008A7230">
        <w:t xml:space="preserve">(“Opinion </w:t>
      </w:r>
      <w:r w:rsidR="00CC258F">
        <w:t xml:space="preserve">No. </w:t>
      </w:r>
      <w:r w:rsidR="00C153C4">
        <w:t>569</w:t>
      </w:r>
      <w:r w:rsidR="008A7230">
        <w:t>”</w:t>
      </w:r>
      <w:r w:rsidR="00C153C4">
        <w:t>)</w:t>
      </w:r>
      <w:r w:rsidR="001E5C0B">
        <w:t>.</w:t>
      </w:r>
      <w:r w:rsidR="00C153C4">
        <w:rPr>
          <w:rStyle w:val="FootnoteReference"/>
        </w:rPr>
        <w:footnoteReference w:id="1"/>
      </w:r>
      <w:r w:rsidR="001E5C0B">
        <w:t xml:space="preserve">  The order was issued in certain MISO R</w:t>
      </w:r>
      <w:r w:rsidR="00CC258F">
        <w:t>OE complaint proceedings but will have</w:t>
      </w:r>
      <w:r w:rsidR="001E5C0B">
        <w:t xml:space="preserve"> </w:t>
      </w:r>
      <w:r w:rsidR="00C153C4">
        <w:t>generic applicability to the FERC’s methodology for determining a just and reasonable ROE.</w:t>
      </w:r>
      <w:r w:rsidR="00C153C4">
        <w:rPr>
          <w:rStyle w:val="FootnoteReference"/>
        </w:rPr>
        <w:footnoteReference w:id="2"/>
      </w:r>
      <w:r w:rsidR="00C153C4">
        <w:t xml:space="preserve"> </w:t>
      </w:r>
      <w:r w:rsidR="00854582">
        <w:t xml:space="preserve"> </w:t>
      </w:r>
      <w:r w:rsidR="00CC258F">
        <w:t xml:space="preserve">Although Opinion 569 does not make specific determinations in the New England ROE proceeding, </w:t>
      </w:r>
      <w:r w:rsidR="00AE2C1A">
        <w:t xml:space="preserve">it is likely that </w:t>
      </w:r>
      <w:r w:rsidR="00CC258F">
        <w:t>such determinations will be made consistent with those in Opinion 56</w:t>
      </w:r>
      <w:r w:rsidR="003C4DB9">
        <w:t>9</w:t>
      </w:r>
      <w:r w:rsidR="00CC258F">
        <w:t xml:space="preserve"> in a subsequent order.</w:t>
      </w:r>
      <w:r w:rsidR="00854582">
        <w:t xml:space="preserve"> </w:t>
      </w:r>
    </w:p>
    <w:p w:rsidR="00A40BDF" w:rsidRPr="00004684" w:rsidRDefault="00CC2499" w:rsidP="00004684">
      <w:pPr>
        <w:spacing w:after="200" w:line="276" w:lineRule="auto"/>
        <w:ind w:firstLine="720"/>
        <w:jc w:val="both"/>
      </w:pPr>
      <w:r>
        <w:t>In Opinion</w:t>
      </w:r>
      <w:r w:rsidR="00C153C4">
        <w:t xml:space="preserve"> </w:t>
      </w:r>
      <w:r w:rsidR="00CC258F">
        <w:t xml:space="preserve">No. </w:t>
      </w:r>
      <w:r w:rsidR="00C153C4">
        <w:t>569 the Commission adopts a</w:t>
      </w:r>
      <w:r w:rsidR="00021FB7">
        <w:t>n ROE</w:t>
      </w:r>
      <w:r w:rsidR="00C153C4">
        <w:t xml:space="preserve"> methodology that includes use of </w:t>
      </w:r>
      <w:r w:rsidR="00C153C4" w:rsidRPr="00C153C4">
        <w:t xml:space="preserve">the </w:t>
      </w:r>
      <w:r w:rsidR="00C153C4">
        <w:t>discounted cash flow (“</w:t>
      </w:r>
      <w:r w:rsidR="00C153C4" w:rsidRPr="00C153C4">
        <w:t>DCF</w:t>
      </w:r>
      <w:r w:rsidR="00C153C4">
        <w:t>”)</w:t>
      </w:r>
      <w:r w:rsidR="00C153C4" w:rsidRPr="00C153C4">
        <w:t xml:space="preserve"> model and </w:t>
      </w:r>
      <w:r w:rsidR="00C153C4">
        <w:t xml:space="preserve">the </w:t>
      </w:r>
      <w:r w:rsidR="00C153C4" w:rsidRPr="00C153C4">
        <w:t xml:space="preserve">capital asset pricing model </w:t>
      </w:r>
      <w:r w:rsidR="00C153C4">
        <w:t xml:space="preserve">(“CAPM”) </w:t>
      </w:r>
      <w:r w:rsidR="00C153C4" w:rsidRPr="00C153C4">
        <w:t xml:space="preserve">to determine if an existing base ROE is unjust and unreasonable, and, if so, what replacement ROE is appropriate. </w:t>
      </w:r>
      <w:r>
        <w:t xml:space="preserve"> </w:t>
      </w:r>
      <w:r w:rsidR="00C153C4" w:rsidRPr="00C153C4">
        <w:t>The Commission found these models are the two methods investors most commonly use to estimate the cost of equity. The Commission also stated it will use ranges of presumptively just and reasonable ROEs in its analysis of whether existing ROEs have become unjust and unreasonable.</w:t>
      </w:r>
      <w:r w:rsidR="00C153C4">
        <w:t xml:space="preserve">  Provided belo</w:t>
      </w:r>
      <w:r w:rsidR="00CC258F">
        <w:t>w is a brief background to Opinion</w:t>
      </w:r>
      <w:r w:rsidR="00C153C4">
        <w:t xml:space="preserve"> </w:t>
      </w:r>
      <w:r w:rsidR="00CC258F">
        <w:t xml:space="preserve">No. </w:t>
      </w:r>
      <w:r w:rsidR="00C153C4">
        <w:t xml:space="preserve">569 and a summary of </w:t>
      </w:r>
      <w:r w:rsidR="00021FB7">
        <w:t xml:space="preserve">those of </w:t>
      </w:r>
      <w:r w:rsidR="00C153C4">
        <w:t xml:space="preserve">its key determinations that are generically applicable and not specific to the MISO ROE cases.  </w:t>
      </w:r>
      <w:r w:rsidR="00244CE4">
        <w:t xml:space="preserve">If you have any questions about this memo or its subject matter, please contact NEPOOL counsel, Eric Runge, </w:t>
      </w:r>
      <w:hyperlink r:id="rId8" w:history="1">
        <w:r w:rsidR="00244CE4" w:rsidRPr="003A5EFE">
          <w:rPr>
            <w:rStyle w:val="Hyperlink"/>
          </w:rPr>
          <w:t>ekrunge@daypitney.com</w:t>
        </w:r>
      </w:hyperlink>
      <w:r w:rsidR="00244CE4">
        <w:t xml:space="preserve">, (617)-345-4735.  </w:t>
      </w:r>
    </w:p>
    <w:p w:rsidR="0098430E" w:rsidRDefault="00AA3619" w:rsidP="009333F6">
      <w:pPr>
        <w:spacing w:after="240"/>
        <w:jc w:val="both"/>
        <w:rPr>
          <w:b/>
          <w:u w:val="single"/>
        </w:rPr>
      </w:pPr>
      <w:r w:rsidRPr="00AA3619">
        <w:rPr>
          <w:b/>
          <w:u w:val="single"/>
        </w:rPr>
        <w:t>Background</w:t>
      </w:r>
    </w:p>
    <w:p w:rsidR="00AA3619" w:rsidRDefault="00CC2499" w:rsidP="009333F6">
      <w:pPr>
        <w:spacing w:after="200" w:line="276" w:lineRule="auto"/>
        <w:ind w:firstLine="720"/>
        <w:jc w:val="both"/>
      </w:pPr>
      <w:r>
        <w:t>Opinion</w:t>
      </w:r>
      <w:r w:rsidR="00AA3619">
        <w:t xml:space="preserve"> </w:t>
      </w:r>
      <w:r w:rsidR="00CC258F">
        <w:t xml:space="preserve">No. </w:t>
      </w:r>
      <w:r w:rsidR="00AA3619">
        <w:t xml:space="preserve">569 arose out of </w:t>
      </w:r>
      <w:r>
        <w:t xml:space="preserve">not only the specific </w:t>
      </w:r>
      <w:r w:rsidR="00AA3619">
        <w:t>MISO ROE</w:t>
      </w:r>
      <w:r>
        <w:t xml:space="preserve"> complaint proceedings, but also the New England ROE proceedings</w:t>
      </w:r>
      <w:r w:rsidR="000B79CE">
        <w:t xml:space="preserve"> that commenced in 2011</w:t>
      </w:r>
      <w:r w:rsidR="00484640">
        <w:rPr>
          <w:rStyle w:val="FootnoteReference"/>
        </w:rPr>
        <w:footnoteReference w:id="3"/>
      </w:r>
      <w:r w:rsidR="00484640">
        <w:t xml:space="preserve"> and the</w:t>
      </w:r>
      <w:r>
        <w:t xml:space="preserve"> </w:t>
      </w:r>
      <w:r w:rsidR="000B79CE">
        <w:t xml:space="preserve">2017 </w:t>
      </w:r>
      <w:r>
        <w:t xml:space="preserve">appellate court </w:t>
      </w:r>
      <w:r>
        <w:lastRenderedPageBreak/>
        <w:t>decision related to them.</w:t>
      </w:r>
      <w:r w:rsidR="00484640">
        <w:rPr>
          <w:rStyle w:val="FootnoteReference"/>
        </w:rPr>
        <w:footnoteReference w:id="4"/>
      </w:r>
      <w:r>
        <w:t xml:space="preserve"> </w:t>
      </w:r>
      <w:r w:rsidR="00AA3619">
        <w:t xml:space="preserve"> </w:t>
      </w:r>
      <w:r w:rsidR="00484640">
        <w:t xml:space="preserve">In </w:t>
      </w:r>
      <w:r w:rsidR="00AE2C1A">
        <w:t>its first order in the New England ROE proceedings (</w:t>
      </w:r>
      <w:r w:rsidR="00484640">
        <w:t xml:space="preserve">Opinion </w:t>
      </w:r>
      <w:r w:rsidR="00CC258F">
        <w:t xml:space="preserve">No. </w:t>
      </w:r>
      <w:r w:rsidR="00484640">
        <w:t>531</w:t>
      </w:r>
      <w:r w:rsidR="00AE2C1A">
        <w:t>)</w:t>
      </w:r>
      <w:r w:rsidR="000B79CE">
        <w:t>,</w:t>
      </w:r>
      <w:r w:rsidR="00484640">
        <w:t xml:space="preserve"> the Commission changed its method for evaluating and setting the base ROE by adopting a two-step DCF analysis that includes looking </w:t>
      </w:r>
      <w:r w:rsidR="00CC258F">
        <w:t xml:space="preserve">at </w:t>
      </w:r>
      <w:r w:rsidR="00956EC6">
        <w:t xml:space="preserve">both short- and long-term growth projections, instead of its previous use of a one-step DCF analysis that considered only short-term growth projections.  In Opinion </w:t>
      </w:r>
      <w:r w:rsidR="00CC258F">
        <w:t xml:space="preserve">No. </w:t>
      </w:r>
      <w:r w:rsidR="00956EC6">
        <w:t xml:space="preserve">531 the Commission also departed from its practice of setting the just and reasonable ROE of a group of utilities at the midpoint of the zone of reasonableness.  Instead, citing </w:t>
      </w:r>
      <w:r w:rsidR="000B79CE">
        <w:t>“</w:t>
      </w:r>
      <w:r w:rsidR="00956EC6">
        <w:t>anomalous</w:t>
      </w:r>
      <w:r w:rsidR="000B79CE">
        <w:t>”</w:t>
      </w:r>
      <w:r w:rsidR="00956EC6">
        <w:t xml:space="preserve"> market conditions</w:t>
      </w:r>
      <w:r w:rsidR="000B79CE">
        <w:t xml:space="preserve"> requiring a greater incentive to attract capital</w:t>
      </w:r>
      <w:r w:rsidR="00956EC6">
        <w:t xml:space="preserve">, the Commission set the just and reasonable base ROE at the </w:t>
      </w:r>
      <w:r w:rsidR="00956EC6" w:rsidRPr="00956EC6">
        <w:t>midpoint of the upper half of the zone of reasonableness produced by the two-step DCF model</w:t>
      </w:r>
      <w:r w:rsidR="00CC258F">
        <w:t>.</w:t>
      </w:r>
      <w:r w:rsidR="00956EC6">
        <w:t xml:space="preserve">  </w:t>
      </w:r>
    </w:p>
    <w:p w:rsidR="00BF4842" w:rsidRDefault="000B79CE" w:rsidP="00956EC6">
      <w:pPr>
        <w:spacing w:after="200" w:line="276" w:lineRule="auto"/>
        <w:jc w:val="both"/>
      </w:pPr>
      <w:r>
        <w:tab/>
        <w:t>In MISO</w:t>
      </w:r>
      <w:r w:rsidR="00F8346E">
        <w:t>,</w:t>
      </w:r>
      <w:r>
        <w:t xml:space="preserve"> similar complaint proceedings to those occurring in New England were initiated in 2013, and following a hearing and an Administrative Law </w:t>
      </w:r>
      <w:r w:rsidR="00F5478C">
        <w:t>Judge Initial D</w:t>
      </w:r>
      <w:r>
        <w:t>ecision the Commission issued Opinion No. 551</w:t>
      </w:r>
      <w:r w:rsidR="00BF4842">
        <w:t>, relying on its reasoning and new method of evaluating and setting the base ROE articulated in Opinion No. 531</w:t>
      </w:r>
      <w:r>
        <w:t>.</w:t>
      </w:r>
      <w:r>
        <w:rPr>
          <w:rStyle w:val="FootnoteReference"/>
        </w:rPr>
        <w:footnoteReference w:id="5"/>
      </w:r>
      <w:r>
        <w:t xml:space="preserve">  In Opinion 551</w:t>
      </w:r>
      <w:r w:rsidR="00F5478C">
        <w:t>, the Commission affirmed the Initial Decision and its reliance on the two-step DCF methodology and departure from the midpoint of the zone of reasonableness as applied to the facts of the MISO complaint.</w:t>
      </w:r>
      <w:r w:rsidR="00F5478C">
        <w:rPr>
          <w:rStyle w:val="FootnoteReference"/>
        </w:rPr>
        <w:footnoteReference w:id="6"/>
      </w:r>
      <w:r w:rsidR="00F5478C">
        <w:t xml:space="preserve"> </w:t>
      </w:r>
    </w:p>
    <w:p w:rsidR="00BF4842" w:rsidRDefault="00BF4842" w:rsidP="0098430E">
      <w:pPr>
        <w:spacing w:after="240"/>
        <w:ind w:firstLine="720"/>
        <w:jc w:val="both"/>
      </w:pPr>
      <w:r>
        <w:t>In its decision on appeal of Opinion</w:t>
      </w:r>
      <w:r w:rsidR="00395F7D">
        <w:t>s</w:t>
      </w:r>
      <w:r>
        <w:t xml:space="preserve"> 531 and 531-A in </w:t>
      </w:r>
      <w:r w:rsidRPr="00BF4842">
        <w:rPr>
          <w:i/>
        </w:rPr>
        <w:t>Emera Maine</w:t>
      </w:r>
      <w:r>
        <w:t>, the DC Circuit</w:t>
      </w:r>
      <w:r w:rsidR="00AE2C1A">
        <w:t xml:space="preserve"> Court of Appeals</w:t>
      </w:r>
      <w:r>
        <w:t>, on April 14, 2017, vacated FE</w:t>
      </w:r>
      <w:r w:rsidR="00021FB7">
        <w:t>RC’s order and remanded the matter</w:t>
      </w:r>
      <w:r>
        <w:t xml:space="preserve"> for further FERC proceedings.</w:t>
      </w:r>
      <w:r>
        <w:rPr>
          <w:rStyle w:val="FootnoteReference"/>
        </w:rPr>
        <w:footnoteReference w:id="7"/>
      </w:r>
      <w:r>
        <w:t xml:space="preserve">  In that decision, the Court concluded that the FERC failed to make the necessary finding under the FPA that the existing base ROE rate was unjust and unreasonable before setting the new rate.</w:t>
      </w:r>
      <w:r>
        <w:rPr>
          <w:rStyle w:val="FootnoteReference"/>
        </w:rPr>
        <w:footnoteReference w:id="8"/>
      </w:r>
      <w:r>
        <w:t xml:space="preserve">  Further, the Court concluded that setting the base ROE at the midpoint of the upper half of the zone of reasonableness was not based on reasoned decision-making and departed from past precedent without sufficient explanation.</w:t>
      </w:r>
      <w:r>
        <w:rPr>
          <w:rStyle w:val="FootnoteReference"/>
        </w:rPr>
        <w:footnoteReference w:id="9"/>
      </w:r>
      <w:r>
        <w:t xml:space="preserve"> </w:t>
      </w:r>
    </w:p>
    <w:p w:rsidR="00A900A9" w:rsidRDefault="00BF4842" w:rsidP="00A900A9">
      <w:pPr>
        <w:spacing w:line="276" w:lineRule="auto"/>
        <w:ind w:firstLine="720"/>
        <w:jc w:val="both"/>
      </w:pPr>
      <w:r>
        <w:t xml:space="preserve">Subsequent to </w:t>
      </w:r>
      <w:r w:rsidRPr="00BF4842">
        <w:rPr>
          <w:i/>
        </w:rPr>
        <w:t>Emera Maine</w:t>
      </w:r>
      <w:r>
        <w:t xml:space="preserve">, </w:t>
      </w:r>
      <w:r w:rsidR="001A460F">
        <w:t xml:space="preserve">in a briefing order in the New England ROE complaint proceedings, </w:t>
      </w:r>
      <w:r>
        <w:t>the Commission expressed its intent to reconsider its methodology for evaluating and setting the base ROE.</w:t>
      </w:r>
      <w:r w:rsidR="001A460F">
        <w:rPr>
          <w:rStyle w:val="FootnoteReference"/>
        </w:rPr>
        <w:footnoteReference w:id="10"/>
      </w:r>
      <w:r>
        <w:t xml:space="preserve">  </w:t>
      </w:r>
      <w:r w:rsidR="00AE2C1A">
        <w:t>In that</w:t>
      </w:r>
      <w:r w:rsidR="001A460F">
        <w:t xml:space="preserve"> B</w:t>
      </w:r>
      <w:r w:rsidR="00A900A9">
        <w:t xml:space="preserve">riefing </w:t>
      </w:r>
      <w:r w:rsidR="001A460F">
        <w:t>O</w:t>
      </w:r>
      <w:r w:rsidR="00A900A9">
        <w:t>rder</w:t>
      </w:r>
      <w:r w:rsidR="001A460F">
        <w:t>,</w:t>
      </w:r>
      <w:r w:rsidR="00A900A9">
        <w:t xml:space="preserve"> dated October 16, 2018</w:t>
      </w:r>
      <w:r w:rsidR="001A460F">
        <w:t xml:space="preserve">, </w:t>
      </w:r>
      <w:r w:rsidR="00A900A9">
        <w:t>t</w:t>
      </w:r>
      <w:r>
        <w:t xml:space="preserve">he Commission </w:t>
      </w:r>
      <w:r w:rsidR="00A900A9">
        <w:t>proposed</w:t>
      </w:r>
      <w:r>
        <w:t xml:space="preserve"> to establish a composite zone of reasonableness using three different models: the DCF, a capital-asset pricing model analysis (CAPM), and an expected earnings analysis (Expected </w:t>
      </w:r>
      <w:r>
        <w:lastRenderedPageBreak/>
        <w:t>Earnings).</w:t>
      </w:r>
      <w:r>
        <w:rPr>
          <w:rStyle w:val="FootnoteReference"/>
        </w:rPr>
        <w:footnoteReference w:id="11"/>
      </w:r>
      <w:r>
        <w:t xml:space="preserve">  </w:t>
      </w:r>
      <w:r w:rsidR="00A900A9">
        <w:t>The Commission would</w:t>
      </w:r>
      <w:r w:rsidR="00A900A9" w:rsidRPr="00A900A9">
        <w:t xml:space="preserve"> then use that composite zone of reasonableness to identify a range of presumptively just and reasonable ROEs for utilities with a similar risk profile to the targeted utility.   In </w:t>
      </w:r>
      <w:r w:rsidR="00395F7D">
        <w:t xml:space="preserve">the </w:t>
      </w:r>
      <w:r w:rsidR="001A460F">
        <w:t xml:space="preserve">Briefing </w:t>
      </w:r>
      <w:r w:rsidR="00A900A9" w:rsidRPr="00A900A9">
        <w:t>Order, the Co</w:t>
      </w:r>
      <w:r w:rsidR="001A460F">
        <w:t xml:space="preserve">mmission stated that it intended </w:t>
      </w:r>
      <w:r w:rsidR="00A900A9" w:rsidRPr="00A900A9">
        <w:t>to dismiss a complaint if the targeted utility’s existing ROE falls within the range of presumptively just and reasonable ROEs for a utility of its risk profile, unless that presumption is sufficiently rebutted.</w:t>
      </w:r>
      <w:r w:rsidR="00A900A9">
        <w:t xml:space="preserve">  With regards to establishing a new ROE, where the existing ROE has been shown to be unjust and unreasonable, the </w:t>
      </w:r>
      <w:r w:rsidR="00F8346E">
        <w:t xml:space="preserve">Commission proposed to rely on </w:t>
      </w:r>
      <w:r w:rsidR="00A900A9">
        <w:t>four financial models – the three mentioned above and a risk premium analysis (Risk Premium) – and to give each of those models equal weight in determining a just and reasonable ROE.  The DCF, CAPM, and Expected Earnings would be used to determine a composite zone of reasonableness, which would establish the cap on a utility’s total ROE.  The Commission ordered briefing regarding its proposal and its applicability to the underlying ROE proceedings.  On November 15, 2018, the Commission issued a similar briefing order in the MISO ROE complaint proceedings.</w:t>
      </w:r>
      <w:r w:rsidR="00EA7CFD">
        <w:rPr>
          <w:rStyle w:val="FootnoteReference"/>
        </w:rPr>
        <w:footnoteReference w:id="12"/>
      </w:r>
      <w:r w:rsidR="00A900A9">
        <w:t xml:space="preserve">  Parties in the various proceedings subsequently briefed the issues extensively.</w:t>
      </w:r>
    </w:p>
    <w:p w:rsidR="00A900A9" w:rsidRDefault="00A900A9" w:rsidP="00A900A9">
      <w:pPr>
        <w:spacing w:line="276" w:lineRule="auto"/>
        <w:jc w:val="both"/>
      </w:pPr>
    </w:p>
    <w:p w:rsidR="00A900A9" w:rsidRDefault="00A900A9" w:rsidP="00A900A9">
      <w:pPr>
        <w:spacing w:line="276" w:lineRule="auto"/>
        <w:jc w:val="both"/>
        <w:rPr>
          <w:b/>
          <w:u w:val="single"/>
        </w:rPr>
      </w:pPr>
      <w:r>
        <w:rPr>
          <w:b/>
          <w:u w:val="single"/>
        </w:rPr>
        <w:t>Opinion 569</w:t>
      </w:r>
    </w:p>
    <w:p w:rsidR="00A900A9" w:rsidRDefault="00A900A9" w:rsidP="00A900A9">
      <w:pPr>
        <w:spacing w:line="276" w:lineRule="auto"/>
        <w:jc w:val="both"/>
        <w:rPr>
          <w:b/>
          <w:u w:val="single"/>
        </w:rPr>
      </w:pPr>
    </w:p>
    <w:p w:rsidR="00A900A9" w:rsidRDefault="00A900A9" w:rsidP="00A900A9">
      <w:pPr>
        <w:spacing w:line="276" w:lineRule="auto"/>
        <w:jc w:val="both"/>
      </w:pPr>
      <w:r>
        <w:tab/>
        <w:t>The Commission has used the MISO ROE proceedings to make generic determinations about its practice for evaluating and setting the just and reasonable base ROE as well as making specific determinations about the facts in the MISO proceedings.</w:t>
      </w:r>
      <w:r w:rsidR="00F8346E">
        <w:t xml:space="preserve">  K</w:t>
      </w:r>
      <w:r w:rsidR="00180F14">
        <w:t xml:space="preserve">ey </w:t>
      </w:r>
      <w:r w:rsidR="00803881">
        <w:t xml:space="preserve">generic ROE </w:t>
      </w:r>
      <w:r w:rsidR="00180F14">
        <w:t>determinations from Opinion 569 include the following:</w:t>
      </w:r>
    </w:p>
    <w:p w:rsidR="00180F14" w:rsidRDefault="00180F14" w:rsidP="00A900A9">
      <w:pPr>
        <w:spacing w:line="276" w:lineRule="auto"/>
        <w:jc w:val="both"/>
      </w:pPr>
    </w:p>
    <w:p w:rsidR="005C2D63" w:rsidRPr="005C2D63" w:rsidRDefault="005C2D63" w:rsidP="0098430E">
      <w:pPr>
        <w:pStyle w:val="ListParagraph"/>
        <w:keepNext/>
        <w:keepLines/>
        <w:numPr>
          <w:ilvl w:val="0"/>
          <w:numId w:val="32"/>
        </w:numPr>
        <w:spacing w:line="276" w:lineRule="auto"/>
        <w:contextualSpacing w:val="0"/>
        <w:jc w:val="both"/>
      </w:pPr>
      <w:r>
        <w:rPr>
          <w:b/>
        </w:rPr>
        <w:t>General Overview</w:t>
      </w:r>
    </w:p>
    <w:p w:rsidR="005C2D63" w:rsidRDefault="005C2D63" w:rsidP="0098430E">
      <w:pPr>
        <w:pStyle w:val="ListParagraph"/>
        <w:keepNext/>
        <w:keepLines/>
        <w:spacing w:line="276" w:lineRule="auto"/>
        <w:contextualSpacing w:val="0"/>
        <w:jc w:val="both"/>
      </w:pPr>
    </w:p>
    <w:p w:rsidR="00180F14" w:rsidRDefault="00180F14" w:rsidP="005C2D63">
      <w:pPr>
        <w:pStyle w:val="ListParagraph"/>
        <w:numPr>
          <w:ilvl w:val="1"/>
          <w:numId w:val="32"/>
        </w:numPr>
        <w:spacing w:line="276" w:lineRule="auto"/>
        <w:jc w:val="both"/>
      </w:pPr>
      <w:r>
        <w:t>To determine whether an existing base ROE is unjust and unreasonable under the first prong of section 206 of the Federal Power Act, and if so, what the just and reasonable replacement ROE should be, the Commission will use the two-step DCF model and the CAPM analysis.  It will not use the Expected Earnings model or Risk Premium model.</w:t>
      </w:r>
      <w:r w:rsidR="001A460F">
        <w:rPr>
          <w:rStyle w:val="FootnoteReference"/>
        </w:rPr>
        <w:footnoteReference w:id="13"/>
      </w:r>
      <w:r>
        <w:t xml:space="preserve"> </w:t>
      </w:r>
    </w:p>
    <w:p w:rsidR="00180F14" w:rsidRDefault="00180F14" w:rsidP="00180F14">
      <w:pPr>
        <w:pStyle w:val="ListParagraph"/>
        <w:spacing w:line="276" w:lineRule="auto"/>
        <w:jc w:val="both"/>
      </w:pPr>
    </w:p>
    <w:p w:rsidR="00BC0B86" w:rsidRDefault="00BC0B86" w:rsidP="005C2D63">
      <w:pPr>
        <w:pStyle w:val="ListParagraph"/>
        <w:numPr>
          <w:ilvl w:val="1"/>
          <w:numId w:val="32"/>
        </w:numPr>
        <w:spacing w:line="276" w:lineRule="auto"/>
        <w:jc w:val="both"/>
      </w:pPr>
      <w:r>
        <w:t xml:space="preserve">In determining whether an existing base ROE </w:t>
      </w:r>
      <w:r w:rsidR="00F8346E">
        <w:t xml:space="preserve">for a utility </w:t>
      </w:r>
      <w:r>
        <w:t xml:space="preserve">is unjust and unreasonable, the Commission </w:t>
      </w:r>
      <w:r w:rsidR="00F8346E">
        <w:t xml:space="preserve">will use a </w:t>
      </w:r>
      <w:r>
        <w:t>range of presumptively just and reasonable ROEs for a utility of its risk profile</w:t>
      </w:r>
      <w:r w:rsidR="00F8346E">
        <w:t>.  Falling within that range will establish a rebuttable presumption that the ROE is just and reasonable.</w:t>
      </w:r>
      <w:r>
        <w:t xml:space="preserve">  </w:t>
      </w:r>
      <w:r>
        <w:lastRenderedPageBreak/>
        <w:t>Conversely, a finding that the existing ROE of a utility falls outside that range would support a holding that the ROE has become unjust and unreasonable, absent additional evidence to the contrary.</w:t>
      </w:r>
      <w:r w:rsidR="00A277C1">
        <w:rPr>
          <w:rStyle w:val="FootnoteReference"/>
        </w:rPr>
        <w:footnoteReference w:id="14"/>
      </w:r>
    </w:p>
    <w:p w:rsidR="00BC0B86" w:rsidRDefault="00BC0B86" w:rsidP="00BC0B86">
      <w:pPr>
        <w:pStyle w:val="ListParagraph"/>
      </w:pPr>
    </w:p>
    <w:p w:rsidR="00180F14" w:rsidRDefault="00EA7CFD" w:rsidP="005C2D63">
      <w:pPr>
        <w:pStyle w:val="ListParagraph"/>
        <w:numPr>
          <w:ilvl w:val="1"/>
          <w:numId w:val="32"/>
        </w:numPr>
        <w:spacing w:line="276" w:lineRule="auto"/>
        <w:jc w:val="both"/>
      </w:pPr>
      <w:r>
        <w:t>In its use of the DCF model, the Commission will use a two-step DCF analysis that incorporates a long-term growth rate, use the short-t</w:t>
      </w:r>
      <w:r w:rsidR="00AE2C1A">
        <w:t>erm growth rate to calculate a specified</w:t>
      </w:r>
      <w:r>
        <w:t xml:space="preserve"> adjustment to dividend yield, and use only the Institutional Brokers’ Estimate System </w:t>
      </w:r>
      <w:r w:rsidR="00F75307">
        <w:t>(“</w:t>
      </w:r>
      <w:r>
        <w:t>IBES</w:t>
      </w:r>
      <w:r w:rsidR="00F75307">
        <w:t>”</w:t>
      </w:r>
      <w:r>
        <w:t xml:space="preserve">) as the source of short-term earnings growth estimates. </w:t>
      </w:r>
      <w:r w:rsidR="00180F14">
        <w:t xml:space="preserve"> </w:t>
      </w:r>
    </w:p>
    <w:p w:rsidR="00D951EE" w:rsidRDefault="00D951EE" w:rsidP="00D951EE">
      <w:pPr>
        <w:pStyle w:val="ListParagraph"/>
      </w:pPr>
    </w:p>
    <w:p w:rsidR="00D951EE" w:rsidRDefault="00D951EE" w:rsidP="005C2D63">
      <w:pPr>
        <w:pStyle w:val="ListParagraph"/>
        <w:numPr>
          <w:ilvl w:val="1"/>
          <w:numId w:val="32"/>
        </w:numPr>
        <w:spacing w:line="276" w:lineRule="auto"/>
        <w:jc w:val="both"/>
      </w:pPr>
      <w:r>
        <w:t>In the CAPM analysis, the Commission</w:t>
      </w:r>
      <w:r w:rsidRPr="00D951EE">
        <w:t xml:space="preserve"> will: (1) estimate the</w:t>
      </w:r>
      <w:r>
        <w:t xml:space="preserve"> </w:t>
      </w:r>
      <w:r w:rsidRPr="00D951EE">
        <w:t>CAPM expected market return using a forward-looking approach; (2) use a one-step DCF model without any long-term growth projection for the DCF analysis within the CAPM; (3) use only IBES as the source of short-term earnings growth estimates in the DCF analysis within the CAPM; (4) screen from the CAPM analysis S&amp;P 500 companies with growth rates that are negative or in excess of 20 percent; and (5) include a size premium adjustment.</w:t>
      </w:r>
      <w:r w:rsidR="009359E3">
        <w:rPr>
          <w:rStyle w:val="FootnoteReference"/>
        </w:rPr>
        <w:footnoteReference w:id="15"/>
      </w:r>
    </w:p>
    <w:p w:rsidR="00D951EE" w:rsidRDefault="00D951EE" w:rsidP="00D951EE">
      <w:pPr>
        <w:pStyle w:val="ListParagraph"/>
      </w:pPr>
    </w:p>
    <w:p w:rsidR="00D951EE" w:rsidRDefault="00D951EE" w:rsidP="005C2D63">
      <w:pPr>
        <w:pStyle w:val="ListParagraph"/>
        <w:numPr>
          <w:ilvl w:val="1"/>
          <w:numId w:val="32"/>
        </w:numPr>
        <w:spacing w:line="276" w:lineRule="auto"/>
        <w:jc w:val="both"/>
      </w:pPr>
      <w:r>
        <w:t xml:space="preserve">The Commission will use a </w:t>
      </w:r>
      <w:r w:rsidRPr="00D951EE">
        <w:t>revised low-end outlier test that eliminates DCF and CAPM proxy group ROE results that are less than the yields of generic corporate Baa bonds plus 20 percent of the CAPM risk premium.</w:t>
      </w:r>
      <w:r w:rsidR="009359E3">
        <w:rPr>
          <w:rStyle w:val="FootnoteReference"/>
        </w:rPr>
        <w:footnoteReference w:id="16"/>
      </w:r>
    </w:p>
    <w:p w:rsidR="00D951EE" w:rsidRDefault="00D951EE" w:rsidP="00D951EE">
      <w:pPr>
        <w:pStyle w:val="ListParagraph"/>
      </w:pPr>
    </w:p>
    <w:p w:rsidR="00A277C1" w:rsidRDefault="00D951EE" w:rsidP="00F8346E">
      <w:pPr>
        <w:pStyle w:val="ListParagraph"/>
        <w:numPr>
          <w:ilvl w:val="1"/>
          <w:numId w:val="32"/>
        </w:numPr>
        <w:spacing w:line="276" w:lineRule="auto"/>
        <w:jc w:val="both"/>
      </w:pPr>
      <w:r>
        <w:t xml:space="preserve">The Commission applied its revised base ROE methodology in the MISO proceedings to determine that the previously established 12.38 % </w:t>
      </w:r>
      <w:r w:rsidR="001C79D1">
        <w:t xml:space="preserve">base </w:t>
      </w:r>
      <w:r>
        <w:t xml:space="preserve">ROE </w:t>
      </w:r>
      <w:r w:rsidR="001C79D1">
        <w:t>was unjust and unreasonable and the just and reasonable ROE should be 9.88%.</w:t>
      </w:r>
      <w:r w:rsidR="009359E3">
        <w:rPr>
          <w:rStyle w:val="FootnoteReference"/>
        </w:rPr>
        <w:footnoteReference w:id="17"/>
      </w:r>
    </w:p>
    <w:p w:rsidR="00021FB7" w:rsidRDefault="00021FB7" w:rsidP="00021FB7">
      <w:pPr>
        <w:spacing w:line="276" w:lineRule="auto"/>
        <w:jc w:val="both"/>
      </w:pPr>
    </w:p>
    <w:p w:rsidR="00A277C1" w:rsidRDefault="00A277C1" w:rsidP="005C2D63">
      <w:pPr>
        <w:pStyle w:val="ListParagraph"/>
        <w:numPr>
          <w:ilvl w:val="1"/>
          <w:numId w:val="32"/>
        </w:numPr>
        <w:spacing w:line="276" w:lineRule="auto"/>
        <w:jc w:val="both"/>
      </w:pPr>
      <w:r>
        <w:t xml:space="preserve">On expanding its ROE methodology to include the DCF model and CAPM, the Commission stated that doing so would better reflect how investors make their investment decisions, and </w:t>
      </w:r>
      <w:r w:rsidR="004075EB">
        <w:t xml:space="preserve">would </w:t>
      </w:r>
      <w:r>
        <w:t>result in ROE analyses producing cost of equity estimates that more accurately reflect what ROE a utility must offer in order to attract capital.</w:t>
      </w:r>
      <w:r>
        <w:rPr>
          <w:rStyle w:val="FootnoteReference"/>
        </w:rPr>
        <w:footnoteReference w:id="18"/>
      </w:r>
      <w:r w:rsidR="00433A97">
        <w:t xml:space="preserve">  The Commission also found that use of the CAPM will aid in supporting its determination of the ROE zone of reasonableness, and help ensure that ROE determinations are directly connected to, and supported by justifications </w:t>
      </w:r>
      <w:r w:rsidR="00433A97">
        <w:lastRenderedPageBreak/>
        <w:t>in the record evidence.</w:t>
      </w:r>
      <w:r w:rsidR="00433A97">
        <w:rPr>
          <w:rStyle w:val="FootnoteReference"/>
        </w:rPr>
        <w:footnoteReference w:id="19"/>
      </w:r>
      <w:r w:rsidR="00433A97">
        <w:t xml:space="preserve">  The Commission </w:t>
      </w:r>
      <w:r w:rsidR="006D3F96">
        <w:t>stated:</w:t>
      </w:r>
      <w:r w:rsidR="00433A97">
        <w:t xml:space="preserve"> “Our new ROE methodology will do this by averaging the top and bottom of the DCF and CAPM zones of reasonableness to produce a composite zone of reasonableness and then setting the ROE of average risk utilities at the central tendency midpoint of that zone.”</w:t>
      </w:r>
      <w:r w:rsidR="00433A97">
        <w:rPr>
          <w:rStyle w:val="FootnoteReference"/>
        </w:rPr>
        <w:footnoteReference w:id="20"/>
      </w:r>
    </w:p>
    <w:p w:rsidR="006D3F96" w:rsidRDefault="006D3F96" w:rsidP="006D3F96">
      <w:pPr>
        <w:pStyle w:val="ListParagraph"/>
      </w:pPr>
    </w:p>
    <w:p w:rsidR="006D3F96" w:rsidRDefault="006D3F96" w:rsidP="00256599">
      <w:pPr>
        <w:pStyle w:val="ListParagraph"/>
        <w:numPr>
          <w:ilvl w:val="0"/>
          <w:numId w:val="32"/>
        </w:numPr>
        <w:spacing w:line="276" w:lineRule="auto"/>
        <w:jc w:val="both"/>
      </w:pPr>
      <w:r w:rsidRPr="005C2D63">
        <w:rPr>
          <w:b/>
        </w:rPr>
        <w:t>Regarding the use of presumptively just and reasonable ROE ranges</w:t>
      </w:r>
      <w:r w:rsidR="004A7026">
        <w:t xml:space="preserve">: </w:t>
      </w:r>
    </w:p>
    <w:p w:rsidR="004A7026" w:rsidRDefault="004A7026" w:rsidP="004A7026">
      <w:pPr>
        <w:spacing w:line="276" w:lineRule="auto"/>
        <w:jc w:val="both"/>
      </w:pPr>
    </w:p>
    <w:p w:rsidR="006D3F96" w:rsidRDefault="006D3F96" w:rsidP="006D3F96">
      <w:pPr>
        <w:pStyle w:val="ListParagraph"/>
        <w:numPr>
          <w:ilvl w:val="1"/>
          <w:numId w:val="32"/>
        </w:numPr>
        <w:spacing w:line="276" w:lineRule="auto"/>
        <w:jc w:val="both"/>
      </w:pPr>
      <w:r>
        <w:t>The Commission will use ranges of presumptively just and reasonable ROEs based on the risk profile of a utility or group of utilities to inform its decision of whether an existing ROE has become unjust and unreasonable.</w:t>
      </w:r>
      <w:r>
        <w:rPr>
          <w:rStyle w:val="FootnoteReference"/>
        </w:rPr>
        <w:footnoteReference w:id="21"/>
      </w:r>
    </w:p>
    <w:p w:rsidR="006D3F96" w:rsidRDefault="006D3F96" w:rsidP="006D3F96">
      <w:pPr>
        <w:pStyle w:val="ListParagraph"/>
        <w:spacing w:line="276" w:lineRule="auto"/>
        <w:ind w:left="1440"/>
        <w:jc w:val="both"/>
      </w:pPr>
    </w:p>
    <w:p w:rsidR="006D3F96" w:rsidRDefault="006D3F96" w:rsidP="006D3F96">
      <w:pPr>
        <w:pStyle w:val="ListParagraph"/>
        <w:numPr>
          <w:ilvl w:val="1"/>
          <w:numId w:val="32"/>
        </w:numPr>
        <w:spacing w:line="276" w:lineRule="auto"/>
        <w:jc w:val="both"/>
      </w:pPr>
      <w:r>
        <w:t xml:space="preserve">For average risk utilities, the presumptively just and reasonable range is the quartile of the overall composite zone of reasonableness centered on the </w:t>
      </w:r>
      <w:r w:rsidR="004075EB">
        <w:t>median</w:t>
      </w:r>
      <w:r w:rsidR="00AD3FFF">
        <w:t xml:space="preserve"> </w:t>
      </w:r>
      <w:r w:rsidR="004075EB">
        <w:t xml:space="preserve"> or midpoint in a range of numbers (i.e., the central tendency) </w:t>
      </w:r>
      <w:r>
        <w:t xml:space="preserve">of the overall zone of </w:t>
      </w:r>
      <w:r w:rsidR="004075EB">
        <w:t>reasonableness; for below-</w:t>
      </w:r>
      <w:r w:rsidRPr="006D3F96">
        <w:t>average risk utilities, that range is the quartile of the zone of reasonableness centered on the central tendency of the lower half of the zone o</w:t>
      </w:r>
      <w:r w:rsidR="004075EB">
        <w:t>f reasonableness; and for above-</w:t>
      </w:r>
      <w:r w:rsidRPr="006D3F96">
        <w:t>average risk utilities, that range is the quartile of the zone of reasonableness centered on the central tendency of the upper half of the zone of reasonableness.</w:t>
      </w:r>
      <w:r w:rsidR="00E31FBB">
        <w:rPr>
          <w:rStyle w:val="FootnoteReference"/>
        </w:rPr>
        <w:footnoteReference w:id="22"/>
      </w:r>
    </w:p>
    <w:p w:rsidR="00E31FBB" w:rsidRDefault="00E31FBB" w:rsidP="00E31FBB">
      <w:pPr>
        <w:pStyle w:val="ListParagraph"/>
      </w:pPr>
    </w:p>
    <w:p w:rsidR="004A7026" w:rsidRDefault="00E31FBB" w:rsidP="00F8346E">
      <w:pPr>
        <w:pStyle w:val="ListParagraph"/>
        <w:numPr>
          <w:ilvl w:val="1"/>
          <w:numId w:val="32"/>
        </w:numPr>
        <w:spacing w:line="276" w:lineRule="auto"/>
        <w:jc w:val="both"/>
      </w:pPr>
      <w:r>
        <w:t xml:space="preserve">The Commission explained that this change to its past practice is designed to ensure that ROE determinations under section 206 satisfy the requirements of the </w:t>
      </w:r>
      <w:r w:rsidRPr="00E31FBB">
        <w:rPr>
          <w:i/>
        </w:rPr>
        <w:t>Emera Maine</w:t>
      </w:r>
      <w:r>
        <w:t xml:space="preserve"> decision.</w:t>
      </w:r>
      <w:r>
        <w:rPr>
          <w:rStyle w:val="FootnoteReference"/>
        </w:rPr>
        <w:footnoteReference w:id="23"/>
      </w:r>
    </w:p>
    <w:p w:rsidR="0098430E" w:rsidRDefault="0098430E" w:rsidP="0098430E">
      <w:pPr>
        <w:pStyle w:val="ListParagraph"/>
      </w:pPr>
    </w:p>
    <w:p w:rsidR="004A7026" w:rsidRDefault="004A7026" w:rsidP="004A7026">
      <w:pPr>
        <w:pStyle w:val="ListParagraph"/>
        <w:numPr>
          <w:ilvl w:val="1"/>
          <w:numId w:val="32"/>
        </w:numPr>
        <w:spacing w:line="276" w:lineRule="auto"/>
        <w:jc w:val="both"/>
      </w:pPr>
      <w:r>
        <w:t>Given what it views as the imprecise tools available to it for estimating the current cost of equity, the Commission found that its determinations must include a showing that the existing ROE is now outside some range of potentially just and reasonable ROEs within the zone of reasonableness for the public utility at issue, in light of its estimate of the current market cost of equity, or alternatively, that other evidence convincingly demonstrates that the existing ROE is unjust and unreasonable despite it falling within that range.</w:t>
      </w:r>
      <w:r>
        <w:rPr>
          <w:rStyle w:val="FootnoteReference"/>
        </w:rPr>
        <w:footnoteReference w:id="24"/>
      </w:r>
    </w:p>
    <w:p w:rsidR="004A7026" w:rsidRDefault="004A7026" w:rsidP="004A7026">
      <w:pPr>
        <w:pStyle w:val="ListParagraph"/>
      </w:pPr>
    </w:p>
    <w:p w:rsidR="004A7026" w:rsidRDefault="004A7026" w:rsidP="004A7026">
      <w:pPr>
        <w:pStyle w:val="ListParagraph"/>
        <w:numPr>
          <w:ilvl w:val="1"/>
          <w:numId w:val="32"/>
        </w:numPr>
        <w:spacing w:line="276" w:lineRule="auto"/>
        <w:jc w:val="both"/>
      </w:pPr>
      <w:r>
        <w:lastRenderedPageBreak/>
        <w:t>The Commission believes that “that using such ranges incorporates a utility’s risk profile into our ROE analysis in a concrete and objective way that will establish a direct connection between the most important circumstance of the case—a utility’s risk profile—and our ultimate determination as to whether an existing ROE is unjust and unreasonable.”</w:t>
      </w:r>
      <w:r>
        <w:rPr>
          <w:rStyle w:val="FootnoteReference"/>
        </w:rPr>
        <w:footnoteReference w:id="25"/>
      </w:r>
    </w:p>
    <w:p w:rsidR="00DC4668" w:rsidRDefault="00DC4668" w:rsidP="00DC4668">
      <w:pPr>
        <w:pStyle w:val="ListParagraph"/>
      </w:pPr>
    </w:p>
    <w:p w:rsidR="00DC4668" w:rsidRDefault="00DC4668" w:rsidP="004A7026">
      <w:pPr>
        <w:pStyle w:val="ListParagraph"/>
        <w:numPr>
          <w:ilvl w:val="1"/>
          <w:numId w:val="32"/>
        </w:numPr>
        <w:spacing w:line="276" w:lineRule="auto"/>
        <w:jc w:val="both"/>
      </w:pPr>
      <w:r>
        <w:t>Using ranges of presumptively just and reasonable ROEs will cut down on unnecessary litigation and better enable public utilities to assess their existing ROEs, as well as proposed ROE changes.</w:t>
      </w:r>
      <w:r>
        <w:rPr>
          <w:rStyle w:val="FootnoteReference"/>
        </w:rPr>
        <w:footnoteReference w:id="26"/>
      </w:r>
    </w:p>
    <w:p w:rsidR="00DC4668" w:rsidRDefault="00DC4668" w:rsidP="00DC4668">
      <w:pPr>
        <w:pStyle w:val="ListParagraph"/>
      </w:pPr>
    </w:p>
    <w:p w:rsidR="00DC4668" w:rsidRDefault="00DC4668" w:rsidP="004A7026">
      <w:pPr>
        <w:pStyle w:val="ListParagraph"/>
        <w:numPr>
          <w:ilvl w:val="1"/>
          <w:numId w:val="32"/>
        </w:numPr>
        <w:spacing w:line="276" w:lineRule="auto"/>
        <w:jc w:val="both"/>
      </w:pPr>
      <w:r>
        <w:t>The rebuttable presumption will apply both to ROEs that fall within and outside the range: those within the range will be presumed just and reasonable and those outside the range will be presumed unjust and unreasonable, unless the presumption s rebutted.</w:t>
      </w:r>
      <w:r>
        <w:rPr>
          <w:rStyle w:val="FootnoteReference"/>
        </w:rPr>
        <w:footnoteReference w:id="27"/>
      </w:r>
    </w:p>
    <w:p w:rsidR="003D6BD3" w:rsidRDefault="003D6BD3" w:rsidP="003D6BD3">
      <w:pPr>
        <w:pStyle w:val="ListParagraph"/>
      </w:pPr>
    </w:p>
    <w:p w:rsidR="005C2D63" w:rsidRDefault="005C2D63" w:rsidP="005C2D63">
      <w:pPr>
        <w:pStyle w:val="ListParagraph"/>
        <w:numPr>
          <w:ilvl w:val="1"/>
          <w:numId w:val="32"/>
        </w:numPr>
        <w:spacing w:line="276" w:lineRule="auto"/>
        <w:jc w:val="both"/>
      </w:pPr>
      <w:r>
        <w:t xml:space="preserve">The rebuttable presumption does not change the statutory or regulatory burden for dismissing a complaint: </w:t>
      </w:r>
    </w:p>
    <w:p w:rsidR="005C2D63" w:rsidRDefault="005C2D63" w:rsidP="005C2D63">
      <w:pPr>
        <w:pStyle w:val="ListParagraph"/>
      </w:pPr>
    </w:p>
    <w:p w:rsidR="003D6BD3" w:rsidRDefault="005C2D63" w:rsidP="005C2D63">
      <w:pPr>
        <w:pStyle w:val="ListParagraph"/>
        <w:spacing w:line="276" w:lineRule="auto"/>
        <w:ind w:left="2160"/>
        <w:jc w:val="both"/>
      </w:pPr>
      <w:r>
        <w:t>As was the case before this order, there may be cases where we will be able to resolve all factual issues before us and dismiss or grant a complaint without additional procedures. However, there may be other cases where there are issues of material fact in dispute that cannot be resolved based upon the record and will require additional procedures. We will not approach the question of whether there are issues of material fact differently in determining if a complaint will be granted as opposed to if a complaint will be denied, again outside of the differences in the statutory and regulatory burdens and requirements that complainants and respondents face under section 206 which the revised methodology adopted herein does not change.</w:t>
      </w:r>
      <w:r w:rsidR="00BD440D">
        <w:rPr>
          <w:rStyle w:val="FootnoteReference"/>
        </w:rPr>
        <w:footnoteReference w:id="28"/>
      </w:r>
    </w:p>
    <w:p w:rsidR="005C2D63" w:rsidRDefault="005C2D63" w:rsidP="005C2D63">
      <w:pPr>
        <w:pStyle w:val="ListParagraph"/>
        <w:spacing w:line="276" w:lineRule="auto"/>
        <w:ind w:left="2160"/>
        <w:jc w:val="both"/>
      </w:pPr>
    </w:p>
    <w:p w:rsidR="005C2D63" w:rsidRDefault="004075EB" w:rsidP="009333F6">
      <w:pPr>
        <w:pStyle w:val="ListParagraph"/>
        <w:keepNext/>
        <w:keepLines/>
        <w:numPr>
          <w:ilvl w:val="0"/>
          <w:numId w:val="34"/>
        </w:numPr>
        <w:spacing w:line="276" w:lineRule="auto"/>
        <w:contextualSpacing w:val="0"/>
        <w:jc w:val="both"/>
      </w:pPr>
      <w:r>
        <w:rPr>
          <w:b/>
        </w:rPr>
        <w:lastRenderedPageBreak/>
        <w:t>Regarding the D</w:t>
      </w:r>
      <w:r w:rsidR="00803881">
        <w:rPr>
          <w:b/>
        </w:rPr>
        <w:t>C</w:t>
      </w:r>
      <w:r>
        <w:rPr>
          <w:b/>
        </w:rPr>
        <w:t>F</w:t>
      </w:r>
      <w:r w:rsidR="00803881">
        <w:rPr>
          <w:b/>
        </w:rPr>
        <w:t xml:space="preserve"> m</w:t>
      </w:r>
      <w:r w:rsidR="005C2D63" w:rsidRPr="005C2D63">
        <w:rPr>
          <w:b/>
        </w:rPr>
        <w:t>odel</w:t>
      </w:r>
      <w:r w:rsidR="005C2D63">
        <w:t>:</w:t>
      </w:r>
    </w:p>
    <w:p w:rsidR="005C2D63" w:rsidRDefault="005C2D63" w:rsidP="009333F6">
      <w:pPr>
        <w:pStyle w:val="ListParagraph"/>
        <w:keepNext/>
        <w:keepLines/>
        <w:spacing w:line="276" w:lineRule="auto"/>
        <w:contextualSpacing w:val="0"/>
        <w:jc w:val="both"/>
      </w:pPr>
    </w:p>
    <w:p w:rsidR="004075EB" w:rsidRDefault="005C2D63" w:rsidP="00B62B89">
      <w:pPr>
        <w:pStyle w:val="ListParagraph"/>
        <w:numPr>
          <w:ilvl w:val="1"/>
          <w:numId w:val="34"/>
        </w:numPr>
        <w:spacing w:line="276" w:lineRule="auto"/>
        <w:jc w:val="both"/>
      </w:pPr>
      <w:r>
        <w:t>The Commission will use the short-term growth rate to calculate the (1+.5g) adjustment to dividend yield.</w:t>
      </w:r>
      <w:r w:rsidR="00BD440D">
        <w:rPr>
          <w:rStyle w:val="FootnoteReference"/>
        </w:rPr>
        <w:footnoteReference w:id="29"/>
      </w:r>
      <w:r w:rsidR="004075EB">
        <w:t xml:space="preserve">  As the Commission explains: The DCF model is based on the premise that an investment in common stock is worth the present value of the infinite stream of dividends discounted at a market rate commensurate with the investment’s risk. </w:t>
      </w:r>
      <w:r w:rsidR="00B62B89">
        <w:t xml:space="preserve"> </w:t>
      </w:r>
      <w:r w:rsidR="004075EB">
        <w:t>With simplifying assumptions, the DCF model results in the investor using the following formula to determine share price:</w:t>
      </w:r>
      <w:r w:rsidR="00B62B89">
        <w:t xml:space="preserve"> </w:t>
      </w:r>
      <w:r w:rsidR="004075EB">
        <w:t xml:space="preserve">P = D/k-g, where “P” is the price of the common stock, “D” is the current dividend, “k” is the discount rate (or investors’ required rate of return), and “g” is the expected growth rate in dividends.  The Commission rearranges the DCF formula to solve for “k”, the discount rate, which represents the rate of return that investors require to invest in a company’s common stock. </w:t>
      </w:r>
      <w:r w:rsidR="00B62B89">
        <w:t xml:space="preserve"> </w:t>
      </w:r>
      <w:r w:rsidR="004075EB">
        <w:t>The Commission also multiplies the dividend yield by the expression (1+.5g) to account for the fact that dividends are paid on a quarterly basis.</w:t>
      </w:r>
      <w:r w:rsidR="00B62B89">
        <w:rPr>
          <w:rStyle w:val="FootnoteReference"/>
        </w:rPr>
        <w:footnoteReference w:id="30"/>
      </w:r>
    </w:p>
    <w:p w:rsidR="00BD440D" w:rsidRDefault="00BD440D" w:rsidP="009333F6">
      <w:pPr>
        <w:pStyle w:val="ListParagraph"/>
        <w:spacing w:line="276" w:lineRule="auto"/>
        <w:ind w:left="1440"/>
        <w:jc w:val="both"/>
      </w:pPr>
    </w:p>
    <w:p w:rsidR="00BD440D" w:rsidRDefault="00BD440D" w:rsidP="009333F6">
      <w:pPr>
        <w:pStyle w:val="ListParagraph"/>
        <w:numPr>
          <w:ilvl w:val="1"/>
          <w:numId w:val="34"/>
        </w:numPr>
        <w:spacing w:line="276" w:lineRule="auto"/>
        <w:jc w:val="both"/>
      </w:pPr>
      <w:r>
        <w:t xml:space="preserve">The Commission will rely on </w:t>
      </w:r>
      <w:r w:rsidR="00AE717C">
        <w:t>IBES</w:t>
      </w:r>
      <w:r>
        <w:t xml:space="preserve"> for short-term growth projections for purposes of the two-step DCF analysis.</w:t>
      </w:r>
      <w:r>
        <w:rPr>
          <w:rStyle w:val="FootnoteReference"/>
        </w:rPr>
        <w:footnoteReference w:id="31"/>
      </w:r>
    </w:p>
    <w:p w:rsidR="00BD440D" w:rsidRDefault="00BD440D" w:rsidP="009333F6">
      <w:pPr>
        <w:pStyle w:val="ListParagraph"/>
      </w:pPr>
    </w:p>
    <w:p w:rsidR="00BD440D" w:rsidRDefault="00194CD4" w:rsidP="00194CD4">
      <w:pPr>
        <w:pStyle w:val="ListParagraph"/>
        <w:numPr>
          <w:ilvl w:val="1"/>
          <w:numId w:val="34"/>
        </w:numPr>
        <w:spacing w:line="276" w:lineRule="auto"/>
        <w:jc w:val="both"/>
      </w:pPr>
      <w:r>
        <w:t>The Commission will continue its current policy of requiring the DCF analysis of an individual company to include a projection of the long-term growth in dividends based on the growth</w:t>
      </w:r>
      <w:r w:rsidR="00F75307">
        <w:t xml:space="preserve"> in gross domestic product</w:t>
      </w:r>
      <w:r>
        <w:t>.  Under this policy, the long-term growth projection is given one-third weight, with a short-term growth projection given two-thirds weight.</w:t>
      </w:r>
      <w:r>
        <w:rPr>
          <w:rStyle w:val="FootnoteReference"/>
        </w:rPr>
        <w:footnoteReference w:id="32"/>
      </w:r>
    </w:p>
    <w:p w:rsidR="00194CD4" w:rsidRDefault="00194CD4" w:rsidP="00194CD4">
      <w:pPr>
        <w:pStyle w:val="ListParagraph"/>
      </w:pPr>
    </w:p>
    <w:p w:rsidR="00194CD4" w:rsidRDefault="00194CD4" w:rsidP="00194CD4">
      <w:pPr>
        <w:pStyle w:val="ListParagraph"/>
        <w:numPr>
          <w:ilvl w:val="0"/>
          <w:numId w:val="34"/>
        </w:numPr>
        <w:spacing w:line="276" w:lineRule="auto"/>
        <w:jc w:val="both"/>
      </w:pPr>
      <w:r w:rsidRPr="00194CD4">
        <w:rPr>
          <w:b/>
        </w:rPr>
        <w:t>R</w:t>
      </w:r>
      <w:r w:rsidR="00803881">
        <w:rPr>
          <w:b/>
        </w:rPr>
        <w:t>egarding the Expected Earnings m</w:t>
      </w:r>
      <w:r w:rsidRPr="00194CD4">
        <w:rPr>
          <w:b/>
        </w:rPr>
        <w:t>odel</w:t>
      </w:r>
      <w:r>
        <w:t>:</w:t>
      </w:r>
    </w:p>
    <w:p w:rsidR="00076DB0" w:rsidRDefault="00076DB0" w:rsidP="00076DB0">
      <w:pPr>
        <w:pStyle w:val="ListParagraph"/>
      </w:pPr>
    </w:p>
    <w:p w:rsidR="006D3F96" w:rsidRDefault="00194CD4" w:rsidP="00194CD4">
      <w:pPr>
        <w:pStyle w:val="ListParagraph"/>
        <w:numPr>
          <w:ilvl w:val="1"/>
          <w:numId w:val="34"/>
        </w:numPr>
        <w:spacing w:line="276" w:lineRule="auto"/>
        <w:jc w:val="both"/>
      </w:pPr>
      <w:r>
        <w:t>The Commission determined that it was not appropriate to include the Expected Earnings model in its ROE methodology, because it would be a departure from its traditional market-based approach:</w:t>
      </w:r>
      <w:r w:rsidR="00517A15">
        <w:rPr>
          <w:rStyle w:val="FootnoteReference"/>
        </w:rPr>
        <w:footnoteReference w:id="33"/>
      </w:r>
    </w:p>
    <w:p w:rsidR="00194CD4" w:rsidRDefault="00194CD4" w:rsidP="00194CD4">
      <w:pPr>
        <w:pStyle w:val="ListParagraph"/>
        <w:spacing w:line="276" w:lineRule="auto"/>
        <w:jc w:val="both"/>
      </w:pPr>
    </w:p>
    <w:p w:rsidR="006D3F96" w:rsidRDefault="00194CD4" w:rsidP="00B62B89">
      <w:pPr>
        <w:spacing w:line="276" w:lineRule="auto"/>
        <w:ind w:left="2160"/>
        <w:jc w:val="both"/>
      </w:pPr>
      <w:r>
        <w:t xml:space="preserve">investors cannot invest in an enterprise at book value and must instead pay the prevailing market price for an enterprise’s equity. As a result, the </w:t>
      </w:r>
      <w:r>
        <w:lastRenderedPageBreak/>
        <w:t xml:space="preserve">expected return on a utility’s book value does not reflect “returns on investments in other enterprises” because book value does not reflect the value of any investment that is available to an investor in the market, outside of the unlikely situation in which market value and book value are exactly equal. Accordingly, we find that relying on the Expected Earnings model would not satisfy the requirements of </w:t>
      </w:r>
      <w:r w:rsidRPr="00B62B89">
        <w:rPr>
          <w:i/>
        </w:rPr>
        <w:t>Hope</w:t>
      </w:r>
      <w:r>
        <w:t>.</w:t>
      </w:r>
      <w:r w:rsidR="00517A15">
        <w:rPr>
          <w:rStyle w:val="FootnoteReference"/>
        </w:rPr>
        <w:footnoteReference w:id="34"/>
      </w:r>
    </w:p>
    <w:p w:rsidR="006D3F96" w:rsidRPr="00A900A9" w:rsidRDefault="006D3F96" w:rsidP="006D3F96">
      <w:pPr>
        <w:spacing w:line="276" w:lineRule="auto"/>
        <w:jc w:val="both"/>
      </w:pPr>
    </w:p>
    <w:p w:rsidR="00BF4842" w:rsidRDefault="00803881" w:rsidP="00517A15">
      <w:pPr>
        <w:pStyle w:val="ListParagraph"/>
        <w:numPr>
          <w:ilvl w:val="0"/>
          <w:numId w:val="35"/>
        </w:numPr>
        <w:spacing w:line="276" w:lineRule="auto"/>
        <w:jc w:val="both"/>
      </w:pPr>
      <w:r>
        <w:rPr>
          <w:b/>
        </w:rPr>
        <w:t>Regarding the CAPM a</w:t>
      </w:r>
      <w:r w:rsidR="00517A15" w:rsidRPr="00517A15">
        <w:rPr>
          <w:b/>
        </w:rPr>
        <w:t>nalysis</w:t>
      </w:r>
      <w:r w:rsidR="00517A15">
        <w:t>:</w:t>
      </w:r>
    </w:p>
    <w:p w:rsidR="00517A15" w:rsidRDefault="00517A15" w:rsidP="00517A15">
      <w:pPr>
        <w:pStyle w:val="ListParagraph"/>
        <w:spacing w:line="276" w:lineRule="auto"/>
        <w:jc w:val="both"/>
      </w:pPr>
    </w:p>
    <w:p w:rsidR="00517A15" w:rsidRDefault="00F12B0A" w:rsidP="00F12B0A">
      <w:pPr>
        <w:pStyle w:val="ListParagraph"/>
        <w:numPr>
          <w:ilvl w:val="1"/>
          <w:numId w:val="35"/>
        </w:numPr>
        <w:spacing w:line="276" w:lineRule="auto"/>
        <w:jc w:val="both"/>
      </w:pPr>
      <w:r>
        <w:t xml:space="preserve">The Commission adopted the CAPM analysis to be used with the DCF model in evaluating and setting the just and reasonable ROE, concluding that the CAPM is “directly relevant to </w:t>
      </w:r>
      <w:r w:rsidRPr="00F12B0A">
        <w:t>the Commission’s task in this context of assessing what rate of return on equity investors require to invest in a utility.</w:t>
      </w:r>
      <w:r>
        <w:t>”</w:t>
      </w:r>
      <w:r>
        <w:rPr>
          <w:rStyle w:val="FootnoteReference"/>
        </w:rPr>
        <w:footnoteReference w:id="35"/>
      </w:r>
    </w:p>
    <w:p w:rsidR="00F12B0A" w:rsidRDefault="00F12B0A" w:rsidP="00F12B0A">
      <w:pPr>
        <w:pStyle w:val="ListParagraph"/>
        <w:spacing w:line="276" w:lineRule="auto"/>
        <w:ind w:left="1440"/>
        <w:jc w:val="both"/>
      </w:pPr>
    </w:p>
    <w:p w:rsidR="00F12B0A" w:rsidRDefault="00F12B0A" w:rsidP="00F12B0A">
      <w:pPr>
        <w:pStyle w:val="ListParagraph"/>
        <w:numPr>
          <w:ilvl w:val="1"/>
          <w:numId w:val="35"/>
        </w:numPr>
        <w:spacing w:line="276" w:lineRule="auto"/>
        <w:jc w:val="both"/>
      </w:pPr>
      <w:r>
        <w:t>In implementing the CAPM the Commission will “estimate the CAPM expected market return using a forward-looking approach, based on applying the DCF model to the dividend paying members of the S&amp;P 500. Using a DCF analysis of the dividend-paying members of the S&amp;P 500 is a well-recognized method of estimating the expected market return for purposes of the CAPM model.”</w:t>
      </w:r>
      <w:r>
        <w:rPr>
          <w:rStyle w:val="FootnoteReference"/>
        </w:rPr>
        <w:footnoteReference w:id="36"/>
      </w:r>
    </w:p>
    <w:p w:rsidR="00F12B0A" w:rsidRDefault="00F12B0A" w:rsidP="00F12B0A">
      <w:pPr>
        <w:pStyle w:val="ListParagraph"/>
      </w:pPr>
    </w:p>
    <w:p w:rsidR="000B79CE" w:rsidRDefault="00F12B0A" w:rsidP="00751F6E">
      <w:pPr>
        <w:pStyle w:val="ListParagraph"/>
        <w:numPr>
          <w:ilvl w:val="1"/>
          <w:numId w:val="35"/>
        </w:numPr>
        <w:spacing w:line="276" w:lineRule="auto"/>
        <w:jc w:val="both"/>
      </w:pPr>
      <w:r>
        <w:t>The Commission will use a size premium adjustment in its CAPM analysis.</w:t>
      </w:r>
      <w:r>
        <w:rPr>
          <w:rStyle w:val="FootnoteReference"/>
        </w:rPr>
        <w:footnoteReference w:id="37"/>
      </w:r>
    </w:p>
    <w:p w:rsidR="00751F6E" w:rsidRDefault="00751F6E" w:rsidP="00751F6E">
      <w:pPr>
        <w:pStyle w:val="ListParagraph"/>
      </w:pPr>
    </w:p>
    <w:p w:rsidR="00F5478C" w:rsidRDefault="00803881" w:rsidP="00F12B0A">
      <w:pPr>
        <w:pStyle w:val="ListParagraph"/>
        <w:numPr>
          <w:ilvl w:val="0"/>
          <w:numId w:val="35"/>
        </w:numPr>
        <w:spacing w:after="200" w:line="276" w:lineRule="auto"/>
        <w:jc w:val="both"/>
      </w:pPr>
      <w:r>
        <w:rPr>
          <w:b/>
        </w:rPr>
        <w:t>Regarding the Risk Premium m</w:t>
      </w:r>
      <w:r w:rsidR="00F12B0A">
        <w:rPr>
          <w:b/>
        </w:rPr>
        <w:t>odel</w:t>
      </w:r>
      <w:r w:rsidR="00F12B0A">
        <w:t>:</w:t>
      </w:r>
    </w:p>
    <w:p w:rsidR="00DF3C2C" w:rsidRDefault="00DF3C2C" w:rsidP="00DF3C2C">
      <w:pPr>
        <w:pStyle w:val="ListParagraph"/>
        <w:spacing w:after="200" w:line="276" w:lineRule="auto"/>
        <w:jc w:val="both"/>
      </w:pPr>
    </w:p>
    <w:p w:rsidR="00DF3C2C" w:rsidRDefault="00DF3C2C" w:rsidP="00DF3C2C">
      <w:pPr>
        <w:pStyle w:val="ListParagraph"/>
        <w:numPr>
          <w:ilvl w:val="1"/>
          <w:numId w:val="35"/>
        </w:numPr>
        <w:spacing w:after="200" w:line="276" w:lineRule="auto"/>
        <w:jc w:val="both"/>
      </w:pPr>
      <w:r>
        <w:t>The Commission determined that it would not use the Risk Premium Model in its evaluation and setting of the just and reasonable ROE, finding that the advantages of using it would be outweighed by its deficiencies.</w:t>
      </w:r>
      <w:r>
        <w:rPr>
          <w:rStyle w:val="FootnoteReference"/>
        </w:rPr>
        <w:footnoteReference w:id="38"/>
      </w:r>
    </w:p>
    <w:p w:rsidR="00DF3C2C" w:rsidRDefault="00DF3C2C" w:rsidP="00DF3C2C">
      <w:pPr>
        <w:pStyle w:val="ListParagraph"/>
        <w:spacing w:after="200" w:line="276" w:lineRule="auto"/>
        <w:ind w:left="1440"/>
        <w:jc w:val="both"/>
      </w:pPr>
    </w:p>
    <w:p w:rsidR="00DF3C2C" w:rsidRDefault="00803881" w:rsidP="00DF3C2C">
      <w:pPr>
        <w:pStyle w:val="ListParagraph"/>
        <w:numPr>
          <w:ilvl w:val="0"/>
          <w:numId w:val="35"/>
        </w:numPr>
        <w:spacing w:after="200" w:line="276" w:lineRule="auto"/>
        <w:jc w:val="both"/>
      </w:pPr>
      <w:r>
        <w:rPr>
          <w:b/>
        </w:rPr>
        <w:t>Regarding potential consideration of s</w:t>
      </w:r>
      <w:r w:rsidR="00DF3C2C" w:rsidRPr="00DF3C2C">
        <w:rPr>
          <w:b/>
        </w:rPr>
        <w:t>tate ROEs</w:t>
      </w:r>
      <w:r w:rsidR="00DF3C2C">
        <w:t>:</w:t>
      </w:r>
    </w:p>
    <w:p w:rsidR="00DF3C2C" w:rsidRDefault="00DF3C2C" w:rsidP="00DF3C2C">
      <w:pPr>
        <w:pStyle w:val="ListParagraph"/>
        <w:spacing w:after="200" w:line="276" w:lineRule="auto"/>
        <w:ind w:left="1440"/>
        <w:jc w:val="both"/>
      </w:pPr>
    </w:p>
    <w:p w:rsidR="00DF3C2C" w:rsidRDefault="00DF3C2C" w:rsidP="00DF3C2C">
      <w:pPr>
        <w:pStyle w:val="ListParagraph"/>
        <w:numPr>
          <w:ilvl w:val="1"/>
          <w:numId w:val="35"/>
        </w:numPr>
        <w:spacing w:after="200" w:line="276" w:lineRule="auto"/>
        <w:jc w:val="both"/>
      </w:pPr>
      <w:r>
        <w:t>The Commission will not use state ROEs as part o</w:t>
      </w:r>
      <w:r w:rsidR="00B62B89">
        <w:t>f its general ROE analysis:  “</w:t>
      </w:r>
      <w:r>
        <w:t xml:space="preserve">we will only consider state-authorized ROEs on a case-by-case basis to the extent that </w:t>
      </w:r>
      <w:r>
        <w:lastRenderedPageBreak/>
        <w:t>they demonstrate that the results of the Commission’s CAPM and DCF analyses are substantially excessive or deficient. We do not expect that the Commission will regularly consider state-authorized ROEs. Rather, they serve as a check given the model risk as we formulate our ROE determinations.”</w:t>
      </w:r>
      <w:r>
        <w:rPr>
          <w:rStyle w:val="FootnoteReference"/>
        </w:rPr>
        <w:footnoteReference w:id="39"/>
      </w:r>
    </w:p>
    <w:p w:rsidR="00DF3C2C" w:rsidRDefault="00DF3C2C" w:rsidP="00DF3C2C">
      <w:pPr>
        <w:pStyle w:val="ListParagraph"/>
        <w:spacing w:after="200" w:line="276" w:lineRule="auto"/>
        <w:ind w:left="1440"/>
        <w:jc w:val="both"/>
      </w:pPr>
    </w:p>
    <w:p w:rsidR="00DF3C2C" w:rsidRDefault="00803881" w:rsidP="009333F6">
      <w:pPr>
        <w:pStyle w:val="ListParagraph"/>
        <w:numPr>
          <w:ilvl w:val="0"/>
          <w:numId w:val="36"/>
        </w:numPr>
        <w:spacing w:after="200" w:line="276" w:lineRule="auto"/>
        <w:jc w:val="both"/>
      </w:pPr>
      <w:r>
        <w:rPr>
          <w:b/>
        </w:rPr>
        <w:t>Regarding proxy group c</w:t>
      </w:r>
      <w:r w:rsidR="00DF3C2C" w:rsidRPr="00DF3C2C">
        <w:rPr>
          <w:b/>
        </w:rPr>
        <w:t>ons</w:t>
      </w:r>
      <w:r w:rsidR="00DF3C2C">
        <w:rPr>
          <w:b/>
        </w:rPr>
        <w:t>t</w:t>
      </w:r>
      <w:r w:rsidR="00DF3C2C" w:rsidRPr="00DF3C2C">
        <w:rPr>
          <w:b/>
        </w:rPr>
        <w:t>ruction</w:t>
      </w:r>
      <w:r w:rsidR="00DF3C2C">
        <w:t>:</w:t>
      </w:r>
    </w:p>
    <w:p w:rsidR="00DF3C2C" w:rsidRDefault="00DF3C2C" w:rsidP="009333F6">
      <w:pPr>
        <w:pStyle w:val="ListParagraph"/>
        <w:spacing w:after="200" w:line="276" w:lineRule="auto"/>
        <w:jc w:val="both"/>
      </w:pPr>
    </w:p>
    <w:p w:rsidR="00DF3C2C" w:rsidRDefault="00DF3C2C" w:rsidP="009333F6">
      <w:pPr>
        <w:pStyle w:val="ListParagraph"/>
        <w:numPr>
          <w:ilvl w:val="1"/>
          <w:numId w:val="36"/>
        </w:numPr>
        <w:spacing w:after="200" w:line="276" w:lineRule="auto"/>
        <w:jc w:val="both"/>
      </w:pPr>
      <w:r>
        <w:t>The Commission adopted a high-end outlier test</w:t>
      </w:r>
      <w:r w:rsidR="00831B4B">
        <w:t>, under which it considers “high-end outliers any proxy company whose cost of equity estimated under the model in question is more than 150 percent of the median result of all of the potential proxy group members in that model before any high or low-end outlier test is applied, subject to a “natural break” analysis similar to the approach the Commission uses for low-end DCF analysis results.”</w:t>
      </w:r>
      <w:r w:rsidR="00831B4B">
        <w:rPr>
          <w:rStyle w:val="FootnoteReference"/>
        </w:rPr>
        <w:footnoteReference w:id="40"/>
      </w:r>
    </w:p>
    <w:p w:rsidR="00831B4B" w:rsidRDefault="00831B4B" w:rsidP="00831B4B">
      <w:pPr>
        <w:pStyle w:val="ListParagraph"/>
        <w:spacing w:after="200" w:line="276" w:lineRule="auto"/>
        <w:ind w:left="1440"/>
        <w:jc w:val="both"/>
      </w:pPr>
    </w:p>
    <w:p w:rsidR="00831B4B" w:rsidRDefault="00831B4B" w:rsidP="00831B4B">
      <w:pPr>
        <w:pStyle w:val="ListParagraph"/>
        <w:numPr>
          <w:ilvl w:val="1"/>
          <w:numId w:val="36"/>
        </w:numPr>
        <w:spacing w:after="200" w:line="276" w:lineRule="auto"/>
        <w:jc w:val="both"/>
      </w:pPr>
      <w:r>
        <w:t>The Commission adopted “”a revised low-end outlier test that eliminates proxy group ROE results that are less than the yields of generic corporate Baa bonds plus 20 percent of the CAPM risk premium.”</w:t>
      </w:r>
      <w:r>
        <w:rPr>
          <w:rStyle w:val="FootnoteReference"/>
        </w:rPr>
        <w:footnoteReference w:id="41"/>
      </w:r>
    </w:p>
    <w:p w:rsidR="00831B4B" w:rsidRDefault="00831B4B" w:rsidP="00831B4B">
      <w:pPr>
        <w:pStyle w:val="ListParagraph"/>
      </w:pPr>
    </w:p>
    <w:p w:rsidR="00831B4B" w:rsidRDefault="00831B4B" w:rsidP="00831B4B">
      <w:pPr>
        <w:pStyle w:val="ListParagraph"/>
        <w:numPr>
          <w:ilvl w:val="1"/>
          <w:numId w:val="36"/>
        </w:numPr>
        <w:spacing w:after="200" w:line="276" w:lineRule="auto"/>
        <w:jc w:val="both"/>
      </w:pPr>
      <w:r>
        <w:t>The Commission will use a “natural break analysis” to determine “whether certain proxy group companies screened as outliers, or those almost screened as outliers, truly represent outliers and should thus be removed from the proxy group.”</w:t>
      </w:r>
      <w:r>
        <w:rPr>
          <w:rStyle w:val="FootnoteReference"/>
        </w:rPr>
        <w:footnoteReference w:id="42"/>
      </w:r>
    </w:p>
    <w:p w:rsidR="00831B4B" w:rsidRDefault="00831B4B" w:rsidP="00831B4B">
      <w:pPr>
        <w:pStyle w:val="ListParagraph"/>
      </w:pPr>
    </w:p>
    <w:p w:rsidR="00831B4B" w:rsidRDefault="00803881" w:rsidP="00831B4B">
      <w:pPr>
        <w:pStyle w:val="ListParagraph"/>
        <w:numPr>
          <w:ilvl w:val="0"/>
          <w:numId w:val="36"/>
        </w:numPr>
        <w:spacing w:after="200" w:line="276" w:lineRule="auto"/>
        <w:jc w:val="both"/>
        <w:rPr>
          <w:b/>
        </w:rPr>
      </w:pPr>
      <w:r>
        <w:rPr>
          <w:b/>
        </w:rPr>
        <w:t>Regarding u</w:t>
      </w:r>
      <w:r w:rsidR="00831B4B" w:rsidRPr="00831B4B">
        <w:rPr>
          <w:b/>
        </w:rPr>
        <w:t>se of the</w:t>
      </w:r>
      <w:r>
        <w:rPr>
          <w:b/>
        </w:rPr>
        <w:t xml:space="preserve"> midpoint or median as measure of central t</w:t>
      </w:r>
      <w:r w:rsidR="00831B4B" w:rsidRPr="00831B4B">
        <w:rPr>
          <w:b/>
        </w:rPr>
        <w:t>endency</w:t>
      </w:r>
      <w:r w:rsidR="00831B4B">
        <w:rPr>
          <w:b/>
        </w:rPr>
        <w:t>:</w:t>
      </w:r>
    </w:p>
    <w:p w:rsidR="00831B4B" w:rsidRDefault="00831B4B" w:rsidP="00831B4B">
      <w:pPr>
        <w:pStyle w:val="ListParagraph"/>
        <w:spacing w:after="200" w:line="276" w:lineRule="auto"/>
        <w:jc w:val="both"/>
        <w:rPr>
          <w:b/>
        </w:rPr>
      </w:pPr>
    </w:p>
    <w:p w:rsidR="00831B4B" w:rsidRDefault="00831B4B" w:rsidP="00831B4B">
      <w:pPr>
        <w:pStyle w:val="ListParagraph"/>
        <w:numPr>
          <w:ilvl w:val="1"/>
          <w:numId w:val="36"/>
        </w:numPr>
        <w:spacing w:after="200" w:line="276" w:lineRule="auto"/>
        <w:jc w:val="both"/>
      </w:pPr>
      <w:r>
        <w:t>The Commission will retain its “its current policy of using the midpoint for determining the central tendency of the zone of reasonableness in cases involving an RTO-wide ROE.”</w:t>
      </w:r>
      <w:r>
        <w:rPr>
          <w:rStyle w:val="FootnoteReference"/>
        </w:rPr>
        <w:footnoteReference w:id="43"/>
      </w:r>
      <w:r w:rsidR="00FE0781">
        <w:t xml:space="preserve">  In cases involving a sing</w:t>
      </w:r>
      <w:r w:rsidR="008D4411">
        <w:t>le</w:t>
      </w:r>
      <w:r w:rsidR="00FE0781">
        <w:t xml:space="preserve"> uti</w:t>
      </w:r>
      <w:r w:rsidR="008D4411">
        <w:t>lity the Commission</w:t>
      </w:r>
      <w:r w:rsidR="00FE0781">
        <w:t xml:space="preserve"> use</w:t>
      </w:r>
      <w:r w:rsidR="008D4411">
        <w:t>s</w:t>
      </w:r>
      <w:r w:rsidR="00FE0781">
        <w:t xml:space="preserve"> the median.</w:t>
      </w:r>
    </w:p>
    <w:p w:rsidR="008D4411" w:rsidRDefault="008D4411" w:rsidP="008D4411">
      <w:pPr>
        <w:pStyle w:val="ListParagraph"/>
        <w:spacing w:after="200" w:line="276" w:lineRule="auto"/>
        <w:ind w:left="1440"/>
        <w:jc w:val="both"/>
      </w:pPr>
    </w:p>
    <w:p w:rsidR="00AD3FFF" w:rsidRDefault="00AD3FFF" w:rsidP="008D4411">
      <w:pPr>
        <w:pStyle w:val="ListParagraph"/>
        <w:spacing w:after="200" w:line="276" w:lineRule="auto"/>
        <w:ind w:left="1440"/>
        <w:jc w:val="both"/>
      </w:pPr>
    </w:p>
    <w:p w:rsidR="00AD3FFF" w:rsidRDefault="00AD3FFF" w:rsidP="008D4411">
      <w:pPr>
        <w:pStyle w:val="ListParagraph"/>
        <w:spacing w:after="200" w:line="276" w:lineRule="auto"/>
        <w:ind w:left="1440"/>
        <w:jc w:val="both"/>
      </w:pPr>
    </w:p>
    <w:p w:rsidR="00AD3FFF" w:rsidRDefault="00AD3FFF" w:rsidP="008D4411">
      <w:pPr>
        <w:pStyle w:val="ListParagraph"/>
        <w:spacing w:after="200" w:line="276" w:lineRule="auto"/>
        <w:ind w:left="1440"/>
        <w:jc w:val="both"/>
      </w:pPr>
    </w:p>
    <w:p w:rsidR="008D4411" w:rsidRDefault="00803881" w:rsidP="008D4411">
      <w:pPr>
        <w:pStyle w:val="ListParagraph"/>
        <w:numPr>
          <w:ilvl w:val="0"/>
          <w:numId w:val="36"/>
        </w:numPr>
        <w:spacing w:after="200" w:line="276" w:lineRule="auto"/>
        <w:jc w:val="both"/>
      </w:pPr>
      <w:r>
        <w:rPr>
          <w:b/>
        </w:rPr>
        <w:lastRenderedPageBreak/>
        <w:t>Regarding weighting of the m</w:t>
      </w:r>
      <w:r w:rsidR="008D4411" w:rsidRPr="008D4411">
        <w:rPr>
          <w:b/>
        </w:rPr>
        <w:t>odels</w:t>
      </w:r>
      <w:r>
        <w:rPr>
          <w:b/>
        </w:rPr>
        <w:t xml:space="preserve"> and sequencing to determine zone of r</w:t>
      </w:r>
      <w:r w:rsidR="008D4411">
        <w:rPr>
          <w:b/>
        </w:rPr>
        <w:t>easonableness</w:t>
      </w:r>
      <w:r w:rsidR="008D4411">
        <w:t>:</w:t>
      </w:r>
    </w:p>
    <w:p w:rsidR="008D4411" w:rsidRDefault="008D4411" w:rsidP="008D4411">
      <w:pPr>
        <w:pStyle w:val="ListParagraph"/>
        <w:spacing w:after="200" w:line="276" w:lineRule="auto"/>
        <w:jc w:val="both"/>
      </w:pPr>
    </w:p>
    <w:p w:rsidR="008D4411" w:rsidRDefault="008D4411" w:rsidP="008D4411">
      <w:pPr>
        <w:pStyle w:val="ListParagraph"/>
        <w:numPr>
          <w:ilvl w:val="1"/>
          <w:numId w:val="36"/>
        </w:numPr>
        <w:spacing w:after="200" w:line="276" w:lineRule="auto"/>
        <w:jc w:val="both"/>
      </w:pPr>
      <w:r>
        <w:t>The Commission will give equal weight to the DCF and CAPM models to produce a single composite zone of reasonableness for both evaluating and setting the just and reasonable ROE.</w:t>
      </w:r>
      <w:r>
        <w:rPr>
          <w:rStyle w:val="FootnoteReference"/>
        </w:rPr>
        <w:footnoteReference w:id="44"/>
      </w:r>
    </w:p>
    <w:p w:rsidR="008D4411" w:rsidRDefault="008D4411" w:rsidP="008D4411">
      <w:pPr>
        <w:pStyle w:val="ListParagraph"/>
        <w:spacing w:after="200" w:line="276" w:lineRule="auto"/>
        <w:ind w:left="1440"/>
        <w:jc w:val="both"/>
      </w:pPr>
    </w:p>
    <w:p w:rsidR="008D4411" w:rsidRDefault="00751F6E" w:rsidP="008D4411">
      <w:pPr>
        <w:pStyle w:val="ListParagraph"/>
        <w:numPr>
          <w:ilvl w:val="1"/>
          <w:numId w:val="36"/>
        </w:numPr>
        <w:spacing w:after="200" w:line="276" w:lineRule="auto"/>
        <w:jc w:val="both"/>
      </w:pPr>
      <w:r>
        <w:t>In implementation, t</w:t>
      </w:r>
      <w:r w:rsidR="008D4411">
        <w:t>he Commission will:</w:t>
      </w:r>
    </w:p>
    <w:p w:rsidR="008D4411" w:rsidRDefault="008D4411" w:rsidP="008D4411">
      <w:pPr>
        <w:pStyle w:val="ListParagraph"/>
      </w:pPr>
    </w:p>
    <w:p w:rsidR="008D4411" w:rsidRDefault="008D4411" w:rsidP="00B62B89">
      <w:pPr>
        <w:spacing w:after="200" w:line="276" w:lineRule="auto"/>
        <w:ind w:left="1440"/>
        <w:jc w:val="both"/>
      </w:pPr>
      <w:r w:rsidRPr="008D4411">
        <w:t>apply the DCF and CAPM models separately to the applicable proxy group, producing two zones of reasonableness: a DCF zone of reasonableness and a CAPM zone of reasonableness. Then the top of the DCF zone of reasonableness will be averaged with the top of the CAPM zone of reasonableness and the bottom of the DCF zone of reasonableness will be averaged with the bottom of the CAPM zone of reasonableness to determine a single composite zone of reasonableness for use in both the first and second prong analysis under FPA section 206. If an existing ROE is found to be unjust and unreasonable, the replacement ROE will be set at the central tendency of the composite zone of reasonableness or the central tendency of the upper or lower halves of the composite zone of reasonableness depending upon whether the utility is of average, above average, or below average risk, respectively.</w:t>
      </w:r>
      <w:r>
        <w:rPr>
          <w:rStyle w:val="FootnoteReference"/>
        </w:rPr>
        <w:footnoteReference w:id="45"/>
      </w:r>
    </w:p>
    <w:p w:rsidR="00471180" w:rsidRDefault="00803881" w:rsidP="00471180">
      <w:pPr>
        <w:pStyle w:val="ListParagraph"/>
        <w:numPr>
          <w:ilvl w:val="0"/>
          <w:numId w:val="37"/>
        </w:numPr>
        <w:spacing w:after="200" w:line="276" w:lineRule="auto"/>
        <w:jc w:val="both"/>
      </w:pPr>
      <w:r>
        <w:rPr>
          <w:b/>
        </w:rPr>
        <w:t>Use of RTO-w</w:t>
      </w:r>
      <w:r w:rsidR="00471180" w:rsidRPr="00471180">
        <w:rPr>
          <w:b/>
        </w:rPr>
        <w:t>ide ROEs</w:t>
      </w:r>
      <w:r w:rsidR="00471180">
        <w:t>:</w:t>
      </w:r>
    </w:p>
    <w:p w:rsidR="00471180" w:rsidRDefault="00471180" w:rsidP="00471180">
      <w:pPr>
        <w:pStyle w:val="ListParagraph"/>
        <w:spacing w:after="200" w:line="276" w:lineRule="auto"/>
        <w:jc w:val="both"/>
      </w:pPr>
    </w:p>
    <w:p w:rsidR="001F63CD" w:rsidRDefault="00471180" w:rsidP="00021FB7">
      <w:pPr>
        <w:pStyle w:val="ListParagraph"/>
        <w:numPr>
          <w:ilvl w:val="1"/>
          <w:numId w:val="37"/>
        </w:numPr>
        <w:spacing w:after="200" w:line="276" w:lineRule="auto"/>
        <w:jc w:val="both"/>
      </w:pPr>
      <w:r>
        <w:t>The Commission stated that consideration of whether to depart from a group-wide ROE in an RTO was outside the scope of the proceeding, but noted that based on historical practice it would be appropriate for MISO to retain an RTO-wide ROE, where the transmission facilities are pooled and operated by MISO.  In such circumstances it is reasonable to allow “</w:t>
      </w:r>
      <w:r w:rsidRPr="00471180">
        <w:t>use of a single RTO-wide ROE because many of the factors influencing the return that investors would require to invest in the MISO TOs are similar such as operating risks, the potential effects of upgrades and expansions, and the rules and requirements applicable to use of their transmission facilities.</w:t>
      </w:r>
      <w:r>
        <w:t>”</w:t>
      </w:r>
      <w:r w:rsidR="001F63CD">
        <w:rPr>
          <w:rStyle w:val="FootnoteReference"/>
        </w:rPr>
        <w:footnoteReference w:id="46"/>
      </w:r>
      <w:r w:rsidR="00021FB7">
        <w:t xml:space="preserve">  </w:t>
      </w:r>
      <w:r w:rsidR="001F63CD">
        <w:t xml:space="preserve">The Commission also found that: </w:t>
      </w:r>
    </w:p>
    <w:p w:rsidR="001F63CD" w:rsidRDefault="001F63CD" w:rsidP="001F63CD">
      <w:pPr>
        <w:pStyle w:val="ListParagraph"/>
      </w:pPr>
    </w:p>
    <w:p w:rsidR="001F63CD" w:rsidRDefault="001F63CD" w:rsidP="001F63CD">
      <w:pPr>
        <w:pStyle w:val="ListParagraph"/>
        <w:spacing w:after="200" w:line="276" w:lineRule="auto"/>
        <w:ind w:left="2160"/>
        <w:jc w:val="both"/>
      </w:pPr>
      <w:r>
        <w:t xml:space="preserve">using a single RTO-wide base ROE will likely promote closer integration among the transmission owners in the MISO region and consistency in </w:t>
      </w:r>
      <w:r>
        <w:lastRenderedPageBreak/>
        <w:t>MISO planning efforts because the effects of RTO planning and expansion decisions will be more balanced across the various different transmission owners with a single RTO-wide ROE than if those transmission owners earned multiple different ROEs on their respective rate bases.</w:t>
      </w:r>
      <w:r>
        <w:rPr>
          <w:rStyle w:val="FootnoteReference"/>
        </w:rPr>
        <w:footnoteReference w:id="47"/>
      </w:r>
    </w:p>
    <w:p w:rsidR="001F63CD" w:rsidRPr="00831B4B" w:rsidRDefault="001F63CD" w:rsidP="001F63CD">
      <w:pPr>
        <w:pStyle w:val="ListParagraph"/>
        <w:spacing w:after="200" w:line="276" w:lineRule="auto"/>
        <w:ind w:left="2160"/>
        <w:jc w:val="both"/>
      </w:pPr>
    </w:p>
    <w:p w:rsidR="00F12B0A" w:rsidRDefault="00803881" w:rsidP="009333F6">
      <w:pPr>
        <w:pStyle w:val="ListParagraph"/>
        <w:keepNext/>
        <w:keepLines/>
        <w:numPr>
          <w:ilvl w:val="0"/>
          <w:numId w:val="37"/>
        </w:numPr>
        <w:spacing w:after="200" w:line="276" w:lineRule="auto"/>
        <w:jc w:val="both"/>
      </w:pPr>
      <w:r>
        <w:rPr>
          <w:b/>
        </w:rPr>
        <w:t>Regarding an ROE incentives c</w:t>
      </w:r>
      <w:r w:rsidR="001F63CD" w:rsidRPr="001F63CD">
        <w:rPr>
          <w:b/>
        </w:rPr>
        <w:t>ap</w:t>
      </w:r>
      <w:r w:rsidR="001F63CD">
        <w:t>:</w:t>
      </w:r>
    </w:p>
    <w:p w:rsidR="001F63CD" w:rsidRDefault="001F63CD" w:rsidP="009333F6">
      <w:pPr>
        <w:pStyle w:val="ListParagraph"/>
        <w:keepNext/>
        <w:keepLines/>
        <w:spacing w:after="200" w:line="276" w:lineRule="auto"/>
        <w:jc w:val="both"/>
      </w:pPr>
    </w:p>
    <w:p w:rsidR="00F12B0A" w:rsidRPr="00AA3619" w:rsidRDefault="001F63CD" w:rsidP="00F12B0A">
      <w:pPr>
        <w:pStyle w:val="ListParagraph"/>
        <w:numPr>
          <w:ilvl w:val="1"/>
          <w:numId w:val="37"/>
        </w:numPr>
        <w:spacing w:after="200" w:line="276" w:lineRule="auto"/>
        <w:jc w:val="both"/>
      </w:pPr>
      <w:r>
        <w:t>The Commission will continue its current policy of capping total ROE (base ROE plus incentive adders) at the top of the zone of reasonableness</w:t>
      </w:r>
      <w:r w:rsidR="00395F7D">
        <w:t>, and will now use the upper end of the composite zone of reasonableness resulting from both the DCF and CAPM models</w:t>
      </w:r>
      <w:r>
        <w:t>.</w:t>
      </w:r>
      <w:r>
        <w:rPr>
          <w:rStyle w:val="FootnoteReference"/>
        </w:rPr>
        <w:footnoteReference w:id="48"/>
      </w:r>
    </w:p>
    <w:sectPr w:rsidR="00F12B0A" w:rsidRPr="00AA3619" w:rsidSect="00334F9F">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7C1" w:rsidRDefault="004E47C1" w:rsidP="001D2394">
      <w:r>
        <w:separator/>
      </w:r>
    </w:p>
  </w:endnote>
  <w:endnote w:type="continuationSeparator" w:id="0">
    <w:p w:rsidR="004E47C1" w:rsidRDefault="004E47C1" w:rsidP="001D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192"/>
      <w:gridCol w:w="3192"/>
      <w:gridCol w:w="3192"/>
    </w:tblGrid>
    <w:tr w:rsidR="00A53B61" w:rsidRPr="00130B21" w:rsidTr="00334F9F">
      <w:tc>
        <w:tcPr>
          <w:tcW w:w="3192" w:type="dxa"/>
        </w:tcPr>
        <w:p w:rsidR="00A53B61" w:rsidRPr="003B0224" w:rsidRDefault="00A53B61" w:rsidP="00DB4A76">
          <w:pPr>
            <w:pStyle w:val="DocID"/>
          </w:pPr>
          <w:r w:rsidRPr="00DB4A76">
            <w:fldChar w:fldCharType="begin"/>
          </w:r>
          <w:r w:rsidRPr="00DB4A76">
            <w:instrText xml:space="preserve"> IF "</w:instrText>
          </w:r>
          <w:r w:rsidRPr="00DB4A76">
            <w:fldChar w:fldCharType="begin"/>
          </w:r>
          <w:r w:rsidRPr="00DB4A76">
            <w:instrText xml:space="preserve"> DOCVARIABLE "SWDocIDLocation" </w:instrText>
          </w:r>
          <w:r w:rsidRPr="00DB4A76">
            <w:fldChar w:fldCharType="separate"/>
          </w:r>
          <w:r w:rsidR="001D3D66">
            <w:instrText>1</w:instrText>
          </w:r>
          <w:r w:rsidRPr="00DB4A76">
            <w:fldChar w:fldCharType="end"/>
          </w:r>
          <w:r w:rsidRPr="00DB4A76">
            <w:instrText>" = "1" "</w:instrText>
          </w:r>
          <w:r w:rsidRPr="00DB4A76">
            <w:fldChar w:fldCharType="begin"/>
          </w:r>
          <w:r w:rsidRPr="00DB4A76">
            <w:instrText xml:space="preserve"> DOCPROPERTY "SWDocID" </w:instrText>
          </w:r>
          <w:r w:rsidRPr="00DB4A76">
            <w:fldChar w:fldCharType="separate"/>
          </w:r>
          <w:r w:rsidR="001D3D66">
            <w:instrText>104156062.2</w:instrText>
          </w:r>
          <w:r w:rsidRPr="00DB4A76">
            <w:fldChar w:fldCharType="end"/>
          </w:r>
          <w:r w:rsidRPr="00DB4A76">
            <w:instrText xml:space="preserve">" "" </w:instrText>
          </w:r>
          <w:r w:rsidRPr="00DB4A76">
            <w:fldChar w:fldCharType="separate"/>
          </w:r>
          <w:r w:rsidR="001D3D66">
            <w:t>104156062.2</w:t>
          </w:r>
          <w:r w:rsidRPr="00DB4A76">
            <w:fldChar w:fldCharType="end"/>
          </w:r>
        </w:p>
      </w:tc>
      <w:tc>
        <w:tcPr>
          <w:tcW w:w="3192" w:type="dxa"/>
          <w:vAlign w:val="center"/>
        </w:tcPr>
        <w:p w:rsidR="00A53B61" w:rsidRPr="00932A6F" w:rsidRDefault="00A53B61" w:rsidP="00E16621">
          <w:pPr>
            <w:pStyle w:val="Footer"/>
            <w:jc w:val="center"/>
          </w:pPr>
          <w:r w:rsidRPr="00130B21">
            <w:t>-</w:t>
          </w:r>
          <w:r w:rsidRPr="00130B21">
            <w:fldChar w:fldCharType="begin"/>
          </w:r>
          <w:r w:rsidRPr="00130B21">
            <w:instrText xml:space="preserve"> PAGE  \* MERGEFORMAT </w:instrText>
          </w:r>
          <w:r w:rsidRPr="00130B21">
            <w:fldChar w:fldCharType="separate"/>
          </w:r>
          <w:r w:rsidR="0048795E">
            <w:rPr>
              <w:noProof/>
            </w:rPr>
            <w:t>11</w:t>
          </w:r>
          <w:r w:rsidRPr="00130B21">
            <w:fldChar w:fldCharType="end"/>
          </w:r>
          <w:r w:rsidRPr="00130B21">
            <w:t>-</w:t>
          </w:r>
        </w:p>
      </w:tc>
      <w:tc>
        <w:tcPr>
          <w:tcW w:w="3192" w:type="dxa"/>
        </w:tcPr>
        <w:p w:rsidR="00A53B61" w:rsidRPr="00130B21" w:rsidRDefault="00A53B61">
          <w:pPr>
            <w:pStyle w:val="Footer"/>
          </w:pPr>
        </w:p>
      </w:tc>
    </w:tr>
  </w:tbl>
  <w:p w:rsidR="00A53B61" w:rsidRPr="00130B21" w:rsidRDefault="00A53B61">
    <w:pPr>
      <w:pStyle w:val="Footer"/>
      <w:rPr>
        <w:sz w:val="12"/>
        <w:szCs w:val="12"/>
      </w:rPr>
    </w:pPr>
    <w:r w:rsidRPr="00130B21">
      <w:rPr>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130"/>
      <w:gridCol w:w="3115"/>
      <w:gridCol w:w="3115"/>
    </w:tblGrid>
    <w:tr w:rsidR="00A53B61" w:rsidRPr="00130B21" w:rsidTr="00334F9F">
      <w:trPr>
        <w:trHeight w:val="270"/>
      </w:trPr>
      <w:tc>
        <w:tcPr>
          <w:tcW w:w="3192" w:type="dxa"/>
        </w:tcPr>
        <w:p w:rsidR="00A53B61" w:rsidRPr="00DB4A76" w:rsidRDefault="00A53B61" w:rsidP="00DB4A76">
          <w:pPr>
            <w:pStyle w:val="DocID"/>
          </w:pPr>
          <w:r w:rsidRPr="00DB4A76">
            <w:fldChar w:fldCharType="begin"/>
          </w:r>
          <w:r w:rsidRPr="00DB4A76">
            <w:instrText xml:space="preserve"> IF "</w:instrText>
          </w:r>
          <w:r w:rsidRPr="00DB4A76">
            <w:fldChar w:fldCharType="begin"/>
          </w:r>
          <w:r w:rsidRPr="00DB4A76">
            <w:instrText xml:space="preserve"> DOCVARIABLE "SWDocIDLocation" </w:instrText>
          </w:r>
          <w:r w:rsidRPr="00DB4A76">
            <w:fldChar w:fldCharType="separate"/>
          </w:r>
          <w:r w:rsidR="001D3D66">
            <w:instrText>1</w:instrText>
          </w:r>
          <w:r w:rsidRPr="00DB4A76">
            <w:fldChar w:fldCharType="end"/>
          </w:r>
          <w:r w:rsidRPr="00DB4A76">
            <w:instrText>" = "1" "</w:instrText>
          </w:r>
          <w:r w:rsidRPr="00DB4A76">
            <w:fldChar w:fldCharType="begin"/>
          </w:r>
          <w:r w:rsidRPr="00DB4A76">
            <w:instrText xml:space="preserve"> DOCPROPERTY "SWDocID" </w:instrText>
          </w:r>
          <w:r w:rsidRPr="00DB4A76">
            <w:fldChar w:fldCharType="separate"/>
          </w:r>
          <w:r w:rsidR="001D3D66">
            <w:instrText>104156062.2</w:instrText>
          </w:r>
          <w:r w:rsidRPr="00DB4A76">
            <w:fldChar w:fldCharType="end"/>
          </w:r>
          <w:r w:rsidRPr="00DB4A76">
            <w:instrText xml:space="preserve">" "" </w:instrText>
          </w:r>
          <w:r w:rsidRPr="00DB4A76">
            <w:fldChar w:fldCharType="separate"/>
          </w:r>
          <w:r w:rsidR="001D3D66">
            <w:t>104156062.2</w:t>
          </w:r>
          <w:r w:rsidRPr="00DB4A76">
            <w:fldChar w:fldCharType="end"/>
          </w:r>
        </w:p>
      </w:tc>
      <w:tc>
        <w:tcPr>
          <w:tcW w:w="3192" w:type="dxa"/>
          <w:vAlign w:val="center"/>
        </w:tcPr>
        <w:p w:rsidR="00A53B61" w:rsidRPr="00130B21" w:rsidRDefault="00A53B61" w:rsidP="00547A17">
          <w:pPr>
            <w:pStyle w:val="Footer"/>
            <w:tabs>
              <w:tab w:val="clear" w:pos="4680"/>
              <w:tab w:val="clear" w:pos="9360"/>
              <w:tab w:val="left" w:pos="960"/>
            </w:tabs>
          </w:pPr>
        </w:p>
      </w:tc>
      <w:tc>
        <w:tcPr>
          <w:tcW w:w="3192" w:type="dxa"/>
        </w:tcPr>
        <w:p w:rsidR="00A53B61" w:rsidRPr="00130B21" w:rsidRDefault="00A53B61" w:rsidP="001B410F">
          <w:pPr>
            <w:pStyle w:val="Footer"/>
          </w:pPr>
        </w:p>
      </w:tc>
    </w:tr>
  </w:tbl>
  <w:p w:rsidR="00A53B61" w:rsidRPr="00806983" w:rsidRDefault="00A53B61" w:rsidP="00806983">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7C1" w:rsidRDefault="004E47C1" w:rsidP="001D2394">
      <w:r>
        <w:separator/>
      </w:r>
    </w:p>
  </w:footnote>
  <w:footnote w:type="continuationSeparator" w:id="0">
    <w:p w:rsidR="004E47C1" w:rsidRDefault="004E47C1" w:rsidP="001D2394">
      <w:r>
        <w:continuationSeparator/>
      </w:r>
    </w:p>
  </w:footnote>
  <w:footnote w:id="1">
    <w:p w:rsidR="00C153C4" w:rsidRDefault="00C153C4" w:rsidP="009333F6">
      <w:pPr>
        <w:pStyle w:val="FootnoteText"/>
        <w:spacing w:after="120" w:line="240" w:lineRule="auto"/>
        <w:ind w:firstLine="0"/>
      </w:pPr>
      <w:r>
        <w:rPr>
          <w:rStyle w:val="FootnoteReference"/>
        </w:rPr>
        <w:footnoteRef/>
      </w:r>
      <w:r w:rsidR="00CC258F">
        <w:t xml:space="preserve"> Opinion</w:t>
      </w:r>
      <w:r>
        <w:t xml:space="preserve"> </w:t>
      </w:r>
      <w:r w:rsidR="00CC258F">
        <w:t xml:space="preserve">No. </w:t>
      </w:r>
      <w:r>
        <w:t xml:space="preserve">569 can be accessed here: </w:t>
      </w:r>
      <w:hyperlink r:id="rId1" w:history="1">
        <w:r w:rsidRPr="00CC3969">
          <w:rPr>
            <w:rStyle w:val="Hyperlink"/>
          </w:rPr>
          <w:t>https://www.ferc.gov/whats-new/comm-meet/2019/112119/E-11.pdf</w:t>
        </w:r>
      </w:hyperlink>
      <w:r>
        <w:t>.</w:t>
      </w:r>
    </w:p>
  </w:footnote>
  <w:footnote w:id="2">
    <w:p w:rsidR="00C153C4" w:rsidRDefault="00C153C4" w:rsidP="009333F6">
      <w:pPr>
        <w:pStyle w:val="FootnoteText"/>
        <w:spacing w:after="120" w:line="240" w:lineRule="auto"/>
        <w:ind w:firstLine="0"/>
      </w:pPr>
      <w:r>
        <w:rPr>
          <w:rStyle w:val="FootnoteReference"/>
        </w:rPr>
        <w:footnoteRef/>
      </w:r>
      <w:r w:rsidR="00CC258F">
        <w:t xml:space="preserve"> Opinion</w:t>
      </w:r>
      <w:r>
        <w:t xml:space="preserve"> </w:t>
      </w:r>
      <w:r w:rsidR="00CC258F">
        <w:t xml:space="preserve">No. </w:t>
      </w:r>
      <w:r>
        <w:t>569 was issued in Docket Nos. EL14-12-003 and EL15-45-000.</w:t>
      </w:r>
    </w:p>
  </w:footnote>
  <w:footnote w:id="3">
    <w:p w:rsidR="00484640" w:rsidRPr="00484640" w:rsidRDefault="00484640" w:rsidP="009333F6">
      <w:pPr>
        <w:pStyle w:val="FootnoteText"/>
        <w:spacing w:after="120"/>
        <w:ind w:firstLine="0"/>
      </w:pPr>
      <w:r>
        <w:rPr>
          <w:rStyle w:val="FootnoteReference"/>
        </w:rPr>
        <w:footnoteRef/>
      </w:r>
      <w:r>
        <w:t xml:space="preserve"> </w:t>
      </w:r>
      <w:r>
        <w:rPr>
          <w:i/>
        </w:rPr>
        <w:t xml:space="preserve">See, </w:t>
      </w:r>
      <w:r w:rsidRPr="00484640">
        <w:rPr>
          <w:i/>
        </w:rPr>
        <w:t>Coakley Mass. Attorney Gen. v. Bangor Hydro-Elec. Co</w:t>
      </w:r>
      <w:r w:rsidRPr="00484640">
        <w:t>., Opinion No. 531, 147 FERC ¶ 61,234 (2014),</w:t>
      </w:r>
      <w:r w:rsidRPr="00484640">
        <w:rPr>
          <w:i/>
        </w:rPr>
        <w:t xml:space="preserve"> order on paper hearing, </w:t>
      </w:r>
      <w:r w:rsidRPr="00484640">
        <w:t>149 FERC ¶ 61,032 (2014) (Opinion No. 531-A),</w:t>
      </w:r>
      <w:r w:rsidRPr="00484640">
        <w:rPr>
          <w:i/>
        </w:rPr>
        <w:t xml:space="preserve"> order on reh’g, </w:t>
      </w:r>
      <w:r w:rsidRPr="00484640">
        <w:t>Opinion No. 531-B, 150 FERC ¶ 61,165 (2015).</w:t>
      </w:r>
    </w:p>
  </w:footnote>
  <w:footnote w:id="4">
    <w:p w:rsidR="00484640" w:rsidRDefault="00484640" w:rsidP="0098430E">
      <w:pPr>
        <w:pStyle w:val="FootnoteText"/>
        <w:spacing w:after="120"/>
        <w:ind w:firstLine="0"/>
      </w:pPr>
      <w:r>
        <w:rPr>
          <w:rStyle w:val="FootnoteReference"/>
        </w:rPr>
        <w:footnoteRef/>
      </w:r>
      <w:r>
        <w:t xml:space="preserve"> </w:t>
      </w:r>
      <w:r w:rsidR="00CC258F">
        <w:rPr>
          <w:i/>
        </w:rPr>
        <w:t xml:space="preserve">See, </w:t>
      </w:r>
      <w:r w:rsidRPr="00484640">
        <w:rPr>
          <w:i/>
        </w:rPr>
        <w:t>Emera Maine et al. v. FERC</w:t>
      </w:r>
      <w:r w:rsidRPr="00484640">
        <w:t xml:space="preserve">, 854 F.3d 9 (D.C. </w:t>
      </w:r>
      <w:r>
        <w:t>Cir. Apr. 14, 2017) (“</w:t>
      </w:r>
      <w:r w:rsidRPr="00484640">
        <w:rPr>
          <w:i/>
        </w:rPr>
        <w:t>Emera</w:t>
      </w:r>
      <w:r w:rsidR="00F5478C">
        <w:rPr>
          <w:i/>
        </w:rPr>
        <w:t xml:space="preserve"> Maine</w:t>
      </w:r>
      <w:r>
        <w:t>”</w:t>
      </w:r>
      <w:r w:rsidRPr="00484640">
        <w:t xml:space="preserve">).  </w:t>
      </w:r>
    </w:p>
  </w:footnote>
  <w:footnote w:id="5">
    <w:p w:rsidR="000B79CE" w:rsidRDefault="000B79CE" w:rsidP="0098430E">
      <w:pPr>
        <w:pStyle w:val="FootnoteText"/>
        <w:spacing w:after="120"/>
        <w:ind w:firstLine="0"/>
      </w:pPr>
      <w:r>
        <w:rPr>
          <w:rStyle w:val="FootnoteReference"/>
        </w:rPr>
        <w:footnoteRef/>
      </w:r>
      <w:r>
        <w:t xml:space="preserve"> </w:t>
      </w:r>
      <w:r w:rsidRPr="00F5478C">
        <w:rPr>
          <w:i/>
        </w:rPr>
        <w:t>Ass’n of Businesses Advocating Tariff Equity v. Midcontinent Indep. Sys. Operator, Inc</w:t>
      </w:r>
      <w:r>
        <w:t>., Opinion No. 551, 156 FERC ¶ 61,234 (2016) (affirming Initial Decision</w:t>
      </w:r>
      <w:r w:rsidR="00F5478C">
        <w:t>)</w:t>
      </w:r>
      <w:r>
        <w:t>, 153 FERC ¶ 63,027).</w:t>
      </w:r>
    </w:p>
  </w:footnote>
  <w:footnote w:id="6">
    <w:p w:rsidR="00F5478C" w:rsidRDefault="00F5478C" w:rsidP="0098430E">
      <w:pPr>
        <w:pStyle w:val="FootnoteText"/>
        <w:spacing w:after="120"/>
        <w:ind w:firstLine="0"/>
      </w:pPr>
      <w:r>
        <w:rPr>
          <w:rStyle w:val="FootnoteReference"/>
        </w:rPr>
        <w:footnoteRef/>
      </w:r>
      <w:r>
        <w:t xml:space="preserve"> A second MISO ROE complaint proceeding was initiated in 2015 with similar issues raised in Docket No. EL15-45-000.</w:t>
      </w:r>
    </w:p>
  </w:footnote>
  <w:footnote w:id="7">
    <w:p w:rsidR="00BF4842" w:rsidRPr="00CC1D3C" w:rsidRDefault="00BF4842" w:rsidP="0098430E">
      <w:pPr>
        <w:pStyle w:val="FootnoteText"/>
        <w:spacing w:after="120"/>
        <w:ind w:firstLine="0"/>
        <w:jc w:val="both"/>
        <w:rPr>
          <w:szCs w:val="22"/>
        </w:rPr>
      </w:pPr>
      <w:r w:rsidRPr="00CC1D3C">
        <w:rPr>
          <w:rStyle w:val="FootnoteReference"/>
          <w:szCs w:val="22"/>
        </w:rPr>
        <w:footnoteRef/>
      </w:r>
      <w:r w:rsidRPr="00CC1D3C">
        <w:rPr>
          <w:szCs w:val="22"/>
        </w:rPr>
        <w:t xml:space="preserve"> </w:t>
      </w:r>
      <w:r w:rsidRPr="00CC1D3C">
        <w:rPr>
          <w:i/>
          <w:iCs/>
          <w:szCs w:val="22"/>
        </w:rPr>
        <w:t>Emera Maine</w:t>
      </w:r>
      <w:r w:rsidRPr="00CC1D3C">
        <w:rPr>
          <w:iCs/>
          <w:szCs w:val="22"/>
        </w:rPr>
        <w:t xml:space="preserve">, </w:t>
      </w:r>
      <w:r w:rsidRPr="00CC1D3C">
        <w:rPr>
          <w:szCs w:val="22"/>
        </w:rPr>
        <w:t xml:space="preserve">854 F.3d 9. </w:t>
      </w:r>
    </w:p>
  </w:footnote>
  <w:footnote w:id="8">
    <w:p w:rsidR="00BF4842" w:rsidRPr="00CC1D3C" w:rsidRDefault="00BF4842" w:rsidP="0098430E">
      <w:pPr>
        <w:pStyle w:val="FootnoteText"/>
        <w:spacing w:after="120"/>
        <w:ind w:firstLine="0"/>
        <w:jc w:val="both"/>
        <w:rPr>
          <w:szCs w:val="22"/>
        </w:rPr>
      </w:pPr>
      <w:r w:rsidRPr="00CC1D3C">
        <w:rPr>
          <w:rStyle w:val="FootnoteReference"/>
          <w:szCs w:val="22"/>
        </w:rPr>
        <w:footnoteRef/>
      </w:r>
      <w:r w:rsidRPr="00CC1D3C">
        <w:rPr>
          <w:szCs w:val="22"/>
        </w:rPr>
        <w:t xml:space="preserve"> </w:t>
      </w:r>
      <w:r w:rsidRPr="00CC1D3C">
        <w:rPr>
          <w:i/>
          <w:szCs w:val="22"/>
        </w:rPr>
        <w:t xml:space="preserve">Id. at </w:t>
      </w:r>
      <w:r w:rsidRPr="00CC1D3C">
        <w:rPr>
          <w:szCs w:val="22"/>
        </w:rPr>
        <w:t xml:space="preserve">27. </w:t>
      </w:r>
      <w:r w:rsidRPr="00CC1D3C" w:rsidDel="00CC1D3C">
        <w:rPr>
          <w:szCs w:val="22"/>
        </w:rPr>
        <w:t xml:space="preserve"> </w:t>
      </w:r>
    </w:p>
  </w:footnote>
  <w:footnote w:id="9">
    <w:p w:rsidR="00BF4842" w:rsidRPr="00630FEF" w:rsidRDefault="00BF4842" w:rsidP="00BF4842">
      <w:pPr>
        <w:pStyle w:val="FootnoteText"/>
        <w:spacing w:after="120"/>
        <w:ind w:firstLine="0"/>
        <w:jc w:val="both"/>
        <w:rPr>
          <w:szCs w:val="22"/>
        </w:rPr>
      </w:pPr>
      <w:r w:rsidRPr="00CC1D3C">
        <w:rPr>
          <w:rStyle w:val="FootnoteReference"/>
          <w:szCs w:val="22"/>
        </w:rPr>
        <w:footnoteRef/>
      </w:r>
      <w:r w:rsidRPr="00CC1D3C">
        <w:rPr>
          <w:szCs w:val="22"/>
        </w:rPr>
        <w:t xml:space="preserve"> </w:t>
      </w:r>
      <w:r w:rsidRPr="00CC1D3C">
        <w:rPr>
          <w:i/>
          <w:szCs w:val="22"/>
        </w:rPr>
        <w:t xml:space="preserve">Id. at </w:t>
      </w:r>
      <w:r w:rsidRPr="00CC1D3C">
        <w:rPr>
          <w:szCs w:val="22"/>
        </w:rPr>
        <w:t xml:space="preserve">27-30. </w:t>
      </w:r>
    </w:p>
  </w:footnote>
  <w:footnote w:id="10">
    <w:p w:rsidR="001A460F" w:rsidRPr="001A460F" w:rsidRDefault="001A460F" w:rsidP="0098430E">
      <w:pPr>
        <w:pStyle w:val="FootnoteText"/>
        <w:spacing w:after="120"/>
        <w:ind w:firstLine="0"/>
      </w:pPr>
      <w:r>
        <w:rPr>
          <w:rStyle w:val="FootnoteReference"/>
        </w:rPr>
        <w:footnoteRef/>
      </w:r>
      <w:r>
        <w:t xml:space="preserve"> </w:t>
      </w:r>
      <w:r>
        <w:rPr>
          <w:i/>
        </w:rPr>
        <w:t xml:space="preserve">See, </w:t>
      </w:r>
      <w:r w:rsidRPr="00CC1D3C">
        <w:rPr>
          <w:i/>
          <w:szCs w:val="22"/>
        </w:rPr>
        <w:t>Coakley et. al</w:t>
      </w:r>
      <w:r w:rsidRPr="00CC1D3C">
        <w:rPr>
          <w:szCs w:val="22"/>
        </w:rPr>
        <w:t>, 165 FERC ¶ 61,030 (2018)</w:t>
      </w:r>
      <w:r>
        <w:rPr>
          <w:szCs w:val="22"/>
        </w:rPr>
        <w:t xml:space="preserve"> (the “Briefing Order”)</w:t>
      </w:r>
      <w:r w:rsidRPr="00CC1D3C">
        <w:rPr>
          <w:szCs w:val="22"/>
        </w:rPr>
        <w:t xml:space="preserve">. </w:t>
      </w:r>
      <w:r>
        <w:rPr>
          <w:szCs w:val="22"/>
        </w:rPr>
        <w:t xml:space="preserve"> </w:t>
      </w:r>
    </w:p>
  </w:footnote>
  <w:footnote w:id="11">
    <w:p w:rsidR="00BF4842" w:rsidRPr="00864EBB" w:rsidRDefault="00BF4842" w:rsidP="0098430E">
      <w:pPr>
        <w:pStyle w:val="FootnoteText"/>
        <w:spacing w:after="120"/>
        <w:ind w:firstLine="0"/>
        <w:jc w:val="both"/>
        <w:rPr>
          <w:szCs w:val="22"/>
        </w:rPr>
      </w:pPr>
      <w:r w:rsidRPr="00CC1D3C">
        <w:rPr>
          <w:rStyle w:val="FootnoteReference"/>
          <w:szCs w:val="22"/>
        </w:rPr>
        <w:footnoteRef/>
      </w:r>
      <w:r w:rsidRPr="00CC1D3C">
        <w:rPr>
          <w:szCs w:val="22"/>
        </w:rPr>
        <w:t xml:space="preserve"> </w:t>
      </w:r>
      <w:r w:rsidR="001A460F">
        <w:rPr>
          <w:szCs w:val="22"/>
        </w:rPr>
        <w:t xml:space="preserve"> Briefing </w:t>
      </w:r>
      <w:r w:rsidRPr="00CC1D3C">
        <w:rPr>
          <w:szCs w:val="22"/>
        </w:rPr>
        <w:t>Order at P 16.</w:t>
      </w:r>
    </w:p>
  </w:footnote>
  <w:footnote w:id="12">
    <w:p w:rsidR="00EA7CFD" w:rsidRDefault="00EA7CFD" w:rsidP="0098430E">
      <w:pPr>
        <w:pStyle w:val="FootnoteText"/>
        <w:spacing w:after="120"/>
        <w:ind w:firstLine="0"/>
      </w:pPr>
      <w:r>
        <w:rPr>
          <w:rStyle w:val="FootnoteReference"/>
        </w:rPr>
        <w:footnoteRef/>
      </w:r>
      <w:r>
        <w:t xml:space="preserve"> </w:t>
      </w:r>
      <w:r w:rsidRPr="00EA7CFD">
        <w:rPr>
          <w:i/>
        </w:rPr>
        <w:t>See,</w:t>
      </w:r>
      <w:r w:rsidR="00352848" w:rsidRPr="00352848">
        <w:t xml:space="preserve"> </w:t>
      </w:r>
      <w:r w:rsidR="00352848" w:rsidRPr="00F5478C">
        <w:rPr>
          <w:i/>
        </w:rPr>
        <w:t>Ass’n of Businesses Advocating Tariff Equity v. Midcontinent Indep. Sys. Operator, Inc</w:t>
      </w:r>
      <w:r w:rsidR="00352848">
        <w:t>.,</w:t>
      </w:r>
      <w:r w:rsidRPr="00EA7CFD">
        <w:rPr>
          <w:i/>
        </w:rPr>
        <w:t xml:space="preserve"> </w:t>
      </w:r>
      <w:r w:rsidR="00352848" w:rsidRPr="00352848">
        <w:t>Order Directing Briefs</w:t>
      </w:r>
      <w:r w:rsidRPr="00352848">
        <w:t>,</w:t>
      </w:r>
      <w:r>
        <w:t xml:space="preserve"> </w:t>
      </w:r>
      <w:r w:rsidRPr="00EA7CFD">
        <w:t>165 FERC ¶ 61,118</w:t>
      </w:r>
      <w:r w:rsidR="00352848">
        <w:t xml:space="preserve"> (2018)</w:t>
      </w:r>
      <w:r w:rsidRPr="00EA7CFD">
        <w:t xml:space="preserve"> at P 1.</w:t>
      </w:r>
    </w:p>
  </w:footnote>
  <w:footnote w:id="13">
    <w:p w:rsidR="001A460F" w:rsidRDefault="001A460F" w:rsidP="0098430E">
      <w:pPr>
        <w:pStyle w:val="FootnoteText"/>
        <w:spacing w:after="120"/>
        <w:ind w:firstLine="0"/>
      </w:pPr>
      <w:r>
        <w:rPr>
          <w:rStyle w:val="FootnoteReference"/>
        </w:rPr>
        <w:footnoteRef/>
      </w:r>
      <w:r>
        <w:t xml:space="preserve"> </w:t>
      </w:r>
      <w:r w:rsidR="00803881">
        <w:t>Opinion No. 56</w:t>
      </w:r>
      <w:r w:rsidR="00811695">
        <w:t>9</w:t>
      </w:r>
      <w:r w:rsidR="00803881">
        <w:t xml:space="preserve"> at P 18.</w:t>
      </w:r>
    </w:p>
  </w:footnote>
  <w:footnote w:id="14">
    <w:p w:rsidR="00A277C1" w:rsidRDefault="00A277C1" w:rsidP="009333F6">
      <w:pPr>
        <w:pStyle w:val="FootnoteText"/>
        <w:spacing w:after="120"/>
      </w:pPr>
      <w:r>
        <w:rPr>
          <w:rStyle w:val="FootnoteReference"/>
        </w:rPr>
        <w:footnoteRef/>
      </w:r>
      <w:r>
        <w:t xml:space="preserve"> </w:t>
      </w:r>
      <w:r w:rsidR="00803881">
        <w:rPr>
          <w:i/>
        </w:rPr>
        <w:t>Id</w:t>
      </w:r>
      <w:r>
        <w:t>.</w:t>
      </w:r>
    </w:p>
  </w:footnote>
  <w:footnote w:id="15">
    <w:p w:rsidR="009359E3" w:rsidRDefault="009359E3" w:rsidP="009333F6">
      <w:pPr>
        <w:pStyle w:val="FootnoteText"/>
        <w:spacing w:after="120"/>
      </w:pPr>
      <w:r>
        <w:rPr>
          <w:rStyle w:val="FootnoteReference"/>
        </w:rPr>
        <w:footnoteRef/>
      </w:r>
      <w:r>
        <w:t xml:space="preserve"> </w:t>
      </w:r>
      <w:r w:rsidR="00433A97" w:rsidRPr="00433A97">
        <w:rPr>
          <w:i/>
        </w:rPr>
        <w:t>Id</w:t>
      </w:r>
      <w:r w:rsidR="00433A97">
        <w:t>.</w:t>
      </w:r>
    </w:p>
  </w:footnote>
  <w:footnote w:id="16">
    <w:p w:rsidR="009359E3" w:rsidRDefault="009359E3" w:rsidP="009333F6">
      <w:pPr>
        <w:pStyle w:val="FootnoteText"/>
        <w:spacing w:after="120"/>
      </w:pPr>
      <w:r>
        <w:rPr>
          <w:rStyle w:val="FootnoteReference"/>
        </w:rPr>
        <w:footnoteRef/>
      </w:r>
      <w:r>
        <w:t xml:space="preserve"> </w:t>
      </w:r>
      <w:r w:rsidR="00433A97" w:rsidRPr="00433A97">
        <w:rPr>
          <w:i/>
        </w:rPr>
        <w:t>Id</w:t>
      </w:r>
      <w:r w:rsidR="00803881">
        <w:t>.</w:t>
      </w:r>
    </w:p>
  </w:footnote>
  <w:footnote w:id="17">
    <w:p w:rsidR="009359E3" w:rsidRDefault="009359E3" w:rsidP="009333F6">
      <w:pPr>
        <w:pStyle w:val="FootnoteText"/>
        <w:spacing w:after="120"/>
      </w:pPr>
      <w:r>
        <w:rPr>
          <w:rStyle w:val="FootnoteReference"/>
        </w:rPr>
        <w:footnoteRef/>
      </w:r>
      <w:r>
        <w:t xml:space="preserve"> </w:t>
      </w:r>
      <w:r w:rsidR="00433A97" w:rsidRPr="00433A97">
        <w:rPr>
          <w:i/>
        </w:rPr>
        <w:t>Id</w:t>
      </w:r>
      <w:r w:rsidR="00433A97">
        <w:t>.</w:t>
      </w:r>
    </w:p>
  </w:footnote>
  <w:footnote w:id="18">
    <w:p w:rsidR="00A277C1" w:rsidRDefault="00A277C1" w:rsidP="009333F6">
      <w:pPr>
        <w:pStyle w:val="FootnoteText"/>
        <w:spacing w:after="120"/>
      </w:pPr>
      <w:r>
        <w:rPr>
          <w:rStyle w:val="FootnoteReference"/>
        </w:rPr>
        <w:footnoteRef/>
      </w:r>
      <w:r>
        <w:t xml:space="preserve"> </w:t>
      </w:r>
      <w:r w:rsidRPr="00A277C1">
        <w:rPr>
          <w:i/>
        </w:rPr>
        <w:t>Id</w:t>
      </w:r>
      <w:r>
        <w:t>. at P 31.</w:t>
      </w:r>
    </w:p>
  </w:footnote>
  <w:footnote w:id="19">
    <w:p w:rsidR="00433A97" w:rsidRDefault="00433A97" w:rsidP="0098430E">
      <w:pPr>
        <w:pStyle w:val="FootnoteText"/>
        <w:spacing w:after="120"/>
      </w:pPr>
      <w:r>
        <w:rPr>
          <w:rStyle w:val="FootnoteReference"/>
        </w:rPr>
        <w:footnoteRef/>
      </w:r>
      <w:r>
        <w:t xml:space="preserve"> </w:t>
      </w:r>
      <w:r w:rsidR="006D3F96" w:rsidRPr="006D3F96">
        <w:rPr>
          <w:i/>
        </w:rPr>
        <w:t>Id</w:t>
      </w:r>
      <w:r w:rsidR="006D3F96">
        <w:t>. at 35-37.</w:t>
      </w:r>
    </w:p>
  </w:footnote>
  <w:footnote w:id="20">
    <w:p w:rsidR="00433A97" w:rsidRDefault="00433A97" w:rsidP="0098430E">
      <w:pPr>
        <w:pStyle w:val="FootnoteText"/>
        <w:spacing w:after="120"/>
      </w:pPr>
      <w:r>
        <w:rPr>
          <w:rStyle w:val="FootnoteReference"/>
        </w:rPr>
        <w:footnoteRef/>
      </w:r>
      <w:r>
        <w:t xml:space="preserve"> </w:t>
      </w:r>
      <w:r w:rsidRPr="00433A97">
        <w:rPr>
          <w:i/>
        </w:rPr>
        <w:t>Id</w:t>
      </w:r>
      <w:r>
        <w:t>. at P 37</w:t>
      </w:r>
      <w:r w:rsidR="006D3F96">
        <w:t>.</w:t>
      </w:r>
    </w:p>
  </w:footnote>
  <w:footnote w:id="21">
    <w:p w:rsidR="006D3F96" w:rsidRDefault="006D3F96" w:rsidP="0098430E">
      <w:pPr>
        <w:pStyle w:val="FootnoteText"/>
        <w:spacing w:after="120"/>
      </w:pPr>
      <w:r>
        <w:rPr>
          <w:rStyle w:val="FootnoteReference"/>
        </w:rPr>
        <w:footnoteRef/>
      </w:r>
      <w:r>
        <w:t xml:space="preserve"> </w:t>
      </w:r>
      <w:r w:rsidRPr="00E31FBB">
        <w:rPr>
          <w:i/>
        </w:rPr>
        <w:t>Id</w:t>
      </w:r>
      <w:r>
        <w:t>. at P 57.</w:t>
      </w:r>
    </w:p>
  </w:footnote>
  <w:footnote w:id="22">
    <w:p w:rsidR="00E31FBB" w:rsidRDefault="00E31FBB" w:rsidP="0098430E">
      <w:pPr>
        <w:pStyle w:val="FootnoteText"/>
        <w:spacing w:after="120"/>
      </w:pPr>
      <w:r>
        <w:rPr>
          <w:rStyle w:val="FootnoteReference"/>
        </w:rPr>
        <w:footnoteRef/>
      </w:r>
      <w:r>
        <w:t xml:space="preserve"> </w:t>
      </w:r>
      <w:r w:rsidRPr="00E31FBB">
        <w:rPr>
          <w:i/>
        </w:rPr>
        <w:t>Id</w:t>
      </w:r>
      <w:r>
        <w:t xml:space="preserve">. </w:t>
      </w:r>
    </w:p>
  </w:footnote>
  <w:footnote w:id="23">
    <w:p w:rsidR="00E31FBB" w:rsidRDefault="00E31FBB" w:rsidP="0098430E">
      <w:pPr>
        <w:pStyle w:val="FootnoteText"/>
        <w:spacing w:after="120"/>
      </w:pPr>
      <w:r>
        <w:rPr>
          <w:rStyle w:val="FootnoteReference"/>
        </w:rPr>
        <w:footnoteRef/>
      </w:r>
      <w:r>
        <w:t xml:space="preserve"> </w:t>
      </w:r>
      <w:r w:rsidRPr="00E31FBB">
        <w:rPr>
          <w:i/>
        </w:rPr>
        <w:t>Id</w:t>
      </w:r>
      <w:r>
        <w:t>.at 59.</w:t>
      </w:r>
    </w:p>
  </w:footnote>
  <w:footnote w:id="24">
    <w:p w:rsidR="004A7026" w:rsidRDefault="004A7026" w:rsidP="0098430E">
      <w:pPr>
        <w:pStyle w:val="FootnoteText"/>
        <w:spacing w:after="120"/>
      </w:pPr>
      <w:r>
        <w:rPr>
          <w:rStyle w:val="FootnoteReference"/>
        </w:rPr>
        <w:footnoteRef/>
      </w:r>
      <w:r>
        <w:t xml:space="preserve"> </w:t>
      </w:r>
      <w:r w:rsidRPr="004A7026">
        <w:rPr>
          <w:i/>
        </w:rPr>
        <w:t>Id</w:t>
      </w:r>
      <w:r>
        <w:t>. at 62.</w:t>
      </w:r>
    </w:p>
  </w:footnote>
  <w:footnote w:id="25">
    <w:p w:rsidR="004A7026" w:rsidRPr="004A7026" w:rsidRDefault="004A7026" w:rsidP="0098430E">
      <w:pPr>
        <w:pStyle w:val="FootnoteText"/>
        <w:spacing w:after="120"/>
      </w:pPr>
      <w:r>
        <w:rPr>
          <w:rStyle w:val="FootnoteReference"/>
        </w:rPr>
        <w:footnoteRef/>
      </w:r>
      <w:r>
        <w:t xml:space="preserve"> </w:t>
      </w:r>
      <w:r>
        <w:rPr>
          <w:i/>
        </w:rPr>
        <w:t xml:space="preserve">Id. </w:t>
      </w:r>
      <w:r>
        <w:t>at P 65.</w:t>
      </w:r>
    </w:p>
  </w:footnote>
  <w:footnote w:id="26">
    <w:p w:rsidR="00DC4668" w:rsidRPr="00DC4668" w:rsidRDefault="00DC4668" w:rsidP="0098430E">
      <w:pPr>
        <w:pStyle w:val="FootnoteText"/>
        <w:spacing w:after="120"/>
      </w:pPr>
      <w:r>
        <w:rPr>
          <w:rStyle w:val="FootnoteReference"/>
        </w:rPr>
        <w:footnoteRef/>
      </w:r>
      <w:r>
        <w:t xml:space="preserve"> </w:t>
      </w:r>
      <w:r>
        <w:rPr>
          <w:i/>
        </w:rPr>
        <w:t xml:space="preserve">Id. </w:t>
      </w:r>
      <w:r>
        <w:t>at P 67.</w:t>
      </w:r>
    </w:p>
  </w:footnote>
  <w:footnote w:id="27">
    <w:p w:rsidR="00DC4668" w:rsidRDefault="00DC4668" w:rsidP="0098430E">
      <w:pPr>
        <w:pStyle w:val="FootnoteText"/>
        <w:spacing w:after="120"/>
      </w:pPr>
      <w:r>
        <w:rPr>
          <w:rStyle w:val="FootnoteReference"/>
        </w:rPr>
        <w:footnoteRef/>
      </w:r>
      <w:r>
        <w:t xml:space="preserve"> Id. at P 85.</w:t>
      </w:r>
    </w:p>
  </w:footnote>
  <w:footnote w:id="28">
    <w:p w:rsidR="00BD440D" w:rsidRDefault="00BD440D" w:rsidP="0098430E">
      <w:pPr>
        <w:pStyle w:val="FootnoteText"/>
        <w:spacing w:after="120"/>
      </w:pPr>
      <w:r>
        <w:rPr>
          <w:rStyle w:val="FootnoteReference"/>
        </w:rPr>
        <w:footnoteRef/>
      </w:r>
      <w:r>
        <w:t xml:space="preserve"> </w:t>
      </w:r>
      <w:r w:rsidRPr="00BD440D">
        <w:rPr>
          <w:i/>
        </w:rPr>
        <w:t>Id</w:t>
      </w:r>
      <w:r>
        <w:t>. at P 86</w:t>
      </w:r>
    </w:p>
  </w:footnote>
  <w:footnote w:id="29">
    <w:p w:rsidR="00BD440D" w:rsidRDefault="00BD440D" w:rsidP="0098430E">
      <w:pPr>
        <w:pStyle w:val="FootnoteText"/>
        <w:spacing w:after="120"/>
      </w:pPr>
      <w:r>
        <w:rPr>
          <w:rStyle w:val="FootnoteReference"/>
        </w:rPr>
        <w:footnoteRef/>
      </w:r>
      <w:r>
        <w:t xml:space="preserve"> </w:t>
      </w:r>
      <w:r w:rsidRPr="00BD440D">
        <w:rPr>
          <w:i/>
        </w:rPr>
        <w:t>Id</w:t>
      </w:r>
      <w:r>
        <w:t>. at P 98</w:t>
      </w:r>
      <w:r w:rsidR="00B62B89">
        <w:t>.</w:t>
      </w:r>
    </w:p>
  </w:footnote>
  <w:footnote w:id="30">
    <w:p w:rsidR="00B62B89" w:rsidRDefault="00B62B89">
      <w:pPr>
        <w:pStyle w:val="FootnoteText"/>
      </w:pPr>
      <w:r>
        <w:rPr>
          <w:rStyle w:val="FootnoteReference"/>
        </w:rPr>
        <w:footnoteRef/>
      </w:r>
      <w:r>
        <w:t xml:space="preserve"> </w:t>
      </w:r>
      <w:r w:rsidRPr="00B62B89">
        <w:rPr>
          <w:i/>
        </w:rPr>
        <w:t>Id</w:t>
      </w:r>
      <w:r>
        <w:t>. at PP 98-99.</w:t>
      </w:r>
    </w:p>
  </w:footnote>
  <w:footnote w:id="31">
    <w:p w:rsidR="00BD440D" w:rsidRDefault="00BD440D" w:rsidP="0098430E">
      <w:pPr>
        <w:pStyle w:val="FootnoteText"/>
        <w:spacing w:after="120"/>
      </w:pPr>
      <w:r>
        <w:rPr>
          <w:rStyle w:val="FootnoteReference"/>
        </w:rPr>
        <w:footnoteRef/>
      </w:r>
      <w:r>
        <w:t xml:space="preserve"> </w:t>
      </w:r>
      <w:r w:rsidRPr="00194CD4">
        <w:rPr>
          <w:i/>
        </w:rPr>
        <w:t>Id</w:t>
      </w:r>
      <w:r>
        <w:t>. at PP 120-133.</w:t>
      </w:r>
    </w:p>
  </w:footnote>
  <w:footnote w:id="32">
    <w:p w:rsidR="00194CD4" w:rsidRDefault="00194CD4" w:rsidP="0098430E">
      <w:pPr>
        <w:pStyle w:val="FootnoteText"/>
        <w:spacing w:after="120"/>
      </w:pPr>
      <w:r>
        <w:rPr>
          <w:rStyle w:val="FootnoteReference"/>
        </w:rPr>
        <w:footnoteRef/>
      </w:r>
      <w:r>
        <w:t xml:space="preserve"> </w:t>
      </w:r>
      <w:r w:rsidRPr="00194CD4">
        <w:rPr>
          <w:i/>
        </w:rPr>
        <w:t>Id</w:t>
      </w:r>
      <w:r>
        <w:t>. at PP 134-171</w:t>
      </w:r>
    </w:p>
  </w:footnote>
  <w:footnote w:id="33">
    <w:p w:rsidR="00517A15" w:rsidRDefault="00517A15" w:rsidP="0098430E">
      <w:pPr>
        <w:pStyle w:val="FootnoteText"/>
        <w:spacing w:after="120"/>
      </w:pPr>
      <w:r>
        <w:rPr>
          <w:rStyle w:val="FootnoteReference"/>
        </w:rPr>
        <w:footnoteRef/>
      </w:r>
      <w:r>
        <w:t xml:space="preserve"> Id. at P 200</w:t>
      </w:r>
    </w:p>
  </w:footnote>
  <w:footnote w:id="34">
    <w:p w:rsidR="00517A15" w:rsidRDefault="00517A15">
      <w:pPr>
        <w:pStyle w:val="FootnoteText"/>
      </w:pPr>
      <w:r>
        <w:rPr>
          <w:rStyle w:val="FootnoteReference"/>
        </w:rPr>
        <w:footnoteRef/>
      </w:r>
      <w:r>
        <w:t xml:space="preserve"> </w:t>
      </w:r>
      <w:r w:rsidRPr="00517A15">
        <w:rPr>
          <w:i/>
        </w:rPr>
        <w:t>Id</w:t>
      </w:r>
      <w:r>
        <w:t>. at P 201.</w:t>
      </w:r>
    </w:p>
  </w:footnote>
  <w:footnote w:id="35">
    <w:p w:rsidR="00F12B0A" w:rsidRDefault="00F12B0A" w:rsidP="0098430E">
      <w:pPr>
        <w:pStyle w:val="FootnoteText"/>
        <w:spacing w:after="120"/>
      </w:pPr>
      <w:r>
        <w:rPr>
          <w:rStyle w:val="FootnoteReference"/>
        </w:rPr>
        <w:footnoteRef/>
      </w:r>
      <w:r>
        <w:t xml:space="preserve"> </w:t>
      </w:r>
      <w:r w:rsidRPr="00F12B0A">
        <w:rPr>
          <w:i/>
        </w:rPr>
        <w:t>Id</w:t>
      </w:r>
      <w:r>
        <w:t>. at P 236.</w:t>
      </w:r>
    </w:p>
  </w:footnote>
  <w:footnote w:id="36">
    <w:p w:rsidR="00F12B0A" w:rsidRDefault="00F12B0A" w:rsidP="0098430E">
      <w:pPr>
        <w:pStyle w:val="FootnoteText"/>
        <w:spacing w:after="120"/>
      </w:pPr>
      <w:r>
        <w:rPr>
          <w:rStyle w:val="FootnoteReference"/>
        </w:rPr>
        <w:footnoteRef/>
      </w:r>
      <w:r>
        <w:t xml:space="preserve"> </w:t>
      </w:r>
      <w:r w:rsidRPr="00F12B0A">
        <w:rPr>
          <w:i/>
        </w:rPr>
        <w:t>Id</w:t>
      </w:r>
      <w:r>
        <w:t>. at P 260.</w:t>
      </w:r>
    </w:p>
  </w:footnote>
  <w:footnote w:id="37">
    <w:p w:rsidR="00F12B0A" w:rsidRDefault="00F12B0A" w:rsidP="0098430E">
      <w:pPr>
        <w:pStyle w:val="FootnoteText"/>
        <w:spacing w:after="120"/>
      </w:pPr>
      <w:r>
        <w:rPr>
          <w:rStyle w:val="FootnoteReference"/>
        </w:rPr>
        <w:footnoteRef/>
      </w:r>
      <w:r>
        <w:t xml:space="preserve"> </w:t>
      </w:r>
      <w:r w:rsidRPr="00F12B0A">
        <w:rPr>
          <w:i/>
        </w:rPr>
        <w:t>Id</w:t>
      </w:r>
      <w:r>
        <w:t>. a PP 296-303</w:t>
      </w:r>
    </w:p>
  </w:footnote>
  <w:footnote w:id="38">
    <w:p w:rsidR="00DF3C2C" w:rsidRDefault="00DF3C2C" w:rsidP="0098430E">
      <w:pPr>
        <w:pStyle w:val="FootnoteText"/>
        <w:spacing w:after="120"/>
      </w:pPr>
      <w:r>
        <w:rPr>
          <w:rStyle w:val="FootnoteReference"/>
        </w:rPr>
        <w:footnoteRef/>
      </w:r>
      <w:r>
        <w:t xml:space="preserve"> Id. at PP 340-352</w:t>
      </w:r>
    </w:p>
  </w:footnote>
  <w:footnote w:id="39">
    <w:p w:rsidR="00DF3C2C" w:rsidRDefault="00DF3C2C" w:rsidP="0098430E">
      <w:pPr>
        <w:pStyle w:val="FootnoteText"/>
        <w:spacing w:after="120"/>
      </w:pPr>
      <w:r>
        <w:rPr>
          <w:rStyle w:val="FootnoteReference"/>
        </w:rPr>
        <w:footnoteRef/>
      </w:r>
      <w:r>
        <w:t xml:space="preserve"> </w:t>
      </w:r>
      <w:r w:rsidRPr="00DF3C2C">
        <w:rPr>
          <w:i/>
        </w:rPr>
        <w:t>Id</w:t>
      </w:r>
      <w:r>
        <w:t>. at P 363.</w:t>
      </w:r>
    </w:p>
  </w:footnote>
  <w:footnote w:id="40">
    <w:p w:rsidR="00831B4B" w:rsidRDefault="00831B4B" w:rsidP="009333F6">
      <w:pPr>
        <w:pStyle w:val="FootnoteText"/>
        <w:spacing w:after="120"/>
      </w:pPr>
      <w:r>
        <w:rPr>
          <w:rStyle w:val="FootnoteReference"/>
        </w:rPr>
        <w:footnoteRef/>
      </w:r>
      <w:r>
        <w:t xml:space="preserve"> </w:t>
      </w:r>
      <w:r w:rsidRPr="00831B4B">
        <w:rPr>
          <w:i/>
        </w:rPr>
        <w:t>Id</w:t>
      </w:r>
      <w:r>
        <w:t>. at P 368 and P 375.</w:t>
      </w:r>
    </w:p>
  </w:footnote>
  <w:footnote w:id="41">
    <w:p w:rsidR="00831B4B" w:rsidRDefault="00831B4B" w:rsidP="009333F6">
      <w:pPr>
        <w:pStyle w:val="FootnoteText"/>
        <w:spacing w:after="120"/>
      </w:pPr>
      <w:r>
        <w:rPr>
          <w:rStyle w:val="FootnoteReference"/>
        </w:rPr>
        <w:footnoteRef/>
      </w:r>
      <w:r>
        <w:t xml:space="preserve"> </w:t>
      </w:r>
      <w:r w:rsidRPr="00831B4B">
        <w:rPr>
          <w:i/>
        </w:rPr>
        <w:t>Id</w:t>
      </w:r>
      <w:r>
        <w:t>. at P 387.</w:t>
      </w:r>
    </w:p>
  </w:footnote>
  <w:footnote w:id="42">
    <w:p w:rsidR="00831B4B" w:rsidRDefault="00831B4B" w:rsidP="009333F6">
      <w:pPr>
        <w:pStyle w:val="FootnoteText"/>
        <w:spacing w:after="120"/>
      </w:pPr>
      <w:r>
        <w:rPr>
          <w:rStyle w:val="FootnoteReference"/>
        </w:rPr>
        <w:footnoteRef/>
      </w:r>
      <w:r>
        <w:t xml:space="preserve"> </w:t>
      </w:r>
      <w:r w:rsidRPr="00831B4B">
        <w:rPr>
          <w:i/>
        </w:rPr>
        <w:t>Id</w:t>
      </w:r>
      <w:r>
        <w:t>. at P 390 and P 395.</w:t>
      </w:r>
    </w:p>
  </w:footnote>
  <w:footnote w:id="43">
    <w:p w:rsidR="00831B4B" w:rsidRDefault="00831B4B" w:rsidP="009333F6">
      <w:pPr>
        <w:pStyle w:val="FootnoteText"/>
        <w:spacing w:after="120"/>
      </w:pPr>
      <w:r>
        <w:rPr>
          <w:rStyle w:val="FootnoteReference"/>
        </w:rPr>
        <w:footnoteRef/>
      </w:r>
      <w:r>
        <w:t xml:space="preserve"> </w:t>
      </w:r>
      <w:r w:rsidRPr="00FE0781">
        <w:rPr>
          <w:i/>
        </w:rPr>
        <w:t>Id</w:t>
      </w:r>
      <w:r>
        <w:t xml:space="preserve">. at P </w:t>
      </w:r>
      <w:r w:rsidR="00FE0781">
        <w:t>399 and P 409.</w:t>
      </w:r>
    </w:p>
  </w:footnote>
  <w:footnote w:id="44">
    <w:p w:rsidR="008D4411" w:rsidRDefault="008D4411" w:rsidP="009333F6">
      <w:pPr>
        <w:pStyle w:val="FootnoteText"/>
        <w:spacing w:after="120"/>
      </w:pPr>
      <w:r>
        <w:rPr>
          <w:rStyle w:val="FootnoteReference"/>
        </w:rPr>
        <w:footnoteRef/>
      </w:r>
      <w:r>
        <w:t xml:space="preserve"> </w:t>
      </w:r>
      <w:r w:rsidRPr="008D4411">
        <w:rPr>
          <w:i/>
        </w:rPr>
        <w:t>Id</w:t>
      </w:r>
      <w:r>
        <w:t>. at P 425.</w:t>
      </w:r>
    </w:p>
  </w:footnote>
  <w:footnote w:id="45">
    <w:p w:rsidR="008D4411" w:rsidRDefault="008D4411" w:rsidP="009333F6">
      <w:pPr>
        <w:pStyle w:val="FootnoteText"/>
        <w:spacing w:after="120"/>
      </w:pPr>
      <w:r>
        <w:rPr>
          <w:rStyle w:val="FootnoteReference"/>
        </w:rPr>
        <w:footnoteRef/>
      </w:r>
      <w:r>
        <w:t xml:space="preserve"> </w:t>
      </w:r>
      <w:r w:rsidRPr="001F63CD">
        <w:rPr>
          <w:i/>
        </w:rPr>
        <w:t>Id</w:t>
      </w:r>
      <w:r>
        <w:t>. at P 437.</w:t>
      </w:r>
    </w:p>
  </w:footnote>
  <w:footnote w:id="46">
    <w:p w:rsidR="001F63CD" w:rsidRDefault="001F63CD" w:rsidP="009333F6">
      <w:pPr>
        <w:pStyle w:val="FootnoteText"/>
        <w:spacing w:after="120"/>
      </w:pPr>
      <w:r>
        <w:rPr>
          <w:rStyle w:val="FootnoteReference"/>
        </w:rPr>
        <w:footnoteRef/>
      </w:r>
      <w:r>
        <w:t xml:space="preserve"> </w:t>
      </w:r>
      <w:r w:rsidRPr="001F63CD">
        <w:rPr>
          <w:i/>
        </w:rPr>
        <w:t>Id</w:t>
      </w:r>
      <w:r>
        <w:t>. at P 444.</w:t>
      </w:r>
    </w:p>
  </w:footnote>
  <w:footnote w:id="47">
    <w:p w:rsidR="001F63CD" w:rsidRDefault="001F63CD" w:rsidP="009333F6">
      <w:pPr>
        <w:pStyle w:val="FootnoteText"/>
        <w:spacing w:after="120"/>
      </w:pPr>
      <w:r>
        <w:rPr>
          <w:rStyle w:val="FootnoteReference"/>
        </w:rPr>
        <w:footnoteRef/>
      </w:r>
      <w:r>
        <w:t xml:space="preserve"> </w:t>
      </w:r>
      <w:r w:rsidRPr="001F63CD">
        <w:rPr>
          <w:i/>
        </w:rPr>
        <w:t>Id</w:t>
      </w:r>
      <w:r>
        <w:t>. at P 445.</w:t>
      </w:r>
    </w:p>
  </w:footnote>
  <w:footnote w:id="48">
    <w:p w:rsidR="001F63CD" w:rsidRDefault="001F63CD" w:rsidP="009333F6">
      <w:pPr>
        <w:pStyle w:val="FootnoteText"/>
        <w:spacing w:after="120"/>
      </w:pPr>
      <w:r>
        <w:rPr>
          <w:rStyle w:val="FootnoteReference"/>
        </w:rPr>
        <w:footnoteRef/>
      </w:r>
      <w:r>
        <w:t xml:space="preserve"> </w:t>
      </w:r>
      <w:r w:rsidRPr="001F63CD">
        <w:rPr>
          <w:i/>
        </w:rPr>
        <w:t>Id</w:t>
      </w:r>
      <w:r>
        <w:t>. at P 452.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BB4FBB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F4461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AA20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FE1A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0E1F0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12B44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6752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2EE9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7C93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0C12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E6A52"/>
    <w:multiLevelType w:val="hybridMultilevel"/>
    <w:tmpl w:val="4224D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345050A"/>
    <w:multiLevelType w:val="hybridMultilevel"/>
    <w:tmpl w:val="6A3CF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505DBB"/>
    <w:multiLevelType w:val="hybridMultilevel"/>
    <w:tmpl w:val="AA3C7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6B356D"/>
    <w:multiLevelType w:val="hybridMultilevel"/>
    <w:tmpl w:val="4E801144"/>
    <w:lvl w:ilvl="0" w:tplc="126643B8">
      <w:start w:val="1"/>
      <w:numFmt w:val="bullet"/>
      <w:lvlText w:val="-"/>
      <w:lvlJc w:val="left"/>
      <w:pPr>
        <w:ind w:left="1320" w:hanging="360"/>
      </w:pPr>
      <w:rPr>
        <w:rFonts w:ascii="Times New Roman" w:eastAsiaTheme="minorHAnsi"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4" w15:restartNumberingAfterBreak="0">
    <w:nsid w:val="211E3CF0"/>
    <w:multiLevelType w:val="hybridMultilevel"/>
    <w:tmpl w:val="0C1CF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4E2F04"/>
    <w:multiLevelType w:val="hybridMultilevel"/>
    <w:tmpl w:val="9170F8C2"/>
    <w:lvl w:ilvl="0" w:tplc="4C1E96CC">
      <w:start w:val="1"/>
      <w:numFmt w:val="bullet"/>
      <w:lvlText w:val="-"/>
      <w:lvlJc w:val="left"/>
      <w:pPr>
        <w:ind w:left="2040" w:hanging="360"/>
      </w:pPr>
      <w:rPr>
        <w:rFonts w:ascii="Times New Roman" w:eastAsiaTheme="minorHAnsi" w:hAnsi="Times New Roman" w:cs="Times New Roman"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6" w15:restartNumberingAfterBreak="0">
    <w:nsid w:val="2A653237"/>
    <w:multiLevelType w:val="multilevel"/>
    <w:tmpl w:val="2818964C"/>
    <w:lvl w:ilvl="0">
      <w:start w:val="1"/>
      <w:numFmt w:val="none"/>
      <w:lvlRestart w:val="0"/>
      <w:pStyle w:val="RunIn1"/>
      <w:suff w:val="nothing"/>
      <w:lvlText w:val=""/>
      <w:lvlJc w:val="left"/>
      <w:pPr>
        <w:tabs>
          <w:tab w:val="num" w:pos="720"/>
        </w:tabs>
        <w:ind w:left="0" w:firstLine="0"/>
      </w:pPr>
      <w:rPr>
        <w:rFonts w:ascii="Times New Roman" w:hAnsi="Times New Roman" w:cs="Times New Roman"/>
        <w:b w:val="0"/>
        <w:i w:val="0"/>
        <w:caps w:val="0"/>
        <w:smallCaps w:val="0"/>
        <w:u w:val="none"/>
      </w:rPr>
    </w:lvl>
    <w:lvl w:ilvl="1">
      <w:start w:val="1"/>
      <w:numFmt w:val="none"/>
      <w:pStyle w:val="RunIn2"/>
      <w:suff w:val="nothing"/>
      <w:lvlText w:val=""/>
      <w:lvlJc w:val="left"/>
      <w:pPr>
        <w:tabs>
          <w:tab w:val="num" w:pos="0"/>
        </w:tabs>
        <w:ind w:left="0" w:firstLine="0"/>
      </w:pPr>
      <w:rPr>
        <w:rFonts w:ascii="Times New Roman" w:hAnsi="Times New Roman" w:cs="Times New Roman"/>
        <w:b w:val="0"/>
        <w:i w:val="0"/>
        <w:caps w:val="0"/>
        <w:smallCaps w:val="0"/>
        <w:u w:val="none"/>
      </w:rPr>
    </w:lvl>
    <w:lvl w:ilvl="2">
      <w:start w:val="1"/>
      <w:numFmt w:val="none"/>
      <w:pStyle w:val="RunIn3"/>
      <w:suff w:val="nothing"/>
      <w:lvlText w:val=""/>
      <w:lvlJc w:val="left"/>
      <w:pPr>
        <w:ind w:left="0" w:firstLine="720"/>
      </w:pPr>
      <w:rPr>
        <w:rFonts w:ascii="Times New Roman" w:hAnsi="Times New Roman" w:cs="Times New Roman"/>
        <w:b w:val="0"/>
        <w:i w:val="0"/>
        <w:caps w:val="0"/>
        <w:smallCaps w:val="0"/>
        <w:u w:val="none"/>
      </w:rPr>
    </w:lvl>
    <w:lvl w:ilvl="3">
      <w:start w:val="1"/>
      <w:numFmt w:val="none"/>
      <w:pStyle w:val="RunIn4"/>
      <w:suff w:val="nothing"/>
      <w:lvlText w:val=""/>
      <w:lvlJc w:val="left"/>
      <w:pPr>
        <w:ind w:left="0" w:firstLine="1440"/>
      </w:pPr>
      <w:rPr>
        <w:rFonts w:ascii="Times New Roman" w:hAnsi="Times New Roman" w:cs="Times New Roman"/>
        <w:b w:val="0"/>
        <w:i w:val="0"/>
        <w:caps w:val="0"/>
        <w:smallCaps w:val="0"/>
        <w:u w:val="none"/>
      </w:rPr>
    </w:lvl>
    <w:lvl w:ilvl="4">
      <w:start w:val="1"/>
      <w:numFmt w:val="none"/>
      <w:pStyle w:val="RunIn5"/>
      <w:suff w:val="nothing"/>
      <w:lvlText w:val=""/>
      <w:lvlJc w:val="left"/>
      <w:pPr>
        <w:ind w:left="0" w:firstLine="2160"/>
      </w:pPr>
      <w:rPr>
        <w:rFonts w:ascii="Times New Roman" w:hAnsi="Times New Roman" w:cs="Times New Roman"/>
        <w:caps w:val="0"/>
        <w:smallCaps w:val="0"/>
        <w:u w:val="none"/>
      </w:rPr>
    </w:lvl>
    <w:lvl w:ilvl="5">
      <w:start w:val="1"/>
      <w:numFmt w:val="none"/>
      <w:pStyle w:val="RunIn6"/>
      <w:suff w:val="nothing"/>
      <w:lvlText w:val=""/>
      <w:lvlJc w:val="left"/>
      <w:pPr>
        <w:ind w:left="0" w:firstLine="2880"/>
      </w:pPr>
      <w:rPr>
        <w:rFonts w:ascii="Times New Roman" w:hAnsi="Times New Roman" w:cs="Times New Roman"/>
        <w:b w:val="0"/>
        <w:i w:val="0"/>
        <w:caps w:val="0"/>
        <w:smallCaps w:val="0"/>
        <w:u w:val="none"/>
      </w:rPr>
    </w:lvl>
    <w:lvl w:ilvl="6">
      <w:start w:val="1"/>
      <w:numFmt w:val="none"/>
      <w:pStyle w:val="RunIn7"/>
      <w:suff w:val="nothing"/>
      <w:lvlText w:val=""/>
      <w:lvlJc w:val="left"/>
      <w:pPr>
        <w:ind w:left="0" w:firstLine="3600"/>
      </w:pPr>
      <w:rPr>
        <w:rFonts w:ascii="Times New Roman" w:hAnsi="Times New Roman" w:cs="Times New Roman"/>
        <w:b w:val="0"/>
        <w:i w:val="0"/>
        <w:caps w:val="0"/>
        <w:smallCaps w:val="0"/>
        <w:u w:val="none"/>
      </w:rPr>
    </w:lvl>
    <w:lvl w:ilvl="7">
      <w:start w:val="1"/>
      <w:numFmt w:val="none"/>
      <w:pStyle w:val="RunIn8"/>
      <w:suff w:val="nothing"/>
      <w:lvlText w:val=""/>
      <w:lvlJc w:val="left"/>
      <w:pPr>
        <w:ind w:left="0" w:firstLine="4320"/>
      </w:pPr>
      <w:rPr>
        <w:rFonts w:ascii="Times New Roman" w:hAnsi="Times New Roman" w:cs="Times New Roman"/>
        <w:b w:val="0"/>
        <w:i w:val="0"/>
        <w:caps w:val="0"/>
        <w:smallCaps w:val="0"/>
        <w:u w:val="none"/>
      </w:rPr>
    </w:lvl>
    <w:lvl w:ilvl="8">
      <w:start w:val="1"/>
      <w:numFmt w:val="none"/>
      <w:pStyle w:val="RunIn9"/>
      <w:suff w:val="nothing"/>
      <w:lvlText w:val=""/>
      <w:lvlJc w:val="left"/>
      <w:pPr>
        <w:ind w:left="0" w:firstLine="5040"/>
      </w:pPr>
      <w:rPr>
        <w:rFonts w:ascii="Times New Roman" w:hAnsi="Times New Roman" w:cs="Times New Roman"/>
        <w:b w:val="0"/>
        <w:i w:val="0"/>
        <w:caps w:val="0"/>
        <w:smallCaps w:val="0"/>
        <w:u w:val="none"/>
      </w:rPr>
    </w:lvl>
  </w:abstractNum>
  <w:abstractNum w:abstractNumId="17" w15:restartNumberingAfterBreak="0">
    <w:nsid w:val="31233C7B"/>
    <w:multiLevelType w:val="hybridMultilevel"/>
    <w:tmpl w:val="54C8C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7A6B78"/>
    <w:multiLevelType w:val="hybridMultilevel"/>
    <w:tmpl w:val="0AE66A86"/>
    <w:lvl w:ilvl="0" w:tplc="897CBD42">
      <w:start w:val="1"/>
      <w:numFmt w:val="bullet"/>
      <w:lvlText w:val="-"/>
      <w:lvlJc w:val="left"/>
      <w:pPr>
        <w:ind w:left="1680" w:hanging="360"/>
      </w:pPr>
      <w:rPr>
        <w:rFonts w:ascii="Times New Roman" w:eastAsiaTheme="minorHAnsi" w:hAnsi="Times New Roman" w:cs="Times New Roman"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9" w15:restartNumberingAfterBreak="0">
    <w:nsid w:val="53216846"/>
    <w:multiLevelType w:val="hybridMultilevel"/>
    <w:tmpl w:val="64825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8"/>
  </w:num>
  <w:num w:numId="13">
    <w:abstractNumId w:val="15"/>
  </w:num>
  <w:num w:numId="14">
    <w:abstractNumId w:val="16"/>
  </w:num>
  <w:num w:numId="15">
    <w:abstractNumId w:val="16"/>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2"/>
  </w:num>
  <w:num w:numId="33">
    <w:abstractNumId w:val="10"/>
  </w:num>
  <w:num w:numId="34">
    <w:abstractNumId w:val="17"/>
  </w:num>
  <w:num w:numId="35">
    <w:abstractNumId w:val="19"/>
  </w:num>
  <w:num w:numId="36">
    <w:abstractNumId w:val="14"/>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34"/>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WDocIDLayout" w:val="2"/>
    <w:docVar w:name="SWDocIDLocation" w:val="1"/>
  </w:docVars>
  <w:rsids>
    <w:rsidRoot w:val="00463A5C"/>
    <w:rsid w:val="00003715"/>
    <w:rsid w:val="00004684"/>
    <w:rsid w:val="00021FB7"/>
    <w:rsid w:val="000250A9"/>
    <w:rsid w:val="00050D47"/>
    <w:rsid w:val="00065C1D"/>
    <w:rsid w:val="00076DB0"/>
    <w:rsid w:val="00092CC8"/>
    <w:rsid w:val="000A5693"/>
    <w:rsid w:val="000B79CE"/>
    <w:rsid w:val="000D30D8"/>
    <w:rsid w:val="00114555"/>
    <w:rsid w:val="00114B45"/>
    <w:rsid w:val="00127402"/>
    <w:rsid w:val="00130B21"/>
    <w:rsid w:val="00143E95"/>
    <w:rsid w:val="00145F5D"/>
    <w:rsid w:val="001577F4"/>
    <w:rsid w:val="00180F14"/>
    <w:rsid w:val="00183650"/>
    <w:rsid w:val="00194CD4"/>
    <w:rsid w:val="00194DD4"/>
    <w:rsid w:val="001A460F"/>
    <w:rsid w:val="001B1854"/>
    <w:rsid w:val="001B410F"/>
    <w:rsid w:val="001C79D1"/>
    <w:rsid w:val="001D2394"/>
    <w:rsid w:val="001D3D66"/>
    <w:rsid w:val="001E5C0B"/>
    <w:rsid w:val="001E601F"/>
    <w:rsid w:val="001F63CD"/>
    <w:rsid w:val="00212AAD"/>
    <w:rsid w:val="002131C6"/>
    <w:rsid w:val="002238A7"/>
    <w:rsid w:val="00244BCA"/>
    <w:rsid w:val="00244CE4"/>
    <w:rsid w:val="00254C42"/>
    <w:rsid w:val="00273644"/>
    <w:rsid w:val="002D4136"/>
    <w:rsid w:val="002D62C8"/>
    <w:rsid w:val="002D7E71"/>
    <w:rsid w:val="002E1C3A"/>
    <w:rsid w:val="002F4CD3"/>
    <w:rsid w:val="00312568"/>
    <w:rsid w:val="00322D5F"/>
    <w:rsid w:val="00334F9F"/>
    <w:rsid w:val="00337B6A"/>
    <w:rsid w:val="00352848"/>
    <w:rsid w:val="0035689D"/>
    <w:rsid w:val="00395F7D"/>
    <w:rsid w:val="003A205C"/>
    <w:rsid w:val="003A3CFE"/>
    <w:rsid w:val="003A7443"/>
    <w:rsid w:val="003B0224"/>
    <w:rsid w:val="003C1667"/>
    <w:rsid w:val="003C4DB9"/>
    <w:rsid w:val="003D6BD3"/>
    <w:rsid w:val="004075EB"/>
    <w:rsid w:val="00433A97"/>
    <w:rsid w:val="00463A5C"/>
    <w:rsid w:val="00471180"/>
    <w:rsid w:val="00480B40"/>
    <w:rsid w:val="00484640"/>
    <w:rsid w:val="0048795E"/>
    <w:rsid w:val="0049001E"/>
    <w:rsid w:val="004A7026"/>
    <w:rsid w:val="004A7483"/>
    <w:rsid w:val="004C6B5D"/>
    <w:rsid w:val="004E47C1"/>
    <w:rsid w:val="005040C4"/>
    <w:rsid w:val="00517A15"/>
    <w:rsid w:val="00532535"/>
    <w:rsid w:val="00534E0D"/>
    <w:rsid w:val="00547A17"/>
    <w:rsid w:val="005720D3"/>
    <w:rsid w:val="005906A7"/>
    <w:rsid w:val="005906FA"/>
    <w:rsid w:val="00597FBE"/>
    <w:rsid w:val="005C2D63"/>
    <w:rsid w:val="005D51A0"/>
    <w:rsid w:val="00600B57"/>
    <w:rsid w:val="00630FEF"/>
    <w:rsid w:val="00670BF9"/>
    <w:rsid w:val="006C0DAD"/>
    <w:rsid w:val="006D2FE0"/>
    <w:rsid w:val="006D3F96"/>
    <w:rsid w:val="006F63F7"/>
    <w:rsid w:val="00727AA9"/>
    <w:rsid w:val="00751F6E"/>
    <w:rsid w:val="00753AA0"/>
    <w:rsid w:val="0077372C"/>
    <w:rsid w:val="00791350"/>
    <w:rsid w:val="007C7978"/>
    <w:rsid w:val="00803881"/>
    <w:rsid w:val="00806983"/>
    <w:rsid w:val="00811695"/>
    <w:rsid w:val="00831B4B"/>
    <w:rsid w:val="00852250"/>
    <w:rsid w:val="00854582"/>
    <w:rsid w:val="00864EBB"/>
    <w:rsid w:val="00870CBE"/>
    <w:rsid w:val="008A7230"/>
    <w:rsid w:val="008D4411"/>
    <w:rsid w:val="008E4C40"/>
    <w:rsid w:val="008E6156"/>
    <w:rsid w:val="008F4D5A"/>
    <w:rsid w:val="00903392"/>
    <w:rsid w:val="00927367"/>
    <w:rsid w:val="009326A6"/>
    <w:rsid w:val="00932A6F"/>
    <w:rsid w:val="009333F6"/>
    <w:rsid w:val="009359E3"/>
    <w:rsid w:val="00951C32"/>
    <w:rsid w:val="00956EC6"/>
    <w:rsid w:val="009816C8"/>
    <w:rsid w:val="0098430E"/>
    <w:rsid w:val="00987BFB"/>
    <w:rsid w:val="009B17E6"/>
    <w:rsid w:val="009B7E15"/>
    <w:rsid w:val="009D32E7"/>
    <w:rsid w:val="009E636B"/>
    <w:rsid w:val="00A277C1"/>
    <w:rsid w:val="00A37090"/>
    <w:rsid w:val="00A40BDF"/>
    <w:rsid w:val="00A44FAB"/>
    <w:rsid w:val="00A53B61"/>
    <w:rsid w:val="00A619BF"/>
    <w:rsid w:val="00A900A9"/>
    <w:rsid w:val="00AA3619"/>
    <w:rsid w:val="00AD3FFF"/>
    <w:rsid w:val="00AE2C1A"/>
    <w:rsid w:val="00AE717C"/>
    <w:rsid w:val="00B152D5"/>
    <w:rsid w:val="00B25B15"/>
    <w:rsid w:val="00B33392"/>
    <w:rsid w:val="00B62B89"/>
    <w:rsid w:val="00B84173"/>
    <w:rsid w:val="00BA34EE"/>
    <w:rsid w:val="00BC0B86"/>
    <w:rsid w:val="00BC3D5D"/>
    <w:rsid w:val="00BD440D"/>
    <w:rsid w:val="00BF4842"/>
    <w:rsid w:val="00BF7B5B"/>
    <w:rsid w:val="00C153C4"/>
    <w:rsid w:val="00C27EAA"/>
    <w:rsid w:val="00C42BB8"/>
    <w:rsid w:val="00C67E15"/>
    <w:rsid w:val="00CA25BE"/>
    <w:rsid w:val="00CC1D3C"/>
    <w:rsid w:val="00CC2499"/>
    <w:rsid w:val="00CC258F"/>
    <w:rsid w:val="00CD3FED"/>
    <w:rsid w:val="00D64E76"/>
    <w:rsid w:val="00D73415"/>
    <w:rsid w:val="00D73EA1"/>
    <w:rsid w:val="00D841AE"/>
    <w:rsid w:val="00D951EE"/>
    <w:rsid w:val="00DB4A76"/>
    <w:rsid w:val="00DC4668"/>
    <w:rsid w:val="00DC5EC7"/>
    <w:rsid w:val="00DE4B02"/>
    <w:rsid w:val="00DF3C2C"/>
    <w:rsid w:val="00E16621"/>
    <w:rsid w:val="00E31FBB"/>
    <w:rsid w:val="00E554A5"/>
    <w:rsid w:val="00EA2957"/>
    <w:rsid w:val="00EA2DA8"/>
    <w:rsid w:val="00EA2DED"/>
    <w:rsid w:val="00EA7CFD"/>
    <w:rsid w:val="00EB4CF5"/>
    <w:rsid w:val="00EC19B1"/>
    <w:rsid w:val="00EC779F"/>
    <w:rsid w:val="00EE6577"/>
    <w:rsid w:val="00EF6CB6"/>
    <w:rsid w:val="00EF6F2E"/>
    <w:rsid w:val="00F05A8F"/>
    <w:rsid w:val="00F12B0A"/>
    <w:rsid w:val="00F5478C"/>
    <w:rsid w:val="00F65BF4"/>
    <w:rsid w:val="00F75307"/>
    <w:rsid w:val="00F80016"/>
    <w:rsid w:val="00F8346E"/>
    <w:rsid w:val="00F95509"/>
    <w:rsid w:val="00F97B02"/>
    <w:rsid w:val="00FD467E"/>
    <w:rsid w:val="00FE0781"/>
    <w:rsid w:val="00FF1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 w:qFormat="1"/>
    <w:lsdException w:name="Intense Quote" w:uiPriority="3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19"/>
    <w:lsdException w:name="Subtle Reference" w:uiPriority="34" w:qFormat="1"/>
    <w:lsdException w:name="Intense Reference" w:uiPriority="34"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152D5"/>
    <w:rPr>
      <w:sz w:val="24"/>
      <w:szCs w:val="24"/>
    </w:rPr>
  </w:style>
  <w:style w:type="paragraph" w:styleId="Heading1">
    <w:name w:val="heading 1"/>
    <w:basedOn w:val="Normal"/>
    <w:next w:val="Normal"/>
    <w:link w:val="Heading1Char"/>
    <w:uiPriority w:val="9"/>
    <w:rsid w:val="00806983"/>
    <w:pPr>
      <w:keepNext/>
      <w:keepLines/>
      <w:spacing w:before="480" w:after="200" w:line="276" w:lineRule="auto"/>
      <w:outlineLvl w:val="0"/>
    </w:pPr>
    <w:rPr>
      <w:rFonts w:asciiTheme="minorHAnsi" w:eastAsiaTheme="majorEastAsia" w:hAnsiTheme="minorHAnsi" w:cstheme="majorBidi"/>
      <w:b/>
      <w:bCs/>
      <w:sz w:val="28"/>
      <w:szCs w:val="28"/>
    </w:rPr>
  </w:style>
  <w:style w:type="paragraph" w:styleId="Heading2">
    <w:name w:val="heading 2"/>
    <w:basedOn w:val="Normal"/>
    <w:next w:val="Normal"/>
    <w:link w:val="Heading2Char"/>
    <w:uiPriority w:val="9"/>
    <w:rsid w:val="00806983"/>
    <w:pPr>
      <w:keepNext/>
      <w:keepLines/>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rsid w:val="00806983"/>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rsid w:val="00806983"/>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rsid w:val="00806983"/>
    <w:pPr>
      <w:keepNext/>
      <w:keepLines/>
      <w:spacing w:before="200"/>
      <w:outlineLvl w:val="4"/>
    </w:pPr>
    <w:rPr>
      <w:rFonts w:eastAsiaTheme="majorEastAsia" w:cstheme="majorBidi"/>
    </w:rPr>
  </w:style>
  <w:style w:type="paragraph" w:styleId="Heading6">
    <w:name w:val="heading 6"/>
    <w:basedOn w:val="Normal"/>
    <w:next w:val="Normal"/>
    <w:link w:val="Heading6Char"/>
    <w:uiPriority w:val="9"/>
    <w:rsid w:val="00806983"/>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rsid w:val="00806983"/>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rsid w:val="00806983"/>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rsid w:val="00806983"/>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394"/>
    <w:pPr>
      <w:tabs>
        <w:tab w:val="center" w:pos="4680"/>
        <w:tab w:val="right" w:pos="9360"/>
      </w:tabs>
    </w:pPr>
  </w:style>
  <w:style w:type="character" w:customStyle="1" w:styleId="HeaderChar">
    <w:name w:val="Header Char"/>
    <w:basedOn w:val="DefaultParagraphFont"/>
    <w:link w:val="Header"/>
    <w:uiPriority w:val="99"/>
    <w:rsid w:val="001D2394"/>
  </w:style>
  <w:style w:type="paragraph" w:styleId="Footer">
    <w:name w:val="footer"/>
    <w:basedOn w:val="Normal"/>
    <w:link w:val="FooterChar"/>
    <w:uiPriority w:val="99"/>
    <w:unhideWhenUsed/>
    <w:rsid w:val="001D2394"/>
    <w:pPr>
      <w:tabs>
        <w:tab w:val="center" w:pos="4680"/>
        <w:tab w:val="right" w:pos="9360"/>
      </w:tabs>
      <w:spacing w:after="200" w:line="276" w:lineRule="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D2394"/>
  </w:style>
  <w:style w:type="character" w:customStyle="1" w:styleId="Heading1Char">
    <w:name w:val="Heading 1 Char"/>
    <w:basedOn w:val="DefaultParagraphFont"/>
    <w:link w:val="Heading1"/>
    <w:uiPriority w:val="9"/>
    <w:rsid w:val="00806983"/>
    <w:rPr>
      <w:rFonts w:eastAsiaTheme="majorEastAsia" w:cstheme="majorBidi"/>
      <w:b/>
      <w:bCs/>
      <w:sz w:val="28"/>
      <w:szCs w:val="28"/>
    </w:rPr>
  </w:style>
  <w:style w:type="character" w:customStyle="1" w:styleId="Heading2Char">
    <w:name w:val="Heading 2 Char"/>
    <w:basedOn w:val="DefaultParagraphFont"/>
    <w:link w:val="Heading2"/>
    <w:uiPriority w:val="9"/>
    <w:rsid w:val="00806983"/>
    <w:rPr>
      <w:rFonts w:eastAsiaTheme="majorEastAsia" w:cstheme="majorBidi"/>
      <w:b/>
      <w:bCs/>
      <w:sz w:val="26"/>
      <w:szCs w:val="26"/>
    </w:rPr>
  </w:style>
  <w:style w:type="character" w:customStyle="1" w:styleId="Heading3Char">
    <w:name w:val="Heading 3 Char"/>
    <w:basedOn w:val="DefaultParagraphFont"/>
    <w:link w:val="Heading3"/>
    <w:uiPriority w:val="9"/>
    <w:rsid w:val="00806983"/>
    <w:rPr>
      <w:rFonts w:eastAsiaTheme="majorEastAsia" w:cstheme="majorBidi"/>
      <w:b/>
      <w:bCs/>
    </w:rPr>
  </w:style>
  <w:style w:type="character" w:customStyle="1" w:styleId="Heading4Char">
    <w:name w:val="Heading 4 Char"/>
    <w:basedOn w:val="DefaultParagraphFont"/>
    <w:link w:val="Heading4"/>
    <w:uiPriority w:val="9"/>
    <w:rsid w:val="00806983"/>
    <w:rPr>
      <w:rFonts w:eastAsiaTheme="majorEastAsia" w:cstheme="majorBidi"/>
      <w:b/>
      <w:bCs/>
      <w:i/>
      <w:iCs/>
    </w:rPr>
  </w:style>
  <w:style w:type="character" w:customStyle="1" w:styleId="Heading5Char">
    <w:name w:val="Heading 5 Char"/>
    <w:basedOn w:val="DefaultParagraphFont"/>
    <w:link w:val="Heading5"/>
    <w:uiPriority w:val="9"/>
    <w:rsid w:val="00806983"/>
    <w:rPr>
      <w:rFonts w:eastAsiaTheme="majorEastAsia" w:cstheme="majorBidi"/>
    </w:rPr>
  </w:style>
  <w:style w:type="character" w:customStyle="1" w:styleId="Heading6Char">
    <w:name w:val="Heading 6 Char"/>
    <w:basedOn w:val="DefaultParagraphFont"/>
    <w:link w:val="Heading6"/>
    <w:uiPriority w:val="9"/>
    <w:rsid w:val="00806983"/>
    <w:rPr>
      <w:rFonts w:eastAsiaTheme="majorEastAsia" w:cstheme="majorBidi"/>
      <w:i/>
      <w:iCs/>
    </w:rPr>
  </w:style>
  <w:style w:type="character" w:customStyle="1" w:styleId="Heading7Char">
    <w:name w:val="Heading 7 Char"/>
    <w:basedOn w:val="DefaultParagraphFont"/>
    <w:link w:val="Heading7"/>
    <w:uiPriority w:val="9"/>
    <w:rsid w:val="00806983"/>
    <w:rPr>
      <w:rFonts w:eastAsiaTheme="majorEastAsia" w:cstheme="majorBidi"/>
      <w:i/>
      <w:iCs/>
    </w:rPr>
  </w:style>
  <w:style w:type="character" w:customStyle="1" w:styleId="Heading8Char">
    <w:name w:val="Heading 8 Char"/>
    <w:basedOn w:val="DefaultParagraphFont"/>
    <w:link w:val="Heading8"/>
    <w:uiPriority w:val="9"/>
    <w:rsid w:val="00806983"/>
    <w:rPr>
      <w:rFonts w:eastAsiaTheme="majorEastAsia" w:cstheme="majorBidi"/>
      <w:sz w:val="20"/>
      <w:szCs w:val="20"/>
    </w:rPr>
  </w:style>
  <w:style w:type="character" w:styleId="Emphasis">
    <w:name w:val="Emphasis"/>
    <w:basedOn w:val="DefaultParagraphFont"/>
    <w:uiPriority w:val="19"/>
    <w:rsid w:val="00806983"/>
    <w:rPr>
      <w:i/>
      <w:iCs/>
    </w:rPr>
  </w:style>
  <w:style w:type="character" w:styleId="Strong">
    <w:name w:val="Strong"/>
    <w:basedOn w:val="DefaultParagraphFont"/>
    <w:uiPriority w:val="34"/>
    <w:rsid w:val="00806983"/>
    <w:rPr>
      <w:b/>
      <w:bCs/>
    </w:rPr>
  </w:style>
  <w:style w:type="paragraph" w:styleId="Quote">
    <w:name w:val="Quote"/>
    <w:basedOn w:val="Normal"/>
    <w:next w:val="BodyTextContinued"/>
    <w:link w:val="QuoteChar"/>
    <w:uiPriority w:val="1"/>
    <w:qFormat/>
    <w:rsid w:val="00A53B61"/>
    <w:pPr>
      <w:spacing w:after="240"/>
      <w:ind w:left="1440" w:right="1440"/>
    </w:pPr>
    <w:rPr>
      <w:iCs/>
      <w:szCs w:val="20"/>
    </w:rPr>
  </w:style>
  <w:style w:type="character" w:customStyle="1" w:styleId="QuoteChar">
    <w:name w:val="Quote Char"/>
    <w:link w:val="Quote"/>
    <w:uiPriority w:val="1"/>
    <w:rsid w:val="00A53B61"/>
    <w:rPr>
      <w:iCs/>
      <w:sz w:val="24"/>
    </w:rPr>
  </w:style>
  <w:style w:type="paragraph" w:styleId="BodyText">
    <w:name w:val="Body Text"/>
    <w:basedOn w:val="Normal"/>
    <w:link w:val="BodyTextChar"/>
    <w:qFormat/>
    <w:rsid w:val="00A53B61"/>
    <w:pPr>
      <w:spacing w:after="240" w:line="276" w:lineRule="auto"/>
      <w:ind w:firstLine="720"/>
    </w:pPr>
    <w:rPr>
      <w:rFonts w:asciiTheme="minorHAnsi" w:eastAsiaTheme="minorHAnsi" w:hAnsiTheme="minorHAnsi" w:cstheme="minorBidi"/>
      <w:sz w:val="22"/>
      <w:szCs w:val="20"/>
    </w:rPr>
  </w:style>
  <w:style w:type="character" w:customStyle="1" w:styleId="BodyTextChar">
    <w:name w:val="Body Text Char"/>
    <w:link w:val="BodyText"/>
    <w:rsid w:val="00A53B61"/>
    <w:rPr>
      <w:sz w:val="24"/>
    </w:rPr>
  </w:style>
  <w:style w:type="character" w:customStyle="1" w:styleId="Heading9Char">
    <w:name w:val="Heading 9 Char"/>
    <w:basedOn w:val="DefaultParagraphFont"/>
    <w:link w:val="Heading9"/>
    <w:uiPriority w:val="9"/>
    <w:rsid w:val="00806983"/>
    <w:rPr>
      <w:rFonts w:eastAsiaTheme="majorEastAsia" w:cstheme="majorBidi"/>
      <w:i/>
      <w:iCs/>
      <w:color w:val="404040" w:themeColor="text1" w:themeTint="BF"/>
      <w:sz w:val="20"/>
      <w:szCs w:val="20"/>
    </w:rPr>
  </w:style>
  <w:style w:type="paragraph" w:styleId="BlockText">
    <w:name w:val="Block Text"/>
    <w:basedOn w:val="Normal"/>
    <w:uiPriority w:val="1"/>
    <w:qFormat/>
    <w:rsid w:val="00A53B61"/>
    <w:pPr>
      <w:spacing w:after="240"/>
    </w:pPr>
    <w:rPr>
      <w:rFonts w:eastAsiaTheme="minorEastAsia"/>
    </w:rPr>
  </w:style>
  <w:style w:type="paragraph" w:styleId="BodyText2">
    <w:name w:val="Body Text 2"/>
    <w:basedOn w:val="Normal"/>
    <w:link w:val="BodyText2Char"/>
    <w:uiPriority w:val="99"/>
    <w:semiHidden/>
    <w:unhideWhenUsed/>
    <w:rsid w:val="002D7E71"/>
    <w:pPr>
      <w:spacing w:after="120" w:line="480" w:lineRule="auto"/>
    </w:pPr>
  </w:style>
  <w:style w:type="character" w:customStyle="1" w:styleId="BodyText2Char">
    <w:name w:val="Body Text 2 Char"/>
    <w:basedOn w:val="DefaultParagraphFont"/>
    <w:link w:val="BodyText2"/>
    <w:uiPriority w:val="99"/>
    <w:semiHidden/>
    <w:rsid w:val="002D7E71"/>
  </w:style>
  <w:style w:type="paragraph" w:styleId="BodyText3">
    <w:name w:val="Body Text 3"/>
    <w:basedOn w:val="Normal"/>
    <w:link w:val="BodyText3Char"/>
    <w:uiPriority w:val="99"/>
    <w:semiHidden/>
    <w:unhideWhenUsed/>
    <w:rsid w:val="002D7E71"/>
    <w:pPr>
      <w:spacing w:after="120"/>
    </w:pPr>
    <w:rPr>
      <w:sz w:val="16"/>
      <w:szCs w:val="16"/>
    </w:rPr>
  </w:style>
  <w:style w:type="character" w:customStyle="1" w:styleId="BodyText3Char">
    <w:name w:val="Body Text 3 Char"/>
    <w:basedOn w:val="DefaultParagraphFont"/>
    <w:link w:val="BodyText3"/>
    <w:uiPriority w:val="99"/>
    <w:semiHidden/>
    <w:rsid w:val="002D7E71"/>
    <w:rPr>
      <w:sz w:val="16"/>
      <w:szCs w:val="16"/>
    </w:rPr>
  </w:style>
  <w:style w:type="paragraph" w:styleId="BodyTextFirstIndent">
    <w:name w:val="Body Text First Indent"/>
    <w:basedOn w:val="BodyText"/>
    <w:link w:val="BodyTextFirstIndentChar"/>
    <w:uiPriority w:val="99"/>
    <w:semiHidden/>
    <w:unhideWhenUsed/>
    <w:rsid w:val="002D7E71"/>
    <w:pPr>
      <w:spacing w:after="0"/>
      <w:ind w:firstLine="360"/>
    </w:pPr>
  </w:style>
  <w:style w:type="character" w:customStyle="1" w:styleId="BodyTextFirstIndentChar">
    <w:name w:val="Body Text First Indent Char"/>
    <w:basedOn w:val="BodyTextChar"/>
    <w:link w:val="BodyTextFirstIndent"/>
    <w:uiPriority w:val="99"/>
    <w:semiHidden/>
    <w:rsid w:val="002D7E71"/>
    <w:rPr>
      <w:sz w:val="24"/>
    </w:rPr>
  </w:style>
  <w:style w:type="paragraph" w:styleId="BodyTextIndent">
    <w:name w:val="Body Text Indent"/>
    <w:basedOn w:val="Normal"/>
    <w:link w:val="BodyTextIndentChar"/>
    <w:uiPriority w:val="99"/>
    <w:semiHidden/>
    <w:unhideWhenUsed/>
    <w:rsid w:val="002D7E71"/>
    <w:pPr>
      <w:spacing w:after="120"/>
      <w:ind w:left="360"/>
    </w:pPr>
  </w:style>
  <w:style w:type="character" w:customStyle="1" w:styleId="BodyTextIndentChar">
    <w:name w:val="Body Text Indent Char"/>
    <w:basedOn w:val="DefaultParagraphFont"/>
    <w:link w:val="BodyTextIndent"/>
    <w:uiPriority w:val="99"/>
    <w:semiHidden/>
    <w:rsid w:val="002D7E71"/>
  </w:style>
  <w:style w:type="paragraph" w:styleId="BodyTextFirstIndent2">
    <w:name w:val="Body Text First Indent 2"/>
    <w:basedOn w:val="BodyTextIndent"/>
    <w:link w:val="BodyTextFirstIndent2Char"/>
    <w:uiPriority w:val="99"/>
    <w:semiHidden/>
    <w:unhideWhenUsed/>
    <w:rsid w:val="002D7E71"/>
    <w:pPr>
      <w:spacing w:after="0"/>
      <w:ind w:firstLine="360"/>
    </w:pPr>
  </w:style>
  <w:style w:type="character" w:customStyle="1" w:styleId="BodyTextFirstIndent2Char">
    <w:name w:val="Body Text First Indent 2 Char"/>
    <w:basedOn w:val="BodyTextIndentChar"/>
    <w:link w:val="BodyTextFirstIndent2"/>
    <w:uiPriority w:val="99"/>
    <w:semiHidden/>
    <w:rsid w:val="002D7E71"/>
  </w:style>
  <w:style w:type="paragraph" w:styleId="BodyTextIndent2">
    <w:name w:val="Body Text Indent 2"/>
    <w:basedOn w:val="Normal"/>
    <w:link w:val="BodyTextIndent2Char"/>
    <w:uiPriority w:val="99"/>
    <w:semiHidden/>
    <w:unhideWhenUsed/>
    <w:rsid w:val="002D7E71"/>
    <w:pPr>
      <w:spacing w:after="120" w:line="480" w:lineRule="auto"/>
      <w:ind w:left="360"/>
    </w:pPr>
  </w:style>
  <w:style w:type="character" w:customStyle="1" w:styleId="BodyTextIndent2Char">
    <w:name w:val="Body Text Indent 2 Char"/>
    <w:basedOn w:val="DefaultParagraphFont"/>
    <w:link w:val="BodyTextIndent2"/>
    <w:uiPriority w:val="99"/>
    <w:semiHidden/>
    <w:rsid w:val="002D7E71"/>
  </w:style>
  <w:style w:type="paragraph" w:styleId="BodyTextIndent3">
    <w:name w:val="Body Text Indent 3"/>
    <w:basedOn w:val="Normal"/>
    <w:link w:val="BodyTextIndent3Char"/>
    <w:uiPriority w:val="99"/>
    <w:semiHidden/>
    <w:unhideWhenUsed/>
    <w:rsid w:val="002D7E7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D7E71"/>
    <w:rPr>
      <w:sz w:val="16"/>
      <w:szCs w:val="16"/>
    </w:rPr>
  </w:style>
  <w:style w:type="paragraph" w:styleId="Date">
    <w:name w:val="Date"/>
    <w:basedOn w:val="Normal"/>
    <w:next w:val="Normal"/>
    <w:link w:val="DateChar"/>
    <w:uiPriority w:val="99"/>
    <w:semiHidden/>
    <w:unhideWhenUsed/>
    <w:rsid w:val="002D7E71"/>
  </w:style>
  <w:style w:type="character" w:customStyle="1" w:styleId="DateChar">
    <w:name w:val="Date Char"/>
    <w:basedOn w:val="DefaultParagraphFont"/>
    <w:link w:val="Date"/>
    <w:uiPriority w:val="99"/>
    <w:semiHidden/>
    <w:rsid w:val="002D7E71"/>
  </w:style>
  <w:style w:type="character" w:styleId="EndnoteReference">
    <w:name w:val="endnote reference"/>
    <w:basedOn w:val="DefaultParagraphFont"/>
    <w:uiPriority w:val="99"/>
    <w:semiHidden/>
    <w:unhideWhenUsed/>
    <w:rsid w:val="002D7E71"/>
    <w:rPr>
      <w:vertAlign w:val="superscript"/>
    </w:rPr>
  </w:style>
  <w:style w:type="paragraph" w:styleId="EndnoteText">
    <w:name w:val="endnote text"/>
    <w:basedOn w:val="Normal"/>
    <w:link w:val="EndnoteTextChar"/>
    <w:uiPriority w:val="99"/>
    <w:semiHidden/>
    <w:unhideWhenUsed/>
    <w:rsid w:val="00987BFB"/>
    <w:pPr>
      <w:spacing w:after="240"/>
      <w:ind w:firstLine="720"/>
    </w:pPr>
    <w:rPr>
      <w:szCs w:val="20"/>
    </w:rPr>
  </w:style>
  <w:style w:type="character" w:customStyle="1" w:styleId="EndnoteTextChar">
    <w:name w:val="Endnote Text Char"/>
    <w:basedOn w:val="DefaultParagraphFont"/>
    <w:link w:val="EndnoteText"/>
    <w:uiPriority w:val="99"/>
    <w:semiHidden/>
    <w:rsid w:val="00987BFB"/>
    <w:rPr>
      <w:szCs w:val="20"/>
    </w:rPr>
  </w:style>
  <w:style w:type="paragraph" w:styleId="EnvelopeAddress">
    <w:name w:val="envelope address"/>
    <w:basedOn w:val="Normal"/>
    <w:uiPriority w:val="99"/>
    <w:semiHidden/>
    <w:unhideWhenUsed/>
    <w:rsid w:val="002D7E71"/>
    <w:pPr>
      <w:framePr w:w="7920" w:h="1980" w:hRule="exact" w:hSpace="180" w:wrap="auto" w:hAnchor="page" w:xAlign="center" w:yAlign="bottom"/>
      <w:spacing w:after="200" w:line="276" w:lineRule="auto"/>
      <w:ind w:left="2880"/>
    </w:pPr>
    <w:rPr>
      <w:rFonts w:asciiTheme="minorHAnsi" w:eastAsiaTheme="majorEastAsia" w:hAnsiTheme="minorHAnsi" w:cstheme="majorBidi"/>
      <w:sz w:val="22"/>
      <w:szCs w:val="22"/>
    </w:rPr>
  </w:style>
  <w:style w:type="paragraph" w:styleId="EnvelopeReturn">
    <w:name w:val="envelope return"/>
    <w:basedOn w:val="Normal"/>
    <w:uiPriority w:val="99"/>
    <w:semiHidden/>
    <w:unhideWhenUsed/>
    <w:rsid w:val="002D7E71"/>
    <w:rPr>
      <w:rFonts w:eastAsiaTheme="majorEastAsia" w:cstheme="majorBidi"/>
      <w:sz w:val="20"/>
      <w:szCs w:val="20"/>
    </w:rPr>
  </w:style>
  <w:style w:type="character" w:styleId="FollowedHyperlink">
    <w:name w:val="FollowedHyperlink"/>
    <w:basedOn w:val="DefaultParagraphFont"/>
    <w:uiPriority w:val="99"/>
    <w:semiHidden/>
    <w:unhideWhenUsed/>
    <w:rsid w:val="002D7E71"/>
    <w:rPr>
      <w:color w:val="800080" w:themeColor="followedHyperlink"/>
      <w:u w:val="single"/>
    </w:rPr>
  </w:style>
  <w:style w:type="character" w:styleId="FootnoteReference">
    <w:name w:val="footnote reference"/>
    <w:basedOn w:val="DefaultParagraphFont"/>
    <w:uiPriority w:val="99"/>
    <w:semiHidden/>
    <w:unhideWhenUsed/>
    <w:rsid w:val="00987BFB"/>
    <w:rPr>
      <w:bdr w:val="none" w:sz="0" w:space="0" w:color="auto"/>
      <w:vertAlign w:val="superscript"/>
    </w:rPr>
  </w:style>
  <w:style w:type="paragraph" w:styleId="FootnoteText">
    <w:name w:val="footnote text"/>
    <w:basedOn w:val="Normal"/>
    <w:link w:val="FootnoteTextChar"/>
    <w:uiPriority w:val="99"/>
    <w:semiHidden/>
    <w:unhideWhenUsed/>
    <w:rsid w:val="00B84173"/>
    <w:pPr>
      <w:spacing w:after="240" w:line="276" w:lineRule="auto"/>
      <w:ind w:firstLine="720"/>
    </w:pPr>
    <w:rPr>
      <w:rFonts w:asciiTheme="minorHAnsi" w:eastAsiaTheme="minorHAnsi" w:hAnsiTheme="minorHAnsi" w:cstheme="minorBidi"/>
      <w:sz w:val="22"/>
      <w:szCs w:val="20"/>
    </w:rPr>
  </w:style>
  <w:style w:type="character" w:customStyle="1" w:styleId="FootnoteTextChar">
    <w:name w:val="Footnote Text Char"/>
    <w:basedOn w:val="DefaultParagraphFont"/>
    <w:link w:val="FootnoteText"/>
    <w:uiPriority w:val="99"/>
    <w:semiHidden/>
    <w:rsid w:val="00B84173"/>
    <w:rPr>
      <w:szCs w:val="20"/>
    </w:rPr>
  </w:style>
  <w:style w:type="paragraph" w:customStyle="1" w:styleId="DocID">
    <w:name w:val="DocID"/>
    <w:basedOn w:val="Normal"/>
    <w:link w:val="DocIDChar"/>
    <w:uiPriority w:val="19"/>
    <w:rsid w:val="00547A17"/>
    <w:pPr>
      <w:spacing w:after="200" w:line="276" w:lineRule="auto"/>
    </w:pPr>
    <w:rPr>
      <w:rFonts w:asciiTheme="minorHAnsi" w:eastAsiaTheme="minorHAnsi" w:hAnsiTheme="minorHAnsi" w:cstheme="minorBidi"/>
      <w:noProof/>
      <w:sz w:val="12"/>
      <w:szCs w:val="22"/>
    </w:rPr>
  </w:style>
  <w:style w:type="character" w:customStyle="1" w:styleId="DocIDChar">
    <w:name w:val="DocID Char"/>
    <w:basedOn w:val="DefaultParagraphFont"/>
    <w:link w:val="DocID"/>
    <w:uiPriority w:val="19"/>
    <w:rsid w:val="008E4C40"/>
    <w:rPr>
      <w:noProof/>
      <w:sz w:val="12"/>
      <w:szCs w:val="24"/>
    </w:rPr>
  </w:style>
  <w:style w:type="paragraph" w:customStyle="1" w:styleId="BlockQuote">
    <w:name w:val="Block Quote"/>
    <w:basedOn w:val="Normal"/>
    <w:uiPriority w:val="1"/>
    <w:qFormat/>
    <w:rsid w:val="00A53B61"/>
    <w:pPr>
      <w:spacing w:after="240"/>
      <w:ind w:left="1440" w:right="1440"/>
    </w:pPr>
    <w:rPr>
      <w:rFonts w:eastAsia="Times New Roman" w:cs="Courier New"/>
    </w:rPr>
  </w:style>
  <w:style w:type="paragraph" w:customStyle="1" w:styleId="BBlock2">
    <w:name w:val="B Block 2"/>
    <w:basedOn w:val="Normal"/>
    <w:link w:val="BBlock2Char"/>
    <w:uiPriority w:val="1"/>
    <w:qFormat/>
    <w:rsid w:val="00A53B61"/>
    <w:pPr>
      <w:spacing w:line="480" w:lineRule="auto"/>
      <w:ind w:left="720" w:right="720"/>
    </w:pPr>
  </w:style>
  <w:style w:type="character" w:customStyle="1" w:styleId="BBlock2Char">
    <w:name w:val="B Block 2 Char"/>
    <w:link w:val="BBlock2"/>
    <w:uiPriority w:val="1"/>
    <w:rsid w:val="00A53B61"/>
    <w:rPr>
      <w:sz w:val="24"/>
      <w:szCs w:val="24"/>
    </w:rPr>
  </w:style>
  <w:style w:type="paragraph" w:customStyle="1" w:styleId="BBlock3">
    <w:name w:val="B Block 3"/>
    <w:basedOn w:val="Normal"/>
    <w:link w:val="BBlock3Char"/>
    <w:uiPriority w:val="1"/>
    <w:qFormat/>
    <w:rsid w:val="00A53B61"/>
    <w:pPr>
      <w:spacing w:after="240"/>
      <w:ind w:left="720" w:right="720" w:firstLine="720"/>
    </w:pPr>
  </w:style>
  <w:style w:type="character" w:customStyle="1" w:styleId="BBlock3Char">
    <w:name w:val="B Block 3 Char"/>
    <w:link w:val="BBlock3"/>
    <w:uiPriority w:val="1"/>
    <w:rsid w:val="00A53B61"/>
    <w:rPr>
      <w:sz w:val="24"/>
      <w:szCs w:val="24"/>
    </w:rPr>
  </w:style>
  <w:style w:type="paragraph" w:customStyle="1" w:styleId="BHangingInd2">
    <w:name w:val="B Hanging Ind 2"/>
    <w:basedOn w:val="Normal"/>
    <w:link w:val="BHangingInd2Char"/>
    <w:uiPriority w:val="1"/>
    <w:qFormat/>
    <w:rsid w:val="00A53B61"/>
    <w:pPr>
      <w:spacing w:after="240"/>
      <w:ind w:left="3600" w:hanging="2160"/>
    </w:pPr>
  </w:style>
  <w:style w:type="character" w:customStyle="1" w:styleId="BHangingInd2Char">
    <w:name w:val="B Hanging Ind 2 Char"/>
    <w:link w:val="BHangingInd2"/>
    <w:uiPriority w:val="1"/>
    <w:rsid w:val="00A53B61"/>
    <w:rPr>
      <w:sz w:val="24"/>
      <w:szCs w:val="24"/>
    </w:rPr>
  </w:style>
  <w:style w:type="paragraph" w:customStyle="1" w:styleId="BHangingInd">
    <w:name w:val="B Hanging Ind"/>
    <w:basedOn w:val="Normal"/>
    <w:link w:val="BHangingIndChar"/>
    <w:uiPriority w:val="1"/>
    <w:qFormat/>
    <w:rsid w:val="00A53B61"/>
    <w:pPr>
      <w:spacing w:after="240"/>
      <w:ind w:left="2160" w:hanging="2160"/>
    </w:pPr>
  </w:style>
  <w:style w:type="character" w:customStyle="1" w:styleId="BHangingIndChar">
    <w:name w:val="B Hanging Ind Char"/>
    <w:link w:val="BHangingInd"/>
    <w:uiPriority w:val="1"/>
    <w:rsid w:val="00A53B61"/>
    <w:rPr>
      <w:sz w:val="24"/>
      <w:szCs w:val="24"/>
    </w:rPr>
  </w:style>
  <w:style w:type="paragraph" w:customStyle="1" w:styleId="BFirstInd">
    <w:name w:val="B First Ind"/>
    <w:basedOn w:val="Normal"/>
    <w:link w:val="BFirstIndChar"/>
    <w:uiPriority w:val="1"/>
    <w:qFormat/>
    <w:rsid w:val="00A53B61"/>
    <w:pPr>
      <w:spacing w:after="240"/>
      <w:ind w:firstLine="720"/>
    </w:pPr>
  </w:style>
  <w:style w:type="character" w:customStyle="1" w:styleId="BFirstIndChar">
    <w:name w:val="B First Ind Char"/>
    <w:link w:val="BFirstInd"/>
    <w:uiPriority w:val="1"/>
    <w:rsid w:val="00A53B61"/>
    <w:rPr>
      <w:sz w:val="24"/>
      <w:szCs w:val="24"/>
    </w:rPr>
  </w:style>
  <w:style w:type="paragraph" w:customStyle="1" w:styleId="BBlock">
    <w:name w:val="B Block"/>
    <w:basedOn w:val="Normal"/>
    <w:link w:val="BBlockChar"/>
    <w:uiPriority w:val="1"/>
    <w:qFormat/>
    <w:rsid w:val="00A53B61"/>
    <w:pPr>
      <w:spacing w:after="240"/>
      <w:ind w:left="720" w:right="720"/>
    </w:pPr>
  </w:style>
  <w:style w:type="character" w:customStyle="1" w:styleId="BBlockChar">
    <w:name w:val="B Block Char"/>
    <w:link w:val="BBlock"/>
    <w:uiPriority w:val="1"/>
    <w:rsid w:val="00A53B61"/>
    <w:rPr>
      <w:sz w:val="24"/>
      <w:szCs w:val="24"/>
    </w:rPr>
  </w:style>
  <w:style w:type="paragraph" w:customStyle="1" w:styleId="BBody2">
    <w:name w:val="B Body 2"/>
    <w:basedOn w:val="Normal"/>
    <w:link w:val="BBody2Char"/>
    <w:uiPriority w:val="1"/>
    <w:qFormat/>
    <w:rsid w:val="00A53B61"/>
    <w:pPr>
      <w:spacing w:line="480" w:lineRule="auto"/>
    </w:pPr>
  </w:style>
  <w:style w:type="character" w:customStyle="1" w:styleId="BBody2Char">
    <w:name w:val="B Body 2 Char"/>
    <w:link w:val="BBody2"/>
    <w:uiPriority w:val="1"/>
    <w:rsid w:val="00A53B61"/>
    <w:rPr>
      <w:sz w:val="24"/>
      <w:szCs w:val="24"/>
    </w:rPr>
  </w:style>
  <w:style w:type="paragraph" w:customStyle="1" w:styleId="BBody">
    <w:name w:val="B Body"/>
    <w:basedOn w:val="Normal"/>
    <w:link w:val="BBodyChar"/>
    <w:uiPriority w:val="1"/>
    <w:qFormat/>
    <w:rsid w:val="00A53B61"/>
    <w:pPr>
      <w:spacing w:after="240"/>
    </w:pPr>
  </w:style>
  <w:style w:type="character" w:customStyle="1" w:styleId="BBodyChar">
    <w:name w:val="B Body Char"/>
    <w:link w:val="BBody"/>
    <w:uiPriority w:val="1"/>
    <w:rsid w:val="00A53B61"/>
    <w:rPr>
      <w:sz w:val="24"/>
      <w:szCs w:val="24"/>
    </w:rPr>
  </w:style>
  <w:style w:type="paragraph" w:customStyle="1" w:styleId="BFirstInd2">
    <w:name w:val="B First Ind2"/>
    <w:basedOn w:val="Normal"/>
    <w:link w:val="BFirstInd2Char"/>
    <w:uiPriority w:val="1"/>
    <w:qFormat/>
    <w:rsid w:val="00A53B61"/>
    <w:pPr>
      <w:spacing w:line="480" w:lineRule="auto"/>
      <w:ind w:firstLine="720"/>
    </w:pPr>
  </w:style>
  <w:style w:type="character" w:customStyle="1" w:styleId="BFirstInd2Char">
    <w:name w:val="B First Ind2 Char"/>
    <w:link w:val="BFirstInd2"/>
    <w:uiPriority w:val="1"/>
    <w:rsid w:val="00A53B61"/>
    <w:rPr>
      <w:sz w:val="24"/>
      <w:szCs w:val="24"/>
    </w:rPr>
  </w:style>
  <w:style w:type="paragraph" w:customStyle="1" w:styleId="BIndent2">
    <w:name w:val="B Indent 2"/>
    <w:basedOn w:val="Normal"/>
    <w:uiPriority w:val="1"/>
    <w:qFormat/>
    <w:rsid w:val="00A53B61"/>
    <w:pPr>
      <w:spacing w:line="480" w:lineRule="auto"/>
      <w:ind w:left="720"/>
    </w:pPr>
  </w:style>
  <w:style w:type="paragraph" w:customStyle="1" w:styleId="BIndent3">
    <w:name w:val="B Indent 3"/>
    <w:basedOn w:val="Normal"/>
    <w:uiPriority w:val="1"/>
    <w:qFormat/>
    <w:rsid w:val="00A53B61"/>
    <w:pPr>
      <w:spacing w:after="240"/>
      <w:ind w:left="720" w:firstLine="720"/>
    </w:pPr>
  </w:style>
  <w:style w:type="paragraph" w:customStyle="1" w:styleId="BIndent">
    <w:name w:val="B Indent"/>
    <w:basedOn w:val="Normal"/>
    <w:uiPriority w:val="1"/>
    <w:qFormat/>
    <w:rsid w:val="00A53B61"/>
    <w:pPr>
      <w:spacing w:after="240"/>
      <w:ind w:left="720"/>
    </w:pPr>
  </w:style>
  <w:style w:type="paragraph" w:customStyle="1" w:styleId="BodyTextContinued">
    <w:name w:val="Body Text Continued"/>
    <w:basedOn w:val="BodyText"/>
    <w:next w:val="BodyText"/>
    <w:uiPriority w:val="1"/>
    <w:qFormat/>
    <w:rsid w:val="00A53B61"/>
    <w:pPr>
      <w:ind w:firstLine="0"/>
    </w:pPr>
    <w:rPr>
      <w:rFonts w:eastAsia="Times New Roman"/>
      <w:szCs w:val="24"/>
    </w:rPr>
  </w:style>
  <w:style w:type="paragraph" w:customStyle="1" w:styleId="HEADING1L">
    <w:name w:val="HEADING 1 L"/>
    <w:basedOn w:val="Normal"/>
    <w:next w:val="BFirstInd"/>
    <w:uiPriority w:val="1"/>
    <w:qFormat/>
    <w:rsid w:val="00A53B61"/>
    <w:pPr>
      <w:keepNext/>
      <w:keepLines/>
      <w:spacing w:after="360"/>
      <w:outlineLvl w:val="0"/>
    </w:pPr>
    <w:rPr>
      <w:b/>
      <w:caps/>
    </w:rPr>
  </w:style>
  <w:style w:type="paragraph" w:customStyle="1" w:styleId="Heading2L">
    <w:name w:val="Heading 2 L"/>
    <w:basedOn w:val="Normal"/>
    <w:next w:val="BFirstInd"/>
    <w:uiPriority w:val="1"/>
    <w:qFormat/>
    <w:rsid w:val="00A53B61"/>
    <w:pPr>
      <w:keepNext/>
      <w:keepLines/>
      <w:spacing w:after="360"/>
      <w:outlineLvl w:val="1"/>
    </w:pPr>
  </w:style>
  <w:style w:type="paragraph" w:customStyle="1" w:styleId="HEADING3C">
    <w:name w:val="HEADING 3 C"/>
    <w:basedOn w:val="Normal"/>
    <w:next w:val="BFirstInd"/>
    <w:uiPriority w:val="1"/>
    <w:qFormat/>
    <w:rsid w:val="00A53B61"/>
    <w:pPr>
      <w:keepNext/>
      <w:keepLines/>
      <w:spacing w:after="360"/>
      <w:jc w:val="center"/>
      <w:outlineLvl w:val="0"/>
    </w:pPr>
    <w:rPr>
      <w:b/>
      <w:caps/>
    </w:rPr>
  </w:style>
  <w:style w:type="paragraph" w:customStyle="1" w:styleId="Heading4C">
    <w:name w:val="Heading 4 C"/>
    <w:basedOn w:val="Normal"/>
    <w:next w:val="BFirstInd"/>
    <w:uiPriority w:val="1"/>
    <w:qFormat/>
    <w:rsid w:val="00A53B61"/>
    <w:pPr>
      <w:keepNext/>
      <w:keepLines/>
      <w:spacing w:after="360"/>
      <w:jc w:val="center"/>
      <w:outlineLvl w:val="1"/>
    </w:pPr>
  </w:style>
  <w:style w:type="paragraph" w:customStyle="1" w:styleId="HEADING5R">
    <w:name w:val="HEADING 5 R"/>
    <w:basedOn w:val="Normal"/>
    <w:next w:val="BFirstInd"/>
    <w:uiPriority w:val="1"/>
    <w:qFormat/>
    <w:rsid w:val="00A53B61"/>
    <w:pPr>
      <w:keepNext/>
      <w:keepLines/>
      <w:spacing w:after="360"/>
      <w:jc w:val="right"/>
      <w:outlineLvl w:val="0"/>
    </w:pPr>
    <w:rPr>
      <w:b/>
      <w:caps/>
    </w:rPr>
  </w:style>
  <w:style w:type="paragraph" w:customStyle="1" w:styleId="Heading6R">
    <w:name w:val="Heading 6 R"/>
    <w:basedOn w:val="Normal"/>
    <w:next w:val="BFirstInd"/>
    <w:uiPriority w:val="1"/>
    <w:qFormat/>
    <w:rsid w:val="00A53B61"/>
    <w:pPr>
      <w:keepNext/>
      <w:keepLines/>
      <w:spacing w:after="360"/>
      <w:jc w:val="right"/>
      <w:outlineLvl w:val="1"/>
    </w:pPr>
  </w:style>
  <w:style w:type="paragraph" w:customStyle="1" w:styleId="MHeader">
    <w:name w:val="M Header"/>
    <w:aliases w:val="mh"/>
    <w:basedOn w:val="Normal"/>
    <w:qFormat/>
    <w:rsid w:val="00A53B61"/>
    <w:pPr>
      <w:keepNext/>
      <w:keepLines/>
      <w:tabs>
        <w:tab w:val="left" w:pos="1080"/>
        <w:tab w:val="left" w:pos="5040"/>
      </w:tabs>
      <w:spacing w:after="240" w:line="276" w:lineRule="auto"/>
      <w:ind w:left="1080" w:hanging="1080"/>
    </w:pPr>
    <w:rPr>
      <w:rFonts w:asciiTheme="minorHAnsi" w:eastAsiaTheme="minorHAnsi" w:hAnsiTheme="minorHAnsi" w:cstheme="minorBidi"/>
      <w:sz w:val="22"/>
      <w:szCs w:val="22"/>
    </w:rPr>
  </w:style>
  <w:style w:type="paragraph" w:customStyle="1" w:styleId="MHeaderLast">
    <w:name w:val="M Header Last"/>
    <w:aliases w:val="mhl"/>
    <w:basedOn w:val="MHeader"/>
    <w:next w:val="BFirstInd2"/>
    <w:qFormat/>
    <w:rsid w:val="00A53B61"/>
    <w:pPr>
      <w:pBdr>
        <w:bottom w:val="single" w:sz="6" w:space="22" w:color="auto"/>
      </w:pBdr>
      <w:spacing w:after="400"/>
    </w:pPr>
  </w:style>
  <w:style w:type="paragraph" w:customStyle="1" w:styleId="SigName">
    <w:name w:val="Sig Name"/>
    <w:basedOn w:val="Normal"/>
    <w:next w:val="Normal"/>
    <w:uiPriority w:val="1"/>
    <w:qFormat/>
    <w:rsid w:val="00A53B61"/>
    <w:pPr>
      <w:keepNext/>
      <w:keepLines/>
      <w:tabs>
        <w:tab w:val="left" w:pos="720"/>
      </w:tabs>
      <w:spacing w:after="240"/>
    </w:pPr>
  </w:style>
  <w:style w:type="paragraph" w:customStyle="1" w:styleId="SigLine">
    <w:name w:val="Sig Line"/>
    <w:basedOn w:val="Normal"/>
    <w:next w:val="SigName"/>
    <w:uiPriority w:val="1"/>
    <w:qFormat/>
    <w:rsid w:val="00A53B61"/>
    <w:pPr>
      <w:tabs>
        <w:tab w:val="right" w:leader="underscore" w:pos="4752"/>
      </w:tabs>
    </w:pPr>
  </w:style>
  <w:style w:type="paragraph" w:customStyle="1" w:styleId="SigCaption">
    <w:name w:val="Sig Caption"/>
    <w:basedOn w:val="Normal"/>
    <w:next w:val="SigLine"/>
    <w:link w:val="SigCaptionChar"/>
    <w:uiPriority w:val="1"/>
    <w:qFormat/>
    <w:rsid w:val="00A53B61"/>
    <w:pPr>
      <w:keepNext/>
      <w:keepLines/>
      <w:tabs>
        <w:tab w:val="left" w:pos="720"/>
      </w:tabs>
      <w:spacing w:after="840"/>
    </w:pPr>
  </w:style>
  <w:style w:type="character" w:customStyle="1" w:styleId="SigCaptionChar">
    <w:name w:val="Sig Caption Char"/>
    <w:link w:val="SigCaption"/>
    <w:uiPriority w:val="1"/>
    <w:rsid w:val="00A53B61"/>
    <w:rPr>
      <w:sz w:val="24"/>
      <w:szCs w:val="24"/>
    </w:rPr>
  </w:style>
  <w:style w:type="paragraph" w:styleId="TOCHeading">
    <w:name w:val="TOC Heading"/>
    <w:basedOn w:val="Heading1"/>
    <w:next w:val="Normal"/>
    <w:uiPriority w:val="39"/>
    <w:semiHidden/>
    <w:unhideWhenUsed/>
    <w:qFormat/>
    <w:rsid w:val="00A53B61"/>
    <w:pPr>
      <w:keepLines w:val="0"/>
      <w:spacing w:before="240" w:after="60"/>
      <w:outlineLvl w:val="9"/>
    </w:pPr>
    <w:rPr>
      <w:kern w:val="32"/>
      <w:sz w:val="32"/>
      <w:szCs w:val="32"/>
    </w:rPr>
  </w:style>
  <w:style w:type="paragraph" w:customStyle="1" w:styleId="ArticleCont1">
    <w:name w:val="Article Cont 1"/>
    <w:basedOn w:val="Normal"/>
    <w:link w:val="ArticleCont1Char"/>
    <w:uiPriority w:val="20"/>
    <w:unhideWhenUsed/>
    <w:rsid w:val="00A53B61"/>
    <w:pPr>
      <w:spacing w:after="240"/>
      <w:ind w:firstLine="720"/>
    </w:pPr>
  </w:style>
  <w:style w:type="character" w:customStyle="1" w:styleId="ArticleCont1Char">
    <w:name w:val="Article Cont 1 Char"/>
    <w:link w:val="ArticleCont1"/>
    <w:uiPriority w:val="20"/>
    <w:rsid w:val="008E4C40"/>
    <w:rPr>
      <w:sz w:val="24"/>
      <w:szCs w:val="24"/>
    </w:rPr>
  </w:style>
  <w:style w:type="paragraph" w:customStyle="1" w:styleId="ArticleCont2">
    <w:name w:val="Article Cont 2"/>
    <w:basedOn w:val="ArticleCont1"/>
    <w:link w:val="ArticleCont2Char"/>
    <w:uiPriority w:val="20"/>
    <w:unhideWhenUsed/>
    <w:rsid w:val="00A53B61"/>
  </w:style>
  <w:style w:type="character" w:customStyle="1" w:styleId="ArticleCont2Char">
    <w:name w:val="Article Cont 2 Char"/>
    <w:link w:val="ArticleCont2"/>
    <w:uiPriority w:val="20"/>
    <w:rsid w:val="008E4C40"/>
    <w:rPr>
      <w:sz w:val="24"/>
      <w:szCs w:val="24"/>
    </w:rPr>
  </w:style>
  <w:style w:type="paragraph" w:customStyle="1" w:styleId="ArticleCont3">
    <w:name w:val="Article Cont 3"/>
    <w:basedOn w:val="ArticleCont2"/>
    <w:link w:val="ArticleCont3Char"/>
    <w:uiPriority w:val="20"/>
    <w:unhideWhenUsed/>
    <w:rsid w:val="00A53B61"/>
    <w:pPr>
      <w:ind w:firstLine="1440"/>
    </w:pPr>
  </w:style>
  <w:style w:type="character" w:customStyle="1" w:styleId="ArticleCont3Char">
    <w:name w:val="Article Cont 3 Char"/>
    <w:link w:val="ArticleCont3"/>
    <w:uiPriority w:val="20"/>
    <w:rsid w:val="008E4C40"/>
    <w:rPr>
      <w:sz w:val="24"/>
      <w:szCs w:val="24"/>
    </w:rPr>
  </w:style>
  <w:style w:type="paragraph" w:customStyle="1" w:styleId="ArticleCont4">
    <w:name w:val="Article Cont 4"/>
    <w:basedOn w:val="ArticleCont3"/>
    <w:link w:val="ArticleCont4Char"/>
    <w:uiPriority w:val="20"/>
    <w:unhideWhenUsed/>
    <w:rsid w:val="00A53B61"/>
    <w:pPr>
      <w:ind w:firstLine="2160"/>
    </w:pPr>
  </w:style>
  <w:style w:type="character" w:customStyle="1" w:styleId="ArticleCont4Char">
    <w:name w:val="Article Cont 4 Char"/>
    <w:link w:val="ArticleCont4"/>
    <w:uiPriority w:val="20"/>
    <w:rsid w:val="008E4C40"/>
    <w:rPr>
      <w:sz w:val="24"/>
      <w:szCs w:val="24"/>
    </w:rPr>
  </w:style>
  <w:style w:type="paragraph" w:customStyle="1" w:styleId="ArticleCont5">
    <w:name w:val="Article Cont 5"/>
    <w:basedOn w:val="ArticleCont4"/>
    <w:link w:val="ArticleCont5Char"/>
    <w:uiPriority w:val="20"/>
    <w:unhideWhenUsed/>
    <w:rsid w:val="00A53B61"/>
    <w:pPr>
      <w:ind w:firstLine="2880"/>
    </w:pPr>
  </w:style>
  <w:style w:type="character" w:customStyle="1" w:styleId="ArticleCont5Char">
    <w:name w:val="Article Cont 5 Char"/>
    <w:link w:val="ArticleCont5"/>
    <w:uiPriority w:val="20"/>
    <w:rsid w:val="008E4C40"/>
    <w:rPr>
      <w:sz w:val="24"/>
      <w:szCs w:val="24"/>
    </w:rPr>
  </w:style>
  <w:style w:type="paragraph" w:customStyle="1" w:styleId="ArticleCont6">
    <w:name w:val="Article Cont 6"/>
    <w:basedOn w:val="ArticleCont5"/>
    <w:link w:val="ArticleCont6Char"/>
    <w:uiPriority w:val="20"/>
    <w:unhideWhenUsed/>
    <w:rsid w:val="00A53B61"/>
    <w:pPr>
      <w:ind w:firstLine="1440"/>
    </w:pPr>
  </w:style>
  <w:style w:type="character" w:customStyle="1" w:styleId="ArticleCont6Char">
    <w:name w:val="Article Cont 6 Char"/>
    <w:link w:val="ArticleCont6"/>
    <w:uiPriority w:val="20"/>
    <w:rsid w:val="008E4C40"/>
    <w:rPr>
      <w:sz w:val="24"/>
      <w:szCs w:val="24"/>
    </w:rPr>
  </w:style>
  <w:style w:type="paragraph" w:customStyle="1" w:styleId="ArticleCont7">
    <w:name w:val="Article Cont 7"/>
    <w:basedOn w:val="ArticleCont6"/>
    <w:link w:val="ArticleCont7Char"/>
    <w:uiPriority w:val="20"/>
    <w:unhideWhenUsed/>
    <w:rsid w:val="00A53B61"/>
    <w:pPr>
      <w:ind w:firstLine="2160"/>
    </w:pPr>
  </w:style>
  <w:style w:type="character" w:customStyle="1" w:styleId="ArticleCont7Char">
    <w:name w:val="Article Cont 7 Char"/>
    <w:link w:val="ArticleCont7"/>
    <w:uiPriority w:val="20"/>
    <w:rsid w:val="008E4C40"/>
    <w:rPr>
      <w:sz w:val="24"/>
      <w:szCs w:val="24"/>
    </w:rPr>
  </w:style>
  <w:style w:type="paragraph" w:customStyle="1" w:styleId="ArticleCont8">
    <w:name w:val="Article Cont 8"/>
    <w:basedOn w:val="ArticleCont7"/>
    <w:link w:val="ArticleCont8Char"/>
    <w:uiPriority w:val="20"/>
    <w:unhideWhenUsed/>
    <w:rsid w:val="00A53B61"/>
    <w:pPr>
      <w:ind w:firstLine="2880"/>
    </w:pPr>
  </w:style>
  <w:style w:type="character" w:customStyle="1" w:styleId="ArticleCont8Char">
    <w:name w:val="Article Cont 8 Char"/>
    <w:link w:val="ArticleCont8"/>
    <w:uiPriority w:val="20"/>
    <w:rsid w:val="008E4C40"/>
    <w:rPr>
      <w:sz w:val="24"/>
      <w:szCs w:val="24"/>
    </w:rPr>
  </w:style>
  <w:style w:type="paragraph" w:customStyle="1" w:styleId="ArticleCont9">
    <w:name w:val="Article Cont 9"/>
    <w:basedOn w:val="ArticleCont8"/>
    <w:link w:val="ArticleCont9Char"/>
    <w:uiPriority w:val="20"/>
    <w:unhideWhenUsed/>
    <w:rsid w:val="00A53B61"/>
    <w:pPr>
      <w:ind w:firstLine="3600"/>
    </w:pPr>
  </w:style>
  <w:style w:type="character" w:customStyle="1" w:styleId="ArticleCont9Char">
    <w:name w:val="Article Cont 9 Char"/>
    <w:link w:val="ArticleCont9"/>
    <w:uiPriority w:val="20"/>
    <w:rsid w:val="008E4C40"/>
    <w:rPr>
      <w:sz w:val="24"/>
      <w:szCs w:val="24"/>
    </w:rPr>
  </w:style>
  <w:style w:type="paragraph" w:customStyle="1" w:styleId="Article2Cont1">
    <w:name w:val="Article2 Cont 1"/>
    <w:basedOn w:val="Normal"/>
    <w:link w:val="Article2Cont1Char"/>
    <w:uiPriority w:val="21"/>
    <w:unhideWhenUsed/>
    <w:rsid w:val="00A53B61"/>
    <w:pPr>
      <w:spacing w:after="240"/>
      <w:ind w:firstLine="720"/>
    </w:pPr>
  </w:style>
  <w:style w:type="character" w:customStyle="1" w:styleId="Article2Cont1Char">
    <w:name w:val="Article2 Cont 1 Char"/>
    <w:link w:val="Article2Cont1"/>
    <w:uiPriority w:val="21"/>
    <w:rsid w:val="008E4C40"/>
    <w:rPr>
      <w:sz w:val="24"/>
      <w:szCs w:val="24"/>
    </w:rPr>
  </w:style>
  <w:style w:type="paragraph" w:customStyle="1" w:styleId="Article2Cont2">
    <w:name w:val="Article2 Cont 2"/>
    <w:basedOn w:val="Article2Cont1"/>
    <w:link w:val="Article2Cont2Char"/>
    <w:uiPriority w:val="21"/>
    <w:unhideWhenUsed/>
    <w:rsid w:val="00A53B61"/>
  </w:style>
  <w:style w:type="character" w:customStyle="1" w:styleId="Article2Cont2Char">
    <w:name w:val="Article2 Cont 2 Char"/>
    <w:link w:val="Article2Cont2"/>
    <w:uiPriority w:val="21"/>
    <w:rsid w:val="008E4C40"/>
    <w:rPr>
      <w:sz w:val="24"/>
      <w:szCs w:val="24"/>
    </w:rPr>
  </w:style>
  <w:style w:type="paragraph" w:customStyle="1" w:styleId="Article2Cont3">
    <w:name w:val="Article2 Cont 3"/>
    <w:basedOn w:val="Article2Cont2"/>
    <w:link w:val="Article2Cont3Char"/>
    <w:uiPriority w:val="21"/>
    <w:unhideWhenUsed/>
    <w:rsid w:val="00A53B61"/>
    <w:pPr>
      <w:ind w:firstLine="1440"/>
    </w:pPr>
  </w:style>
  <w:style w:type="character" w:customStyle="1" w:styleId="Article2Cont3Char">
    <w:name w:val="Article2 Cont 3 Char"/>
    <w:link w:val="Article2Cont3"/>
    <w:uiPriority w:val="21"/>
    <w:rsid w:val="008E4C40"/>
    <w:rPr>
      <w:sz w:val="24"/>
      <w:szCs w:val="24"/>
    </w:rPr>
  </w:style>
  <w:style w:type="paragraph" w:customStyle="1" w:styleId="Article2Cont4">
    <w:name w:val="Article2 Cont 4"/>
    <w:basedOn w:val="Article2Cont3"/>
    <w:link w:val="Article2Cont4Char"/>
    <w:uiPriority w:val="21"/>
    <w:unhideWhenUsed/>
    <w:rsid w:val="00A53B61"/>
    <w:pPr>
      <w:ind w:firstLine="2160"/>
    </w:pPr>
  </w:style>
  <w:style w:type="character" w:customStyle="1" w:styleId="Article2Cont4Char">
    <w:name w:val="Article2 Cont 4 Char"/>
    <w:link w:val="Article2Cont4"/>
    <w:uiPriority w:val="21"/>
    <w:rsid w:val="008E4C40"/>
    <w:rPr>
      <w:sz w:val="24"/>
      <w:szCs w:val="24"/>
    </w:rPr>
  </w:style>
  <w:style w:type="paragraph" w:customStyle="1" w:styleId="Article2Cont5">
    <w:name w:val="Article2 Cont 5"/>
    <w:basedOn w:val="Article2Cont4"/>
    <w:link w:val="Article2Cont5Char"/>
    <w:uiPriority w:val="21"/>
    <w:unhideWhenUsed/>
    <w:rsid w:val="00A53B61"/>
    <w:pPr>
      <w:ind w:firstLine="2880"/>
    </w:pPr>
  </w:style>
  <w:style w:type="character" w:customStyle="1" w:styleId="Article2Cont5Char">
    <w:name w:val="Article2 Cont 5 Char"/>
    <w:link w:val="Article2Cont5"/>
    <w:uiPriority w:val="21"/>
    <w:rsid w:val="008E4C40"/>
    <w:rPr>
      <w:sz w:val="24"/>
      <w:szCs w:val="24"/>
    </w:rPr>
  </w:style>
  <w:style w:type="paragraph" w:customStyle="1" w:styleId="Article2Cont6">
    <w:name w:val="Article2 Cont 6"/>
    <w:basedOn w:val="Article2Cont5"/>
    <w:link w:val="Article2Cont6Char"/>
    <w:uiPriority w:val="21"/>
    <w:unhideWhenUsed/>
    <w:rsid w:val="00A53B61"/>
    <w:pPr>
      <w:ind w:firstLine="3600"/>
    </w:pPr>
  </w:style>
  <w:style w:type="character" w:customStyle="1" w:styleId="Article2Cont6Char">
    <w:name w:val="Article2 Cont 6 Char"/>
    <w:link w:val="Article2Cont6"/>
    <w:uiPriority w:val="21"/>
    <w:rsid w:val="008E4C40"/>
    <w:rPr>
      <w:sz w:val="24"/>
      <w:szCs w:val="24"/>
    </w:rPr>
  </w:style>
  <w:style w:type="paragraph" w:customStyle="1" w:styleId="Article2Cont7">
    <w:name w:val="Article2 Cont 7"/>
    <w:basedOn w:val="Article2Cont6"/>
    <w:link w:val="Article2Cont7Char"/>
    <w:uiPriority w:val="21"/>
    <w:unhideWhenUsed/>
    <w:rsid w:val="00A53B61"/>
    <w:pPr>
      <w:ind w:firstLine="4320"/>
    </w:pPr>
  </w:style>
  <w:style w:type="character" w:customStyle="1" w:styleId="Article2Cont7Char">
    <w:name w:val="Article2 Cont 7 Char"/>
    <w:link w:val="Article2Cont7"/>
    <w:uiPriority w:val="21"/>
    <w:rsid w:val="008E4C40"/>
    <w:rPr>
      <w:sz w:val="24"/>
      <w:szCs w:val="24"/>
    </w:rPr>
  </w:style>
  <w:style w:type="paragraph" w:customStyle="1" w:styleId="Article2Cont8">
    <w:name w:val="Article2 Cont 8"/>
    <w:basedOn w:val="Article2Cont7"/>
    <w:link w:val="Article2Cont8Char"/>
    <w:uiPriority w:val="21"/>
    <w:unhideWhenUsed/>
    <w:rsid w:val="00A53B61"/>
    <w:pPr>
      <w:ind w:firstLine="5040"/>
    </w:pPr>
  </w:style>
  <w:style w:type="character" w:customStyle="1" w:styleId="Article2Cont8Char">
    <w:name w:val="Article2 Cont 8 Char"/>
    <w:link w:val="Article2Cont8"/>
    <w:uiPriority w:val="21"/>
    <w:rsid w:val="008E4C40"/>
    <w:rPr>
      <w:sz w:val="24"/>
      <w:szCs w:val="24"/>
    </w:rPr>
  </w:style>
  <w:style w:type="paragraph" w:customStyle="1" w:styleId="Article2Cont9">
    <w:name w:val="Article2 Cont 9"/>
    <w:basedOn w:val="Article2Cont8"/>
    <w:link w:val="Article2Cont9Char"/>
    <w:uiPriority w:val="21"/>
    <w:unhideWhenUsed/>
    <w:rsid w:val="00A53B61"/>
    <w:pPr>
      <w:ind w:firstLine="5760"/>
    </w:pPr>
  </w:style>
  <w:style w:type="character" w:customStyle="1" w:styleId="Article2Cont9Char">
    <w:name w:val="Article2 Cont 9 Char"/>
    <w:link w:val="Article2Cont9"/>
    <w:uiPriority w:val="21"/>
    <w:rsid w:val="008E4C40"/>
    <w:rPr>
      <w:sz w:val="24"/>
      <w:szCs w:val="24"/>
    </w:rPr>
  </w:style>
  <w:style w:type="paragraph" w:customStyle="1" w:styleId="Article3Cont1">
    <w:name w:val="Article3 Cont 1"/>
    <w:basedOn w:val="Normal"/>
    <w:link w:val="Article3Cont1Char"/>
    <w:uiPriority w:val="22"/>
    <w:unhideWhenUsed/>
    <w:rsid w:val="00A53B61"/>
    <w:pPr>
      <w:spacing w:after="240"/>
      <w:ind w:firstLine="720"/>
    </w:pPr>
  </w:style>
  <w:style w:type="character" w:customStyle="1" w:styleId="Article3Cont1Char">
    <w:name w:val="Article3 Cont 1 Char"/>
    <w:link w:val="Article3Cont1"/>
    <w:uiPriority w:val="22"/>
    <w:rsid w:val="008E4C40"/>
    <w:rPr>
      <w:sz w:val="24"/>
      <w:szCs w:val="24"/>
    </w:rPr>
  </w:style>
  <w:style w:type="paragraph" w:customStyle="1" w:styleId="Article3Cont2">
    <w:name w:val="Article3 Cont 2"/>
    <w:basedOn w:val="Article3Cont1"/>
    <w:link w:val="Article3Cont2Char"/>
    <w:uiPriority w:val="22"/>
    <w:unhideWhenUsed/>
    <w:rsid w:val="00A53B61"/>
  </w:style>
  <w:style w:type="character" w:customStyle="1" w:styleId="Article3Cont2Char">
    <w:name w:val="Article3 Cont 2 Char"/>
    <w:link w:val="Article3Cont2"/>
    <w:uiPriority w:val="22"/>
    <w:rsid w:val="008E4C40"/>
    <w:rPr>
      <w:sz w:val="24"/>
      <w:szCs w:val="24"/>
    </w:rPr>
  </w:style>
  <w:style w:type="paragraph" w:customStyle="1" w:styleId="Article3Cont3">
    <w:name w:val="Article3 Cont 3"/>
    <w:basedOn w:val="Article3Cont2"/>
    <w:link w:val="Article3Cont3Char"/>
    <w:uiPriority w:val="22"/>
    <w:unhideWhenUsed/>
    <w:rsid w:val="00A53B61"/>
    <w:pPr>
      <w:ind w:firstLine="1440"/>
    </w:pPr>
  </w:style>
  <w:style w:type="character" w:customStyle="1" w:styleId="Article3Cont3Char">
    <w:name w:val="Article3 Cont 3 Char"/>
    <w:link w:val="Article3Cont3"/>
    <w:uiPriority w:val="22"/>
    <w:rsid w:val="008E4C40"/>
    <w:rPr>
      <w:sz w:val="24"/>
      <w:szCs w:val="24"/>
    </w:rPr>
  </w:style>
  <w:style w:type="paragraph" w:customStyle="1" w:styleId="Article3Cont4">
    <w:name w:val="Article3 Cont 4"/>
    <w:basedOn w:val="Article3Cont3"/>
    <w:link w:val="Article3Cont4Char"/>
    <w:uiPriority w:val="22"/>
    <w:unhideWhenUsed/>
    <w:rsid w:val="00A53B61"/>
    <w:pPr>
      <w:ind w:firstLine="2160"/>
    </w:pPr>
  </w:style>
  <w:style w:type="character" w:customStyle="1" w:styleId="Article3Cont4Char">
    <w:name w:val="Article3 Cont 4 Char"/>
    <w:link w:val="Article3Cont4"/>
    <w:uiPriority w:val="22"/>
    <w:rsid w:val="008E4C40"/>
    <w:rPr>
      <w:sz w:val="24"/>
      <w:szCs w:val="24"/>
    </w:rPr>
  </w:style>
  <w:style w:type="paragraph" w:customStyle="1" w:styleId="Article3Cont5">
    <w:name w:val="Article3 Cont 5"/>
    <w:basedOn w:val="Article3Cont4"/>
    <w:link w:val="Article3Cont5Char"/>
    <w:uiPriority w:val="22"/>
    <w:unhideWhenUsed/>
    <w:rsid w:val="00A53B61"/>
    <w:pPr>
      <w:ind w:firstLine="2880"/>
    </w:pPr>
  </w:style>
  <w:style w:type="character" w:customStyle="1" w:styleId="Article3Cont5Char">
    <w:name w:val="Article3 Cont 5 Char"/>
    <w:link w:val="Article3Cont5"/>
    <w:uiPriority w:val="22"/>
    <w:rsid w:val="008E4C40"/>
    <w:rPr>
      <w:sz w:val="24"/>
      <w:szCs w:val="24"/>
    </w:rPr>
  </w:style>
  <w:style w:type="paragraph" w:customStyle="1" w:styleId="Article3Cont6">
    <w:name w:val="Article3 Cont 6"/>
    <w:basedOn w:val="Article3Cont5"/>
    <w:link w:val="Article3Cont6Char"/>
    <w:uiPriority w:val="22"/>
    <w:unhideWhenUsed/>
    <w:rsid w:val="00A53B61"/>
    <w:pPr>
      <w:ind w:firstLine="3600"/>
    </w:pPr>
  </w:style>
  <w:style w:type="character" w:customStyle="1" w:styleId="Article3Cont6Char">
    <w:name w:val="Article3 Cont 6 Char"/>
    <w:link w:val="Article3Cont6"/>
    <w:uiPriority w:val="22"/>
    <w:rsid w:val="008E4C40"/>
    <w:rPr>
      <w:sz w:val="24"/>
      <w:szCs w:val="24"/>
    </w:rPr>
  </w:style>
  <w:style w:type="paragraph" w:customStyle="1" w:styleId="Article3Cont7">
    <w:name w:val="Article3 Cont 7"/>
    <w:basedOn w:val="Article3Cont6"/>
    <w:link w:val="Article3Cont7Char"/>
    <w:uiPriority w:val="22"/>
    <w:unhideWhenUsed/>
    <w:rsid w:val="00A53B61"/>
    <w:pPr>
      <w:ind w:firstLine="4320"/>
    </w:pPr>
  </w:style>
  <w:style w:type="character" w:customStyle="1" w:styleId="Article3Cont7Char">
    <w:name w:val="Article3 Cont 7 Char"/>
    <w:link w:val="Article3Cont7"/>
    <w:uiPriority w:val="22"/>
    <w:rsid w:val="008E4C40"/>
    <w:rPr>
      <w:sz w:val="24"/>
      <w:szCs w:val="24"/>
    </w:rPr>
  </w:style>
  <w:style w:type="paragraph" w:customStyle="1" w:styleId="Article3Cont8">
    <w:name w:val="Article3 Cont 8"/>
    <w:basedOn w:val="Article3Cont7"/>
    <w:link w:val="Article3Cont8Char"/>
    <w:uiPriority w:val="22"/>
    <w:unhideWhenUsed/>
    <w:rsid w:val="00A53B61"/>
    <w:pPr>
      <w:ind w:firstLine="5040"/>
    </w:pPr>
  </w:style>
  <w:style w:type="character" w:customStyle="1" w:styleId="Article3Cont8Char">
    <w:name w:val="Article3 Cont 8 Char"/>
    <w:link w:val="Article3Cont8"/>
    <w:uiPriority w:val="22"/>
    <w:rsid w:val="008E4C40"/>
    <w:rPr>
      <w:sz w:val="24"/>
      <w:szCs w:val="24"/>
    </w:rPr>
  </w:style>
  <w:style w:type="paragraph" w:customStyle="1" w:styleId="Article3Cont9">
    <w:name w:val="Article3 Cont 9"/>
    <w:basedOn w:val="Article3Cont8"/>
    <w:link w:val="Article3Cont9Char"/>
    <w:uiPriority w:val="22"/>
    <w:unhideWhenUsed/>
    <w:rsid w:val="00A53B61"/>
    <w:pPr>
      <w:ind w:firstLine="5760"/>
    </w:pPr>
  </w:style>
  <w:style w:type="character" w:customStyle="1" w:styleId="Article3Cont9Char">
    <w:name w:val="Article3 Cont 9 Char"/>
    <w:link w:val="Article3Cont9"/>
    <w:uiPriority w:val="22"/>
    <w:rsid w:val="008E4C40"/>
    <w:rPr>
      <w:sz w:val="24"/>
      <w:szCs w:val="24"/>
    </w:rPr>
  </w:style>
  <w:style w:type="paragraph" w:customStyle="1" w:styleId="BulletCont1">
    <w:name w:val="Bullet Cont 1"/>
    <w:basedOn w:val="Normal"/>
    <w:link w:val="BulletCont1Char"/>
    <w:uiPriority w:val="23"/>
    <w:unhideWhenUsed/>
    <w:rsid w:val="00A53B61"/>
    <w:pPr>
      <w:spacing w:after="240"/>
      <w:ind w:left="360"/>
    </w:pPr>
  </w:style>
  <w:style w:type="character" w:customStyle="1" w:styleId="BulletCont1Char">
    <w:name w:val="Bullet Cont 1 Char"/>
    <w:link w:val="BulletCont1"/>
    <w:uiPriority w:val="23"/>
    <w:rsid w:val="008E4C40"/>
    <w:rPr>
      <w:sz w:val="24"/>
      <w:szCs w:val="24"/>
    </w:rPr>
  </w:style>
  <w:style w:type="paragraph" w:customStyle="1" w:styleId="BulletCont2">
    <w:name w:val="Bullet Cont 2"/>
    <w:basedOn w:val="BulletCont1"/>
    <w:link w:val="BulletCont2Char"/>
    <w:uiPriority w:val="23"/>
    <w:unhideWhenUsed/>
    <w:rsid w:val="00A53B61"/>
    <w:pPr>
      <w:ind w:left="720"/>
    </w:pPr>
  </w:style>
  <w:style w:type="character" w:customStyle="1" w:styleId="BulletCont2Char">
    <w:name w:val="Bullet Cont 2 Char"/>
    <w:link w:val="BulletCont2"/>
    <w:uiPriority w:val="23"/>
    <w:rsid w:val="008E4C40"/>
    <w:rPr>
      <w:sz w:val="24"/>
      <w:szCs w:val="24"/>
    </w:rPr>
  </w:style>
  <w:style w:type="paragraph" w:customStyle="1" w:styleId="BulletCont3">
    <w:name w:val="Bullet Cont 3"/>
    <w:basedOn w:val="BulletCont2"/>
    <w:link w:val="BulletCont3Char"/>
    <w:uiPriority w:val="23"/>
    <w:unhideWhenUsed/>
    <w:rsid w:val="00A53B61"/>
    <w:pPr>
      <w:ind w:left="1080"/>
    </w:pPr>
  </w:style>
  <w:style w:type="character" w:customStyle="1" w:styleId="BulletCont3Char">
    <w:name w:val="Bullet Cont 3 Char"/>
    <w:link w:val="BulletCont3"/>
    <w:uiPriority w:val="23"/>
    <w:rsid w:val="008E4C40"/>
    <w:rPr>
      <w:sz w:val="24"/>
      <w:szCs w:val="24"/>
    </w:rPr>
  </w:style>
  <w:style w:type="paragraph" w:customStyle="1" w:styleId="BulletCont4">
    <w:name w:val="Bullet Cont 4"/>
    <w:basedOn w:val="BulletCont3"/>
    <w:link w:val="BulletCont4Char"/>
    <w:uiPriority w:val="23"/>
    <w:unhideWhenUsed/>
    <w:rsid w:val="00A53B61"/>
    <w:pPr>
      <w:ind w:left="1440"/>
    </w:pPr>
  </w:style>
  <w:style w:type="character" w:customStyle="1" w:styleId="BulletCont4Char">
    <w:name w:val="Bullet Cont 4 Char"/>
    <w:link w:val="BulletCont4"/>
    <w:uiPriority w:val="23"/>
    <w:rsid w:val="008E4C40"/>
    <w:rPr>
      <w:sz w:val="24"/>
      <w:szCs w:val="24"/>
    </w:rPr>
  </w:style>
  <w:style w:type="paragraph" w:customStyle="1" w:styleId="BulletCont5">
    <w:name w:val="Bullet Cont 5"/>
    <w:basedOn w:val="BulletCont4"/>
    <w:link w:val="BulletCont5Char"/>
    <w:uiPriority w:val="23"/>
    <w:unhideWhenUsed/>
    <w:rsid w:val="00A53B61"/>
    <w:pPr>
      <w:ind w:left="1800"/>
    </w:pPr>
  </w:style>
  <w:style w:type="character" w:customStyle="1" w:styleId="BulletCont5Char">
    <w:name w:val="Bullet Cont 5 Char"/>
    <w:link w:val="BulletCont5"/>
    <w:uiPriority w:val="23"/>
    <w:rsid w:val="008E4C40"/>
    <w:rPr>
      <w:sz w:val="24"/>
      <w:szCs w:val="24"/>
    </w:rPr>
  </w:style>
  <w:style w:type="paragraph" w:customStyle="1" w:styleId="BulletCont6">
    <w:name w:val="Bullet Cont 6"/>
    <w:basedOn w:val="BulletCont5"/>
    <w:link w:val="BulletCont6Char"/>
    <w:uiPriority w:val="23"/>
    <w:unhideWhenUsed/>
    <w:rsid w:val="00A53B61"/>
    <w:pPr>
      <w:ind w:left="2160"/>
    </w:pPr>
  </w:style>
  <w:style w:type="character" w:customStyle="1" w:styleId="BulletCont6Char">
    <w:name w:val="Bullet Cont 6 Char"/>
    <w:link w:val="BulletCont6"/>
    <w:uiPriority w:val="23"/>
    <w:rsid w:val="008E4C40"/>
    <w:rPr>
      <w:sz w:val="24"/>
      <w:szCs w:val="24"/>
    </w:rPr>
  </w:style>
  <w:style w:type="paragraph" w:customStyle="1" w:styleId="BulletCont7">
    <w:name w:val="Bullet Cont 7"/>
    <w:basedOn w:val="BulletCont6"/>
    <w:link w:val="BulletCont7Char"/>
    <w:uiPriority w:val="23"/>
    <w:unhideWhenUsed/>
    <w:rsid w:val="00A53B61"/>
    <w:pPr>
      <w:ind w:left="2520"/>
    </w:pPr>
  </w:style>
  <w:style w:type="character" w:customStyle="1" w:styleId="BulletCont7Char">
    <w:name w:val="Bullet Cont 7 Char"/>
    <w:link w:val="BulletCont7"/>
    <w:uiPriority w:val="23"/>
    <w:rsid w:val="008E4C40"/>
    <w:rPr>
      <w:sz w:val="24"/>
      <w:szCs w:val="24"/>
    </w:rPr>
  </w:style>
  <w:style w:type="paragraph" w:customStyle="1" w:styleId="BulletCont8">
    <w:name w:val="Bullet Cont 8"/>
    <w:basedOn w:val="BulletCont7"/>
    <w:link w:val="BulletCont8Char"/>
    <w:uiPriority w:val="23"/>
    <w:unhideWhenUsed/>
    <w:rsid w:val="00A53B61"/>
    <w:pPr>
      <w:ind w:left="2880"/>
    </w:pPr>
  </w:style>
  <w:style w:type="character" w:customStyle="1" w:styleId="BulletCont8Char">
    <w:name w:val="Bullet Cont 8 Char"/>
    <w:link w:val="BulletCont8"/>
    <w:uiPriority w:val="23"/>
    <w:rsid w:val="008E4C40"/>
    <w:rPr>
      <w:sz w:val="24"/>
      <w:szCs w:val="24"/>
    </w:rPr>
  </w:style>
  <w:style w:type="paragraph" w:customStyle="1" w:styleId="BulletCont9">
    <w:name w:val="Bullet Cont 9"/>
    <w:basedOn w:val="BulletCont8"/>
    <w:link w:val="BulletCont9Char"/>
    <w:uiPriority w:val="23"/>
    <w:unhideWhenUsed/>
    <w:rsid w:val="00A53B61"/>
    <w:pPr>
      <w:ind w:left="3240"/>
    </w:pPr>
  </w:style>
  <w:style w:type="character" w:customStyle="1" w:styleId="BulletCont9Char">
    <w:name w:val="Bullet Cont 9 Char"/>
    <w:link w:val="BulletCont9"/>
    <w:uiPriority w:val="23"/>
    <w:rsid w:val="008E4C40"/>
    <w:rPr>
      <w:sz w:val="24"/>
      <w:szCs w:val="24"/>
    </w:rPr>
  </w:style>
  <w:style w:type="paragraph" w:customStyle="1" w:styleId="IndentedCont1">
    <w:name w:val="Indented Cont 1"/>
    <w:basedOn w:val="Normal"/>
    <w:uiPriority w:val="24"/>
    <w:unhideWhenUsed/>
    <w:rsid w:val="00A53B61"/>
    <w:pPr>
      <w:spacing w:after="240"/>
      <w:ind w:left="720"/>
    </w:pPr>
    <w:rPr>
      <w:szCs w:val="20"/>
    </w:rPr>
  </w:style>
  <w:style w:type="paragraph" w:customStyle="1" w:styleId="IndentedCont2">
    <w:name w:val="Indented Cont 2"/>
    <w:basedOn w:val="IndentedCont1"/>
    <w:uiPriority w:val="24"/>
    <w:unhideWhenUsed/>
    <w:rsid w:val="00A53B61"/>
    <w:pPr>
      <w:ind w:left="1440"/>
    </w:pPr>
  </w:style>
  <w:style w:type="paragraph" w:customStyle="1" w:styleId="IndentedCont3">
    <w:name w:val="Indented Cont 3"/>
    <w:basedOn w:val="IndentedCont2"/>
    <w:uiPriority w:val="24"/>
    <w:unhideWhenUsed/>
    <w:rsid w:val="00A53B61"/>
    <w:pPr>
      <w:ind w:left="2160"/>
    </w:pPr>
  </w:style>
  <w:style w:type="paragraph" w:customStyle="1" w:styleId="IndentedCont4">
    <w:name w:val="Indented Cont 4"/>
    <w:basedOn w:val="IndentedCont3"/>
    <w:uiPriority w:val="24"/>
    <w:unhideWhenUsed/>
    <w:rsid w:val="00A53B61"/>
    <w:pPr>
      <w:ind w:left="2880"/>
    </w:pPr>
  </w:style>
  <w:style w:type="paragraph" w:customStyle="1" w:styleId="IndentedCont5">
    <w:name w:val="Indented Cont 5"/>
    <w:basedOn w:val="IndentedCont4"/>
    <w:uiPriority w:val="24"/>
    <w:unhideWhenUsed/>
    <w:rsid w:val="00A53B61"/>
    <w:pPr>
      <w:ind w:left="3600"/>
    </w:pPr>
  </w:style>
  <w:style w:type="paragraph" w:customStyle="1" w:styleId="IndentedCont6">
    <w:name w:val="Indented Cont 6"/>
    <w:basedOn w:val="IndentedCont5"/>
    <w:uiPriority w:val="24"/>
    <w:unhideWhenUsed/>
    <w:rsid w:val="00A53B61"/>
    <w:pPr>
      <w:ind w:left="4320"/>
    </w:pPr>
  </w:style>
  <w:style w:type="paragraph" w:customStyle="1" w:styleId="IndentedCont7">
    <w:name w:val="Indented Cont 7"/>
    <w:basedOn w:val="IndentedCont6"/>
    <w:uiPriority w:val="24"/>
    <w:unhideWhenUsed/>
    <w:rsid w:val="00A53B61"/>
    <w:pPr>
      <w:ind w:left="5040"/>
    </w:pPr>
  </w:style>
  <w:style w:type="paragraph" w:customStyle="1" w:styleId="IndentedCont8">
    <w:name w:val="Indented Cont 8"/>
    <w:basedOn w:val="IndentedCont7"/>
    <w:uiPriority w:val="24"/>
    <w:unhideWhenUsed/>
    <w:rsid w:val="00A53B61"/>
    <w:pPr>
      <w:ind w:left="5760"/>
    </w:pPr>
  </w:style>
  <w:style w:type="paragraph" w:customStyle="1" w:styleId="IndentedCont9">
    <w:name w:val="Indented Cont 9"/>
    <w:basedOn w:val="IndentedCont8"/>
    <w:uiPriority w:val="24"/>
    <w:unhideWhenUsed/>
    <w:rsid w:val="00A53B61"/>
    <w:pPr>
      <w:ind w:left="6480"/>
    </w:pPr>
  </w:style>
  <w:style w:type="paragraph" w:styleId="Caption">
    <w:name w:val="caption"/>
    <w:basedOn w:val="Normal"/>
    <w:next w:val="Normal"/>
    <w:uiPriority w:val="35"/>
    <w:semiHidden/>
    <w:unhideWhenUsed/>
    <w:rsid w:val="00A53B61"/>
    <w:rPr>
      <w:b/>
      <w:bCs/>
      <w:sz w:val="20"/>
      <w:szCs w:val="20"/>
    </w:rPr>
  </w:style>
  <w:style w:type="paragraph" w:customStyle="1" w:styleId="Legal2Cont1">
    <w:name w:val="Legal2 Cont 1"/>
    <w:basedOn w:val="Normal"/>
    <w:link w:val="Legal2Cont1Char"/>
    <w:uiPriority w:val="26"/>
    <w:unhideWhenUsed/>
    <w:rsid w:val="00A53B61"/>
    <w:pPr>
      <w:spacing w:after="240"/>
    </w:pPr>
  </w:style>
  <w:style w:type="character" w:customStyle="1" w:styleId="Legal2Cont1Char">
    <w:name w:val="Legal2 Cont 1 Char"/>
    <w:link w:val="Legal2Cont1"/>
    <w:uiPriority w:val="26"/>
    <w:rsid w:val="008E4C40"/>
    <w:rPr>
      <w:sz w:val="24"/>
      <w:szCs w:val="24"/>
    </w:rPr>
  </w:style>
  <w:style w:type="paragraph" w:customStyle="1" w:styleId="Legal2Cont2">
    <w:name w:val="Legal2 Cont 2"/>
    <w:basedOn w:val="Legal2Cont1"/>
    <w:link w:val="Legal2Cont2Char"/>
    <w:uiPriority w:val="26"/>
    <w:unhideWhenUsed/>
    <w:rsid w:val="00A53B61"/>
    <w:pPr>
      <w:ind w:firstLine="720"/>
    </w:pPr>
  </w:style>
  <w:style w:type="character" w:customStyle="1" w:styleId="Legal2Cont2Char">
    <w:name w:val="Legal2 Cont 2 Char"/>
    <w:link w:val="Legal2Cont2"/>
    <w:uiPriority w:val="26"/>
    <w:rsid w:val="008E4C40"/>
    <w:rPr>
      <w:sz w:val="24"/>
      <w:szCs w:val="24"/>
    </w:rPr>
  </w:style>
  <w:style w:type="paragraph" w:customStyle="1" w:styleId="Legal2Cont3">
    <w:name w:val="Legal2 Cont 3"/>
    <w:basedOn w:val="Legal2Cont2"/>
    <w:link w:val="Legal2Cont3Char"/>
    <w:uiPriority w:val="26"/>
    <w:unhideWhenUsed/>
    <w:rsid w:val="00A53B61"/>
    <w:pPr>
      <w:ind w:firstLine="1440"/>
    </w:pPr>
  </w:style>
  <w:style w:type="character" w:customStyle="1" w:styleId="Legal2Cont3Char">
    <w:name w:val="Legal2 Cont 3 Char"/>
    <w:link w:val="Legal2Cont3"/>
    <w:uiPriority w:val="26"/>
    <w:rsid w:val="008E4C40"/>
    <w:rPr>
      <w:sz w:val="24"/>
      <w:szCs w:val="24"/>
    </w:rPr>
  </w:style>
  <w:style w:type="paragraph" w:customStyle="1" w:styleId="Legal2Cont4">
    <w:name w:val="Legal2 Cont 4"/>
    <w:basedOn w:val="Legal2Cont3"/>
    <w:link w:val="Legal2Cont4Char"/>
    <w:uiPriority w:val="26"/>
    <w:unhideWhenUsed/>
    <w:rsid w:val="00A53B61"/>
    <w:pPr>
      <w:ind w:firstLine="2160"/>
    </w:pPr>
  </w:style>
  <w:style w:type="character" w:customStyle="1" w:styleId="Legal2Cont4Char">
    <w:name w:val="Legal2 Cont 4 Char"/>
    <w:link w:val="Legal2Cont4"/>
    <w:uiPriority w:val="26"/>
    <w:rsid w:val="008E4C40"/>
    <w:rPr>
      <w:sz w:val="24"/>
      <w:szCs w:val="24"/>
    </w:rPr>
  </w:style>
  <w:style w:type="paragraph" w:customStyle="1" w:styleId="Legal2Cont5">
    <w:name w:val="Legal2 Cont 5"/>
    <w:basedOn w:val="Legal2Cont4"/>
    <w:link w:val="Legal2Cont5Char"/>
    <w:uiPriority w:val="26"/>
    <w:unhideWhenUsed/>
    <w:rsid w:val="00A53B61"/>
    <w:pPr>
      <w:ind w:firstLine="2880"/>
    </w:pPr>
  </w:style>
  <w:style w:type="character" w:customStyle="1" w:styleId="Legal2Cont5Char">
    <w:name w:val="Legal2 Cont 5 Char"/>
    <w:link w:val="Legal2Cont5"/>
    <w:uiPriority w:val="26"/>
    <w:rsid w:val="008E4C40"/>
    <w:rPr>
      <w:sz w:val="24"/>
      <w:szCs w:val="24"/>
    </w:rPr>
  </w:style>
  <w:style w:type="paragraph" w:customStyle="1" w:styleId="Legal2Cont6">
    <w:name w:val="Legal2 Cont 6"/>
    <w:basedOn w:val="Legal2Cont5"/>
    <w:link w:val="Legal2Cont6Char"/>
    <w:uiPriority w:val="26"/>
    <w:unhideWhenUsed/>
    <w:rsid w:val="00A53B61"/>
    <w:pPr>
      <w:ind w:firstLine="2160"/>
    </w:pPr>
  </w:style>
  <w:style w:type="character" w:customStyle="1" w:styleId="Legal2Cont6Char">
    <w:name w:val="Legal2 Cont 6 Char"/>
    <w:link w:val="Legal2Cont6"/>
    <w:uiPriority w:val="26"/>
    <w:rsid w:val="008E4C40"/>
    <w:rPr>
      <w:sz w:val="24"/>
      <w:szCs w:val="24"/>
    </w:rPr>
  </w:style>
  <w:style w:type="paragraph" w:customStyle="1" w:styleId="Legal2Cont7">
    <w:name w:val="Legal2 Cont 7"/>
    <w:basedOn w:val="Legal2Cont6"/>
    <w:link w:val="Legal2Cont7Char"/>
    <w:uiPriority w:val="26"/>
    <w:unhideWhenUsed/>
    <w:rsid w:val="00A53B61"/>
    <w:pPr>
      <w:ind w:firstLine="2880"/>
    </w:pPr>
  </w:style>
  <w:style w:type="character" w:customStyle="1" w:styleId="Legal2Cont7Char">
    <w:name w:val="Legal2 Cont 7 Char"/>
    <w:link w:val="Legal2Cont7"/>
    <w:uiPriority w:val="26"/>
    <w:rsid w:val="008E4C40"/>
    <w:rPr>
      <w:sz w:val="24"/>
      <w:szCs w:val="24"/>
    </w:rPr>
  </w:style>
  <w:style w:type="paragraph" w:customStyle="1" w:styleId="Legal2Cont8">
    <w:name w:val="Legal2 Cont 8"/>
    <w:basedOn w:val="Legal2Cont7"/>
    <w:link w:val="Legal2Cont8Char"/>
    <w:uiPriority w:val="26"/>
    <w:unhideWhenUsed/>
    <w:rsid w:val="00A53B61"/>
    <w:pPr>
      <w:ind w:firstLine="3600"/>
    </w:pPr>
  </w:style>
  <w:style w:type="character" w:customStyle="1" w:styleId="Legal2Cont8Char">
    <w:name w:val="Legal2 Cont 8 Char"/>
    <w:link w:val="Legal2Cont8"/>
    <w:uiPriority w:val="26"/>
    <w:rsid w:val="008E4C40"/>
    <w:rPr>
      <w:sz w:val="24"/>
      <w:szCs w:val="24"/>
    </w:rPr>
  </w:style>
  <w:style w:type="paragraph" w:customStyle="1" w:styleId="Legal2Cont9">
    <w:name w:val="Legal2 Cont 9"/>
    <w:basedOn w:val="Legal2Cont8"/>
    <w:link w:val="Legal2Cont9Char"/>
    <w:uiPriority w:val="26"/>
    <w:unhideWhenUsed/>
    <w:rsid w:val="00A53B61"/>
    <w:pPr>
      <w:ind w:firstLine="4320"/>
    </w:pPr>
  </w:style>
  <w:style w:type="character" w:customStyle="1" w:styleId="Legal2Cont9Char">
    <w:name w:val="Legal2 Cont 9 Char"/>
    <w:link w:val="Legal2Cont9"/>
    <w:uiPriority w:val="26"/>
    <w:rsid w:val="008E4C40"/>
    <w:rPr>
      <w:sz w:val="24"/>
      <w:szCs w:val="24"/>
    </w:rPr>
  </w:style>
  <w:style w:type="paragraph" w:customStyle="1" w:styleId="Legal3Cont1">
    <w:name w:val="Legal3 Cont 1"/>
    <w:basedOn w:val="Normal"/>
    <w:link w:val="Legal3Cont1Char"/>
    <w:uiPriority w:val="27"/>
    <w:unhideWhenUsed/>
    <w:rsid w:val="00A53B61"/>
    <w:pPr>
      <w:spacing w:after="240"/>
    </w:pPr>
  </w:style>
  <w:style w:type="character" w:customStyle="1" w:styleId="Legal3Cont1Char">
    <w:name w:val="Legal3 Cont 1 Char"/>
    <w:link w:val="Legal3Cont1"/>
    <w:uiPriority w:val="27"/>
    <w:rsid w:val="008E4C40"/>
    <w:rPr>
      <w:sz w:val="24"/>
      <w:szCs w:val="24"/>
    </w:rPr>
  </w:style>
  <w:style w:type="paragraph" w:customStyle="1" w:styleId="Legal3Cont2">
    <w:name w:val="Legal3 Cont 2"/>
    <w:basedOn w:val="Legal3Cont1"/>
    <w:link w:val="Legal3Cont2Char"/>
    <w:uiPriority w:val="27"/>
    <w:unhideWhenUsed/>
    <w:rsid w:val="00A53B61"/>
    <w:pPr>
      <w:ind w:firstLine="720"/>
    </w:pPr>
  </w:style>
  <w:style w:type="character" w:customStyle="1" w:styleId="Legal3Cont2Char">
    <w:name w:val="Legal3 Cont 2 Char"/>
    <w:link w:val="Legal3Cont2"/>
    <w:uiPriority w:val="27"/>
    <w:rsid w:val="008E4C40"/>
    <w:rPr>
      <w:sz w:val="24"/>
      <w:szCs w:val="24"/>
    </w:rPr>
  </w:style>
  <w:style w:type="paragraph" w:customStyle="1" w:styleId="Legal3Cont3">
    <w:name w:val="Legal3 Cont 3"/>
    <w:basedOn w:val="Legal3Cont2"/>
    <w:link w:val="Legal3Cont3Char"/>
    <w:uiPriority w:val="27"/>
    <w:unhideWhenUsed/>
    <w:rsid w:val="00A53B61"/>
    <w:pPr>
      <w:ind w:firstLine="1440"/>
    </w:pPr>
  </w:style>
  <w:style w:type="character" w:customStyle="1" w:styleId="Legal3Cont3Char">
    <w:name w:val="Legal3 Cont 3 Char"/>
    <w:link w:val="Legal3Cont3"/>
    <w:uiPriority w:val="27"/>
    <w:rsid w:val="008E4C40"/>
    <w:rPr>
      <w:sz w:val="24"/>
      <w:szCs w:val="24"/>
    </w:rPr>
  </w:style>
  <w:style w:type="paragraph" w:customStyle="1" w:styleId="Legal3Cont4">
    <w:name w:val="Legal3 Cont 4"/>
    <w:basedOn w:val="Legal3Cont3"/>
    <w:link w:val="Legal3Cont4Char"/>
    <w:uiPriority w:val="27"/>
    <w:unhideWhenUsed/>
    <w:rsid w:val="00A53B61"/>
    <w:pPr>
      <w:ind w:firstLine="2160"/>
    </w:pPr>
  </w:style>
  <w:style w:type="character" w:customStyle="1" w:styleId="Legal3Cont4Char">
    <w:name w:val="Legal3 Cont 4 Char"/>
    <w:link w:val="Legal3Cont4"/>
    <w:uiPriority w:val="27"/>
    <w:rsid w:val="008E4C40"/>
    <w:rPr>
      <w:sz w:val="24"/>
      <w:szCs w:val="24"/>
    </w:rPr>
  </w:style>
  <w:style w:type="paragraph" w:customStyle="1" w:styleId="Legal3Cont5">
    <w:name w:val="Legal3 Cont 5"/>
    <w:basedOn w:val="Legal3Cont4"/>
    <w:link w:val="Legal3Cont5Char"/>
    <w:uiPriority w:val="27"/>
    <w:unhideWhenUsed/>
    <w:rsid w:val="00A53B61"/>
    <w:pPr>
      <w:ind w:firstLine="2880"/>
    </w:pPr>
  </w:style>
  <w:style w:type="character" w:customStyle="1" w:styleId="Legal3Cont5Char">
    <w:name w:val="Legal3 Cont 5 Char"/>
    <w:link w:val="Legal3Cont5"/>
    <w:uiPriority w:val="27"/>
    <w:rsid w:val="008E4C40"/>
    <w:rPr>
      <w:sz w:val="24"/>
      <w:szCs w:val="24"/>
    </w:rPr>
  </w:style>
  <w:style w:type="paragraph" w:customStyle="1" w:styleId="Legal3Cont6">
    <w:name w:val="Legal3 Cont 6"/>
    <w:basedOn w:val="Legal3Cont5"/>
    <w:link w:val="Legal3Cont6Char"/>
    <w:uiPriority w:val="27"/>
    <w:unhideWhenUsed/>
    <w:rsid w:val="00A53B61"/>
    <w:pPr>
      <w:ind w:firstLine="3600"/>
    </w:pPr>
  </w:style>
  <w:style w:type="character" w:customStyle="1" w:styleId="Legal3Cont6Char">
    <w:name w:val="Legal3 Cont 6 Char"/>
    <w:link w:val="Legal3Cont6"/>
    <w:uiPriority w:val="27"/>
    <w:rsid w:val="008E4C40"/>
    <w:rPr>
      <w:sz w:val="24"/>
      <w:szCs w:val="24"/>
    </w:rPr>
  </w:style>
  <w:style w:type="paragraph" w:customStyle="1" w:styleId="Legal3Cont7">
    <w:name w:val="Legal3 Cont 7"/>
    <w:basedOn w:val="Legal3Cont6"/>
    <w:link w:val="Legal3Cont7Char"/>
    <w:uiPriority w:val="27"/>
    <w:unhideWhenUsed/>
    <w:rsid w:val="00A53B61"/>
    <w:pPr>
      <w:ind w:firstLine="4320"/>
    </w:pPr>
  </w:style>
  <w:style w:type="character" w:customStyle="1" w:styleId="Legal3Cont7Char">
    <w:name w:val="Legal3 Cont 7 Char"/>
    <w:link w:val="Legal3Cont7"/>
    <w:uiPriority w:val="27"/>
    <w:rsid w:val="008E4C40"/>
    <w:rPr>
      <w:sz w:val="24"/>
      <w:szCs w:val="24"/>
    </w:rPr>
  </w:style>
  <w:style w:type="paragraph" w:customStyle="1" w:styleId="Legal3Cont8">
    <w:name w:val="Legal3 Cont 8"/>
    <w:basedOn w:val="Legal3Cont7"/>
    <w:link w:val="Legal3Cont8Char"/>
    <w:uiPriority w:val="27"/>
    <w:unhideWhenUsed/>
    <w:rsid w:val="00A53B61"/>
    <w:pPr>
      <w:ind w:firstLine="5040"/>
    </w:pPr>
  </w:style>
  <w:style w:type="character" w:customStyle="1" w:styleId="Legal3Cont8Char">
    <w:name w:val="Legal3 Cont 8 Char"/>
    <w:link w:val="Legal3Cont8"/>
    <w:uiPriority w:val="27"/>
    <w:rsid w:val="008E4C40"/>
    <w:rPr>
      <w:sz w:val="24"/>
      <w:szCs w:val="24"/>
    </w:rPr>
  </w:style>
  <w:style w:type="paragraph" w:customStyle="1" w:styleId="Legal3Cont9">
    <w:name w:val="Legal3 Cont 9"/>
    <w:basedOn w:val="Legal3Cont8"/>
    <w:link w:val="Legal3Cont9Char"/>
    <w:uiPriority w:val="27"/>
    <w:unhideWhenUsed/>
    <w:rsid w:val="00A53B61"/>
    <w:pPr>
      <w:ind w:firstLine="5760"/>
    </w:pPr>
  </w:style>
  <w:style w:type="character" w:customStyle="1" w:styleId="Legal3Cont9Char">
    <w:name w:val="Legal3 Cont 9 Char"/>
    <w:link w:val="Legal3Cont9"/>
    <w:uiPriority w:val="27"/>
    <w:rsid w:val="008E4C40"/>
    <w:rPr>
      <w:sz w:val="24"/>
      <w:szCs w:val="24"/>
    </w:rPr>
  </w:style>
  <w:style w:type="paragraph" w:customStyle="1" w:styleId="Legal1Cont1">
    <w:name w:val="Legal1 Cont 1"/>
    <w:basedOn w:val="Normal"/>
    <w:link w:val="Legal1Cont1Char"/>
    <w:uiPriority w:val="25"/>
    <w:unhideWhenUsed/>
    <w:rsid w:val="00A53B61"/>
    <w:pPr>
      <w:spacing w:after="240"/>
    </w:pPr>
  </w:style>
  <w:style w:type="character" w:customStyle="1" w:styleId="Legal1Cont1Char">
    <w:name w:val="Legal1 Cont 1 Char"/>
    <w:link w:val="Legal1Cont1"/>
    <w:uiPriority w:val="25"/>
    <w:rsid w:val="008E4C40"/>
    <w:rPr>
      <w:sz w:val="24"/>
      <w:szCs w:val="24"/>
    </w:rPr>
  </w:style>
  <w:style w:type="paragraph" w:customStyle="1" w:styleId="Legal1Cont2">
    <w:name w:val="Legal1 Cont 2"/>
    <w:basedOn w:val="Legal1Cont1"/>
    <w:link w:val="Legal1Cont2Char"/>
    <w:uiPriority w:val="25"/>
    <w:unhideWhenUsed/>
    <w:rsid w:val="00A53B61"/>
    <w:pPr>
      <w:ind w:firstLine="720"/>
    </w:pPr>
  </w:style>
  <w:style w:type="character" w:customStyle="1" w:styleId="Legal1Cont2Char">
    <w:name w:val="Legal1 Cont 2 Char"/>
    <w:link w:val="Legal1Cont2"/>
    <w:uiPriority w:val="25"/>
    <w:rsid w:val="008E4C40"/>
    <w:rPr>
      <w:sz w:val="24"/>
      <w:szCs w:val="24"/>
    </w:rPr>
  </w:style>
  <w:style w:type="paragraph" w:customStyle="1" w:styleId="Legal1Cont3">
    <w:name w:val="Legal1 Cont 3"/>
    <w:basedOn w:val="Legal1Cont2"/>
    <w:link w:val="Legal1Cont3Char"/>
    <w:uiPriority w:val="25"/>
    <w:unhideWhenUsed/>
    <w:rsid w:val="00A53B61"/>
    <w:pPr>
      <w:ind w:firstLine="1440"/>
    </w:pPr>
  </w:style>
  <w:style w:type="character" w:customStyle="1" w:styleId="Legal1Cont3Char">
    <w:name w:val="Legal1 Cont 3 Char"/>
    <w:link w:val="Legal1Cont3"/>
    <w:uiPriority w:val="25"/>
    <w:rsid w:val="008E4C40"/>
    <w:rPr>
      <w:sz w:val="24"/>
      <w:szCs w:val="24"/>
    </w:rPr>
  </w:style>
  <w:style w:type="paragraph" w:customStyle="1" w:styleId="Legal1Cont4">
    <w:name w:val="Legal1 Cont 4"/>
    <w:basedOn w:val="Legal1Cont3"/>
    <w:link w:val="Legal1Cont4Char"/>
    <w:uiPriority w:val="25"/>
    <w:unhideWhenUsed/>
    <w:rsid w:val="00A53B61"/>
    <w:pPr>
      <w:ind w:firstLine="2160"/>
    </w:pPr>
  </w:style>
  <w:style w:type="character" w:customStyle="1" w:styleId="Legal1Cont4Char">
    <w:name w:val="Legal1 Cont 4 Char"/>
    <w:link w:val="Legal1Cont4"/>
    <w:uiPriority w:val="25"/>
    <w:rsid w:val="008E4C40"/>
    <w:rPr>
      <w:sz w:val="24"/>
      <w:szCs w:val="24"/>
    </w:rPr>
  </w:style>
  <w:style w:type="paragraph" w:customStyle="1" w:styleId="Legal1Cont5">
    <w:name w:val="Legal1 Cont 5"/>
    <w:basedOn w:val="Legal1Cont4"/>
    <w:link w:val="Legal1Cont5Char"/>
    <w:uiPriority w:val="25"/>
    <w:unhideWhenUsed/>
    <w:rsid w:val="00A53B61"/>
    <w:pPr>
      <w:ind w:firstLine="2880"/>
    </w:pPr>
  </w:style>
  <w:style w:type="character" w:customStyle="1" w:styleId="Legal1Cont5Char">
    <w:name w:val="Legal1 Cont 5 Char"/>
    <w:link w:val="Legal1Cont5"/>
    <w:uiPriority w:val="25"/>
    <w:rsid w:val="008E4C40"/>
    <w:rPr>
      <w:sz w:val="24"/>
      <w:szCs w:val="24"/>
    </w:rPr>
  </w:style>
  <w:style w:type="paragraph" w:customStyle="1" w:styleId="Legal1Cont6">
    <w:name w:val="Legal1 Cont 6"/>
    <w:basedOn w:val="Legal1Cont5"/>
    <w:link w:val="Legal1Cont6Char"/>
    <w:uiPriority w:val="25"/>
    <w:unhideWhenUsed/>
    <w:rsid w:val="00A53B61"/>
    <w:pPr>
      <w:ind w:firstLine="3600"/>
    </w:pPr>
  </w:style>
  <w:style w:type="character" w:customStyle="1" w:styleId="Legal1Cont6Char">
    <w:name w:val="Legal1 Cont 6 Char"/>
    <w:link w:val="Legal1Cont6"/>
    <w:uiPriority w:val="25"/>
    <w:rsid w:val="008E4C40"/>
    <w:rPr>
      <w:sz w:val="24"/>
      <w:szCs w:val="24"/>
    </w:rPr>
  </w:style>
  <w:style w:type="paragraph" w:customStyle="1" w:styleId="Legal1Cont7">
    <w:name w:val="Legal1 Cont 7"/>
    <w:basedOn w:val="Legal1Cont6"/>
    <w:link w:val="Legal1Cont7Char"/>
    <w:uiPriority w:val="25"/>
    <w:unhideWhenUsed/>
    <w:rsid w:val="00A53B61"/>
    <w:pPr>
      <w:ind w:firstLine="4320"/>
    </w:pPr>
  </w:style>
  <w:style w:type="character" w:customStyle="1" w:styleId="Legal1Cont7Char">
    <w:name w:val="Legal1 Cont 7 Char"/>
    <w:link w:val="Legal1Cont7"/>
    <w:uiPriority w:val="25"/>
    <w:rsid w:val="008E4C40"/>
    <w:rPr>
      <w:sz w:val="24"/>
      <w:szCs w:val="24"/>
    </w:rPr>
  </w:style>
  <w:style w:type="paragraph" w:customStyle="1" w:styleId="Legal1Cont8">
    <w:name w:val="Legal1 Cont 8"/>
    <w:basedOn w:val="Legal1Cont7"/>
    <w:link w:val="Legal1Cont8Char"/>
    <w:uiPriority w:val="25"/>
    <w:unhideWhenUsed/>
    <w:rsid w:val="00A53B61"/>
    <w:pPr>
      <w:ind w:firstLine="5040"/>
    </w:pPr>
  </w:style>
  <w:style w:type="character" w:customStyle="1" w:styleId="Legal1Cont8Char">
    <w:name w:val="Legal1 Cont 8 Char"/>
    <w:link w:val="Legal1Cont8"/>
    <w:uiPriority w:val="25"/>
    <w:rsid w:val="008E4C40"/>
    <w:rPr>
      <w:sz w:val="24"/>
      <w:szCs w:val="24"/>
    </w:rPr>
  </w:style>
  <w:style w:type="paragraph" w:customStyle="1" w:styleId="Legal1Cont9">
    <w:name w:val="Legal1 Cont 9"/>
    <w:basedOn w:val="Legal1Cont8"/>
    <w:link w:val="Legal1Cont9Char"/>
    <w:uiPriority w:val="25"/>
    <w:unhideWhenUsed/>
    <w:rsid w:val="00A53B61"/>
    <w:pPr>
      <w:ind w:firstLine="5760"/>
    </w:pPr>
  </w:style>
  <w:style w:type="character" w:customStyle="1" w:styleId="Legal1Cont9Char">
    <w:name w:val="Legal1 Cont 9 Char"/>
    <w:link w:val="Legal1Cont9"/>
    <w:uiPriority w:val="25"/>
    <w:rsid w:val="008E4C40"/>
    <w:rPr>
      <w:sz w:val="24"/>
      <w:szCs w:val="24"/>
    </w:rPr>
  </w:style>
  <w:style w:type="paragraph" w:customStyle="1" w:styleId="OutlineCont1">
    <w:name w:val="Outline Cont 1"/>
    <w:basedOn w:val="Normal"/>
    <w:link w:val="OutlineCont1Char"/>
    <w:uiPriority w:val="28"/>
    <w:unhideWhenUsed/>
    <w:rsid w:val="00A53B61"/>
    <w:pPr>
      <w:spacing w:after="240"/>
    </w:pPr>
  </w:style>
  <w:style w:type="character" w:customStyle="1" w:styleId="OutlineCont1Char">
    <w:name w:val="Outline Cont 1 Char"/>
    <w:link w:val="OutlineCont1"/>
    <w:uiPriority w:val="28"/>
    <w:rsid w:val="008E4C40"/>
    <w:rPr>
      <w:sz w:val="24"/>
      <w:szCs w:val="24"/>
    </w:rPr>
  </w:style>
  <w:style w:type="paragraph" w:customStyle="1" w:styleId="OutlineCont2">
    <w:name w:val="Outline Cont 2"/>
    <w:basedOn w:val="OutlineCont1"/>
    <w:link w:val="OutlineCont2Char"/>
    <w:uiPriority w:val="28"/>
    <w:unhideWhenUsed/>
    <w:rsid w:val="00A53B61"/>
    <w:pPr>
      <w:ind w:firstLine="720"/>
    </w:pPr>
  </w:style>
  <w:style w:type="character" w:customStyle="1" w:styleId="OutlineCont2Char">
    <w:name w:val="Outline Cont 2 Char"/>
    <w:link w:val="OutlineCont2"/>
    <w:uiPriority w:val="28"/>
    <w:rsid w:val="008E4C40"/>
    <w:rPr>
      <w:sz w:val="24"/>
      <w:szCs w:val="24"/>
    </w:rPr>
  </w:style>
  <w:style w:type="paragraph" w:customStyle="1" w:styleId="OutlineCont3">
    <w:name w:val="Outline Cont 3"/>
    <w:basedOn w:val="OutlineCont2"/>
    <w:link w:val="OutlineCont3Char"/>
    <w:uiPriority w:val="28"/>
    <w:unhideWhenUsed/>
    <w:rsid w:val="00A53B61"/>
    <w:pPr>
      <w:ind w:firstLine="1440"/>
    </w:pPr>
  </w:style>
  <w:style w:type="character" w:customStyle="1" w:styleId="OutlineCont3Char">
    <w:name w:val="Outline Cont 3 Char"/>
    <w:link w:val="OutlineCont3"/>
    <w:uiPriority w:val="28"/>
    <w:rsid w:val="008E4C40"/>
    <w:rPr>
      <w:sz w:val="24"/>
      <w:szCs w:val="24"/>
    </w:rPr>
  </w:style>
  <w:style w:type="paragraph" w:customStyle="1" w:styleId="OutlineCont4">
    <w:name w:val="Outline Cont 4"/>
    <w:basedOn w:val="OutlineCont3"/>
    <w:link w:val="OutlineCont4Char"/>
    <w:uiPriority w:val="28"/>
    <w:unhideWhenUsed/>
    <w:rsid w:val="00A53B61"/>
    <w:pPr>
      <w:ind w:firstLine="2160"/>
    </w:pPr>
  </w:style>
  <w:style w:type="character" w:customStyle="1" w:styleId="OutlineCont4Char">
    <w:name w:val="Outline Cont 4 Char"/>
    <w:link w:val="OutlineCont4"/>
    <w:uiPriority w:val="28"/>
    <w:rsid w:val="008E4C40"/>
    <w:rPr>
      <w:sz w:val="24"/>
      <w:szCs w:val="24"/>
    </w:rPr>
  </w:style>
  <w:style w:type="paragraph" w:customStyle="1" w:styleId="OutlineCont5">
    <w:name w:val="Outline Cont 5"/>
    <w:basedOn w:val="OutlineCont4"/>
    <w:link w:val="OutlineCont5Char"/>
    <w:uiPriority w:val="28"/>
    <w:unhideWhenUsed/>
    <w:rsid w:val="00A53B61"/>
    <w:pPr>
      <w:ind w:firstLine="2880"/>
    </w:pPr>
  </w:style>
  <w:style w:type="character" w:customStyle="1" w:styleId="OutlineCont5Char">
    <w:name w:val="Outline Cont 5 Char"/>
    <w:link w:val="OutlineCont5"/>
    <w:uiPriority w:val="28"/>
    <w:rsid w:val="008E4C40"/>
    <w:rPr>
      <w:sz w:val="24"/>
      <w:szCs w:val="24"/>
    </w:rPr>
  </w:style>
  <w:style w:type="paragraph" w:customStyle="1" w:styleId="OutlineCont6">
    <w:name w:val="Outline Cont 6"/>
    <w:basedOn w:val="OutlineCont5"/>
    <w:link w:val="OutlineCont6Char"/>
    <w:uiPriority w:val="28"/>
    <w:unhideWhenUsed/>
    <w:rsid w:val="00A53B61"/>
    <w:pPr>
      <w:ind w:firstLine="3600"/>
    </w:pPr>
  </w:style>
  <w:style w:type="character" w:customStyle="1" w:styleId="OutlineCont6Char">
    <w:name w:val="Outline Cont 6 Char"/>
    <w:link w:val="OutlineCont6"/>
    <w:uiPriority w:val="28"/>
    <w:rsid w:val="008E4C40"/>
    <w:rPr>
      <w:sz w:val="24"/>
      <w:szCs w:val="24"/>
    </w:rPr>
  </w:style>
  <w:style w:type="paragraph" w:customStyle="1" w:styleId="OutlineCont7">
    <w:name w:val="Outline Cont 7"/>
    <w:basedOn w:val="OutlineCont6"/>
    <w:link w:val="OutlineCont7Char"/>
    <w:uiPriority w:val="28"/>
    <w:unhideWhenUsed/>
    <w:rsid w:val="00A53B61"/>
    <w:pPr>
      <w:ind w:firstLine="4320"/>
    </w:pPr>
  </w:style>
  <w:style w:type="character" w:customStyle="1" w:styleId="OutlineCont7Char">
    <w:name w:val="Outline Cont 7 Char"/>
    <w:link w:val="OutlineCont7"/>
    <w:uiPriority w:val="28"/>
    <w:rsid w:val="008E4C40"/>
    <w:rPr>
      <w:sz w:val="24"/>
      <w:szCs w:val="24"/>
    </w:rPr>
  </w:style>
  <w:style w:type="paragraph" w:customStyle="1" w:styleId="OutlineCont8">
    <w:name w:val="Outline Cont 8"/>
    <w:basedOn w:val="OutlineCont7"/>
    <w:link w:val="OutlineCont8Char"/>
    <w:uiPriority w:val="28"/>
    <w:unhideWhenUsed/>
    <w:rsid w:val="00A53B61"/>
    <w:pPr>
      <w:ind w:firstLine="5040"/>
    </w:pPr>
  </w:style>
  <w:style w:type="character" w:customStyle="1" w:styleId="OutlineCont8Char">
    <w:name w:val="Outline Cont 8 Char"/>
    <w:link w:val="OutlineCont8"/>
    <w:uiPriority w:val="28"/>
    <w:rsid w:val="008E4C40"/>
    <w:rPr>
      <w:sz w:val="24"/>
      <w:szCs w:val="24"/>
    </w:rPr>
  </w:style>
  <w:style w:type="paragraph" w:customStyle="1" w:styleId="OutlineCont9">
    <w:name w:val="Outline Cont 9"/>
    <w:basedOn w:val="OutlineCont8"/>
    <w:link w:val="OutlineCont9Char"/>
    <w:uiPriority w:val="28"/>
    <w:unhideWhenUsed/>
    <w:rsid w:val="00A53B61"/>
    <w:pPr>
      <w:ind w:firstLine="5760"/>
    </w:pPr>
  </w:style>
  <w:style w:type="character" w:customStyle="1" w:styleId="OutlineCont9Char">
    <w:name w:val="Outline Cont 9 Char"/>
    <w:link w:val="OutlineCont9"/>
    <w:uiPriority w:val="28"/>
    <w:rsid w:val="008E4C40"/>
    <w:rPr>
      <w:sz w:val="24"/>
      <w:szCs w:val="24"/>
    </w:rPr>
  </w:style>
  <w:style w:type="paragraph" w:customStyle="1" w:styleId="ParagraphCont1">
    <w:name w:val="Paragraph Cont 1"/>
    <w:basedOn w:val="Normal"/>
    <w:link w:val="ParagraphCont1Char"/>
    <w:uiPriority w:val="29"/>
    <w:unhideWhenUsed/>
    <w:rsid w:val="00A53B61"/>
    <w:pPr>
      <w:spacing w:after="240"/>
      <w:ind w:firstLine="720"/>
    </w:pPr>
  </w:style>
  <w:style w:type="character" w:customStyle="1" w:styleId="ParagraphCont1Char">
    <w:name w:val="Paragraph Cont 1 Char"/>
    <w:link w:val="ParagraphCont1"/>
    <w:uiPriority w:val="29"/>
    <w:rsid w:val="008E4C40"/>
    <w:rPr>
      <w:sz w:val="24"/>
      <w:szCs w:val="24"/>
    </w:rPr>
  </w:style>
  <w:style w:type="paragraph" w:customStyle="1" w:styleId="ParagraphCont2">
    <w:name w:val="Paragraph Cont 2"/>
    <w:basedOn w:val="ParagraphCont1"/>
    <w:link w:val="ParagraphCont2Char"/>
    <w:uiPriority w:val="29"/>
    <w:unhideWhenUsed/>
    <w:rsid w:val="00A53B61"/>
    <w:pPr>
      <w:ind w:firstLine="1440"/>
    </w:pPr>
  </w:style>
  <w:style w:type="character" w:customStyle="1" w:styleId="ParagraphCont2Char">
    <w:name w:val="Paragraph Cont 2 Char"/>
    <w:link w:val="ParagraphCont2"/>
    <w:uiPriority w:val="29"/>
    <w:rsid w:val="008E4C40"/>
    <w:rPr>
      <w:sz w:val="24"/>
      <w:szCs w:val="24"/>
    </w:rPr>
  </w:style>
  <w:style w:type="paragraph" w:customStyle="1" w:styleId="ParagraphCont3">
    <w:name w:val="Paragraph Cont 3"/>
    <w:basedOn w:val="ParagraphCont2"/>
    <w:link w:val="ParagraphCont3Char"/>
    <w:uiPriority w:val="29"/>
    <w:unhideWhenUsed/>
    <w:rsid w:val="00A53B61"/>
    <w:pPr>
      <w:ind w:firstLine="2160"/>
    </w:pPr>
  </w:style>
  <w:style w:type="character" w:customStyle="1" w:styleId="ParagraphCont3Char">
    <w:name w:val="Paragraph Cont 3 Char"/>
    <w:link w:val="ParagraphCont3"/>
    <w:uiPriority w:val="29"/>
    <w:rsid w:val="008E4C40"/>
    <w:rPr>
      <w:sz w:val="24"/>
      <w:szCs w:val="24"/>
    </w:rPr>
  </w:style>
  <w:style w:type="paragraph" w:customStyle="1" w:styleId="ParagraphCont4">
    <w:name w:val="Paragraph Cont 4"/>
    <w:basedOn w:val="ParagraphCont3"/>
    <w:link w:val="ParagraphCont4Char"/>
    <w:uiPriority w:val="29"/>
    <w:unhideWhenUsed/>
    <w:rsid w:val="00A53B61"/>
    <w:pPr>
      <w:ind w:firstLine="2880"/>
    </w:pPr>
  </w:style>
  <w:style w:type="character" w:customStyle="1" w:styleId="ParagraphCont4Char">
    <w:name w:val="Paragraph Cont 4 Char"/>
    <w:link w:val="ParagraphCont4"/>
    <w:uiPriority w:val="29"/>
    <w:rsid w:val="008E4C40"/>
    <w:rPr>
      <w:sz w:val="24"/>
      <w:szCs w:val="24"/>
    </w:rPr>
  </w:style>
  <w:style w:type="paragraph" w:customStyle="1" w:styleId="ParagraphCont5">
    <w:name w:val="Paragraph Cont 5"/>
    <w:basedOn w:val="ParagraphCont4"/>
    <w:link w:val="ParagraphCont5Char"/>
    <w:uiPriority w:val="29"/>
    <w:unhideWhenUsed/>
    <w:rsid w:val="00A53B61"/>
    <w:pPr>
      <w:ind w:firstLine="3600"/>
    </w:pPr>
  </w:style>
  <w:style w:type="character" w:customStyle="1" w:styleId="ParagraphCont5Char">
    <w:name w:val="Paragraph Cont 5 Char"/>
    <w:link w:val="ParagraphCont5"/>
    <w:uiPriority w:val="29"/>
    <w:rsid w:val="008E4C40"/>
    <w:rPr>
      <w:sz w:val="24"/>
      <w:szCs w:val="24"/>
    </w:rPr>
  </w:style>
  <w:style w:type="paragraph" w:customStyle="1" w:styleId="ParagraphCont6">
    <w:name w:val="Paragraph Cont 6"/>
    <w:basedOn w:val="ParagraphCont5"/>
    <w:link w:val="ParagraphCont6Char"/>
    <w:uiPriority w:val="29"/>
    <w:unhideWhenUsed/>
    <w:rsid w:val="00A53B61"/>
    <w:pPr>
      <w:ind w:firstLine="4320"/>
    </w:pPr>
  </w:style>
  <w:style w:type="character" w:customStyle="1" w:styleId="ParagraphCont6Char">
    <w:name w:val="Paragraph Cont 6 Char"/>
    <w:link w:val="ParagraphCont6"/>
    <w:uiPriority w:val="29"/>
    <w:rsid w:val="008E4C40"/>
    <w:rPr>
      <w:sz w:val="24"/>
      <w:szCs w:val="24"/>
    </w:rPr>
  </w:style>
  <w:style w:type="paragraph" w:customStyle="1" w:styleId="ParagraphCont7">
    <w:name w:val="Paragraph Cont 7"/>
    <w:basedOn w:val="ParagraphCont6"/>
    <w:link w:val="ParagraphCont7Char"/>
    <w:uiPriority w:val="29"/>
    <w:unhideWhenUsed/>
    <w:rsid w:val="00A53B61"/>
    <w:pPr>
      <w:ind w:firstLine="5040"/>
    </w:pPr>
  </w:style>
  <w:style w:type="character" w:customStyle="1" w:styleId="ParagraphCont7Char">
    <w:name w:val="Paragraph Cont 7 Char"/>
    <w:link w:val="ParagraphCont7"/>
    <w:uiPriority w:val="29"/>
    <w:rsid w:val="008E4C40"/>
    <w:rPr>
      <w:sz w:val="24"/>
      <w:szCs w:val="24"/>
    </w:rPr>
  </w:style>
  <w:style w:type="paragraph" w:customStyle="1" w:styleId="ParagraphCont8">
    <w:name w:val="Paragraph Cont 8"/>
    <w:basedOn w:val="ParagraphCont7"/>
    <w:link w:val="ParagraphCont8Char"/>
    <w:uiPriority w:val="29"/>
    <w:unhideWhenUsed/>
    <w:rsid w:val="00A53B61"/>
    <w:pPr>
      <w:ind w:firstLine="5760"/>
    </w:pPr>
  </w:style>
  <w:style w:type="character" w:customStyle="1" w:styleId="ParagraphCont8Char">
    <w:name w:val="Paragraph Cont 8 Char"/>
    <w:link w:val="ParagraphCont8"/>
    <w:uiPriority w:val="29"/>
    <w:rsid w:val="008E4C40"/>
    <w:rPr>
      <w:sz w:val="24"/>
      <w:szCs w:val="24"/>
    </w:rPr>
  </w:style>
  <w:style w:type="paragraph" w:customStyle="1" w:styleId="ParagraphCont9">
    <w:name w:val="Paragraph Cont 9"/>
    <w:basedOn w:val="ParagraphCont8"/>
    <w:link w:val="ParagraphCont9Char"/>
    <w:uiPriority w:val="29"/>
    <w:unhideWhenUsed/>
    <w:rsid w:val="00A53B61"/>
    <w:pPr>
      <w:ind w:firstLine="6480"/>
    </w:pPr>
  </w:style>
  <w:style w:type="character" w:customStyle="1" w:styleId="ParagraphCont9Char">
    <w:name w:val="Paragraph Cont 9 Char"/>
    <w:link w:val="ParagraphCont9"/>
    <w:uiPriority w:val="29"/>
    <w:rsid w:val="008E4C40"/>
    <w:rPr>
      <w:sz w:val="24"/>
      <w:szCs w:val="24"/>
    </w:rPr>
  </w:style>
  <w:style w:type="paragraph" w:customStyle="1" w:styleId="PleadingCont1">
    <w:name w:val="Pleading Cont 1"/>
    <w:basedOn w:val="Normal"/>
    <w:link w:val="PleadingCont1Char"/>
    <w:uiPriority w:val="30"/>
    <w:unhideWhenUsed/>
    <w:rsid w:val="00A53B61"/>
    <w:pPr>
      <w:spacing w:after="240"/>
      <w:ind w:firstLine="720"/>
    </w:pPr>
    <w:rPr>
      <w:b/>
      <w:caps/>
      <w:u w:val="single"/>
    </w:rPr>
  </w:style>
  <w:style w:type="character" w:customStyle="1" w:styleId="PleadingCont1Char">
    <w:name w:val="Pleading Cont 1 Char"/>
    <w:link w:val="PleadingCont1"/>
    <w:uiPriority w:val="30"/>
    <w:rsid w:val="008E4C40"/>
    <w:rPr>
      <w:b/>
      <w:caps/>
      <w:sz w:val="24"/>
      <w:szCs w:val="24"/>
      <w:u w:val="single"/>
    </w:rPr>
  </w:style>
  <w:style w:type="paragraph" w:customStyle="1" w:styleId="PleadingCont2">
    <w:name w:val="Pleading Cont 2"/>
    <w:basedOn w:val="PleadingCont1"/>
    <w:link w:val="PleadingCont2Char"/>
    <w:uiPriority w:val="30"/>
    <w:unhideWhenUsed/>
    <w:rsid w:val="00A53B61"/>
    <w:pPr>
      <w:ind w:left="720" w:firstLine="0"/>
    </w:pPr>
    <w:rPr>
      <w:caps w:val="0"/>
    </w:rPr>
  </w:style>
  <w:style w:type="character" w:customStyle="1" w:styleId="PleadingCont2Char">
    <w:name w:val="Pleading Cont 2 Char"/>
    <w:link w:val="PleadingCont2"/>
    <w:uiPriority w:val="30"/>
    <w:rsid w:val="008E4C40"/>
    <w:rPr>
      <w:b/>
      <w:sz w:val="24"/>
      <w:szCs w:val="24"/>
      <w:u w:val="single"/>
    </w:rPr>
  </w:style>
  <w:style w:type="paragraph" w:customStyle="1" w:styleId="PleadingCont3">
    <w:name w:val="Pleading Cont 3"/>
    <w:basedOn w:val="PleadingCont2"/>
    <w:link w:val="PleadingCont3Char"/>
    <w:uiPriority w:val="30"/>
    <w:unhideWhenUsed/>
    <w:rsid w:val="00A53B61"/>
    <w:pPr>
      <w:ind w:left="1440"/>
    </w:pPr>
    <w:rPr>
      <w:b w:val="0"/>
      <w:u w:val="none"/>
    </w:rPr>
  </w:style>
  <w:style w:type="character" w:customStyle="1" w:styleId="PleadingCont3Char">
    <w:name w:val="Pleading Cont 3 Char"/>
    <w:link w:val="PleadingCont3"/>
    <w:uiPriority w:val="30"/>
    <w:rsid w:val="008E4C40"/>
    <w:rPr>
      <w:sz w:val="24"/>
      <w:szCs w:val="24"/>
    </w:rPr>
  </w:style>
  <w:style w:type="paragraph" w:customStyle="1" w:styleId="PleadingCont4">
    <w:name w:val="Pleading Cont 4"/>
    <w:basedOn w:val="PleadingCont3"/>
    <w:link w:val="PleadingCont4Char"/>
    <w:uiPriority w:val="30"/>
    <w:unhideWhenUsed/>
    <w:rsid w:val="00A53B61"/>
    <w:pPr>
      <w:ind w:left="2160"/>
    </w:pPr>
  </w:style>
  <w:style w:type="character" w:customStyle="1" w:styleId="PleadingCont4Char">
    <w:name w:val="Pleading Cont 4 Char"/>
    <w:link w:val="PleadingCont4"/>
    <w:uiPriority w:val="30"/>
    <w:rsid w:val="008E4C40"/>
    <w:rPr>
      <w:sz w:val="24"/>
      <w:szCs w:val="24"/>
    </w:rPr>
  </w:style>
  <w:style w:type="paragraph" w:customStyle="1" w:styleId="PleadingCont5">
    <w:name w:val="Pleading Cont 5"/>
    <w:basedOn w:val="PleadingCont4"/>
    <w:link w:val="PleadingCont5Char"/>
    <w:uiPriority w:val="30"/>
    <w:unhideWhenUsed/>
    <w:rsid w:val="00A53B61"/>
    <w:pPr>
      <w:ind w:left="2880"/>
    </w:pPr>
  </w:style>
  <w:style w:type="character" w:customStyle="1" w:styleId="PleadingCont5Char">
    <w:name w:val="Pleading Cont 5 Char"/>
    <w:link w:val="PleadingCont5"/>
    <w:uiPriority w:val="30"/>
    <w:rsid w:val="008E4C40"/>
    <w:rPr>
      <w:sz w:val="24"/>
      <w:szCs w:val="24"/>
    </w:rPr>
  </w:style>
  <w:style w:type="paragraph" w:customStyle="1" w:styleId="PleadingCont6">
    <w:name w:val="Pleading Cont 6"/>
    <w:basedOn w:val="PleadingCont5"/>
    <w:link w:val="PleadingCont6Char"/>
    <w:uiPriority w:val="30"/>
    <w:unhideWhenUsed/>
    <w:rsid w:val="00A53B61"/>
    <w:pPr>
      <w:ind w:left="3600"/>
    </w:pPr>
  </w:style>
  <w:style w:type="character" w:customStyle="1" w:styleId="PleadingCont6Char">
    <w:name w:val="Pleading Cont 6 Char"/>
    <w:link w:val="PleadingCont6"/>
    <w:uiPriority w:val="30"/>
    <w:rsid w:val="008E4C40"/>
    <w:rPr>
      <w:sz w:val="24"/>
      <w:szCs w:val="24"/>
    </w:rPr>
  </w:style>
  <w:style w:type="paragraph" w:customStyle="1" w:styleId="PleadingCont7">
    <w:name w:val="Pleading Cont 7"/>
    <w:basedOn w:val="PleadingCont6"/>
    <w:link w:val="PleadingCont7Char"/>
    <w:uiPriority w:val="30"/>
    <w:unhideWhenUsed/>
    <w:rsid w:val="00A53B61"/>
    <w:pPr>
      <w:ind w:left="4320"/>
    </w:pPr>
  </w:style>
  <w:style w:type="character" w:customStyle="1" w:styleId="PleadingCont7Char">
    <w:name w:val="Pleading Cont 7 Char"/>
    <w:link w:val="PleadingCont7"/>
    <w:uiPriority w:val="30"/>
    <w:rsid w:val="008E4C40"/>
    <w:rPr>
      <w:sz w:val="24"/>
      <w:szCs w:val="24"/>
    </w:rPr>
  </w:style>
  <w:style w:type="paragraph" w:customStyle="1" w:styleId="PleadingCont8">
    <w:name w:val="Pleading Cont 8"/>
    <w:basedOn w:val="PleadingCont7"/>
    <w:link w:val="PleadingCont8Char"/>
    <w:uiPriority w:val="30"/>
    <w:unhideWhenUsed/>
    <w:rsid w:val="00A53B61"/>
    <w:pPr>
      <w:ind w:left="5040"/>
    </w:pPr>
  </w:style>
  <w:style w:type="character" w:customStyle="1" w:styleId="PleadingCont8Char">
    <w:name w:val="Pleading Cont 8 Char"/>
    <w:link w:val="PleadingCont8"/>
    <w:uiPriority w:val="30"/>
    <w:rsid w:val="008E4C40"/>
    <w:rPr>
      <w:sz w:val="24"/>
      <w:szCs w:val="24"/>
    </w:rPr>
  </w:style>
  <w:style w:type="paragraph" w:customStyle="1" w:styleId="PleadingCont9">
    <w:name w:val="Pleading Cont 9"/>
    <w:basedOn w:val="PleadingCont8"/>
    <w:link w:val="PleadingCont9Char"/>
    <w:uiPriority w:val="30"/>
    <w:unhideWhenUsed/>
    <w:rsid w:val="00A53B61"/>
    <w:pPr>
      <w:ind w:left="5760"/>
    </w:pPr>
  </w:style>
  <w:style w:type="character" w:customStyle="1" w:styleId="PleadingCont9Char">
    <w:name w:val="Pleading Cont 9 Char"/>
    <w:link w:val="PleadingCont9"/>
    <w:uiPriority w:val="30"/>
    <w:rsid w:val="008E4C40"/>
    <w:rPr>
      <w:sz w:val="24"/>
      <w:szCs w:val="24"/>
    </w:rPr>
  </w:style>
  <w:style w:type="paragraph" w:customStyle="1" w:styleId="RunInCont1">
    <w:name w:val="RunIn Cont 1"/>
    <w:basedOn w:val="Normal"/>
    <w:uiPriority w:val="31"/>
    <w:unhideWhenUsed/>
    <w:rsid w:val="00A53B61"/>
    <w:pPr>
      <w:spacing w:after="240"/>
    </w:pPr>
    <w:rPr>
      <w:szCs w:val="20"/>
    </w:rPr>
  </w:style>
  <w:style w:type="paragraph" w:customStyle="1" w:styleId="RunInCont2">
    <w:name w:val="RunIn Cont 2"/>
    <w:basedOn w:val="RunInCont1"/>
    <w:uiPriority w:val="31"/>
    <w:unhideWhenUsed/>
    <w:rsid w:val="00A53B61"/>
  </w:style>
  <w:style w:type="paragraph" w:customStyle="1" w:styleId="RunInCont3">
    <w:name w:val="RunIn Cont 3"/>
    <w:basedOn w:val="RunInCont2"/>
    <w:uiPriority w:val="31"/>
    <w:unhideWhenUsed/>
    <w:rsid w:val="00A53B61"/>
    <w:pPr>
      <w:ind w:firstLine="720"/>
    </w:pPr>
  </w:style>
  <w:style w:type="paragraph" w:customStyle="1" w:styleId="RunInCont4">
    <w:name w:val="RunIn Cont 4"/>
    <w:basedOn w:val="RunInCont3"/>
    <w:uiPriority w:val="31"/>
    <w:unhideWhenUsed/>
    <w:rsid w:val="00A53B61"/>
    <w:pPr>
      <w:ind w:firstLine="1440"/>
    </w:pPr>
  </w:style>
  <w:style w:type="paragraph" w:customStyle="1" w:styleId="RunInCont5">
    <w:name w:val="RunIn Cont 5"/>
    <w:basedOn w:val="RunInCont4"/>
    <w:uiPriority w:val="31"/>
    <w:unhideWhenUsed/>
    <w:rsid w:val="00A53B61"/>
    <w:pPr>
      <w:ind w:firstLine="2160"/>
    </w:pPr>
  </w:style>
  <w:style w:type="paragraph" w:customStyle="1" w:styleId="RunInCont6">
    <w:name w:val="RunIn Cont 6"/>
    <w:basedOn w:val="RunInCont5"/>
    <w:uiPriority w:val="31"/>
    <w:unhideWhenUsed/>
    <w:rsid w:val="00A53B61"/>
    <w:pPr>
      <w:ind w:firstLine="2880"/>
    </w:pPr>
  </w:style>
  <w:style w:type="paragraph" w:customStyle="1" w:styleId="RunInCont7">
    <w:name w:val="RunIn Cont 7"/>
    <w:basedOn w:val="RunInCont6"/>
    <w:uiPriority w:val="31"/>
    <w:unhideWhenUsed/>
    <w:rsid w:val="00A53B61"/>
    <w:pPr>
      <w:ind w:firstLine="3600"/>
    </w:pPr>
  </w:style>
  <w:style w:type="paragraph" w:customStyle="1" w:styleId="RunInCont8">
    <w:name w:val="RunIn Cont 8"/>
    <w:basedOn w:val="RunInCont7"/>
    <w:uiPriority w:val="31"/>
    <w:unhideWhenUsed/>
    <w:rsid w:val="00A53B61"/>
    <w:pPr>
      <w:ind w:firstLine="4320"/>
    </w:pPr>
  </w:style>
  <w:style w:type="paragraph" w:customStyle="1" w:styleId="RunInCont9">
    <w:name w:val="RunIn Cont 9"/>
    <w:basedOn w:val="RunInCont8"/>
    <w:uiPriority w:val="31"/>
    <w:unhideWhenUsed/>
    <w:rsid w:val="00A53B61"/>
    <w:pPr>
      <w:ind w:firstLine="5040"/>
    </w:pPr>
  </w:style>
  <w:style w:type="paragraph" w:customStyle="1" w:styleId="RunIn1">
    <w:name w:val="RunIn 1"/>
    <w:basedOn w:val="Normal"/>
    <w:next w:val="RunInCont1"/>
    <w:uiPriority w:val="31"/>
    <w:unhideWhenUsed/>
    <w:rsid w:val="00A53B61"/>
    <w:pPr>
      <w:keepNext/>
      <w:keepLines/>
      <w:widowControl w:val="0"/>
      <w:numPr>
        <w:numId w:val="31"/>
      </w:numPr>
      <w:spacing w:after="240"/>
      <w:jc w:val="center"/>
      <w:outlineLvl w:val="0"/>
    </w:pPr>
    <w:rPr>
      <w:szCs w:val="20"/>
    </w:rPr>
  </w:style>
  <w:style w:type="paragraph" w:customStyle="1" w:styleId="RunIn2">
    <w:name w:val="RunIn 2"/>
    <w:basedOn w:val="RunIn1"/>
    <w:next w:val="RunInCont2"/>
    <w:uiPriority w:val="31"/>
    <w:unhideWhenUsed/>
    <w:rsid w:val="00A53B61"/>
    <w:pPr>
      <w:keepNext w:val="0"/>
      <w:keepLines w:val="0"/>
      <w:numPr>
        <w:ilvl w:val="1"/>
      </w:numPr>
      <w:jc w:val="left"/>
      <w:outlineLvl w:val="1"/>
    </w:pPr>
  </w:style>
  <w:style w:type="paragraph" w:customStyle="1" w:styleId="RunIn3">
    <w:name w:val="RunIn 3"/>
    <w:basedOn w:val="RunIn2"/>
    <w:next w:val="RunInCont3"/>
    <w:uiPriority w:val="31"/>
    <w:unhideWhenUsed/>
    <w:rsid w:val="00A53B61"/>
    <w:pPr>
      <w:numPr>
        <w:ilvl w:val="2"/>
      </w:numPr>
      <w:outlineLvl w:val="2"/>
    </w:pPr>
  </w:style>
  <w:style w:type="paragraph" w:customStyle="1" w:styleId="RunIn4">
    <w:name w:val="RunIn 4"/>
    <w:basedOn w:val="RunIn3"/>
    <w:next w:val="RunInCont4"/>
    <w:uiPriority w:val="31"/>
    <w:unhideWhenUsed/>
    <w:rsid w:val="00A53B61"/>
    <w:pPr>
      <w:numPr>
        <w:ilvl w:val="3"/>
      </w:numPr>
      <w:outlineLvl w:val="3"/>
    </w:pPr>
  </w:style>
  <w:style w:type="paragraph" w:customStyle="1" w:styleId="RunIn5">
    <w:name w:val="RunIn 5"/>
    <w:basedOn w:val="RunIn4"/>
    <w:next w:val="RunInCont5"/>
    <w:uiPriority w:val="31"/>
    <w:unhideWhenUsed/>
    <w:rsid w:val="00A53B61"/>
    <w:pPr>
      <w:numPr>
        <w:ilvl w:val="4"/>
      </w:numPr>
      <w:outlineLvl w:val="4"/>
    </w:pPr>
  </w:style>
  <w:style w:type="paragraph" w:customStyle="1" w:styleId="RunIn6">
    <w:name w:val="RunIn 6"/>
    <w:basedOn w:val="RunIn5"/>
    <w:next w:val="RunInCont6"/>
    <w:uiPriority w:val="31"/>
    <w:unhideWhenUsed/>
    <w:rsid w:val="00A53B61"/>
    <w:pPr>
      <w:numPr>
        <w:ilvl w:val="5"/>
      </w:numPr>
      <w:outlineLvl w:val="5"/>
    </w:pPr>
  </w:style>
  <w:style w:type="paragraph" w:customStyle="1" w:styleId="RunIn7">
    <w:name w:val="RunIn 7"/>
    <w:basedOn w:val="RunIn6"/>
    <w:next w:val="RunInCont7"/>
    <w:uiPriority w:val="31"/>
    <w:unhideWhenUsed/>
    <w:rsid w:val="00A53B61"/>
    <w:pPr>
      <w:numPr>
        <w:ilvl w:val="6"/>
      </w:numPr>
      <w:outlineLvl w:val="6"/>
    </w:pPr>
  </w:style>
  <w:style w:type="paragraph" w:customStyle="1" w:styleId="RunIn8">
    <w:name w:val="RunIn 8"/>
    <w:basedOn w:val="RunIn7"/>
    <w:next w:val="RunInCont8"/>
    <w:uiPriority w:val="31"/>
    <w:unhideWhenUsed/>
    <w:rsid w:val="00A53B61"/>
    <w:pPr>
      <w:numPr>
        <w:ilvl w:val="7"/>
      </w:numPr>
      <w:outlineLvl w:val="7"/>
    </w:pPr>
  </w:style>
  <w:style w:type="paragraph" w:customStyle="1" w:styleId="RunIn9">
    <w:name w:val="RunIn 9"/>
    <w:basedOn w:val="RunIn8"/>
    <w:next w:val="RunInCont9"/>
    <w:uiPriority w:val="31"/>
    <w:unhideWhenUsed/>
    <w:rsid w:val="00A53B61"/>
    <w:pPr>
      <w:numPr>
        <w:ilvl w:val="8"/>
      </w:numPr>
      <w:outlineLvl w:val="8"/>
    </w:pPr>
  </w:style>
  <w:style w:type="paragraph" w:customStyle="1" w:styleId="TabbedCont1">
    <w:name w:val="Tabbed Cont 1"/>
    <w:basedOn w:val="Normal"/>
    <w:link w:val="TabbedCont1Char"/>
    <w:uiPriority w:val="32"/>
    <w:unhideWhenUsed/>
    <w:rsid w:val="00A53B61"/>
    <w:pPr>
      <w:spacing w:after="240"/>
      <w:ind w:firstLine="720"/>
    </w:pPr>
  </w:style>
  <w:style w:type="character" w:customStyle="1" w:styleId="TabbedCont1Char">
    <w:name w:val="Tabbed Cont 1 Char"/>
    <w:link w:val="TabbedCont1"/>
    <w:uiPriority w:val="32"/>
    <w:rsid w:val="008E4C40"/>
    <w:rPr>
      <w:sz w:val="24"/>
      <w:szCs w:val="24"/>
    </w:rPr>
  </w:style>
  <w:style w:type="paragraph" w:customStyle="1" w:styleId="TabbedCont2">
    <w:name w:val="Tabbed Cont 2"/>
    <w:basedOn w:val="TabbedCont1"/>
    <w:link w:val="TabbedCont2Char"/>
    <w:uiPriority w:val="32"/>
    <w:unhideWhenUsed/>
    <w:rsid w:val="00A53B61"/>
    <w:pPr>
      <w:ind w:firstLine="1440"/>
    </w:pPr>
  </w:style>
  <w:style w:type="character" w:customStyle="1" w:styleId="TabbedCont2Char">
    <w:name w:val="Tabbed Cont 2 Char"/>
    <w:link w:val="TabbedCont2"/>
    <w:uiPriority w:val="32"/>
    <w:rsid w:val="008E4C40"/>
    <w:rPr>
      <w:sz w:val="24"/>
      <w:szCs w:val="24"/>
    </w:rPr>
  </w:style>
  <w:style w:type="paragraph" w:customStyle="1" w:styleId="TabbedCont3">
    <w:name w:val="Tabbed Cont 3"/>
    <w:basedOn w:val="TabbedCont2"/>
    <w:link w:val="TabbedCont3Char"/>
    <w:uiPriority w:val="32"/>
    <w:unhideWhenUsed/>
    <w:rsid w:val="00A53B61"/>
    <w:pPr>
      <w:ind w:firstLine="2160"/>
    </w:pPr>
  </w:style>
  <w:style w:type="character" w:customStyle="1" w:styleId="TabbedCont3Char">
    <w:name w:val="Tabbed Cont 3 Char"/>
    <w:link w:val="TabbedCont3"/>
    <w:uiPriority w:val="32"/>
    <w:rsid w:val="008E4C40"/>
    <w:rPr>
      <w:sz w:val="24"/>
      <w:szCs w:val="24"/>
    </w:rPr>
  </w:style>
  <w:style w:type="paragraph" w:customStyle="1" w:styleId="TabbedCont4">
    <w:name w:val="Tabbed Cont 4"/>
    <w:basedOn w:val="TabbedCont3"/>
    <w:link w:val="TabbedCont4Char"/>
    <w:uiPriority w:val="32"/>
    <w:unhideWhenUsed/>
    <w:rsid w:val="00A53B61"/>
    <w:pPr>
      <w:ind w:firstLine="2880"/>
    </w:pPr>
  </w:style>
  <w:style w:type="character" w:customStyle="1" w:styleId="TabbedCont4Char">
    <w:name w:val="Tabbed Cont 4 Char"/>
    <w:link w:val="TabbedCont4"/>
    <w:uiPriority w:val="32"/>
    <w:rsid w:val="008E4C40"/>
    <w:rPr>
      <w:sz w:val="24"/>
      <w:szCs w:val="24"/>
    </w:rPr>
  </w:style>
  <w:style w:type="paragraph" w:customStyle="1" w:styleId="TabbedCont5">
    <w:name w:val="Tabbed Cont 5"/>
    <w:basedOn w:val="TabbedCont4"/>
    <w:link w:val="TabbedCont5Char"/>
    <w:uiPriority w:val="32"/>
    <w:unhideWhenUsed/>
    <w:rsid w:val="00A53B61"/>
    <w:pPr>
      <w:ind w:firstLine="3600"/>
    </w:pPr>
  </w:style>
  <w:style w:type="character" w:customStyle="1" w:styleId="TabbedCont5Char">
    <w:name w:val="Tabbed Cont 5 Char"/>
    <w:link w:val="TabbedCont5"/>
    <w:uiPriority w:val="32"/>
    <w:rsid w:val="008E4C40"/>
    <w:rPr>
      <w:sz w:val="24"/>
      <w:szCs w:val="24"/>
    </w:rPr>
  </w:style>
  <w:style w:type="paragraph" w:customStyle="1" w:styleId="TabbedCont6">
    <w:name w:val="Tabbed Cont 6"/>
    <w:basedOn w:val="TabbedCont5"/>
    <w:link w:val="TabbedCont6Char"/>
    <w:uiPriority w:val="32"/>
    <w:unhideWhenUsed/>
    <w:rsid w:val="00A53B61"/>
    <w:pPr>
      <w:ind w:firstLine="4320"/>
    </w:pPr>
  </w:style>
  <w:style w:type="character" w:customStyle="1" w:styleId="TabbedCont6Char">
    <w:name w:val="Tabbed Cont 6 Char"/>
    <w:link w:val="TabbedCont6"/>
    <w:uiPriority w:val="32"/>
    <w:rsid w:val="008E4C40"/>
    <w:rPr>
      <w:sz w:val="24"/>
      <w:szCs w:val="24"/>
    </w:rPr>
  </w:style>
  <w:style w:type="paragraph" w:customStyle="1" w:styleId="TabbedCont7">
    <w:name w:val="Tabbed Cont 7"/>
    <w:basedOn w:val="TabbedCont6"/>
    <w:link w:val="TabbedCont7Char"/>
    <w:uiPriority w:val="32"/>
    <w:unhideWhenUsed/>
    <w:rsid w:val="00A53B61"/>
    <w:pPr>
      <w:ind w:firstLine="5040"/>
    </w:pPr>
  </w:style>
  <w:style w:type="character" w:customStyle="1" w:styleId="TabbedCont7Char">
    <w:name w:val="Tabbed Cont 7 Char"/>
    <w:link w:val="TabbedCont7"/>
    <w:uiPriority w:val="32"/>
    <w:rsid w:val="008E4C40"/>
    <w:rPr>
      <w:sz w:val="24"/>
      <w:szCs w:val="24"/>
    </w:rPr>
  </w:style>
  <w:style w:type="paragraph" w:customStyle="1" w:styleId="TabbedCont8">
    <w:name w:val="Tabbed Cont 8"/>
    <w:basedOn w:val="TabbedCont7"/>
    <w:link w:val="TabbedCont8Char"/>
    <w:uiPriority w:val="32"/>
    <w:unhideWhenUsed/>
    <w:rsid w:val="00A53B61"/>
    <w:pPr>
      <w:ind w:firstLine="5760"/>
    </w:pPr>
  </w:style>
  <w:style w:type="character" w:customStyle="1" w:styleId="TabbedCont8Char">
    <w:name w:val="Tabbed Cont 8 Char"/>
    <w:link w:val="TabbedCont8"/>
    <w:uiPriority w:val="32"/>
    <w:rsid w:val="008E4C40"/>
    <w:rPr>
      <w:sz w:val="24"/>
      <w:szCs w:val="24"/>
    </w:rPr>
  </w:style>
  <w:style w:type="paragraph" w:customStyle="1" w:styleId="TabbedCont9">
    <w:name w:val="Tabbed Cont 9"/>
    <w:basedOn w:val="TabbedCont8"/>
    <w:link w:val="TabbedCont9Char"/>
    <w:uiPriority w:val="32"/>
    <w:unhideWhenUsed/>
    <w:rsid w:val="00A53B61"/>
    <w:pPr>
      <w:ind w:firstLine="6480"/>
    </w:pPr>
  </w:style>
  <w:style w:type="character" w:customStyle="1" w:styleId="TabbedCont9Char">
    <w:name w:val="Tabbed Cont 9 Char"/>
    <w:link w:val="TabbedCont9"/>
    <w:uiPriority w:val="32"/>
    <w:rsid w:val="008E4C40"/>
    <w:rPr>
      <w:sz w:val="24"/>
      <w:szCs w:val="24"/>
    </w:rPr>
  </w:style>
  <w:style w:type="paragraph" w:customStyle="1" w:styleId="Heading3C0">
    <w:name w:val="Heading 3 C"/>
    <w:aliases w:val="h3"/>
    <w:basedOn w:val="Normal"/>
    <w:next w:val="Normal"/>
    <w:rsid w:val="00B152D5"/>
    <w:pPr>
      <w:keepNext/>
      <w:keepLines/>
      <w:spacing w:after="360"/>
      <w:jc w:val="center"/>
      <w:outlineLvl w:val="0"/>
    </w:pPr>
    <w:rPr>
      <w:rFonts w:eastAsia="Times New Roman"/>
      <w:b/>
      <w:caps/>
      <w:szCs w:val="20"/>
    </w:rPr>
  </w:style>
  <w:style w:type="character" w:styleId="Hyperlink">
    <w:name w:val="Hyperlink"/>
    <w:rsid w:val="00B152D5"/>
    <w:rPr>
      <w:color w:val="0000FF"/>
      <w:u w:val="single"/>
    </w:rPr>
  </w:style>
  <w:style w:type="paragraph" w:styleId="BalloonText">
    <w:name w:val="Balloon Text"/>
    <w:basedOn w:val="Normal"/>
    <w:link w:val="BalloonTextChar"/>
    <w:uiPriority w:val="99"/>
    <w:semiHidden/>
    <w:unhideWhenUsed/>
    <w:rsid w:val="003C1667"/>
    <w:rPr>
      <w:rFonts w:ascii="Tahoma" w:hAnsi="Tahoma" w:cs="Tahoma"/>
      <w:sz w:val="16"/>
      <w:szCs w:val="16"/>
    </w:rPr>
  </w:style>
  <w:style w:type="character" w:customStyle="1" w:styleId="BalloonTextChar">
    <w:name w:val="Balloon Text Char"/>
    <w:basedOn w:val="DefaultParagraphFont"/>
    <w:link w:val="BalloonText"/>
    <w:uiPriority w:val="99"/>
    <w:semiHidden/>
    <w:rsid w:val="003C1667"/>
    <w:rPr>
      <w:rFonts w:ascii="Tahoma" w:hAnsi="Tahoma" w:cs="Tahoma"/>
      <w:sz w:val="16"/>
      <w:szCs w:val="16"/>
    </w:rPr>
  </w:style>
  <w:style w:type="paragraph" w:styleId="ListParagraph">
    <w:name w:val="List Paragraph"/>
    <w:basedOn w:val="Normal"/>
    <w:uiPriority w:val="34"/>
    <w:rsid w:val="00180F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runge@daypitne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erc.gov/whats-new/comm-meet/2019/112119/E-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AC9D6-6EBE-4B3F-8CD1-3E91761B3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2976</Words>
  <Characters>16965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reappliedProperties;</cp:keywords>
  <dc:description/>
  <cp:lastModifiedBy/>
  <cp:revision>1</cp:revision>
  <dcterms:created xsi:type="dcterms:W3CDTF">2019-12-04T17:29:00Z</dcterms:created>
  <dcterms:modified xsi:type="dcterms:W3CDTF">2019-12-04T17:29:00Z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104156062.2</vt:lpwstr>
  </property>
</Properties>
</file>