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1D" w14:textId="06B6BEEE" w:rsidR="004B2A34" w:rsidRDefault="0019325F">
      <w:pPr>
        <w:shd w:val="clear" w:color="auto" w:fill="FFFFFF"/>
        <w:rPr>
          <w:b/>
          <w:i/>
          <w:color w:val="222222"/>
        </w:rPr>
      </w:pPr>
      <w:bookmarkStart w:id="0" w:name="_GoBack"/>
      <w:bookmarkEnd w:id="0"/>
      <w:r>
        <w:rPr>
          <w:b/>
          <w:color w:val="222222"/>
        </w:rPr>
        <w:t xml:space="preserve">Advanced Energy Economy’s </w:t>
      </w:r>
      <w:r w:rsidR="00631C19">
        <w:rPr>
          <w:b/>
          <w:color w:val="222222"/>
        </w:rPr>
        <w:t xml:space="preserve">Initial </w:t>
      </w:r>
      <w:r>
        <w:rPr>
          <w:b/>
          <w:color w:val="222222"/>
        </w:rPr>
        <w:t xml:space="preserve">Recommendations for ISO-NE / NEPOOL / NESCOE </w:t>
      </w:r>
      <w:r>
        <w:rPr>
          <w:b/>
          <w:i/>
          <w:color w:val="222222"/>
        </w:rPr>
        <w:t>Future Grid Study</w:t>
      </w:r>
    </w:p>
    <w:p w14:paraId="0000001E" w14:textId="77777777" w:rsidR="004B2A34" w:rsidRDefault="004B2A34">
      <w:pPr>
        <w:shd w:val="clear" w:color="auto" w:fill="FFFFFF"/>
        <w:rPr>
          <w:b/>
          <w:i/>
          <w:color w:val="222222"/>
        </w:rPr>
      </w:pPr>
    </w:p>
    <w:p w14:paraId="0000001F" w14:textId="091D5916" w:rsidR="004B2A34" w:rsidRDefault="0019325F">
      <w:pPr>
        <w:shd w:val="clear" w:color="auto" w:fill="FFFFFF"/>
        <w:rPr>
          <w:color w:val="222222"/>
        </w:rPr>
      </w:pPr>
      <w:r>
        <w:rPr>
          <w:color w:val="222222"/>
        </w:rPr>
        <w:t xml:space="preserve">AEE continues to strongly support efforts to prepare </w:t>
      </w:r>
      <w:r w:rsidR="00E61CCB">
        <w:rPr>
          <w:color w:val="222222"/>
        </w:rPr>
        <w:t>New England</w:t>
      </w:r>
      <w:r>
        <w:rPr>
          <w:color w:val="222222"/>
        </w:rPr>
        <w:t xml:space="preserve"> to meet the ambitious policy goals of the six states cost-effectively and reliably. We believe that a rigorous analysis can serve as a useful tool as the region seeks to ask and answer fundamental questions about the grid of the future, but we also recognize that without careful attention to scope and process such an effort could fail to provide actionable insights and could even delay the start of urgent discussions of the potential market reforms needed to get us to the grid of the future. </w:t>
      </w:r>
    </w:p>
    <w:p w14:paraId="00000020" w14:textId="77777777" w:rsidR="004B2A34" w:rsidRDefault="004B2A34">
      <w:pPr>
        <w:shd w:val="clear" w:color="auto" w:fill="FFFFFF"/>
        <w:rPr>
          <w:color w:val="222222"/>
        </w:rPr>
      </w:pPr>
    </w:p>
    <w:p w14:paraId="00000021" w14:textId="2D2470DB" w:rsidR="004B2A34" w:rsidRDefault="0019325F">
      <w:pPr>
        <w:shd w:val="clear" w:color="auto" w:fill="FFFFFF"/>
        <w:rPr>
          <w:color w:val="222222"/>
        </w:rPr>
      </w:pPr>
      <w:r>
        <w:rPr>
          <w:color w:val="222222"/>
        </w:rPr>
        <w:t xml:space="preserve">We are optimistic that stakeholders are aligned in wanting to make the most of the </w:t>
      </w:r>
      <w:r w:rsidR="00E61CCB" w:rsidRPr="00E61CCB">
        <w:rPr>
          <w:i/>
          <w:iCs/>
          <w:color w:val="222222"/>
        </w:rPr>
        <w:t>Future Grid Study</w:t>
      </w:r>
      <w:r>
        <w:rPr>
          <w:color w:val="222222"/>
        </w:rPr>
        <w:t xml:space="preserve"> process itself as well as any parallel discussions about market reforms, </w:t>
      </w:r>
      <w:r w:rsidR="00E61CCB">
        <w:rPr>
          <w:color w:val="222222"/>
        </w:rPr>
        <w:t>and</w:t>
      </w:r>
      <w:r>
        <w:rPr>
          <w:color w:val="222222"/>
        </w:rPr>
        <w:t xml:space="preserve"> appreciate the thought and effort that NESCOE has put in</w:t>
      </w:r>
      <w:r w:rsidR="00E61CCB">
        <w:rPr>
          <w:color w:val="222222"/>
        </w:rPr>
        <w:t>to the effort to</w:t>
      </w:r>
      <w:r>
        <w:rPr>
          <w:color w:val="222222"/>
        </w:rPr>
        <w:t xml:space="preserve"> date. To that end, </w:t>
      </w:r>
      <w:r w:rsidR="00E61CCB">
        <w:rPr>
          <w:color w:val="222222"/>
        </w:rPr>
        <w:t>AEE has</w:t>
      </w:r>
      <w:r>
        <w:rPr>
          <w:color w:val="222222"/>
        </w:rPr>
        <w:t xml:space="preserve"> compiled some initial feedback as NESCOE, NEPOOL, and ISO-NE launch the Future Grid Study. We look forward to participating in the kick-off meeting and subsequent discussions.</w:t>
      </w:r>
    </w:p>
    <w:p w14:paraId="00000022" w14:textId="77777777" w:rsidR="004B2A34" w:rsidRDefault="004B2A34">
      <w:pPr>
        <w:shd w:val="clear" w:color="auto" w:fill="FFFFFF"/>
        <w:rPr>
          <w:i/>
          <w:color w:val="222222"/>
        </w:rPr>
      </w:pPr>
    </w:p>
    <w:p w14:paraId="00000023" w14:textId="77777777" w:rsidR="004B2A34" w:rsidRDefault="0019325F">
      <w:pPr>
        <w:numPr>
          <w:ilvl w:val="0"/>
          <w:numId w:val="3"/>
        </w:numPr>
        <w:shd w:val="clear" w:color="auto" w:fill="FFFFFF"/>
        <w:rPr>
          <w:color w:val="222222"/>
        </w:rPr>
      </w:pPr>
      <w:r>
        <w:rPr>
          <w:b/>
          <w:color w:val="222222"/>
        </w:rPr>
        <w:t>Timeline</w:t>
      </w:r>
      <w:r>
        <w:rPr>
          <w:color w:val="222222"/>
        </w:rPr>
        <w:t xml:space="preserve"> - </w:t>
      </w:r>
    </w:p>
    <w:p w14:paraId="00000024" w14:textId="77777777" w:rsidR="004B2A34" w:rsidRDefault="0019325F">
      <w:pPr>
        <w:numPr>
          <w:ilvl w:val="1"/>
          <w:numId w:val="3"/>
        </w:numPr>
        <w:shd w:val="clear" w:color="auto" w:fill="FFFFFF"/>
        <w:rPr>
          <w:color w:val="222222"/>
        </w:rPr>
      </w:pPr>
      <w:r>
        <w:rPr>
          <w:color w:val="222222"/>
        </w:rPr>
        <w:t xml:space="preserve">AEE agrees with those stakeholders at the April 7 meeting who encouraged finding any opportunities to shorten the proposed 15-month study period (recognizing that the 15-month study timeline was illustrative). Given the inherent lags in identifying, designing, and implementing any needed market reforms, it is vitally important that the study proceed without further delays. </w:t>
      </w:r>
    </w:p>
    <w:p w14:paraId="00000025" w14:textId="6CA9BB10" w:rsidR="004B2A34" w:rsidRDefault="0019325F">
      <w:pPr>
        <w:numPr>
          <w:ilvl w:val="1"/>
          <w:numId w:val="3"/>
        </w:numPr>
        <w:shd w:val="clear" w:color="auto" w:fill="FFFFFF"/>
        <w:rPr>
          <w:color w:val="222222"/>
        </w:rPr>
      </w:pPr>
      <w:r>
        <w:rPr>
          <w:color w:val="222222"/>
        </w:rPr>
        <w:t xml:space="preserve">Given that detailed analysis is inherently a lengthy process, AEE strongly supports NESCOE’s proposal to include interim milestones, and encourages those milestones to be used as opportunities to inform ongoing exploration of potential market reforms and/or to incorporate market reform discussions into the study process. The need for market reforms </w:t>
      </w:r>
      <w:r w:rsidR="00E61CCB">
        <w:rPr>
          <w:color w:val="222222"/>
        </w:rPr>
        <w:t>is</w:t>
      </w:r>
      <w:r>
        <w:rPr>
          <w:color w:val="222222"/>
        </w:rPr>
        <w:t xml:space="preserve"> a key reason why NESCOE requested (and AEE supported) this study process, and discussion of those reforms should not be delayed. </w:t>
      </w:r>
    </w:p>
    <w:p w14:paraId="00000026" w14:textId="77777777" w:rsidR="004B2A34" w:rsidRDefault="0019325F">
      <w:pPr>
        <w:numPr>
          <w:ilvl w:val="0"/>
          <w:numId w:val="3"/>
        </w:numPr>
        <w:shd w:val="clear" w:color="auto" w:fill="FFFFFF"/>
        <w:rPr>
          <w:color w:val="222222"/>
        </w:rPr>
      </w:pPr>
      <w:r>
        <w:rPr>
          <w:b/>
          <w:color w:val="222222"/>
        </w:rPr>
        <w:t>Process recommendations</w:t>
      </w:r>
      <w:r>
        <w:rPr>
          <w:color w:val="222222"/>
        </w:rPr>
        <w:t xml:space="preserve"> - </w:t>
      </w:r>
    </w:p>
    <w:p w14:paraId="00000027" w14:textId="77777777" w:rsidR="004B2A34" w:rsidRDefault="0019325F">
      <w:pPr>
        <w:numPr>
          <w:ilvl w:val="1"/>
          <w:numId w:val="3"/>
        </w:numPr>
        <w:shd w:val="clear" w:color="auto" w:fill="FFFFFF"/>
        <w:rPr>
          <w:color w:val="222222"/>
        </w:rPr>
      </w:pPr>
      <w:r>
        <w:rPr>
          <w:color w:val="222222"/>
        </w:rPr>
        <w:t xml:space="preserve">AEE supports NESCOE’s suggestion that ISO-NE retain an outside consultant to conduct the work. Tasking a neutral party with the analysis will increase trust in the process, and relieving ISO-NE of the primary workload will avoid bandwidth constraints or conflicts with other priorities that might slow the study process. </w:t>
      </w:r>
    </w:p>
    <w:p w14:paraId="00000028" w14:textId="3DD09EE9" w:rsidR="004B2A34" w:rsidRDefault="0019325F">
      <w:pPr>
        <w:numPr>
          <w:ilvl w:val="1"/>
          <w:numId w:val="3"/>
        </w:numPr>
        <w:shd w:val="clear" w:color="auto" w:fill="FFFFFF"/>
        <w:rPr>
          <w:color w:val="222222"/>
        </w:rPr>
      </w:pPr>
      <w:r>
        <w:rPr>
          <w:color w:val="222222"/>
        </w:rPr>
        <w:t xml:space="preserve">While AEE encourages a transparent, stakeholder-driven process that works toward consensus wherever possible, we also support a process that gives New England states significant input whenever consensus is not reached. Given the origin and objective of the Future Grid Study, it is appropriate that states should have a </w:t>
      </w:r>
      <w:r>
        <w:rPr>
          <w:i/>
          <w:color w:val="222222"/>
        </w:rPr>
        <w:t>greater</w:t>
      </w:r>
      <w:r>
        <w:rPr>
          <w:color w:val="222222"/>
        </w:rPr>
        <w:t xml:space="preserve"> say in its scope and inputs than they are currently afforded in the normal NEPOOL process. We therefore support NESCOE’s proposed voting structure and the option for NESCOE to unilaterally request an additional study scenario, and would support other reasonable efforts to ensure that states’ requests and suggestions are adequately incorporated throughout the study process.</w:t>
      </w:r>
      <w:r w:rsidR="00E61CCB">
        <w:rPr>
          <w:color w:val="222222"/>
        </w:rPr>
        <w:t xml:space="preserve"> The time, resources, and thought that will go into the Future Grid Study </w:t>
      </w:r>
      <w:r w:rsidR="00E61CCB">
        <w:rPr>
          <w:color w:val="222222"/>
        </w:rPr>
        <w:lastRenderedPageBreak/>
        <w:t xml:space="preserve">will be worthwhile only if the New England states find the process and outcomes relevant and useful. </w:t>
      </w:r>
    </w:p>
    <w:p w14:paraId="00000029" w14:textId="77777777" w:rsidR="004B2A34" w:rsidRDefault="0019325F">
      <w:pPr>
        <w:numPr>
          <w:ilvl w:val="0"/>
          <w:numId w:val="3"/>
        </w:numPr>
        <w:shd w:val="clear" w:color="auto" w:fill="FFFFFF"/>
        <w:rPr>
          <w:color w:val="222222"/>
        </w:rPr>
      </w:pPr>
      <w:r>
        <w:rPr>
          <w:b/>
          <w:color w:val="222222"/>
        </w:rPr>
        <w:t xml:space="preserve">Scope </w:t>
      </w:r>
      <w:r>
        <w:rPr>
          <w:color w:val="222222"/>
        </w:rPr>
        <w:t xml:space="preserve">- </w:t>
      </w:r>
    </w:p>
    <w:p w14:paraId="0000002A" w14:textId="0AA937F7" w:rsidR="004B2A34" w:rsidRDefault="0019325F">
      <w:pPr>
        <w:numPr>
          <w:ilvl w:val="1"/>
          <w:numId w:val="3"/>
        </w:numPr>
        <w:shd w:val="clear" w:color="auto" w:fill="FFFFFF"/>
        <w:rPr>
          <w:color w:val="222222"/>
        </w:rPr>
      </w:pPr>
      <w:r>
        <w:rPr>
          <w:color w:val="222222"/>
        </w:rPr>
        <w:t xml:space="preserve">The description of the Future Grid Study discussed at the March NEPOOL Participants Committee meeting indicated that the focus would be on how markets will operate when the resource mix reflects the successful achievement of state goals. AEE also urges consideration of what role the markets can or should play in delivering the transition to that future resource mix. For example, NYISO’s </w:t>
      </w:r>
      <w:r>
        <w:rPr>
          <w:i/>
          <w:color w:val="222222"/>
        </w:rPr>
        <w:t>Grid In Transition</w:t>
      </w:r>
      <w:r>
        <w:rPr>
          <w:color w:val="222222"/>
        </w:rPr>
        <w:t xml:space="preserve"> paper (described in more detail below) identified as its central question: “how the wholesale markets in New York can continue to provide the pricing </w:t>
      </w:r>
      <w:r>
        <w:rPr>
          <w:i/>
          <w:color w:val="222222"/>
        </w:rPr>
        <w:t xml:space="preserve">and investment </w:t>
      </w:r>
      <w:r>
        <w:rPr>
          <w:color w:val="222222"/>
        </w:rPr>
        <w:t xml:space="preserve">signals necessary to reflect system needs </w:t>
      </w:r>
      <w:r>
        <w:rPr>
          <w:i/>
          <w:color w:val="222222"/>
        </w:rPr>
        <w:t xml:space="preserve">and to incent resources </w:t>
      </w:r>
      <w:r>
        <w:rPr>
          <w:color w:val="222222"/>
        </w:rPr>
        <w:t xml:space="preserve">capable of resolving those needs” (emphasis added). The Future Grid Study should </w:t>
      </w:r>
      <w:r w:rsidR="00E61CCB">
        <w:rPr>
          <w:color w:val="222222"/>
        </w:rPr>
        <w:t xml:space="preserve">similarly </w:t>
      </w:r>
      <w:r>
        <w:rPr>
          <w:color w:val="222222"/>
        </w:rPr>
        <w:t>address the transition to the future grid, not just the end state.</w:t>
      </w:r>
    </w:p>
    <w:p w14:paraId="0000002B" w14:textId="77777777" w:rsidR="004B2A34" w:rsidRDefault="0019325F">
      <w:pPr>
        <w:numPr>
          <w:ilvl w:val="1"/>
          <w:numId w:val="3"/>
        </w:numPr>
        <w:shd w:val="clear" w:color="auto" w:fill="FFFFFF"/>
        <w:rPr>
          <w:color w:val="222222"/>
        </w:rPr>
      </w:pPr>
      <w:r>
        <w:rPr>
          <w:color w:val="222222"/>
        </w:rPr>
        <w:t>At the April 7 meeting, several stakeholders encouraged consideration of a robust and diverse set of scenarios that acknowledge the potential for increased ambition in state policy, advances in technology, the rise of electrification, and other key unknowns. We agree that consideration of a variety of potential future scenarios is useful, but would encourage a focus on identifying the common types of resource and system attributes that will be needed in those future scenarios rather than designing the study around specific future resource mixes.</w:t>
      </w:r>
    </w:p>
    <w:p w14:paraId="0000002C" w14:textId="77777777" w:rsidR="004B2A34" w:rsidRDefault="0019325F">
      <w:pPr>
        <w:numPr>
          <w:ilvl w:val="0"/>
          <w:numId w:val="3"/>
        </w:numPr>
        <w:shd w:val="clear" w:color="auto" w:fill="FFFFFF"/>
        <w:rPr>
          <w:color w:val="222222"/>
        </w:rPr>
      </w:pPr>
      <w:r>
        <w:rPr>
          <w:b/>
          <w:color w:val="222222"/>
        </w:rPr>
        <w:t xml:space="preserve">Consideration of reforms </w:t>
      </w:r>
      <w:r>
        <w:rPr>
          <w:color w:val="222222"/>
        </w:rPr>
        <w:t xml:space="preserve">- </w:t>
      </w:r>
    </w:p>
    <w:p w14:paraId="0000002D" w14:textId="77777777" w:rsidR="004B2A34" w:rsidRDefault="0019325F">
      <w:pPr>
        <w:numPr>
          <w:ilvl w:val="1"/>
          <w:numId w:val="3"/>
        </w:numPr>
        <w:shd w:val="clear" w:color="auto" w:fill="FFFFFF"/>
        <w:rPr>
          <w:color w:val="222222"/>
        </w:rPr>
      </w:pPr>
      <w:r>
        <w:rPr>
          <w:color w:val="222222"/>
        </w:rPr>
        <w:t>AEE strongly encourages either integrated or parallel discussion by states, ISO-NE, and NEPOOL to identify and discuss potential market reforms. NESCOE’s draft process timeline suggests that states would “consider alternative mechanisms to achieve the requirements of state law” on an ongoing basis, outside the study process. AEE is concerned that the Future Grid Study may fail to produce actionable results on a useful timeframe if it does not include some analysis or consideration of potential market reforms as part of the core study process; or, in the alternative, allow for a feedback loop through which these parallel efforts could be folded in.</w:t>
      </w:r>
    </w:p>
    <w:p w14:paraId="0000002E" w14:textId="77777777" w:rsidR="004B2A34" w:rsidRDefault="0019325F">
      <w:pPr>
        <w:numPr>
          <w:ilvl w:val="1"/>
          <w:numId w:val="3"/>
        </w:numPr>
        <w:shd w:val="clear" w:color="auto" w:fill="FFFFFF"/>
        <w:rPr>
          <w:color w:val="222222"/>
        </w:rPr>
      </w:pPr>
      <w:r>
        <w:rPr>
          <w:color w:val="222222"/>
        </w:rPr>
        <w:t xml:space="preserve">NYISO’s </w:t>
      </w:r>
      <w:r>
        <w:rPr>
          <w:i/>
          <w:color w:val="222222"/>
        </w:rPr>
        <w:t xml:space="preserve">Grid In Transition </w:t>
      </w:r>
      <w:r>
        <w:rPr>
          <w:color w:val="222222"/>
        </w:rPr>
        <w:t xml:space="preserve">effort is a model that ISO-NE and NEPOOL should consider borrowing from. A report released by NYISO last December (available </w:t>
      </w:r>
      <w:hyperlink r:id="rId7">
        <w:r>
          <w:rPr>
            <w:color w:val="1155CC"/>
            <w:u w:val="single"/>
          </w:rPr>
          <w:t>here</w:t>
        </w:r>
      </w:hyperlink>
      <w:r>
        <w:rPr>
          <w:color w:val="222222"/>
        </w:rPr>
        <w:t xml:space="preserve">) identified a series of near- and medium-term opportunities for market improvements to better enable the realization of the state’s goals, and work is starting through stakeholder working groups on topics that range from carbon pricing to enhancing energy and shortage pricing to enhancements to resource adequacy models (see p. 7 of NYISO’s Jan. 8, 2020 </w:t>
      </w:r>
      <w:hyperlink r:id="rId8">
        <w:r>
          <w:rPr>
            <w:color w:val="1155CC"/>
            <w:u w:val="single"/>
          </w:rPr>
          <w:t>presentation</w:t>
        </w:r>
      </w:hyperlink>
      <w:r>
        <w:rPr>
          <w:color w:val="222222"/>
        </w:rPr>
        <w:t>). Importantly, discussion of these potential market reforms is not being held up while The Brattle Group completes a longer-term quantitative analysis as part of a related but separate process that kicked off earlier this year.</w:t>
      </w:r>
    </w:p>
    <w:sectPr w:rsidR="004B2A3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8D962" w14:textId="77777777" w:rsidR="002A55FA" w:rsidRDefault="002A55FA" w:rsidP="00863D88">
      <w:pPr>
        <w:spacing w:line="240" w:lineRule="auto"/>
      </w:pPr>
      <w:r>
        <w:separator/>
      </w:r>
    </w:p>
  </w:endnote>
  <w:endnote w:type="continuationSeparator" w:id="0">
    <w:p w14:paraId="3268BA50" w14:textId="77777777" w:rsidR="002A55FA" w:rsidRDefault="002A55FA" w:rsidP="00863D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9D5A6" w14:textId="77777777" w:rsidR="009B1B4B" w:rsidRDefault="009B1B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F377F" w14:textId="77777777" w:rsidR="009B1B4B" w:rsidRDefault="009B1B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1427E" w14:textId="77777777" w:rsidR="009B1B4B" w:rsidRDefault="009B1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8D7E3" w14:textId="77777777" w:rsidR="002A55FA" w:rsidRDefault="002A55FA" w:rsidP="00863D88">
      <w:pPr>
        <w:spacing w:line="240" w:lineRule="auto"/>
      </w:pPr>
      <w:r>
        <w:separator/>
      </w:r>
    </w:p>
  </w:footnote>
  <w:footnote w:type="continuationSeparator" w:id="0">
    <w:p w14:paraId="4170BEEA" w14:textId="77777777" w:rsidR="002A55FA" w:rsidRDefault="002A55FA" w:rsidP="00863D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84AEF" w14:textId="77777777" w:rsidR="009B1B4B" w:rsidRDefault="009B1B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FF387" w14:textId="77777777" w:rsidR="009B1B4B" w:rsidRDefault="009B1B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4197B" w14:textId="77777777" w:rsidR="009B1B4B" w:rsidRDefault="009B1B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045C"/>
    <w:multiLevelType w:val="multilevel"/>
    <w:tmpl w:val="CDACD2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DBD0B62"/>
    <w:multiLevelType w:val="multilevel"/>
    <w:tmpl w:val="E5E2A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90260EA"/>
    <w:multiLevelType w:val="multilevel"/>
    <w:tmpl w:val="71AA0C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A34"/>
    <w:rsid w:val="0019325F"/>
    <w:rsid w:val="002A55FA"/>
    <w:rsid w:val="004B2A34"/>
    <w:rsid w:val="00631C19"/>
    <w:rsid w:val="006D3300"/>
    <w:rsid w:val="00863D88"/>
    <w:rsid w:val="009B1B4B"/>
    <w:rsid w:val="00E61CCB"/>
    <w:rsid w:val="00EE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9E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31C1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1C19"/>
    <w:rPr>
      <w:rFonts w:ascii="Times New Roman" w:hAnsi="Times New Roman" w:cs="Times New Roman"/>
      <w:sz w:val="18"/>
      <w:szCs w:val="18"/>
    </w:rPr>
  </w:style>
  <w:style w:type="paragraph" w:styleId="Header">
    <w:name w:val="header"/>
    <w:basedOn w:val="Normal"/>
    <w:link w:val="HeaderChar"/>
    <w:uiPriority w:val="99"/>
    <w:unhideWhenUsed/>
    <w:rsid w:val="00863D88"/>
    <w:pPr>
      <w:tabs>
        <w:tab w:val="center" w:pos="4680"/>
        <w:tab w:val="right" w:pos="9360"/>
      </w:tabs>
      <w:spacing w:line="240" w:lineRule="auto"/>
    </w:pPr>
  </w:style>
  <w:style w:type="character" w:customStyle="1" w:styleId="HeaderChar">
    <w:name w:val="Header Char"/>
    <w:basedOn w:val="DefaultParagraphFont"/>
    <w:link w:val="Header"/>
    <w:uiPriority w:val="99"/>
    <w:rsid w:val="00863D88"/>
  </w:style>
  <w:style w:type="paragraph" w:styleId="Footer">
    <w:name w:val="footer"/>
    <w:basedOn w:val="Normal"/>
    <w:link w:val="FooterChar"/>
    <w:uiPriority w:val="99"/>
    <w:unhideWhenUsed/>
    <w:rsid w:val="00863D88"/>
    <w:pPr>
      <w:tabs>
        <w:tab w:val="center" w:pos="4680"/>
        <w:tab w:val="right" w:pos="9360"/>
      </w:tabs>
      <w:spacing w:line="240" w:lineRule="auto"/>
    </w:pPr>
  </w:style>
  <w:style w:type="character" w:customStyle="1" w:styleId="FooterChar">
    <w:name w:val="Footer Char"/>
    <w:basedOn w:val="DefaultParagraphFont"/>
    <w:link w:val="Footer"/>
    <w:uiPriority w:val="99"/>
    <w:rsid w:val="00863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nyiso.com/documents/20142/10169030/20200108%20Grid%20in%20Transition%20Discussion%20MIWG.pdf/10784af0-9e48-b2c3-e494-773311ff7ed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nyiso.com/documents/20142/2224547/Reliability-and-Market-Considerations-for-a-Grid-in-Transition-20191220%20Final.pdf/61a69b2e-0ca3-f18c-cc39-88a793469d5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993</Words>
  <Characters>5368</Characters>
  <Application>Microsoft Office Word</Application>
  <DocSecurity>0</DocSecurity>
  <Lines>122</Lines>
  <Paragraphs>76</Paragraphs>
  <ScaleCrop>false</ScaleCrop>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2020-05-21T19:03:00Z</dcterms:created>
  <dcterms:modified xsi:type="dcterms:W3CDTF">2020-05-21T19:03:00Z</dcterms:modified>
</cp:coreProperties>
</file>