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4CD5" w:rsidRDefault="00691BE6" w:rsidP="00C86E4B">
      <w:r>
        <w:rPr>
          <w:noProof/>
        </w:rPr>
        <mc:AlternateContent>
          <mc:Choice Requires="wpg">
            <w:drawing>
              <wp:anchor distT="0" distB="0" distL="114300" distR="114300" simplePos="0" relativeHeight="251666432" behindDoc="0" locked="0" layoutInCell="1" allowOverlap="1" wp14:anchorId="70A30754" wp14:editId="4A6120FC">
                <wp:simplePos x="0" y="0"/>
                <wp:positionH relativeFrom="column">
                  <wp:posOffset>-954157</wp:posOffset>
                </wp:positionH>
                <wp:positionV relativeFrom="paragraph">
                  <wp:posOffset>-894522</wp:posOffset>
                </wp:positionV>
                <wp:extent cx="7772400" cy="10058400"/>
                <wp:effectExtent l="0" t="0" r="0" b="0"/>
                <wp:wrapNone/>
                <wp:docPr id="24" name="Group 24"/>
                <wp:cNvGraphicFramePr/>
                <a:graphic xmlns:a="http://schemas.openxmlformats.org/drawingml/2006/main">
                  <a:graphicData uri="http://schemas.microsoft.com/office/word/2010/wordprocessingGroup">
                    <wpg:wgp>
                      <wpg:cNvGrpSpPr/>
                      <wpg:grpSpPr>
                        <a:xfrm>
                          <a:off x="0" y="0"/>
                          <a:ext cx="7772400" cy="10058400"/>
                          <a:chOff x="-213360" y="-483235"/>
                          <a:chExt cx="7772400" cy="10058400"/>
                        </a:xfrm>
                      </wpg:grpSpPr>
                      <pic:pic xmlns:pic="http://schemas.openxmlformats.org/drawingml/2006/picture">
                        <pic:nvPicPr>
                          <pic:cNvPr id="25"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213360" y="-483235"/>
                            <a:ext cx="7772400" cy="10058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arto="http://schemas.microsoft.com/office/word/2006/arto"/>
                            </a:ext>
                          </a:extLst>
                        </pic:spPr>
                      </pic:pic>
                      <pic:pic xmlns:pic="http://schemas.openxmlformats.org/drawingml/2006/picture">
                        <pic:nvPicPr>
                          <pic:cNvPr id="26" name="Picture 26"/>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5300392" y="270344"/>
                            <a:ext cx="1600200" cy="1600200"/>
                          </a:xfrm>
                          <a:prstGeom prst="rect">
                            <a:avLst/>
                          </a:prstGeom>
                        </pic:spPr>
                      </pic:pic>
                      <wps:wsp>
                        <wps:cNvPr id="28" name="Text Box 3"/>
                        <wps:cNvSpPr txBox="1">
                          <a:spLocks noChangeArrowheads="1"/>
                        </wps:cNvSpPr>
                        <wps:spPr bwMode="auto">
                          <a:xfrm>
                            <a:off x="876300" y="2320290"/>
                            <a:ext cx="6280785" cy="196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216" w:rsidRDefault="00FB1216" w:rsidP="002166B7">
                              <w:pPr>
                                <w:pStyle w:val="body"/>
                                <w:spacing w:before="0" w:after="120" w:line="192" w:lineRule="auto"/>
                                <w:rPr>
                                  <w:rFonts w:ascii="Calibri" w:hAnsi="Calibri" w:cs="OpenSans-Bold"/>
                                  <w:b/>
                                  <w:bCs/>
                                  <w:color w:val="62777F"/>
                                  <w:sz w:val="80"/>
                                  <w:szCs w:val="80"/>
                                </w:rPr>
                              </w:pPr>
                              <w:r>
                                <w:rPr>
                                  <w:rFonts w:ascii="Calibri" w:hAnsi="Calibri" w:cs="OpenSans-Bold"/>
                                  <w:b/>
                                  <w:bCs/>
                                  <w:color w:val="62777F"/>
                                  <w:sz w:val="80"/>
                                  <w:szCs w:val="80"/>
                                </w:rPr>
                                <w:t>2019 Economic Study:</w:t>
                              </w:r>
                            </w:p>
                            <w:p w:rsidR="00FB1216" w:rsidRPr="00716539" w:rsidRDefault="00FB1216" w:rsidP="002166B7">
                              <w:pPr>
                                <w:pStyle w:val="body"/>
                                <w:spacing w:before="0" w:after="120" w:line="192" w:lineRule="auto"/>
                                <w:rPr>
                                  <w:rFonts w:ascii="Calibri" w:hAnsi="Calibri" w:cs="OpenSans-Bold"/>
                                  <w:b/>
                                  <w:bCs/>
                                  <w:color w:val="62777F"/>
                                  <w:sz w:val="80"/>
                                  <w:szCs w:val="80"/>
                                </w:rPr>
                              </w:pPr>
                              <w:r>
                                <w:rPr>
                                  <w:rFonts w:ascii="Calibri" w:hAnsi="Calibri" w:cs="OpenSans-Bold"/>
                                  <w:b/>
                                  <w:bCs/>
                                  <w:color w:val="62777F"/>
                                  <w:sz w:val="80"/>
                                  <w:szCs w:val="80"/>
                                </w:rPr>
                                <w:t>Offshore Wind Integration</w:t>
                              </w:r>
                            </w:p>
                            <w:p w:rsidR="00FB1216" w:rsidRDefault="00FB1216" w:rsidP="002166B7">
                              <w:pPr>
                                <w:pStyle w:val="body"/>
                                <w:spacing w:before="240" w:line="192" w:lineRule="auto"/>
                                <w:ind w:left="86"/>
                                <w:rPr>
                                  <w:rFonts w:ascii="Calibri" w:hAnsi="Calibri" w:cs="OpenSans-Bold"/>
                                  <w:b/>
                                  <w:bCs/>
                                  <w:color w:val="62777F"/>
                                  <w:spacing w:val="-2"/>
                                  <w:sz w:val="32"/>
                                  <w:szCs w:val="32"/>
                                </w:rPr>
                              </w:pPr>
                              <w:r>
                                <w:rPr>
                                  <w:rFonts w:ascii="Calibri" w:hAnsi="Calibri" w:cs="OpenSans-Bold"/>
                                  <w:b/>
                                  <w:bCs/>
                                  <w:color w:val="62777F"/>
                                  <w:spacing w:val="-2"/>
                                  <w:sz w:val="32"/>
                                  <w:szCs w:val="32"/>
                                </w:rPr>
                                <w:t>© ISO New England Inc.</w:t>
                              </w:r>
                            </w:p>
                            <w:p w:rsidR="00FB1216" w:rsidRPr="007A11B4" w:rsidRDefault="00FB1216" w:rsidP="007A11B4">
                              <w:pPr>
                                <w:pStyle w:val="body"/>
                                <w:spacing w:before="240" w:line="192" w:lineRule="auto"/>
                                <w:ind w:left="86"/>
                                <w:rPr>
                                  <w:rFonts w:ascii="Calibri" w:hAnsi="Calibri" w:cs="OpenSans-Bold"/>
                                  <w:b/>
                                  <w:bCs/>
                                  <w:color w:val="62777F"/>
                                  <w:spacing w:val="-2"/>
                                  <w:sz w:val="24"/>
                                  <w:szCs w:val="24"/>
                                </w:rPr>
                              </w:pPr>
                              <w:r w:rsidRPr="007A11B4">
                                <w:rPr>
                                  <w:rFonts w:ascii="Calibri" w:hAnsi="Calibri" w:cs="OpenSans-Bold"/>
                                  <w:b/>
                                  <w:bCs/>
                                  <w:color w:val="62777F"/>
                                  <w:spacing w:val="-2"/>
                                  <w:sz w:val="24"/>
                                  <w:szCs w:val="24"/>
                                </w:rPr>
                                <w:t>J</w:t>
                              </w:r>
                              <w:r>
                                <w:rPr>
                                  <w:rFonts w:ascii="Calibri" w:hAnsi="Calibri" w:cs="OpenSans-Bold"/>
                                  <w:b/>
                                  <w:bCs/>
                                  <w:color w:val="62777F"/>
                                  <w:spacing w:val="-2"/>
                                  <w:sz w:val="24"/>
                                  <w:szCs w:val="24"/>
                                </w:rPr>
                                <w:t>U</w:t>
                              </w:r>
                              <w:r w:rsidRPr="007A11B4">
                                <w:rPr>
                                  <w:rFonts w:ascii="Calibri" w:hAnsi="Calibri" w:cs="OpenSans-Bold"/>
                                  <w:b/>
                                  <w:bCs/>
                                  <w:color w:val="62777F"/>
                                  <w:spacing w:val="-2"/>
                                  <w:sz w:val="24"/>
                                  <w:szCs w:val="24"/>
                                </w:rPr>
                                <w:t>NE 30, 2020</w:t>
                              </w:r>
                            </w:p>
                          </w:txbxContent>
                        </wps:txbx>
                        <wps:bodyPr rot="0" vert="horz" wrap="square" lIns="91440" tIns="45720" rIns="91440" bIns="45720" anchor="t" anchorCtr="0" upright="1">
                          <a:spAutoFit/>
                        </wps:bodyPr>
                      </wps:wsp>
                    </wpg:wgp>
                  </a:graphicData>
                </a:graphic>
              </wp:anchor>
            </w:drawing>
          </mc:Choice>
          <mc:Fallback>
            <w:pict>
              <v:group w14:anchorId="70A30754" id="Group 24" o:spid="_x0000_s1026" style="position:absolute;margin-left:-75.15pt;margin-top:-70.45pt;width:612pt;height:11in;z-index:251666432" coordorigin="-2133,-4832"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6eZqvAQAAKkNAAAOAAAAZHJzL2Uyb0RvYy54bWzsV9tu4zYQfS/QfxD0&#10;rpiSdUechSNZwQJpG2S3H0BLtEWsJKokbTlb7L93SEq246RIsAu0KFADtnkZDmcO58yQ1x8ObWPt&#10;CReUdQvbvUK2RbqSVbTbLuzfPxdObFtC4q7CDevIwn4iwv5w8/NP10OfEo/VrKkIt0BJJ9KhX9i1&#10;lH06m4myJi0WV6wnHUxuGG+xhC7fziqOB9DeNjMPoXA2MF71nJVECBjNzaR9o/VvNqSUv202gkir&#10;Wdhgm9S/XP+u1e/s5hqnW477mpajGfg7rGgx7WDTo6ocS2ztOH2hqqUlZ4Jt5FXJ2hnbbGhJtA/g&#10;jYsuvLnjbNdrX7bpsO2PMAG0Fzh9t9ry1/0Dt2i1sD3ftjrcwhnpbS3oAzhDv01B5o73n/oHPg5s&#10;TU/5e9jwVv2DJ9ZBw/p0hJUcpFXCYBRFno8A/RLmXISCWPU08mUNx6MWOp47n4cgAyKOH8+9eTBJ&#10;rN5SM5vMmClrj8b1tEzhO6IGrReovR1dsEruOLFHJe27dLSYf9n1DhxwjyVd04bKJx2scJTKqG7/&#10;QMsHbjpnBxBMBwDTalfLUxCoFUrILMHKpXtWfhFWx7Iad1uyFD2EOSCrpGfPxXX32X7rhvYFbRp1&#10;aKo9egaUuAipV8Ax4ZqzcteSThr+cdKAk6wTNe2FbfGUtGsC4cQ/Vi6cOHBfQkj1nHZSEwSC4l5I&#10;tbsKD02RP714iVDi3TpZgDLHR9HKWSZ+5ERoFfnIj93Mzb6p1a6f7gQB93GT93Q0HUZfGP8qH8bM&#10;YZimGWvtsc4LCjht0PSvTYQhhZCyVUhOZFmr5gbAewTAzZrjhEb6BK46BgGMsdbDL6wCBPBOMg3A&#10;BWP+NvDfZM8x7CEmuJB3hLWWagD2YJ7eC+/BEWPoJKJc6JiKABjHadM9GwCdZuS1YyqWSy/M57mT&#10;x0nk+GviOXGBfOd26QduFkWFm0ffdBBqLA2GExBjaELXhDQ0/jvMDF8wM7ykJkBPNoQ/ajrsySMR&#10;9Cscu85z/yoLvf9ZyFWMX/AumCM0TwAcKDhehOa+LncmK6mi5YYIwQVjLFpjx1Bp0jRR6l2s0zGg&#10;MsI5EYYebj1iysHQe18iU3ee1+4Ln2rcEyC+UntWV+AKZgr7Z5VTbtnBmqvoHaVUXbfkAYZVCVFI&#10;if6iwHDOhprgCswzReZsqdHzrlQXRyGAbhCfe8hLxkvAlOlCL0ZRDFVQ3xOS0EeBvgT844kuQckq&#10;XsW+43vhCupRnjvLIvOdsHCjABJgluXuVI9qWlWkU/n0x8uRBp81tJoKtODbddZwU6YK/RnzqziJ&#10;zVRZPJkxlTClTCFrSmziwhXs1kucIowhdxd+4CQRih3kJrdJiPzEz4vnLt3Tjvy4S9awsJPAC0xg&#10;nYyGKDv3DenPS99w2lIJD4SGtgs7PgrhVIXjqqt0DZOYNqZ9BoUy/wQFhNBU0eCSKHRpNpErD+vD&#10;SIY1q56AC5xBCYUwhVcNNGrGv9rWAC+EhS3+2GF1GWw+dkCFxPV9EJO64weRBx1+PrM+n8FdCaoW&#10;trQt08ykeYbs4G60rWGniXxLuCkUVJdtZaqxClxRHUgWuqXfA9q98e2iHhznfS11emHd/AU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Om20TnkAAAADwEAAA8AAABk&#10;cnMvZG93bnJldi54bWxMj8FOwzAMhu9IvENkJG5bEtqxUZpO0wScJiQ2JLSb13pttSapmqzt3p70&#10;BLff8qffn9P1qBvWU+dqaxTIuQBGJrdFbUoF34f32QqY82gKbKwhBTdysM7u71JMCjuYL+r3vmSh&#10;xLgEFVTetwnnLq9Io5vblkzYnW2n0YexK3nR4RDKdcOfhHjmGmsTLlTY0rai/LK/agUfAw6bSL71&#10;u8t5ezseFp8/O0lKPT6Mm1dgnkb/B8OkH9QhC04nezWFY42CmVyIKLBTisULsIkRy2gJ7BRSHEcS&#10;eJby/39kvwAAAP//AwBQSwMECgAAAAAAAAAhAG0ASM/UfQAA1H0AABQAAABkcnMvbWVkaWEvaW1h&#10;Z2UxLnBuZ4lQTkcNChoKAAAADUlIRFIAAAT7AAAGcggCAAAAyaZ2WQAAAAlwSFlzAAAXEQAAFxEB&#10;yibzPwAAIABJREFUeNrs3cGPVNl1wGH/ybYyzBhQMAiMMXGnsYBVreiN1StaSoIgVpDBi5FmNrMY&#10;aRazQWyziSKVHDmL5GiO5uhwX9Wrqu5q6G6+o08W9bq6qK4eWfpx37vvF/9njDHGGGOMMcZcxfmF&#10;j8AYY4wxxhhjjOI1xhhjjDHGGGMUrzHGGGOMMcYYo3iNMcYYY4wxxhjFa4wxxhhjjDHGKF5jjDHG&#10;GGOMMYrXGGOMMcYYY4xRvMYYY4wxxhhjjOI1xhhjjDHGGGMUrzHGGGOMMcYYo3iNMcYYY4wxxhjF&#10;a4wxxhhjjDFG8RpjjDHGGGOMMYrXGGOMMcYYY4xRvMYYY4wxxhhjjOI1xhhjjDHGGGMUrzHGGGOM&#10;McYYo3iNMcYYY4wxxiheY4wxxhhjjDFG8RpjjDHGGGOMMYrXGGOMMcYYY4xRvMYYY4wxxhhjjOI1&#10;xhhjjDHGGGMUrzHGGGOMMcYYxWuMMcYYY4wxxiheY4wxxhhjjDFG8RpjjDHGGGOMMYrXGGOMMcYY&#10;Y4xRvMYYY4wxxhhjjOI1xhhjjDHGGKN4jTHGGGOMMcYYxWuMMcYYY4wxxiheY4wxxhhjjDFG8Rpj&#10;jDHGGGOMMYrXGGOMMcYYY4xRvMYYY4wxxhhjFO8e53///re/Lf8LAACAz0304BUv3r//z3L53/8J&#10;AADA5yZ6UPECAACgeBUvAAAAilfxAgAAoHgVLwAAAIpX8QIAAKB4FS8AAIDiVbwAAAAoXsULAACA&#10;4lW8AAAAKF7FCwAAgOJVvAAAAChev2YAAADFq3gBAABQvIoXAAAAxat4AQAAULyKFwAAAMWreAEA&#10;AFC8AAAAKF7FCwAAgOJVvAAAAChexQsAAIDiVbwAAAAoXsULAACA4gUAAEDxKl4AAAAUr+IFAABA&#10;8SpeAAAAFK/iBQAAQPEqXgAAABQvAAAAilfxAgAAoHgVLwAAAIpX8QIAAKB4FS8AAACKV/ECAACg&#10;eAEAAFC8ihcAAADFq3gBAABQvIoXAAAAxat4AQAAULyKFwAAQPEqXgAAABSv4gUAAEDxKl4AAAAU&#10;r+IFAABA8SpeAAAAFK/iBQAAULyKFwAAAMWreAEAAFC8ihcAAADFq3gBAABQvIoXAAAAxat4AQAA&#10;FK/iBQAAQPEqXgAAABSv4uVCOjl5fnx8/P7dj/nw7ZvXz46O4mA+jOPxcLFYfPvN1z4rAABQvIqX&#10;SyNS9pdffBnu3L0XD3/4/rt8GCJ048j9Bw/z4bXrN+OrPjEAAFC8ipfLoYI2fPvN11G59TC+FE+o&#10;h+Htm9c+MQAAULyKl8vh4PBRLeHGw1cvX1TfPn7yNI7E8Z7EPjEAAFC8ipfL4f27H6Nso3urZp8d&#10;Hd1/8DAO5pW9cfzGrdvRvcfHxz4uAABQvIoXAAAAxat4+bhevXxxcPioFmzfv/sxHt5/8DCO55HF&#10;YhEP42Cu8b598zrXeHMjqziYl/7GQSc5AwCA4lW8XBR9K+aM3n4db9Tsxut4a2/n2t4ZAABQvIqX&#10;T+/tm9frbj605V7N/fnBRwoAAIpX8XJR3Ll7r99qqBJ3y/vxnpw8HxaBAQAAxat4uRDev/sxWjfa&#10;tY68evkiOjav2s3ojdaNI/X8eBjqqt34UmRwHKlvAQAAFK/i5dKc/NxrNlo3F4QrieOhbasAAEDx&#10;Kl4+pVcvX1y7fjPUmm1uPXXn7r1s2nxCHInjuaKbpz3HwWza2qoqT3uOg7WXVb0mAACgeBUvH1u/&#10;Cjd7dWbnqh++/+74+LgeHhw+Wk52rnr85Gk9zNcEAAAUr+LlqhXvjVu3fcIAAKB4FS+fRiRudOn0&#10;rOYIXWc1AwCA4lW8fI6dbOcqAABQvIqXS5CvvVc33p0onj9/d6Lj4+P7Dx4uFov8ljgeD0O8jk8b&#10;AAAUr+LlI4lSzTOQ86TlkCct50W5/Ql50nKU8LoLfa9dvxlfjRKuJzx+8jSit05yrtcEAAAUr+Ll&#10;3PWNqZY/3Wh3ZueqXN2th/Gl5WTnqv78PNIf5msCAACKV/Fy7g4OH/V87Uu4x8fH/QnXrt98/+7H&#10;Vy9f9CXceEJfwo0kro2sclm4b/5sLysAAFC8ipePJyI2GjXatS7czTsMZe7mE+Jh9HCdkPzs6Cge&#10;RgnnZbpxPHd7zvXbOJjLvHFw2Mw5oxoAAFC8ipcr1dV9K6xcTO4Ph92zAAAAxat42UOLHv8022/F&#10;/Orli/sPHuauVPn8g8NHcSS/JdeEc0U3vyWO9zv65h2A8zTp/Ja69PfO3Xv9pkcAAIDiVbycXtZp&#10;nXLct1bOHK0nxPHlh1tb5XW8ma/ph++/i3juW1v1C4PzNevC4Ire/oTaMhoAAFC8ipcz2Wmv5vjq&#10;2fdq7g+nR1zrCwAAilfxsh+1rVQu2PY13lcvX/Qn3Lh1e2USz6zxHhw+GtZ44zX7Gm9877DG6/ZF&#10;AACgeBUvexPN2W8alNXa95GKhxGitddUVGs8rM2c43jUcnRsFnJGct/MOY73zZzj+TObObuOFwAA&#10;FK/i5QIZtmKOhxHM/Ug8DFWzeXZ0FXI8Mx5G99bmWAAAgOJVvJxVROb9Bw9rX+Vc0e0rtLm1cu2r&#10;vPz5yt5aoa3TkvO86Dg47H1VV/bGt8Rr9tOYo3L7edRB9AIAgOJVvOxHz9Fcbq34zPOW+05U8dXe&#10;q1HFy8nOVbW3c1Vxf0K85p2794Yj/WFmMwAAoHgVL3sr3unNh6Z7NU9vPjQt3uHmQ9O9mvtOV9O9&#10;mrOiAQAAxat4Oatas62TlnORNro0L8QdTlqebuZci7p37t6Lr8bB4ea6w2bOtU/Vyhv21sW9AACA&#10;4lW8nLuI0n557XRjqsjUCONhY6pK6DgeD8NwqXBexJvfntcS9y2jAQAAxat42b9I036XoHjYb1aU&#10;V/P2Bo6HM7cvimfm7YvyRTKAo2/jYBXvnbv3gpvxAgCA4lW87NNiscgTkvNh7ix17frNYSvmvGo3&#10;snY4q7lfCTw9q3nYijmidzirebjQ1zIvAAAoXsXLflSgRuguN+1cFQ3cN5o6j52r8jUBAADFq3jZ&#10;wwnMuQabi6vTuxP1gh3uppv7Kg9303V3IgAAULyKlwsUvf1c4txHqi6yja9G2fZtpfK05NxmOU97&#10;zujNnZnjYK7ixsFtNnOOI9XAdSo1AACgeBUvF9TbN6/n976KhxW38czj4+O+9xUAAKB4FS97EMHZ&#10;V1YjO4d7C2WO1nNyETiODIvAuaIbB3NRNw7W3ld9ETgO1iKwfaoAAEDxKl7OMXfv3L1XpxP3rZUz&#10;R+uc5Di+/HBrqyzYvhNV1HK/LjfPfB62Yh62tvIrAAAAxat4ORcVqBGuy017NcdXN+7V3J+fR2Z2&#10;Zg5+BQAAoHgVL+fl4PDRyjXeYd+pdUk8s8Ybr2yNFwAAFK/i5VOe2Ny3jMpq7RtNDdtKRQlHBue9&#10;i5aT63iXP23mHA/jYF7oG5UbVRxxW5s55zpw3rvI5w8AAIpX8XKZRMr2vZpzc2YfCwAAKF7Fy/k6&#10;OXneF1cjTfP85IrVfj/e+N9cwq3nLBaLa9dv1gpt/G+eCJ2X9cbz61Le3PuqXyrs/kMAAKB4FS/n&#10;mLt5AW1duHvn7r04EombT6jrePNIXccb4ltCPYxvjCfkt1fi9ut48zLdfh1v/S0AAIDiVbzsWQVq&#10;XlX76uWLqtNcgB22Yh72au47V2XQViHnXlbDbszDzlUHh4/8CgAAQPEqXs5FLur2tdaTk+e15NsX&#10;dXMnqkri+K743lCbM2czx//2vu1JnM3cF4FrdysAAEDxKl4+gajfYffm6NjaiSr+EJHc2zUe9s2c&#10;87a9x8fHdSVwVHTUb17WCwAAKF7Fy8UVTduTOAq5J3F8KYrX5swAAKB4FS9nXY/Ns4tLPOxbMQ9P&#10;yL2U+xNOTp73k5zzrObaV7nOas7n1E5XdYpyndWcG1n1s5r7FtAAAIDiVbzslru5cVQla/ZqXZdb&#10;T6jozV6tJwxB27dizl7tO1dFA/etmPMy3b4xVeRu39s5t7YCAAAUr+JlZ7XiWpfIZpHeuHU7zzGO&#10;Rs3irSesS+JTFG9uvDxTvPE2/I4AAEDxKl5OH73DBsjTs5qHLaPmT3uOP0cDR+hmM1cSZwBXY1cz&#10;1+2I8qzmen7PbAAAQPEqXi6lH77/rid07u3cjwAAAIpX8fKRAnXmyPt3Pw69enLyvG41tPz55kO1&#10;fhvHF4vF4ydP61viq/cfPIwj9S0AAIDiVbzsLFr0zt17/Wa58bCfThx/7k/Is46HzZnrFOV42o1b&#10;t+ui3OVkK+Zo4+FC39q6OV5k5YW+AACA4lW87KxuBZTbJi/bRlPZq/WEis+6yDbSdPnzTlcz9xbq&#10;O1fl6u78Xs39+cHvCAAAFK/i5ZT6Cu3GJdxc8s2+zVXf2okqt7+Kh8O+U5HK/VZDPYnzb6nnh9wE&#10;qx5mRQMAAIpX8XJKw3W585fpLn+6B2+/wnbY7TmqdbhMN8o2unfdZbpxPMr2xq3b+S1xMJd544jN&#10;qwAAQPEq3itygnEkX9Tg4Pj4OL40rdCd5G5S8VIrX9wGUQAAgOJVvCt8+83X9x883Gjdt0fl1nm/&#10;8/Jk47y8dvvF29yYauOL37h1e7FYZFdPl3CHv3R4QnxXX+ONP8fPmxfx5rfHDxhH6jnxF8VbioP5&#10;InE8T2zuN/UFAAAUr+K9EGuz2/Tq9Buj9Gpb451EPW483TfPJT7Fi//h4LDvU5WX6W5zHW+ek9y3&#10;Ys6trfp1vPHk/PaZ63j9n8Ue5Up+33nbmwEAQPEq3nMv3r4/0yn0BF3Z0j0jTyfXdeOl1u3VnGu2&#10;O+3VnJf4zu/V7P8s9mjYiNubAQBA8Srecy/efsvZs0Tvyot7+yLqWdRa3Mr78faVusdPnvYn1EnU&#10;ma+VuHU/3uH+RpXEuQjs/ywULwAAilfxXtbi7ffvOaN+D6Gd3syu0Ts9ZXr+yLDVVkRy3x8rvhQZ&#10;XMu5cTy31Drj7lwoXgAAFK/i/cTFu3GBN3p4sVhEAW5zle+Qnftq6fll5L18aJZzFS8AAIpX8V61&#10;4u3Xtc5cQJs2buPcn9wvkZ3v2HgPW7bx4ydPv/3m676Lct4vt19FfHLyvK825yXKkeu183P+Xfmc&#10;2ukqDp76qt14kZ32uPqEG2LFh7DTvxrs9KPFk+dffGNkTjfi3uPbG352xQsAoHgVr+L9skfCxhfv&#10;Jx5vE7ERosMey5sL+dc3+q2DqlezfGprqwzaODizc1XeLWnYuWqbXs07PMUfhg2u4830GyMNbTas&#10;k+ftnfrHmzdSCnlFcRdH8kvTU7vjSL2fmf8qhn+tiLc681L5N/Z3GwfXtWj8vf3F8+eKnzd+R/Fd&#10;/Z8n1n3O07eXLzL8RMMn3/+DWfnj1CcfL9X/a8y3p3gBABSv4lW8H1RcXvI6o6KoynP7Qt7yW/7h&#10;q+v9G/OmR1W8uZHV6Yq39n/e8hNed7+l6fXM8Ret6/l4t/3j7btqdfXt00LLnyheZ90bnrkv1PBW&#10;a1l+3besjOR1/5aRwdzf8MofYf62Vf1fEE7xydd/D9P/qhUvAIDiVbyK94Nzj6OIokC2OS12y9sd&#10;DS+1zbf87vfjOmf8XX0xMN5hX1eMP+ebz8XkSqAM4H5W85bnxw6fcH4sw/rtsNJbfRXPicaOV8jV&#10;1On1yfXMfl1xLUiuvLPUutirxeEehPHGQi/G/lkNJ6LH06Y/Wv+U+j8o5Ppz/GjDr36+eIf7Icd7&#10;i1foy8t9x+xdP/n4xvpS/KHeXm9gxQsAoHgV71Uu3tPdiTea4eDwUSTEug2ftgzpdSuZ83/1eVzd&#10;erpPeDj9uE7N7Yu0/RbBw8dV5VnLy/Xr6OU2rH73s4vrSyvPpu6bhw3/TNAXP+vH78Xbn9/POe9p&#10;Xb/lobeHEp4p3nrZ4e31v7G+tK9Pvv/sihcAQPEq3qtcvGe/gVBeFTm8jS0v4t1LJ097tR/JzZD6&#10;kSioaKG+chilt+4q0JlPePr++2JsHaxlxpVdXV/N99NP3B3+VaKeOaxgT9eEpyuoK1eAq2/rBevI&#10;9ATvemOVlHUO9vRz6C81X7zrzuLuMZ+r8fv95Fe+PQAAFK/ivWrFu/FCyi2XfIc1xm2+a90lqRv1&#10;Jbtcr+tFl9sUTc8TzqXRSsSsrMq2XlZbfsK9PKeLlkMWriur6aJu/mNBj7p8zfi58g+9DzPq1l2B&#10;XCufK2N7untTdeDKj2L4j6dyeuXnsPIHX/lRrNvhuT7nafGuDPj6j2e56aLobX4vAAAoXsV7RYo3&#10;b/Bz9vvl9mXScy3e3njDWbv9RNbh05juXBW13M/j3TJ+piU201315LrodFD/3FCvNs3U+gGHFd3K&#10;tunezkN+r9tpbPjvYafirSev2546fzUbi7d/sPGD5A7P/RyBafHu9MmvDPL6xwLFCwCgeBXvFS/e&#10;uuhxy5vibrMT1bkWb99lKlcaa9W3rv/MAI73MyRx9WReD9wvkV23+dNeinejerVaO803XK8QP8tw&#10;1W7l/brrkLf/xZ2leNfdtSg/io3FG7/K+bMMzli865bup28PAADFq3ivbPFmLkZlDXdG3fWa3uES&#10;yp32oNqyeIfAi/wbdjYebmkTzVOroHl31vgZq5njq/H3rrwaeY/FGx9I3kt2nVohr5ON88PMsMyT&#10;nOtLuW6Zv6mVZ+0OjTr/V5/urOa9FO/05ka5sfbip1G8AAAoXsW7t+KdnmJa147uulp4uj2otunk&#10;lfskfZJPeC/n1s6cjZz/IpAvWP+U0C/l3fjKw0XFG52ueNedU73xOt5+EXW81ajf/m8ZM9fx7uWT&#10;zw9H8QIAKF7Fe2WLN/cxnlcvu+V9jHLtdKcnD2ub8/7p4J+HG+fOr/HGnw8OH/U13ngYnVPPyQtH&#10;4+B5rPHO75+U5/TGCw4/UcVk3eanVoDrg63V0ZnbCNebWfecvEVt/eA7FW+dYr3ybPB65zPFW2dl&#10;r8zO+gFPV7zze1NNd+0CAEDxKt6rVrzbPHloy43Pz0je8m30dJme4LrSzX/8zU7X8Q53cO3X8WYb&#10;n+t1vMtNdyeq99NXSisXp7tY1RvOH3N+xbuScuU65/SGQzsVb/8XiumPVu98pnjn/7r6JE9XvPOf&#10;fP3HpngBABSv4r3Ka7x7X4atBcMtL+WtQt5m36wvvrq+bq/mYTOnC7JXc++6flOlobsyv/uX+qfR&#10;s3b4FcxXejy5XmdY5o0v1S+oFpB3Kt5lu6/V8KPVb2HL4p3+FP2fP05dvOtuupt3tFK8AACKV/Fe&#10;/et4N3ZmJEHFzMZzlftmVFuu2e4kGiZedno/3n5jpLz2uJ4w3I+39+fyw82cd70f75bd1dsy/pAn&#10;Eue51itv7DTE5DQI+5XV6+4MNK2+XOnNM9XjYP3U/XTrXYu3F3X8IX6i+CuGf+mYKd5ays6fMc+v&#10;jv8dtm6u55/lk8/rhPPq9P7fvOIFAFC8ivcqF+/8jWH69rnbrNnOtNnZxRtYeant9JzV4bLe+EyG&#10;LZEifuo58aUM6V0/4S27K9Nu5tNb+Vf3062HJ/R/d9jmDc/8ioe12V2LN3+0lb/l+kvn92qeeW/x&#10;pfzQaon7dJ/8yn/TiYPuxwsAoHgV79Uv3n6l69kN8bmuN05nZoums39oW25blT/UcD+hIUf7/X56&#10;ePeV1To3e92tfeL5deug4VONb8nj2+//HP08dGn03nSP5fiJZn604VZGwzfmfmB5n6f8oaZ9u/Jt&#10;x8cyXRbOteu8cVR9Aqf75ON7h66OtxoH8/k77aENAIDiVbyXrHiHE1/PYmWH7CV6v/j1jXrxeMFe&#10;Kbn3co/heGZfas4V0VrMjJTK95MvUjtd1RXF5y1aa7o588f8z2OnvF/OXiQ88zr1Lyl1xfXGV+t7&#10;g5/fz+7//QEAFK/i/byKd7n1zYRmTnueOSs44ueMpzdH8dYqX+/VOpe1dm8ebpnTrxSd7lwVr9n3&#10;WNqyzahGndk9a/4EaQAAULyK9+MVb7biNlfqrrzecuV9d6Ynvu76+tGxd+//rgdtFW8Fdp6w2p+g&#10;eD+a+oUOS9Z9YX+b/zYAAEDxKt5tT5qNtNtoJpgXi8XGJdncmDdycdeeia7e+PrRUdGrtQtxPL8H&#10;1TZnNfcn5PJ17Tg9c1bzpzrT+PLqd1eKzzMe5inlfXdonxIAAIpX8V5EUYB56ePgXF//U/2kft2n&#10;M7PZcr+vFQAAKF7FyymXtWeOTO9O9Orli353osjdne5OlGub/RU+c8O9hfP88J0+TwAAULyK93OU&#10;Zx33fIo/97vI5iWj/ezZx0+e9ifUGdS5gFx7dMXx5Yc3Z9pyj6XhFQAAAMWreDmN2mgqe7X25apd&#10;pmqHpLzut3aiyhzt+3hNd67K1d1+Fu42b6kvZrrbDQAAKF7FyynlEm6//038ue8ylZsn1aJu7USV&#10;y8J9CTdiOI7U+bfxIvHkupvRurvsTPUdp21EDAAAilfxcqboHc5zHjozqrVfUpsdWw/fvnn97Ogo&#10;cze/GmV7/8HDWp6Nr8bDKOEtr8uN9xPRO38LYgAAQPEqXgAAABSv4v1czW/FnKu4wyLwcP/evhVz&#10;fDXvSNzPi77/4OHjJ09zjTeOHxw+iiP5LbkmnFf55re8evki13i33OkKAABQvIqX1acQb3Mdbz0h&#10;r+OtJ8TD2toqC7buHxvHlx9ubZUv0i/TjReprbDqBrP1gnauAgAAxat4Ob1hr+baaGq6V3MGbQVq&#10;hOty017NeYnvsFfzsBVzf34e6Q8t8wIAgOJVvJz+lOb52+3OLwL3JdnczqruprsuiYetmPsab2Z2&#10;X+MddtUCAAAUr+Jlt+gdjgybKs9f6JvV2tM0Hkbc1nOGzZzjeDRzxO2wmXO/0Dce1oW+AACA4lW8&#10;AAAAKF7Fy3rD7XbzROVhc+Z+FvR0K+bhbroHh4/yJOd8kTie5y33FwEAABSv4uXcc/fO3Xu1T9Xy&#10;572Xo1EraLNX8yzlH77/rq65zSN9J6r4ltzquV+m2zemcpkuAAAoXsXLR1JBWwuwGcC1MVVt5hzH&#10;l5v2ah42plq5V7PPHAAAFK/i5eNFbz/fOFd9+yZS8ee+mXOetBydnFtV1aJubu+ce0H3Zq4krnVj&#10;AABA8SpeLoeo3H66cmTt2zev60g8zM2c5S4AAChexcvlLl4AAEDxKl4uhJOT53lC8pZnNedZyteu&#10;36ytmPtZzQAAgOJVvFwItRPVXnaustILAACKV/FyUay7O1Et6tZmzvmEjXcn8pECAIDiVbxcoOjN&#10;5dyyWCxyH+YU0Tuc5ByVG2FcSRx5HFXcnwMAAChexQsAAIDiVbycm7dvXveHw+W479/92Jd848nP&#10;jo6GZWEAAEDxKl4unN/+7ve//OLLP//7qwravvFyXuhbOzP363hFLwAAKF7Fy8X1pz/9KfP1i1/f&#10;yCM3bt3OI3ld7vHxcT6M4/Hw2dHRsFczAACgeBUvF3eN91fXvvrr27/kw7y/7ro13vjfKl5bVQEA&#10;gOJVvFx0/TLd5abreF+9fPHs6ChvTQQAAChexQsAAIDiVbx8XH99+5c/Pn7Sj5ycPB+WeQEAAMWr&#10;eLl8ufura1/98osv/3BwWLkbD+vCXQAAAMXLpfQff36V21D95s7dPHLn7j0bUwEAAIqXq+Df/vVf&#10;7tz7bT3MzZlrr2YAAADFCwAAgOJVvFwww92JAAAAFC9XQW5V5apdAABA8XLVVndzn6pgpRcAAFC8&#10;XCmLxcIaLwAAoHj9pq+mt29e+xAAAADFCwAAgOJVvAAAAChexQsAAIDiVbwAAAAoXsULAACA4lW8&#10;AAAAKF4AAAAUr+IFAABA8SpeAAAAFK/iBQAAQPEqXgAAABSv4gUAAEDxAgAAoHgVLwAAAIpX8QIA&#10;AKB4FS8AAACKV/ECAACgeBUvAAAAihcAAADFq3gBAABQvIoXAAAAxat4AQAAULyKFwAAAMWreAEA&#10;AFC8AAAAKF7FCwAAgOJVvAAAAChexQsAAIDiVbwAAAAoXsULAACgeBUvAAAAilfxAgAAoHgVLwAA&#10;AIpX8QIAAKB4FS8AAACKV/ECAAAoXsULAACA4lW8AAAAKF7FCwAAgOJVvAAAAChexQsAAIDiBQAA&#10;QPEqXgAAABSv4gUAAEDxKl4AAAAUr+IFAABA8SpeAAAAFC8AAACKV/ECAACgeBUvAAAAilfxAgAA&#10;oHgVLwAAAIpX8QIAAKB4AQAAULyKFwAAAMWreAEAAFC8ihcAAADFq3gBAABQvIoXAAAAxQsAAIDi&#10;VbwAAAAoXsULAACA4lW8AAAAKF7FCwAAgOJVvAAAACheAAAAFK/iBQAAQPEqXgAAABSv4gUAAEDx&#10;Kl4AAAAUr+IFAABQvIoXAAAAxat4AQAAULyKFwAAAMWreAEAAFC8ihcAAADFq3gBAAAUr+IFAABA&#10;8SpeAAAAFK/iBQAAQPEqXgAAABSv4gUAAEDx+k0DAAAoXsULAACA4lW8AAAAKF7FCwAAgOJVvAAA&#10;AChexQsAAIDiBQAAQPEqXgAAABSv4gUAAEDxKl4AAAAUr+IFAABA8SpeAAAAFC8AAACKV/ECAACg&#10;eBUvAAAAilfxAgAAoHgVLwAAAIpX8QIAAKB4AQAAULyKFwAAAMWreAEAAFC8ihcAAADFq3gBAABQ&#10;vIoXAAAAxQsAAIDiVbwAAAAoXsULAACA4lW8AAAAKF7FCwAAgOJVvAAAAIpX8QIAAKB4FS8AAACK&#10;V/ECAACgeBUvAAAAilfxAgAAoHgVLwAAgOJVvAAAAChexQsAAIDiVbwAAAAoXsULAACA4lW8AAAA&#10;KF7FCwAAoHgVLwAAAIpX8QIAAKB4FS8AAACKV/ECAACgeBUvAAAAihcAAADFq3gBAABQvIoXAAAA&#10;xat4AQAAULyKFwAAAMWreAEAAFC8AAAAKF7FCwAAgOJVvAAAAChexQsAAIDiVbwAAAAoXsULAACA&#10;4gUAAEDxKl4AAAAUr+IFAABA8SpeAAAAFK/iBQAAQPEqXgAAABQvAAAAilfxAgAAoHgVLwAbk69v&#10;AAAgAElEQVQAAIpX8QIAAKB4FS8AAACKV/ECAACgeAEAAFC8ihcAAADFq3gBAABQvIoXAAAAxat4&#10;AQAAULyKFwAAQPEqXgAAABSv4gUAAEDxKl4AAAAUr+IFAABA8SpeAAAAFK/iBQAAULyKFwAAAMWr&#10;eAEAAFC8ihcAAADFq3gBAABQvIoXAAAAxQsAAIDiVbwAAAAoXsULAACA4lW8AAAAKF7FCwAAgOJV&#10;vAAAACheAAAAFK/iBQAAQPEqXgAAABSv4gUAAEDxKl4AAAAUr+IFAABA8QIAAKB4FS8AAACKV/EC&#10;AACgeBUvAAAAilfxAgAAoHgVLwAAAIoXAAAAxat4AQAAULyKFwAAAMWreAEAAFC8ihcAAADFq3gB&#10;AABQvAAAAChexQsAAIDiVbwAAAAoXsULAACA4lW8AAAAKF7FCwAAoHgVLwAAAIpX8QIAAKB4FS8A&#10;AACKV/ECAACgeBUvAAAAilfxAgAAKF7FCwAAgOJVvAAAAChexQsAAIDiVbwAAAAoXsULAACA4vWb&#10;BgAAULyKFwAAAMWreAEAAFC8ihcAAADFq3gBAABQvIoXAAAAxQsAAIDiVbwAAAAoXsULAACA4lW8&#10;AAAAKF7FCwAAgOJVvAAAACheAAAAFK/iBQAAQPEqXgAAABSv4gUAAEDxKl4AAAAUr+IFAABA8QIA&#10;AKB4FS8AAACKV/ECAACgeBUvAAAAilfxAgAAoHgVLwAAAIoXAAAAxat4AQAAULyKFwAAAMWreAEA&#10;AFC8ihcAAADFq3gBAAAUr+IFAABA8SpeAAAAFK/iBQAAQPEqXgAAABSv4gUAAEDxKl4AAADFq3gB&#10;AABQvIoXAAAAxat4AQAAULyKFwAAAMWreAEAAFC8ihcAAEDxKl4AAAAUr+IFAABA8SpeAAAAFK/i&#10;BQAAQPEqXgAAABQvAAAAilfxAgAAoHgVLwAAAIpX8QIAAKB4FS8AAACKV/ECAACgeAEAAFC8ihcA&#10;AADFq3gBAABQvIoXAAAAxat4AQAAULyKFwAAAMULAACA4lW8AAAAKF7FCwAAgOJVvAAAAChexQsA&#10;AIDiVbwAAAAoXgAAABSv4gUAAEDxKl4AAAAUr+IFAABA8SpeAAAAFK/iBQAAQPECAACgeBUvAAAA&#10;ilfxAgAAoHgVLwAAAIpX8QIAAKB4FS8AAIDiVbwAAAAoXsULAACA4lW8AAAAKF7FCwAAgOJVvAAA&#10;AChexQsAAKB4FS8AAACKV/ECAACgeBUvAAAAilfxAgAAoHgVLwAAAIoXAAAAxat4AQAAULyKFwAA&#10;AMWreAEAAFC8ihcAAADFq3gBAABQvAAAAChexQsAAIDiVbwAAAAoXsULAACA4lW8AAAAKF7FCwAA&#10;gOIFAABA8SpeAAAAFK/iBQAAQPEqXgAAABSv4gUAAEDxKl4AAAAULwAAAIpX8QIAAKB4FS8AAACK&#10;V/ECAACgeBUvAAAAilfxAgAAoHgBAABQvIoXAAAAxat4AQAAULyKFwAAAMWreAEAAFC8ihcAAEDx&#10;Kl4AAAAUr+IFAABA8SpeAAAAFK/iBQAAQPEqXgAAABSv4gUAAFC8ihcAAADFq3gBAABQvIoXAAAA&#10;xat4AQAAULyKFwAAAMXrNw0AAKB4FS8AAACKV/ECAACgeBUvAAAAilfxAgAAoHgVLwAAAIoXAAAA&#10;xat4AQAAULyKFwAAAMWreAEAAFC8ihcAAADFq3gBAABQvAAAAChexQsAAIDiVbwAAAAoXsULAACA&#10;4lW8AAAAKF7FCwAAgOIFAABA8SpeAAAAFK/iBQAAQPEqXgAAABSv4gUAAEDxKl4AAAAULwAAAIpX&#10;8QIAAKB4FS8AAACKV/ECAACgeBUvAAAAilfxAgAAKF7FCwAAgOJVvAAAAChexQsAAIDiVbwAAAAo&#10;XsULAACA4lW8AAAAilfxAgAAoHgVLwAAAIpX8QIAAKB4FS8AAACKV/ECAACgeBUvAACA4lW8AAAA&#10;KF7FCwAAgOJVvAAAAChexQsAAIDiVbwAAAAoXgAAABSv4gUAAEDxKl4AAAAUr+IFAABA8SpeAAAA&#10;FK/iBQAAQPECAACgeBUvAAAAilfxAgAAoHgVLwAAAIpX8QIAAKB4FS8AAACKFwAAAMWreAEAAFC8&#10;ihcAAADFq3gBAABQvIoXAAAAxat4AQAAULwAAAAoXsULAACA4lW8AAAAKF7FCwAAgOJVvAAAAChe&#10;xQsAAIDiBQAAQPEqXgAAABSv4gUAAEDxKl4AAAAUr+IFAABA8SpeAAAAxat4AQAAULyKFwAAAMWr&#10;eAEAAFC8ihcAAADFq3gBAABQvIoXAABA8SpeAAAAFK/iBQAAQPEqXgAAABSv4gUAAEDxKl4AAAAU&#10;LwAAAIpX8QIAAKB4FS8AAACKV/ECAACgeBUvAAAAilfxAgAAoHgBAABQvIoXAAAAxat4AQAAULyK&#10;FwAAAMWreAEAAFC8ihcAAADFCwAAgOJVvAAAAChexQsAAIDiVbwAAAAoXsULAACA4lW8AAAAKF4A&#10;AAAUr+IFAABA8SpeAAAAFK/iBQAAQPEqXgAAABSv4gUAAEDxAgAAoHgVLwAAAIpX8QIAAKB4FS8A&#10;AACKV/ECAACgeBUvAACA4lW8AAAAKF7FCwAAgOJVvAAAAChexQsAAIDiVbwAAAAoXsULAACgeBUv&#10;AAAAilfxAgAAoHgVLwAAAIpX8QIAAKB4FS8AAACK128aAABA8SpeAAAAFK/iBQAAQPEqXgAAABSv&#10;4gUAAEDxKl4AAAAULwAAAIpX8QIAAKB4FS8AAACKV/ECAACgeBUvAAAAilfxAgAAoHgBAABQvIoX&#10;AAAAxat4AQAAULyKFwAAAMWreAEAAFC8ihcAAADFCwAAgOJVvAAAAChexQsAAIDiVbwAAAAoXsUL&#10;AACA4lW8AAAAKF4AAAAUr+IFAABA8SpeAAAAFK/iBQAAQPEqXgAAABSv4gUAAFC8ihcAAADFq3gB&#10;AABQvIoXAAAAxat4AQAAULyKFwAAAMWreAEAABSv4gUAAEDxKl4AAAAUr+IFAABA8SpeAAAAFK/i&#10;BQAAQPEqXgAAAMWreAEAAFC8ihcAAADFq3gBAABQvIoXAAAAxat4AQAAULwAAAAoXsULAACA4lW8&#10;AAAAKF7FCwAAgOJVvAAAAChexQsAAIDiBQAAQPEqXgAAABSv4gUAAEDxKl4AAAAUr+IFAABA8Spe&#10;AAAAFC8AAACKV/ECAACgeBUvAAAAilfxAgAAoHgVLwAAAIpX8QIAAKB4AQAAULyKFwAAAMWreAEA&#10;AFC8ihcAAADFq3gBAABQvIoXAAAAxQsAAIDiVbwAAAAoXsULAACA4lW8AAAAKF7FCwAAgOJVvAAA&#10;AIpX8QIAAKB4FS8AAACKV/ECAACgeBUvAAAAilfxAgAAoHgVLwAAgOJVvAAAAChexQsAAIDiVbwA&#10;AAAoXsULAACA4lW8AAAAKF4AAAAUr+IFAABA8SpeAAAAFK/iBQAAQPEqXgAAABSv4gUAAEDxAgAA&#10;oHgVLwAAAIpX8QIAAKB4FS8AAACKV/ECAACgeBUvAAAAihcAAADFq3gBAABQvIoXAAAAxat4AQAA&#10;ULyKFwAAAMWreAEAAFC8AAAAKF7FCwAAgOJVvAAAAChexQsAAIDiVbwAAAAoXsULAACA4gUAAEDx&#10;Kl4AAAAUr+IFAABA8SpeAAAAFK/iBQAAQPEqXgAAAMWreAEAAFC8ihcAAADFq3gBAABQvIoXAAAA&#10;xat4AQAAULyKFwAAQPEqXgAAABSv4gUAAEDxKl4AAAAUr+IFAABA8SpeAAAAFK/fNAAAgOJVvAAA&#10;AChexQsAAIDiVbwAAAAoXsULAACA4lW8AAAAKF4AAAAUr+IFAABA8SpeAAAAFK/iBQAAQPEqXgAA&#10;ABSv4gUAAEDxAgAAoHgVLwAAAIpX8QIAAKB4FS8AAACKV/ECAACgeBUvAAAAihcAAADFq3gBAABQ&#10;vIoXAAAAxat4AQAAULyKFwAAAMWreAEAAFC8AAAAKF7FCwAAgOJVvAAAAChexQsAAIDiVbwAAAAo&#10;XsULAACgeBUvAAAAilfxAgAAoHgVLwAAAIpX8QIAAKB4FS8AAACKV/ECAAAoXsULAACA4lW8AAAA&#10;KF7FCwAAgOJVvAAAAChexQsAAIDiVbwAAACKV/ECAACgeBUvAAAAilfxAgAAoHgVLwAAAIpX8QIA&#10;AKB4AQAAULyKFwAAAMWreAEAAFC8ihcAAADFq3gBAABQvIoXAAAAxQsAAIDiVbwAAAAoXsULAACA&#10;4lW8AAAAKF7FCwAAgOJVvAAAACheAAAAFK/iBQAAQPEqXgAAABSv4gUAAEDxKl4AAAAUr+IFAABA&#10;8QIAAKB4FS8AAACKV/ECAACgeBUvAAAAilfxAgAAoHgVLwAAAIoXAAAAxat4AQAAULyKFwAAAMWr&#10;eAEAAFC8ihcAAADFq3gBAAAUr+IFAABA8SpeAAAAFK/iBQAAQPEqXgAAABSv4gUAAEDxKl4AAADF&#10;q3gBAABQvIoXAAAAxat4AQAAULyKFwAAAMWreAEAAFC8AAAAKF7FCwAAgOJVvAAAAChexQsAAIDi&#10;VbwAAAAoXsULAACA4gUAAEDxKl4AAAAUr+IFAABA8SpeAAAAFK/iBQAAQPEqXgAAABQvAAAAilfx&#10;AgAAoHgVLwAAAIpX8QIAAKB4FS8AAACKV/ECAACgeAEAAFC8ihcAAADFq3gBAABQvIoXAAAAxat4&#10;AQAAULyKFwAAAMULAACA4lW8AAAAKF7FCwAAgOJVvAAAAChexQsAAIDiVbwAAACKV/ECAACgeBUv&#10;AAAAilfxAgAAoHgVLwAAAIpX8QIAAKB4FS8AAPD/7d3/c931feD73/YP2D+B3O3mDvcy62zphNa3&#10;7KyXAcqduveyaZZlL0tDZkmYod5wU7d1x8mYxlOgQMuXNLsmk1zW6423tgPYscEQBa0NtgxyrBjs&#10;WvE3CVkSsi0FDJL11Xvfx8cR8udzztHnnPM5Xz6f83jNYzJAzLH80lGipz7fULyKFwAAAMWreAEA&#10;AFC8ihcAAADFq3gBAABQvIoXAAAAxeszDQAAoHgVLwAAAIpX8QIAAKB4FS8AAACKV/ECAACgeBUv&#10;AAAAihcAAADFq3gBAABQvIoXAAAAxat4AQAAULyKFwAAAMWreAEAAFC8AAAAKF7FCwAAgOJVvAAA&#10;AChexQsAAIDiVbwAAAAoXsULAACA4gUAAEDxKl4AAAAUr+IFAABA8SpeAAAAFK/iBQAAQPEqXgAA&#10;ABQvAAAAilfxAgAAoHgVLwAAAIpX8QIAAKB4FS8AAACKV/ECAAAoXsULAACA4lW8AAAAKF7FCwAA&#10;gOJVvAAAAChexQsAAIDiVbwAAACKV/ECAACgeBUvAAAAilfxAgAAoHgVLwAAAIpX8QIAAKB4FS8A&#10;AIDiVbwAAAAoXsULAACA4lW8AAAAKF7FCwAAgOJVvAAAACheAAAAFK/iBQAAQPEqXgAAABSv4gUA&#10;AEDxKl4AAAAUr+IFAABA8QIAAKB4FS8AAACKV/ECAACgeBUvAAAAilfxAgAAoHgVLwAAAIoXAAAA&#10;xat4AQAAULyKFwAAAMWreAEAAFC8ihcAAADFq3gBAABQvAAAAChexQsAAIDiVbwAAAAoXsULAACA&#10;4lW8AAAAKF7FCwAAgOIFAABA8SpeAAAAFK/iBQAAQPEqXgAAABSv4gUAAEDxKl4AAADFq3gBAABQ&#10;vIoXAAAAxat4AQAAULyKFwAAAMWreAEAAFC8ihcAAEDxKl4AAAAUr+IFAABA8SpeAAAAFK/iBQAA&#10;QPEqXgAAABQvAAAAilfxAgAAoHgVLwAAAIpX8QIAAKB4FS8AAACKV/ECAACgeAEAAFC8ihcAAADF&#10;q3gBAABQvIoXAAAAxat4AQAAULyKFwAAAMULAACA4lW8AAAAKF7FCwAAgOJVvAAAAChexQsAAIDi&#10;VbwAAAAoXgAAABSv4gUAAEDxKl4AAAAUr+IFAABA8SpeAAAAFK/iBQAAQPECAACgeBUvAAAAilfx&#10;AgAAoHgVLwAAAIpX8QIAAKB4FS8AAIDiVbwAAAAoXsULAACA4lW8AAAAKF7FCwAAgOJVvAAAAChe&#10;xQsAAKB4FS8AAACKV/ECAACgeBUvAAAAilfxAgAAoHgVLwAAAIrXZxoAAEDxKl4AAAAUr+IFAABA&#10;8SpeAAAAFK/iBQAAQPEqXgAAABQvAAAAilfxAgAAoHgVLwAAAIpX8QIAAKB4FS8AAACKV/ECAACg&#10;eAEAAFC8ihcAAADFq3gBAABQvIoXAAAAxat4AQAAULyKFwAAAMULAACA4lW8AAAAKF7FCwAAgOJV&#10;vAAAAChexQsAAIDiVbwAAAAoXgAAABSv4gUAAEDxKl4AAAAUr+IFAABA8SpeAAAAFK/iBQAAULyK&#10;FwAAAMWreAEAAFC8ihcAAADFq3gBAABQvIoXAAAAxat4AQAAFK/iBQAAQPEqXgAAABSv4gUAAEDx&#10;Kl4AAAAUr+IFAABA8SpeAAAAxat4AQAAULyKFwAAAMWreAEAAFC8ihcAAADFq3gBAABQvAAAAChe&#10;xQsAAIDiVbwAAAAoXsULAACA4lW8AAAAKF7FCwAAgOIFAABA8SpeAAAAFK/iBQAAQPEqXgAAABSv&#10;4gUAAEDxKl4AAAAULwAAAIpX8QIAAKB4FS8AAACKV/ECAACgeBUvAAAAilfxAgAAoHgBAABQvIoX&#10;AAAAxat4AQAAULyKFwAAAMWreAEAAFC8ihcAAADFCwAAgOJVvAAAAChexQsAAIDiVbwAAAAoXsUL&#10;AACA4lW8AAAAilfxAgAAoHgVLwAAAIpX8QIAAKB4FS8AAACKV/ECAACgeBUvAACA4lW8AAAAKF7F&#10;CwAAgOJVvAAAAChexQsAAIDiVbwAAAAoXgAAABSv4gUAAEDxKl4AAAAUr+IFAABA8SpeAAAAFK/i&#10;BQAAQPECAACgeBUvAAAAilfxAgAAoHgVLwAAAIpX8QIAAKB4FS8AAACKFwAAAMWreAEAAFC8ihcA&#10;AADFq3gBAABQvIoXAAAAxat4AQAAULwAAAAoXsULAACA4lW8AAAAKF7FCwAAgOJVvAAAAChexQsA&#10;AIDiBQAAQPEqXgAAABSv4gUAAEDxKl4AAAAUr+IFAABA8SpeAAAAxat4AQAAULyKFwAAAMWreAEA&#10;AFC8ihcAAADFq3gBAABQvIoXAABA8SpeAAAAFK/iBQAAQPEqXgAAABSv4gUAAEDxKl4AAAAUr880&#10;AACA4lW8AAAAKF7FCwAAgOJVvAAAAChexQsAAIDiVbwAAAAoXgAAABSv4gUAAEDxKl4AAAAUr+IF&#10;AABA8SpeAAAAFK/iBQAAoPOK1xhjjDHGGGOMUbzGGGOMMcYYY4ziNcYYY4wxxhhjFK8xxhhjjDHG&#10;GMVrjDHGGGOMMcYoXmOMMcYYY4wxRvEaY4wxxhhjjDGK1xhjjDHGGGOMUbzGGGOMMcYYY4ziNcYY&#10;Y4wxxhijeI0xxhhjjDHGGMVrjDHGGGOMMcYoXmOMMcYYY4wxJj/FO//x/pkP/iotc6PPzQ4/leIL&#10;LpodeqLw4kNPNOTFh58KL96IVy68+MjfBg16cQu38PwtfGF6MOH/fL1zZgOpOHhy/cjEgXL6h7da&#10;USer8N4I7GephP/bNT49v/fcpwBt4tTHMzkv3rmLL13u//dpmf3g/50581CKL7ho+uRXw4uH/2zE&#10;i4ePObx4I1658OIDa4IGvbiFW3j+Fr4w+Q8J/+dr73v/hlSE4q2w51A1VtTJfBmmtavF+XBq7r+c&#10;/AigTfSNX1a8ekCAWbiFK17Fi4rzZah4AcWrePWAALNwC1e8ihfFa1eKF1C8ilcPWLiFW7jiVbwo&#10;XsULoHgVrx6wcAtXvL7VVrwoXsULoHgVrwCzcAtXvCheFK/iBVC8ileAWbiFK14UL4pX8QKKV/Hq&#10;AQFm4RaueBUvKs6XoeIFFK/i1QMCzMItXPEqXhSvXSleQPEqXj1g4RZu4YpX8aJ4FS+A4lW8esDC&#10;LVzx+lZb8aJ4FS+A4lW8AszCLVzxonhRvIoXQPHqAQFm4RaueBWv4kXxKl5A8SpePSDALNzCFa/i&#10;RcX5MlS8gOJVvHpAgFm4hStexYvitSvFCyhexasHLNzCLVzxKl4Ur+IFULyKV4BZuIUrXt9qK14U&#10;r+IFULyKV4BZuIUrXhQvilfxAnRs8c6P7yp+w5qK8F11IQnSe8HIKzf0xRvxytl9cQu38Fa9+MJU&#10;v+JVvChexQugeBWvALNwC1e8KF4Ur+IFULzOanaSrYVbuLOaUbwoXsULoHj1gACzcAtXvIpX8aJ4&#10;FS+geBWvHhBgFm7hilfxonhRvIDiVbx6QIBZuIUrXsWL4lW8ihdQvIpXD1i4hStexat4UbyKF0Dx&#10;Kl4BZuEWrnhRvChexQugeBWvALNwC1e8KF4Ur+IFULx6QIBZuIUrXsWrePFlqHgBxat49YAAs3AL&#10;V7yKF8VrV4oXULyKVw8IMAu3cMWreFG8ihdA8SpePWDhFq54fauteFG8ihdA8SpeAWbhFq54Ubwo&#10;XsULoHgVrwCzcAtXvCheFK/iBVC8ekCAWbiFK17Fa0Uqzpeh4gUUr+LVAwLMwi1c8SpeFK9dKV5A&#10;8SpePWDhFm7hilfxongVL4DiVbx6wMItXPH6VlvxongVL4DiVbwCzMItXPGieFG8ihdA8SpeAWbh&#10;Fq54UbwoXsULKF7FqwcEmIVbuOJVvKg4X4aKF1C8ilcPCDALt3DFq3hRvHaleAHFq3j1gIVbuIUr&#10;XsWL4lW8kClP9o5t7Bldyk4Ur+LVAwLMwi1c8SpeFK/iVbxk3vN952/Y0v+PNp9YyloUr+LVAwLM&#10;wi1c8SpeFK/iVbxk3uqXT0dyV/EqXsWrBwSYhVu44lW8KF7Fq3jJvI09o/HcVbyKV/HqAQFm4Rau&#10;eBUvilfxKl4yb+W2U4pX8SpePSDALNzCFa/iRfHaleIlb9Z0DZXMXcWreBWvHhBgFm7hilfxongV&#10;r+Ilw144Nh6/YVXqxftk79ja7nP37xkIf2HnilfxCjALt3DF6ztsxYviVbzQDPfsOlsud+sp3sXE&#10;vX3HdedLh7oWvYo3tZkf31X8hjUV4bvqQhKk94KRV27oizfilbP74hZu4a168YWpfsWreFG8ihfa&#10;6gG8FXK3quItl7hxolfxKl6NZOEWrnh9h614UbyKFxpu2TpNJXFFr+J1VrNzPi3cwp3V7FttxYvi&#10;VbzQVKFXl03TtBJX9CpexasHLNzCFa9vtRUvilfxQvNuWLVi68lluzTFxBW9ilfx6gELt3DF61tt&#10;xYviVbzQDA/uHWxExIpexat49YCFW7jiVbyKF8WreKGVnu873w65K3oVr+IVYBZu4YoXxYviVbyQ&#10;stUvn26f4i1G7wvHxn1eFK/iFWAWbuGKF8WL4lW8UJeNPaNtlbtFK7edEr2KV/EKMAu3cMWL4kXx&#10;Kl6oS5IbVolexat49YAAs3ALV7yKF8VrV4oXN6wSvYpX8eoBC7dwC1e8ihfFq3ihDZ5IdMOW/nYu&#10;3mBjz6jPlOJVvALMwi1c8aJ4UbyKF6pzz66zbZ67ilfxKl4BZuEWrnhRvChexQs5uWGV4lW8ileA&#10;WbiFK14UL4pX8UK9bt9xSvEqXsWrBwSYhVu44lW8qDhfhoqXvFnbfS4Tuat4Fa/iFWAWbuGKF8WL&#10;4lW8kLcbVilexat4BZiFW7jiRfGieBUv5O2JRIpX8SpeAWbhFq54UbwoXsULtXi+73yGclfxKl7F&#10;K8As3MIVL4oXxat4IW83rFK8ilfxCjALt3DFi+JF8SpeqML6t0aylbuKV/EqXgFm4RaueFG8KF7F&#10;C4ms2HpS8SpexasHBJiFW7jiVbyoOF+Gihc3rFK8ilfx6gEBZuEWrngVL4rXrhQvWbhhVYaeSKR4&#10;Fa/iFWAWbuGKF8WL4lW8kNQ9u85mMXcVr+JVvALMwi1c8aJ4aWrFmeSjeGkTIRozmruKV/EqXgFm&#10;4RaueFG8KF7FC5Ws3HZK8aJ49YAAs3ALV7yKV/EqXqN4yZu13eeym7uKV/EqXgFm4RaueFG8KF7F&#10;C6W9cGw8ozesUryKV/EKMAu3cMXbDPtPfDNUYm4cHfy7Cns+//EvcvBn7D7+kHZVvIoXiu7fM5Dp&#10;3FW8ilfxCjALt3DF21gjEwd8156tOTb0Q+2qeBUvBE/2jmU9dxWv4lW8AszCLVzxKl6jeBWv4oUS&#10;bt9xSvHSWcU7P7E7fCsM0CYWpk4oXqN4Fa/ihUZY/9ZIDnJX8SreKot3fOfMmYfSUvyGNcUX/MzA&#10;msIrD6xpxIs38MPO7otbuIW36MUVr1G8ilfxQoNuWLVi60nFi7OanfPpJFsLt3BnNStexYviVbzk&#10;zYN7B/ORu4pX8SpeAWbhFq54Fa9RvM0oXvup4acDipeWeL7vfNafSKR4Fa/iFWAWbuGKV/Eaxat4&#10;FS+UsPrl07nJXcWreBWvALNwC1e8itcoXsWreOGa0Id5yl3Fq3gVrwCzcAtXvIrXKF7Fq3ghh1fw&#10;Kl7Fq3gFmIVbuOJVvEbxKl7FC4oXxat4BZiFW7jiVbyKF8WreFG8ilfxKl49IMAs3MIVr+JVvCpO&#10;8SpeFK/iVbyKVw8IMAu3cMVrFK/itSvFi+JVvIpX8eoBC7dwC1e8RvEqXsULilfxKl7Fqwcs3MIV&#10;r+I1ilfxKl5QvIpX8SpeAWbhFq54Fa9RvIpX8YLiRfEqXgFm4RaueBWv4kXxKl4Ur+JVvIpXDwgw&#10;C7dwxat4Fa+KU7yKF8WreBWv4tUDAszCLVzxGsWreO1K8aJ4Fa/iVbx6wMIt3MIVr2nk/KT36Q2v&#10;3JZX3+/+fcWreEHxongVrwCzcAtXvIq3Q2fbwSf+49//y7x67o3fU7yKFxQvilfxCjALt3DFq3gV&#10;r+JVvIoXxat4Ubx6QIBZuIW3ffGG7GyVyZkLGlLxKl7Fq3hRvIpX8SpePSDALNzCG0iOFkQAACAA&#10;SURBVFW8xiSfnv7/tOXtP8iTv371DsWreEHxongVrwCzcAtXvMbk8F7NoXIVr+IFxYviVbwCzMIt&#10;XPEao3gVr+JF8SpeFK8eEGAWbuGK1yhexat4FS+KV/EqXsWrBwSYhVu44jWKV/GqXMWL4lW8ilfx&#10;6gEBZuEWrniN4lW8ilfxongVr+JVvHrAwi1c8Speo3gVr+IFxat4Fa/iFWAWbuGK1xjFq3gVLyhe&#10;FK/iFWAWbuGK1yhexat4FS+KV/HSicX7SvgmOy2FHhhYk+ILLip+yx7+syEvPrCmGBuNEF65oS9u&#10;4Raes4UvTJ5I+D9fB0+ub5ULHx/VkNmanx19LmRh5ny/+/cVr+KFOr1wbHzltlOKl84t3vmJ3cVv&#10;WAHawcJU0uJt4fe1IxMHNGS2ZtvBJxb7MEM2vHKb4lW8IHcVr+J1jNchRwu38E48xqt4jeJVvIoX&#10;OjB3Fa/idR2vy0ot3MI74jpexWsUr+JVvNCBuat4Fa/iFWAWbuGKV/GarF7H+9ev3qF4FS/IXcWr&#10;eBWvALNwC1e8itcknQzdq3nL23+geBUvyF3Fq3gVrwCzcAtXvIrXKF7Fq3ih43JX8SpexSvALNzC&#10;Fa/iNYpX8SpeOtE9u87mPncVr+JVvALMwi1c8Speo3gVr+JF7ipeFK/iFWAWbuGKV/EqXsWreBUv&#10;clfxKl7FqwcEmIVbuOJVvIpX8SpexYvcVbyKV/HqAQFm4RaueI3iVbyKV/EidxWv4lW8esDCLdzC&#10;Fa9RvIpX8YLcTSz8qV84Nu6zr3gVrwCzcAtXvIrXKF7Fq3iRuzm0ctsp0at4Fa8As3ALV7yK1yhe&#10;xat4yac1XUMdm7uiV/EqXgFm4RaueBWvUbyKV/GSW2u7z3V47opexat4BZiFW7jiVbxG8SpexYvc&#10;zX/0Pt933rtC8SpeAWbhFq54Fa/iVbyKV/Eid3Pohi39T/aOeW8oXsVb6pv1wSfmxrbPX+q98smR&#10;+Y8OzY5unj6zToAJMAtXvIpX8Spexat4kbuiV/Eq3gz3QGjdhckzJXcS0jfF7hVgitfCFa9RvIpX&#10;8Spe5K7oVbyKt3k9MDe2fdnNzAw9J8AEmIUrXsWreBWv4lW8yN0MRe/GnlHvFsXb6cU7O7wp4XJm&#10;Bp8QYALMwhWv4lW8ilfxKl5a68neMTWb3Nruc94zirdzi3f69CPJl3Nl5sL0ya8LMMVr4Yo34udn&#10;nwoFRYYcPLle8SpexUt2c/eGLf06VvQqXsWb7CO8sLuq/cyObhZgitfCFS8oXl+GipdWuX3HKQUr&#10;ehWv4k2q2v0sTJ4RYIrXwhUvKF5fhooXxZs5a7qGvH8Ub2cV7/TAozWsSIApXgtXvKB4fRkqXhrt&#10;B/0Tm05MKN503bPrrLeW4lW8y0z4twSY4rVwxQuK15eh4qURlfvU0fPreke/duDcv933wbcPf6h4&#10;Ra/iVbyKV4BZuOL1rTaKV/EqXjLssb6xte+MPPDWUKjcpRSv6FW8ircVxVvf7ZoFmOK1cMULilfx&#10;Kt46beob27D3dBbF/yzfPXYxErqKtznR+8KxcV9KijfvxXvy6+5cJcAsXPGC4lW8ijdzQjr+4/Vv&#10;ZM5NG7vjf5a174wo3pZ4cO+gLyXFm/8emBt/09OJBJiFK15QvIpX8SreJnhk+/H4hbvlclfxKl7F&#10;25CZH98ZvhtOS/iuupgE6RtYU3jl8L11vR9hFSc2X5n91czZR9p3J1lYeK52YuFNefGFqROKF8Wr&#10;eBUvOSjez23oiv9BQtMqXsWreJtbvBO7i9+wdoj5izuqKN7Lgx21HGgHihfFq3gVLyWv481c8T7w&#10;Yl/8DxK/W5XiVbyK11nN6V3He/qRKzMXqjureXiTk2yd1Tx98uvhnTB7YfeVT47MX+qdG38z/G14&#10;O1m4s5pB8aJ4myZzxRsqPX6L5gq5q3gVr+JVvPX2wPxHh66/LdXs8od5Zy64V3MnB1ihdUc3l/3y&#10;Gdte59vDwhUvKF7FSy6L9+7vvRv/IzzcM6x4Fa/iVbyN6oHZ4U2RP/vM4BPB7IXd85d6C8fuPjoU&#10;AmZm8LHIceDwCxRvZwZYqNn5S+8tc13ApfdSiV4LV7ygeBUveSreZw4OJ38okeJVvIpX8dbbA/Hz&#10;mUPfluuBeBtPDzyqeDstwJLkborRa+GKFxSv4iU3xbvq6bereiiR4lW8ilfx1tsDkfOZC+cqL7kI&#10;M94DkdQJf6t4Oy3AKpzMXOJ67/pOBLBwxQuKV/GSp+LdsPd0VQ8lUryKV/Eq3rp6IH7MNnI/qngP&#10;TA88mtYtrBRvFgNs+uTXq73JWZ03slK8ihcUr+IlH8V7y+P74h/8d46MKV7Fq3gVb0N6oPL5zBV6&#10;YPbC7lRuYaV4sxhgM0PPVfulVOdtvRWv4gXFq3jJR/E+sv14tQ8lUryKV/Eq3tp7oPL5zBV6IH6U&#10;b278TcXbIQEW+XlHoqt5Yz9JsXDFC4pX8SreTivemzZ2xz/yp46eT5K7ilfxKl7FW3UPxI/UlTwQ&#10;V64HUrmFleLNYoBFH2SleBUvKF5fhopX8SbwwIt9NTyUSPEqXsWreGvpgfhB2nJNUqEHIuWzMHlG&#10;8Spexat4QfH6MlS8ijfucxu6NvWNRT7sTScmEuau4lW8ilfxVtcDc+NvLns+87I9MH1mXfQo8ehm&#10;xeusZsWreEHx+jJUvIo34u7vvVvbQ4kUr+JVvIq36h6YGXwi+Y2FKvfA3Nj2hOWseN25ysIVLyhe&#10;xat4O7Z4nzk4HH8o0X37P1C8ilfxKt6Ue6DE+cwVH6hbuQfqvIWV4s3o04mq/VLydCLFC4pX8Sre&#10;Ti7eu57tqfmhRIpX8SpexVtdD0TOZy7UyJl19fRA/Ihf8ltYKd6MBtjs6OYqDvBe2G3hihcUr+JV&#10;vJ1cvBv2nq75oUSKV/EqXsVbRQ+UOJ95uStvk/RAzbewUrwZDbDpU9/4nwvTSb6Iwpuhtmc1W7ji&#10;BcWreMlH8d7y+L56HkqkeJvgnl1nn+877+tI8WY+wKo9nzl5D9R8CyvFm9EAS3675tnhFyxc8YLi&#10;RfF2cvHW+VAixdtQYYEbe0Z9BSnenARY/Ba7lc9nrqoHaruFleLN5L2aqzmlufBOcIxX8YLiVbyK&#10;V/HW+lAixdsgK7aeXNt9zteO4s1P8U4PPFrjYdhkPVDbLawUb+YCLH48f/6Tf5gd3hQ+3Vc+OTJ/&#10;qXf+o57o11E1NzOzcMULilfxkvvireqhRIo3dTds6X9w7+ALx8Z94Sje/BRvyNGFyTPVns9cbQ/U&#10;cAsrxZutAIu/kZYezF9cePwg8MzgExaueEHxKl7Fq3hrPqVZ8aZ4ya7WVbw5LN7IKccJz2eeOvrl&#10;yQN3TO277fL+O6f2r7p85O5qL+9c9hZWijdbARa/0ffSlF268PlL76V4brPiVbygeBUvilfx1n/J&#10;7pO9Y75YFG8Oizd+PnMI4GVat3f15O4vfPr3/0vUSzdOHborxVtYKd4MBdjs8KbKjx1auvD4O6Ge&#10;c5sVr+IFxat4UbyKt55Ldte/NeLLRPHms3jjp6Eu+7SYya6VJVp3icnXvzh1/N4qjieXv4WV4s1K&#10;gIWCjd/oO/JGiiw8xXObFa/iBcWreKnslsf3KV7KXbLrC0Tx5rl4S/RnxWtrQ81Wzt1r0fvazVVc&#10;M/zRIcWb6QALn9MSZynHToyPLzytc5sVr+IFxat4qWzV028rXlyyq3g7rnirPZ956tBdSXL3WvR2&#10;31r2u/zBJxIe3FO8mQiw+M9NZoc3JVl4Wuc2K17FC4pX8aJ4Fa9LdhWv4v1q7Jvj6s5n/vSlG5MX&#10;76fb/2mFc5vjt7Aq+Vsr3vYPsPjPL8pVa8mFp3Jus+JVvKB4FS+KV/G6ZFfxKt6vVi6NyuczV3WA&#10;99ph3gN3lP2QTj+S5BZWirfNAyx8HiOX71b4uUm5hdd/brPiVbygeBUvilfxumRX8Srer1Y6m3S5&#10;+zNPdt9adfGWv5q3dHLHbmGleNs8wCKxWvm5VuUWXv+5zYpX8YLiVbxkt3g37D2teF2yq3gVb8oB&#10;FgmVZc9nLhRvyccRVS7e3V+ofLujZW9hpXjbOcDiP7Oo/KypCguv89xmxat4QfEqXjJavPEDvIrX&#10;JbuKV/HWG2C11cXkrn9WbfF++vL/NnX0y1VdAhr5SBRv2wZY/LZnFe65nWTh9ZzbrHhrKN4On4Mn&#10;1wsMxat4FW/n2NQ3dtPG7nZr3Vse3/dYd+mTbBWvS3YVb7sU7/z4ruI3rKkI31UXkiC9F4y8cvHF&#10;Z4c2xkLl7cr/+uV3/q/Jvb9dde4uHund+9vhFWZOPlTyxecvHb6ucy4Pzgz+aRN20rSFZ+jDruLF&#10;B//0yuz4dZ+42fGln7gaXryGd2YHLTyxhal+Nat4Fa/iVbxE3PVsTyYO7Rb9oH/igbeGFK9LdhWv&#10;4q0xwCKHgCqEyvT790+9uWpyx+drbt14+k4f/sPYx/at6JHzC9sUb5sHWOTnFIXP2vCT9b94+NRH&#10;T5Meed7CFa/iRfEqXsVbj0e2H8/Kod3gmfcv1pa7itclu4rXWc2Fcz6TnM88dfzeyQN3fLrzprRC&#10;N/7UosnXvzh16K4kt7ByVnMbnmQ7O7ypqtuehbfT5Gs3h8/70lualbuPd4lzm2P3M3NWs7OaFS+K&#10;V/GS0DMHhz+3oSsTh3aDdb2jtbWu4nXJruJVvF+9ehzpW5XviDvVuzq0aKNCN+6lGye7Vl4+cneF&#10;W1gp3nYLsPh9lUOjlv31R+6u9KOTl24Mv2DZxx0te3mw4lW8ihfFq3gp55bH92Xi0O53j1382oFz&#10;9eRuhxevS3YVr+It9MD8x++UvDPQ1NEvF5489NKNy5+WvOeff7rtNxIeyJ3avyppP7904/Qv/qzk&#10;wWfF21YBFv/ZRKVjsCF3lxzXTf7Q5vgx5PBPFK/iVbwoXsWreKu1Ye/pTBza/c6RsTpbt5OL1yW7&#10;ilfxXuuB+Qv/LZ6U1043TVCkIV+njt9bQ8YUz5FO8rvMD/wkHuSKt60CbG78zYR3+Z46+uUk75Pi&#10;D0fiR3rnPzpU1bnNilfxKl4Ur+KlPYu38qHdTScmarsts+Itun/PgEt2Fa/ivfpd9dk/idxZd+6D&#10;V5YPkqsX3MZrpIZTVYvpG7K5wr84tXPllUtD1x3ZG/3vird9Amxm6LnoodcLu1N5enP8uc3Vntus&#10;eBWv4kXxKl7asHgrH9p96uj5+/Z/kFbudlrxhj/X833nvckVr+L99RGzyPnMl4Ymf7yicoFMHrjj&#10;2kHdNG5HFDn6V+4k6tl3/zKy4ctv//vpw3+oeFseYNNn1kUT9NJ75Z6XWzjAW+VF3fGfklR1brPi&#10;VbyKF8WreGmr4r1pY3f43Ss8f+gbPSMptm5HFe+KrSc39ox6eytexVupHGYO/lmFW0mFXGlSDxy5&#10;O/x2kfS9cvHodVk18JNKR5sVb1MCLJRt5BbKhftpn1lX9oca+1dV/eSqrpUlflKT+NxmxftZ8X76&#10;nppVvIpX8SpeWlu8dz3bs6lvrBHPH+rw4r1hS/+ariFvbMWreK871Hb5wB9e+eRciYaM9MZrNy99&#10;XFCTeyD81oV7XF09XHz59S9Fy2rfw/HbOyveZgbY3Nj2qm4lleji8OVObK7q3GbFu3jm+fwnv1Cz&#10;ilfxKl7FS2uL95Htxxv0/KFOLl6X7CpexVvqlOP47aAuDU3tXFn6llRt0APFD3v+lz9a/hzsnTcV&#10;PvIqD0cr3hoCbGbwiejb/vqHWtV5EW+F4k1+brPiXfxMKV7Fq3gVr+Kl5cVb8lZVqTx/qDOL1yW7&#10;ilfxXn+e8K8PlgYzB/+s9PnMqZ4k3IAe+OMrU6PXRU7f0/Vccqx4aw6w+FHWhckz5S7f/ewi3h//&#10;r1UX709WlL0KPcG5zYp38UJrxat4yzk29EPFq3gVb6d54MW+lhRv454/1GnF65Jdxat4K90GefLH&#10;KyK3Pp4f+EmxD9u/B2ZHN0dWPbXnzmWSKeF9sxaflnT1+uHJHZ8PO6n/cHFeA6zE5bsDj5bdbe/q&#10;Go7ufvYZfP2LJT8LSc5t7vDiXboixat4K+TEhY+P7j/xTcWreBWv4m2oVU+/Hb9PVRNyN2fF65Jd&#10;xZur4g3f5YfiKlxJ++pvTe75zcK9oxJfUnvtCtiSj7eNnBs89eH0iT/OUA8sTJ65btUjXSVv71zy&#10;iUrlFhj+eYVnMk1236p4lwZY/OcO4Z+U+yFCos9Oku4NXwi9q6s9t7mTizdyXzHFq3iXzYl8H+xV&#10;vIqXlhfvvd8/HL9VleJ1ya7i7dDiLTynp0yvFm7RVP6IZYUH/BRN/+wrkQ91/sJ/y1YPTA88Gj0l&#10;e+i5yGnby6Tv9fe4SnID4XJXk3Zg8cb3Hz+yeu19mOTTUf1lvZH3f+Vzmzu5eCPH4RWv4k2SEzk+&#10;2Kt4FS8tL974bauac0pzPorXJbuKt+2Kd/bcpnquuV02FQpX28bv7bTciaOF85k/Hb7um+CP38li&#10;D8yNvxmNnF9fQbr09s7LeOnGUGWT/2NV8nNrFW/Yc+RE4qXL/+yK8bRDt+TPfYoXaVc+t7lji3f2&#10;wu7I/ygtfHpUzSrehDmRy4O9ilfx0vLijd+2au07I4rXJbuKN6vFWzjAdfW+wYWLSLtvDRmW9HLQ&#10;BLl7XYAlPLZ59ZzeubHXo0dHB76VxR4oRM7s+HUH1ce2l74oN9XQip9V22nFGzmgWngLDT5Rxc9c&#10;Xv9i4ZreZEk8+ZMVkUvQS7yrwxfX8XsrnNvcmcUbf2rU/KX3Fib/Qc0q3uQ5kb+DvYpX8dLa4v3c&#10;hq74h9HoWzRnvXhdsqt4s1C8Jc/JfP2LhW/Te1eXvI3wMt/iR7x8Y/KzQOPPkpkd3ZzdHpi7sC16&#10;56Qz6xLeu6ueU2o7uXjnxqKX74ayurbhyhfrXj2TfOkPfcLfJjyinuSuV+EXz48fKHlucwcW78zQ&#10;c5FPU3Ebilfx1pAT/cNbu479keJVvIpX8TbitlVBc3I3o8Xrkl3Fm9XiLVECoUhDDOxfVWjgQ3el&#10;edpn6OpfN0b8ZNT5S+9lvQeuXB6M/4kq3was/rso1Xnr5uwufHZoY+zy3b5CuFY+v6D8g53LpuzO&#10;m+I3GKt0ZXvx87Jz5ZVPR+LnNnda8cZ/sFXI3as/DFK8ire2nPjVp6dT2cnuvi/9p5/9n3+1+/ZQ&#10;m0Xhb1/qvVvxKl7F2yHFG37HVt22KnPF65JdxZuv4m2Aknckjlz4unhENNuHHIefrHyf3rKPJg6d&#10;Vmv61nlic0YXXviJyfU/Xwh5GSKz8vHwJLcWL6TsgTsu779zat9thb+o+CzoyjfEij9lOrwfOqp4&#10;Fx+9W/K0c8WreOvJiToP9oa4/ea2VYsludTf7L1T8SpexdsJxfvnO/tbdduqDBWvS3YVb5aK9/LP&#10;v5LWmbRJ7byp3MG0+M11F58lk/UeiNyeJ3oXpcqt9fbttfxA4ae/3YHFW+InJvsernRCcsVwrfOJ&#10;0xXOo54f+Mn174fzM2f/pEOKN34Hr2u3Mf/ssV6KV/HWlRM1H+z961fvKNm6i7718r/a3fclxat4&#10;FW++i/eZg8ORj2Fd76jiXXrJ7truc96ZijdLxbv4dKLCqZsH7ijcE3j3F9J6MOl1tv2TyoERCjDy&#10;ANulZ//m79bBoYGTPwKqxp1fvQ1Y4V7B1Z/hnMWFx68LnTu2qcJ9pGo5Zbqa4l16f/LIz5UK5zZf&#10;GrruQx19c/b0H+e+eCOP3i15OzfFm3DOf/yLkYkDHaWq/VR7sHdpQFbwV7tvr/w6Pz/7VJ1/zLMf&#10;7jt88tWio2dfL/fL+s+9ufjLwl+3au0qV/HmrHhL3rbq4Z5hxVv04N5Bl+wq3gwXb4nDU72rp/av&#10;muxaWWjguh9YGhqj2ru2Lr3DUw7O+Yzfp3d64NGEL5LO9dJdKwv34k5Weplb+PSJb16ZvP762OH9&#10;kz9ekfwZ0Y0r3pLXA8fPbQ7/ZOqN367zAuw2L9547sZ/9KN4TVqT/GDvS713J8ndoi1v/0GFlzo2&#10;9MOOWrLKVbw5K97W3raqnYt39cunXbKrePNWvKXvqBS+Ze++tXBjnm3/pOrLSvevqpQr5c9nztOz&#10;WyLf7le+hdV1BwmXuwlwtSeWF+/CnY/iLTzZ+LXfDX0beQtN7bnzsx+4vHZz/U9sqrN447e2ip7b&#10;fGmoeMlxWh9tuxVv/NG7Jb8EFK9Jd5Ic7E14gDfJYV7Fq3gVb6aLN37bqu8eu9jhxbty2ymX7Cre&#10;Tine6wKs+ufHVnU+c/jbyGWu+SjeEmGf5BZWxdNiG3T/sBBX+1fFPzvtv/Dio4yLZ+DP9j0dP166&#10;eF53ikdN6y/epbe2mtp1a+Tc5tDt8ed15aN4Sz56t+TV7IrXNP9g74ZXbktevIHiVbyKN6/Fu2Hv&#10;6cgH8FjfWMcWr0t2FW9nF2+1AfbSjdWdzxw73Tc3d7Kt+RZWVdxgbPtvTL5+S9U3JLv+ot92Xnjk&#10;TsjTP/tKNKV++aNrT72q6WLdJhTvYrRPH/2L6A9B3v3L+JnYdf5BWl685R69W/IXK17ToDk9trPc&#10;wd6qcjeo8LAixat4FW+mi3dT31gLb1vVVsXrkl3F2+nFWwiwau5uVeHpL/HDnpHb2OSseGu/hdWR&#10;uxNeTb14YLBwMfahuwrn0FZ7K7KXbpz62e9OH77n8on722rhhfPqr3/abfwWUFcmjk333tugz2a6&#10;xVvu/tJLz8eu/25bLS/e0rm75Cp9xWuaM5MzF945vTGV4q1wKa/iVbyKN7vFe9PG7tbetqpNitcl&#10;u4pX8VYfYK9/sZ7zmXNWvHXdwirBzsudB1t8nGzhdPRqb0KW4KLf5KcGFHr11wefC2ftdq1MeMpx&#10;4d8tdTFz/PLdueEnq308bGuLN/5DkKXnNpd4inX1J2m3sHgrP3pX8ZqmzcjEge7jD5ULlT/fscpZ&#10;zYpX8Sreu57tae1tq1pevC7ZVbyKt9S5zcsG2Gs3VzgwleR85vwVbz23sCpcvHr9Qc6ll30mfbrs&#10;kbsLd+Gu/m5Y5S76TdTq5Y8zFyquzJuk8OftvrXcvzv77l9GTwke3Vzt42FbXryFN8ngE8uc2xz/&#10;RFTzM4hWFW/p3F3y6F3Fa5pzaPfo4N9VDpW/2n178twNeax4Fa/izWXxxm9btenERIcUr0t2Fa/i&#10;rVQyZcPp6nmYlQ5tnVmX5HzmXBZvzbewWnrTpsJ69985te+2Git08TzhrpV1XvSbwlXfO2+KRO+1&#10;exqX/5HK5de/FNnh/EeHqn1YTpsUb+GnPxP/I/LHuXzojyr/RCn5ra1aUrxJHr2reE1rD+0uenHf&#10;7ycv3ufe+D3Fq3gVby6LN37bqqeOnu+E4nXJruJVvMm69+pje6de/a3JPb85+drNSe61E/luuNz5&#10;zLks3tK3sCpzI5/mBFg9F/1WetLvkbuTnz79WYQvdzPwydd+98rlsegCr75/Mlq806cevjI7Hjny&#10;v/R+1JX2X+bL7dplz4s/zth5U+FweqrPPSr7M51SuZvwknXFa5p2aLeG2zV/c9uq3X1fUryKV/Hm&#10;snjjt60K/Znv4nXJLh1RvPMTu8M38c03f3FHtL1H/rYlH0nLDP1FtHA+PtAmH9tM/9en3/nXU6//&#10;zuSOz1d32vOuL1zef+f0L+5bfKnJl//3Kv71vb+z7K+/3PUvwod35ZMj0Xfyh9/L+lsi/BGif6iL&#10;O4r/VeHT8epvVVrdjs+Hzc+e/uPFz2CFXx/+q/ALGvpnWfhVV+TPsjB5Ium/O3VCrSWZkHMHT67v&#10;KKkf2l3qpd67Q83Wc8+qovD71vnH3PPzbz615ytF/7nrwXK/7EcH1iz+svDXrVq7ylW8uSnedrht&#10;VTOL94Yt/S7ZpWOKd3znzJmH0nLtu+3lf9mjsfB+fZl/a2BN4ZUH1qT40Vb7Yaf+4nMf/n/R7D/3&#10;eLt85L9e+PR7/+7y23dO7vnN6i/6/eLUG7+T2nODd3x+at9tM7/8DyX3Nn/hlZZ/NlNZ+PxHb0eP&#10;i37w6OKvuXzk34StLnNf9DdWXj78r5f9UUX4BeEz26CdhC/naO5+enzm7CMJX1DxJpzKD5jt2Jyo&#10;9tDuUv+95/+ucAur0MMv7vv9JvwxQ1Qv/qYbXrmt3C977o3fS3iidUPXrnIVb26K9+7vvRv/3e/b&#10;/0Eui3fltlNOY8ZZzY095zNyumOSZ9Lm76zma6v46FDk1O52Ocm21MJrvOi3TjtvWnq1avzy78h9&#10;v7J6VnNx4acejt63OXZXs2tXONe/2O3/NJXnFUcWXtWjd53VrHjTzYkPLv603BN3E9rd96VQj5Hu&#10;Da3716/eUflkZsWL4m2QEKLNKd6HfvRey29b1ZzivWfXWe8rFG9je2B2dHPkY6j8qJJ8F2+838J+&#10;2rZ4U7jot9pbQ19/0Wn8cVbxmsp28Z78aon7Npd6S1y7i3W1z5pK/OSw2t7h1T56V/Eq3rRyosKz&#10;dms+3hvKMwh/0eQ/puJVvCy16um3W3Xbqmfev5i/4l3TNeRNheJtbA+UuD/z+Jv1B1h2izf+iKaq&#10;Doi1qnjTedJvxRtBl7wLdHi3RH9cEnvUTdaLt+Qfs1w0Jrq1VeWzoKt/um+5hdfw6F3Fq3hTyYn6&#10;D+22FcWreFnqrmd7mlO88d+6+betamjxunAXxdukHqjhfObcF2/YQKQTEv4UoE2KN5Un/X521HHP&#10;Py93qm38+GHJe//moHjjb4lln9hc+KFDTWsvPNoqjXd4bY/eVbyKt86cSP3QruJVvIq3DT1zcPiR&#10;7ccbmr63PL4v/vt+o2ckN8W7ctsp92RG8TajB2aHN9V8/CfHxVuy5aYHHs1k8UYu+v3x59MKsHhQ&#10;hQgs+eOSHBRv4U+R7NzmiBousZ78yYo6n1dUWPjgn9b26F3Fq3jryYmcHdpVvIqXyjbsPd3k21Y9&#10;8NZQPor3nl1n3acKxduMHpg+/UjNRzJzX7w138KqnYu3cOCxa2W1AXb5yN0l8ZfOWAAAHWJJREFU&#10;D4PHg6rcib75KN6qzm3+bOF1HF2/dpOw3V+YfP2Lk923Tu1fVSjhUp+O6MIH/zTeqAkfvat4FW9t&#10;OZHLQ7uKV/HSwuKN37bqB/0tuG1VI4rXhbso3uYVb6Tokp/P3CHFW9strNq8eEMvVVdcL92Y5FLn&#10;wnKGN9W58PYv3lrOba6zeCscCg4lHHStDDE8eeCOpTE8P/HTynfPVryKN92cyOuhXcWreGlh8T7W&#10;PdgOt61Kt3hduIvibWrxljifucoL/HJfvLXdwqrdizc02Gs3V3FKc6nTa+Pn91Y+OyA3xVvDuc1V&#10;bTsVc8eiX9oLvzpy+Rf/j+JVvI2Q70O7ilfx0sLibZPbVqVYvCu3nXqyd8zbBsXbpOKNn888/9Gh&#10;VgVYOxdvDbewav/inTp+b8KLSye7ViY5GX5h8kzlswPyVLzVnts8tX9VM3N3et/DkY/tyqWhqZ0r&#10;o0eGu28tnCZ96K6p3tVJbg2teBVvOfk+tKt4FS+tKt5VT7/dJretSqt4V7982oW7KN6mFm+J85kT&#10;P32no4q3hltYtX/xJozekrkbf/MkuadXzoq3qnObC6uu6hlR235j8s3/o3Dh7u4vVHvXq9K5u+fO&#10;pA+gKh/DilfxdjjFq3hpcvHe+/3D8d/uawfOZbR4H9w76N2C4m1q8cbPZ65wBabiLXkLqwqHNDNR&#10;vNceG9t9a+kYe+nGEDyl/3Sjm2u4tjlnxVvtuc2FPdd3Z+xCfAb7VxVy9LWbCzEce95vKNvQt9Ef&#10;RvzsK6k8jXlueIeaVbyKV/EqXppWvI9sPx7/7VqSu3UW7w1b+te/NeKtguJtavGmcj5zpxVvVbew&#10;ykrxLnZviNvCMb19t13ef2f4iwq3Ap4eeDR6P6Rkb578FW+15zYnPY38tZur/vRdjeHLh/7oytRo&#10;9OPZ93BaJ0vPnv2hmlW8ilfxKl6aVrztc9uqeorXhbso3tYUb+Tb9NrOZ+604i15a+Jye8tW8SZf&#10;ePxU3uQ3985l8VZ7bvOyN20OuRt+WU0fZ4knRc19uLUYw8WzlK8dGa7q/GrFq3hRvIqXFhVv/Pf6&#10;zpGxbBWvC3dRvK0p3hKnYtZ0PnMHFm+IioXJM0kOb+a1eOOHNMPbqXELb//iLX3P6rHtlQ7J7l8V&#10;Pxu5eBr55IE7av0gS+Tu/MRPKyx86uiXCzF89dh+wdXLdyvHsOJVvIpX8Spemla8JW9btfadkQwV&#10;7/17Brw9ULwtKN4Sh6RqPZ+5A4u3ZN6UTL5cFm/82u/KadchxVv64P9y9/EqHnddPI285POfqvjj&#10;X9gdP9W85oWXi2HFq3gVr+JVvDSteB94sa99bltVbfHesKV/bfc57w0U73LF++GW2dHNy37fXG0P&#10;lLjssNbzmTuzeBPewip/xRu/jLnC6budVrzxg//LPqspxXd4idy99F743VNfuHs1K17Fq3gVL00r&#10;3j/f2d8+t60qV7yrXz4dz90VW0+6cBfFm2iW3g43JFb425nBJxJeMLn0JkNzY9vDv37lkyPzl3rn&#10;P/55DbfYVbzxR9Euu8acFW+86Gq49jvHxVvyhl5JDoDX/w6PPzdr8cpqxat4Ubwo3uwW7zMHhyO/&#10;0XePXWy34n3h2Hgkem/fccqFuyjeWoo3cvQmfCe9bP1On1kXf2JqncfoFG+Fx/NE8i9nxRs/ihhC&#10;q5kLb//ire3c5jrf4aVz99c3i1a8ihfFi+LNaPF+bkNX/Dd6rG+s3Yq36J5dZ124i+JNs3gjZ06G&#10;FAnf9UZyK/yTyMW6JWf67AbFW/ONgirfwipPxRvPqvCua/LCM1G8NZzbXM87PJRt/Mt8aWMrXsWL&#10;4kXxZrR4S962al3vaAuL92sHzv2gf6LcEkLrunAXxduQ4i1ZvzMfPJ30UuHxNxVv7f96xVtY5aZ4&#10;41mV8ArVDizeGs5trvkdXjJ3IwfeFa/iRfGieDNavCVvW/Vwz3ALi3fZ6AXFW/2dqy7smB3eFKI0&#10;ydHamqeGc1MVb5JbWOWmeOPPvFk8aVbx1n9uc23v8JLPIopfTN7C4j029MNO1n38IYGheBWv4lW8&#10;ebptlehF8TameJc8nSg0Rqjf2Qu7I+dM1j/hBRVv7X/28rewykfxxuOtnkc3d0jxVnVucw3v8NK5&#10;W+o88xYWr2+vUbyKV/Eq3nps6htrq9tWLfXAW0Phg/F5R/GmXLyRypoZei7F+q35kJ3iLXkLq9nR&#10;/xo+O4WbY0+8Xni+VH3rbdrCw/uqcE7B+a3zF3cUbgxeOD3+b9I9Db5Direqc5treIeXfPRucxau&#10;eFG8ilfx0oTivWljd7vdtirivv0fiF4UbwOLN3K0Z2bwicLzh2LHfKq4YLiOo3aKN35Ar8Q9sT86&#10;lNZzlRux8CS39V76zBvFm+K5zdW+w8s9elfxguL1Zah4c1O8dz3bE/9dvn34w/Yp3mL0bjrh9GYU&#10;b+OLN16/td0iS/HW9TrJ1l7/JdONWHj8PsxlzwWoO9o7qngTnttc1Tu8wqN3FS8oXl+Gijc3xdue&#10;t62Ke+Z9h3lRvM0t3iLF27bFm1b0prjw5Lk7e/7l9ll4Joo34bnNyd/hlR+9q3hB8foyVLy5Kd7w&#10;gvHf5b79H7TbMV6fehRva4q3hhs715lhzmpOvvNColz/5OQWLjx8JMk/8vlL7yneGv7dZc9tTvgO&#10;X/bRu4oXFK8vQ8Wbm+KN37Zq04mJdjvA+42eEZ96FG9rindu/E13rmrtnauWOVha6p66LVl4/IrQ&#10;Rh+g7sDiXfbc5iTv8CSP3lW8oHh9GSrefBRvydtWPXX0fLsV73eOjPnUo3jrL95XwjfZ1ZoZeqq6&#10;pxN98n4Nv8t1v+PVb9nDf9b5OqVffGBNMTYaIbxy/S++MHm26oPqgxvrMXfu8bmRvw3/WefrVPth&#10;z3/8TjssvMKLh3dLQ96E9b3D46ueO//jKt7hpx4OX6TRV/hwS0sWvjB5QvGieBWv4qWhxZuJ21YF&#10;bluF4k1h5id2F79hrdaVT45U0dUjf1vb70Iwd+7R/9lJ4zNem/nx3TV+3Q39RTwyF37V1ao/yMKU&#10;4kXxKl7FS2OL96Efvdf+t6164K0hn3cUb8uO8V49avSthNdnLj3W5BhvKofv8j0zZ//EMd5anHo4&#10;ci5A+NvwD5d9h89dfLWeI+2O8YLiRfFmrnhL3rYqFGZbFe/ad1zEi+Jt3XW8FS78S/2CUtfxxm/G&#10;m++p85LvDryOd9n7Nld4h1f16F3X8YLi9WWoePNRvPHX/0F/29226qmj533eUbwtLt7iLXPK3Zpo&#10;YfLMzOATbdUDijcT485V9Sh53+Zy7/BqH72reEHx+jJUvDko3lse3xd//Wfev9huxRsi3Ocdxdv6&#10;4l18As3s8KaQvlc+OTJ/qXd2dHOKrat4a3sAciif8Imo2dyHW+Yv7gj/WdeLxOpr+ZucTZ5RvHX+&#10;ECpy3+Yrs5cWdzs3/ubi7ZdrePSu4gXF68tQ8eb1GG+7PZroawfO+aSjeNuoeDPUAxkt3mofB1X/&#10;g23TWnj4SKq7bdXoZsVb70std1JASN/Zc8/X8OhdxQuK15eh4s1r8Qb37W+X3A0fiVOaUbyKt7OK&#10;t9oTm+s/xp7WwsNHkvzDruGUWsVb8jDvlcsjVd8wrNYnISteULwo3swV72Pdg217r+Zv9Ix4KBGK&#10;V/F2XPGWvD6z7Od0/M22Wni5K71TjC7Fe91x9Y8OVf1EqDoOrSteULwo3nzcq7nlz+N94K2hZ96/&#10;6HON4lW8HVq8CdOx2hvtNueQY5IGK95VWPHW+8ePXZ27fO7Wd0N1xQuKF8WbueJ9ZPvx+G/x1NHz&#10;LTyNOfS2zzKKV/F2evEWNjy6uQnR2IiFV/jIr8xcSPFWZx1evJHbVi1/q7BPT7TbwhUvilfxKl4a&#10;XbwPvNjXPjevchozilfxKt7YnbFHNy+9I1T469C64Z+3+cKL9/RePN4bQrd46+BUDkor3uIjsqv9&#10;X4D5j95VvKB4Fa/i7bTivff7h9vh5lVOY0bxKl7Fa+EWXs2HN7wpBw9AVrwoXsWreGHRk71jK7ed&#10;2tgzahUoXsUrwCy844u34knvihcUr+JVvGTIC8fG798z8I82nwhWbD0Z/tZOULyKV4BZuOJVvNBs&#10;IxMHUnT2w32HT75adPTs6+V+Wf+5Nxd/WfjrdD+GpSp/GTbu922o/Se+qXhpc+vfGgmVW8zdolC/&#10;1oLiVbwCzMI7euE13Kh5YfKM4oXmdI5pnzl4cr3ipZ0P7a5++fTS1l0UMth+ULyKV4BZeAffuer0&#10;I01+NJHiBcWreBUvKVrTNXTDlv6SuRuE/8q5zShexSvALLyjF57k0cdLZ3rgUcULilfxKl7a4Q5V&#10;t+84Va51F61++bRdoXgVrwCz8M5deCjYah5NdKgNF654UbxG8VLyutYH9w7m1eIdqpJwbjOKV/EK&#10;MAvv6IUnvH/VlZkLqTwJWfGCgFS8ircJkhz/7BDObUbxKl4BZuGdvvBlo3dh8sz0mXXtuXDFi+I1&#10;ipc4obtU6H9vCRSv4hVgFt7RC58eeLTkNb1XZi7MjW1P5eiu4gXFq3gVb3Ns7BlVuRFruoa8MVC8&#10;ileAWXinL3z6zLrZ4U1z57fOX9wxO7p5ZvCJFFtX8YLiVbyKtzke3DsocePnNj/fd957A8WreAWY&#10;hVt4xhaueFG8RvHiIl7nNqN4Fa8As3ALV7xaC8VrFK+LeDva2u5z3h4oXsUrwCzcwhUvKF6jeF3E&#10;mzf37Drrps0oXsUrwCzcwhUvKF6jeDNsTdeQuI1fxOupvChexSvALNzCFS8oXqN4M2/1y6clbuTy&#10;XfesQvEqXgFm4RaueEHxGsWbBzds6Ve5HkqE4lW8AszCLVzxguI1ijdvnuwdU7lFK7edCtvwlkDx&#10;Kl4BZuEWrnhB8RrF6yLeXLl/z4CbVKF4a5z58Z3hu+G0hO+qi0mQvoE1hVcO31s34MUb+GFn98Ut&#10;3MJb9OILUycUL4rXKF6K7tl11k2q3KQKxVtf8U7sLn7DCtAOFC+K1yheFq3YerKTc3f1y6cd2kXx&#10;OqvZSbYWbuHOagbFaxRvDj3fd77DD/B6D6B4Fa8As3ALV7ygeI3izae13ecULyhexSvALNzCFS8o&#10;XqN4XcSreEHxKl4BZuEWnqPiDd+zQjsQkIpX8TbIym2nFC8oXsUrwCzcwju0eI0xRvHm2AvHxj2U&#10;yNsAxat4BZiFW7jiNcYYxZtD698aUbzeBihexSvALNzCFa8xxijeHLp/z4Di9TZA8SpeAWbhFq54&#10;jTFG8bqIV/GC4lW8AszCLVzxGmOM4nURb/atf2vEmwTFq3gFmIVbuOI1xhjFm0kbe0ZlbQW37zjl&#10;TYLiVbwCzMItXPEaY4zizaQH9w7K2so29ox6n6B4Fa8As3ALV7zGGKN4s+f2HS7idZgXxat4BZiF&#10;W7jiNcYYxZtHgjaJ5/vOe6ugeBWvALNwC89t8Y5MHCAVFz4+WmHPkzMXrKgyAal4Fa+LeFvinl1n&#10;vVtQvIpXgFm4hee2eBvxDWtnCt/9V/7JghWl0jlG8SpeF/E6zIviVbx6wMItXPEqXsWreI3i7Wir&#10;Xz4tZR3mRfEqXgFm4RaueLWW4lW8RvHm0A1b+qVsQmFXLxwb955B8SpeAWbhFq54UbyK1yjeDHiy&#10;d0zHVuXBvYPeNihexSvALNzCFS+KV/EaxZsBa7qGRGxDD/Nu7BkNkVy0tvuctxyKVw8IMAu3cMWr&#10;eG1J8Spexdskz/edD0mWe/fvGUgxetd0DdV2YzAP9UXx6gEBZuEWrngVr+JVvIpX8ZJ+2KdYvCu2&#10;nlS8KF7FK8As3MIVL4pX8RrFS7u4Z9fZFKM3+fnJihfFqwcEmIVbuOJVvIpX8SpexUs+D/MqXhSv&#10;HhBgFm7hilfxKl7Fq3gVLw0XgjPF6F3/1ojiRfEqXgFm4RaueFG8ilfxKl7awsae0RSLN2G+Kl4U&#10;rx4QYBZu4YpX8Spexat4FW8LbDox8cz7F9vfd49djH/wj3UPbth7uoJnDg7H/62V29I8zBsSWvGi&#10;eBWvALNwC1e8KF7Fq3gVbzv69uEP/+2+D9rfwz0l2nXV02//4/VvVHDTxu74v7W2+1yTD/MqXhSv&#10;HhBgFm7hilfxKl7Fq3gVr+JNuXiDDXtPx//FFVtPphi9z/edV7woXsUrwCzcwhUvilfxKl7Fq3ib&#10;Xbx3PdsT/xfXdA2lWLz37DqreFG81838+K7iN6ypCN9VF5IgvReMvHJDX7wRr5zdF7dwC2/Viy9M&#10;9Stexat4jeLtTOt6R/NdvEH8at4Xjo3fsKW/OYd5N/aMLr1BtOJF8eoBAWbhFq54Fa/iVbyKV/E2&#10;SSjJ3Bfvvd8/XPm4a7qHeZ/sHVvbfe7+PQMlb5GleHFWs3M+nWRr4RburGbFq3gVr+JVvIo3teL9&#10;3IauTX1jkX/3+b7zKRbvDVv6Q0KHml320LHiRfHqAQFm4RaueBWv4lW8ilfxKt7Uijd4ZPvx+L9+&#10;z66zKUZvuo/wRfEqXj0gwCzcwhWv4lW8RvEqXsWbqHhLPqYo3cO8CQ8F379nwLsOxasHBJiFW7ji&#10;Vby2pHgVr+JVvHUVb/hvQ+hWfkzR0ntKNciKrSfv2XV2TdfQk71j3m8oXj0gwCzcwhWv4lW8ilfx&#10;Kt7myUTu1ly8j2w/XvkxRRt7RhtRuSu3nQqVu7b73LKP6kXxKl49IMAs3MIVr+Klsba8/Qf/8e//&#10;ZdGGV24r98uee+P3Fn9Z+Gt7y9DPPhRvxxZv+DVLD/PGH1MUlLyjcm0X6N6/Z2D9WyMvHBv3vkLx&#10;Kl4BZuEWrngVr+JVvChexdvA4r3l8X3h1zz0o/cW/8nd33s3/iJru8/VU7kP7h3c2DPqjYTiVbwC&#10;zMItXPGieBUvilfxNvXOVeHXbOob+9yGrgqPKQpWbD2Z/NZTq18+7aJcFK/iFWAWbuGKF8WreFG8&#10;irf1xRs88GLf4j956EfvxV8nFOyyt55yUS6KV/EKMAu3cMWL4lW8KN4s+e6xi51QvEsP85Z8TNEL&#10;x8Zv2NIfufVU8aJclYviVbwCzMItXPGieBUvijeTnnm/I4o3uPt77y7+wz/f2R9/qQf3DhYvynXr&#10;KRSv4hVgFm7hihfFq3gVr+JVvFkq3mcODkfu4QyKV/HqAQu3cMWreFtTvGMfHbEixYviVbwpFu/i&#10;Yd6bNnaXfDAvKF7FK8As3MIVr+JNTd/A31TY89TshBUpXhSv4k23eDf1jZV8Hi8oXsWrByzcwhWv&#10;4k3ZxCe/rLzqY0M/tCXFi+JttKeOns9r8d7y+L57v3/YpxjFq3j1gIVbuIUr3mYLNZtk2/tPfNOu&#10;FC+Kt6G+ffjDPBVv+NsHXuzbsPe0zyyKV/HqAQu3cAtXvK0ROjbhti98fNS6FC+KV/FWKN67nu0J&#10;HvrReyoXxat49YCFW7iFK962EDo2+f9fOLdZ8aJ4FW+F4gXFq3j1gACzcAtXvNk7n9m5zYoXxat4&#10;l/ragXPfOTLm84XiVbx6QIBZuIUr3jycz+zcZsWL4lW8D/cMhw/vqaPnf9A/4TOF4lW8ekCAWbiF&#10;K95cnc/s3GbFi+JtglCV7ZO49+2/VrnPvH/RpwbFq3j1gACzcAtXvDk/n9m5zYoXxZv74g2V+42e&#10;ke8cGfvuMZWL4lW8ekCAWbiFK95OOp/Zuc2KF8Wby+J94K2hte+MPNY3tumE05VRvIpXDwgwC7dw&#10;xdvB5zMvnaODf2eTihfFm67vHrvYtFtPresdferoeZULilcPCDALt3DF63zmEjM5c6H7+EP2qXhR&#10;vOn6zpExt54Cxat4BZiFW7jiVby1CI0aSjWt//sYmThgpYoXxZu6te+MuPUUKF7FK8As3MIVr+Kt&#10;WmjUdP8fxLnNihfF21bF69ZToHgVrwCzcAtXvB0q1Gnq/w/i3GbFi+Jt+VnNi7eeUrmgeBWvALNw&#10;C1e8Harr2B99cPGnIxMHSqp8L6uQteX+xcDjeRUvijctoVqTH8td1zvqBsugeBPN/MTu8K0wQJtY&#10;mDqheJvs4Mn1rtdVvCjerOTutw9/6O5ToHirKd7xnTNnHkpL8RvWFF/wMwNrCq88sKYRL97ADzu7&#10;L27hFt6iF1e8ilfxKl7FK3dL+kbPiIO6oHid1ewkWwu3cGc1o3gVL4o3S+7bv/yzhdxyGRSv4hVg&#10;Fm7hihfFq3hRvLm6P/MDbw091jdmRaB4Fa8As3ALV7woXsWL4s2kTScmSt6eyiW7oHgVrwCzcAtX&#10;vChexat4FW/eDvOGv9W6oHgVrwCzcAtXvChexat4FW+uDvM+3DPs9lSgeBWvALNwC1e8ilfxKl7F&#10;q3hz5duHP3R7KlC8ilcPWLiFK17Fq3gVr+JVvACKV/EKMAu3cMWL4lW8KF4AxasHBJiFW7jiVbyK&#10;V/GieAHFq3j1gACzcAtXvIoXxYviBRSv4tUDAszCLVzxKl4Ur+JVvIDiVbx6wMIt3MIVr+JF8Spe&#10;AMWreAWYhVu44lW8ilfxKl7FC6B4Fa8As3ALV7woXsWL4gVQvHpAgFm4hStexat4FS+KF1C8ilcP&#10;CDALt3DFq3hRvCheQPEqXj0gwCzcwhWv4kXxKl7FCyhexasHLNzCFa/iVbyKV/EqXgDFq3gFmIVb&#10;uOJF8Spexat4ARSv4hVgFm7hihfFq3hRvACKVw8IMAu3cMWreBWv4kXxAopX8eoBAWbhFq54FS+K&#10;F8ULKF7FqwcEmIVbuOJVvChexat4AcWrePWAhVu44lW8ilfxKl7FC6B4Fa8As3ALV7woXsVrdYoX&#10;QPEqXgFm4RaueFG8ihfFC6B49YAAs3ALV7yKV/EqXhQvoHgVrx4QYBZu4YpX8aJ4Fa/iBRRvOxbv&#10;K+Gb7LQUemBgTYovuKj4LXv4z4a8+MCaYmw0Qnjlhr64hVt4zha+MHlC8Spexat4FS+A4k1n5id2&#10;F79hBWgHC1OKV/EqXsWreAEUr2O8DjlauIU7xoviVbyKV/ECKF7X8bqs1MIt3HW8KF7Fi+IFULx6&#10;QIBZuIUrXsWreBUvihdQvIpXDwgwC7dwxat4UbwoXkDxKl49IMAs3MIVr+JF8SpexQsoXsWrByzc&#10;whWv4lW8ilfxKl4Axat4BZiFW7jiRfEqXqtTvACKV/EKMAu3cMWL4lW8KF4AxasHBJiFW7jiVbyK&#10;V/GieAHFq3j1gACzcAtXvIoXxat4FS+geBWvHhBgFm7hilfxongVL4DiVbx6wMItXPEqXsWreBWv&#10;4gVQvIpXgFm4hSteFK/iRfECKF7FK8As3MIVL4pX8aJ4ARSvHhBgFm7hilfxKl7Fi+IFFK/i1QMC&#10;zMItXPEqXhSv4lW8gOJVvHrAwi3cwhWv4kXxKl4Axat49YCFW7jiVbyKV/EqXsULoHgVrwCzcAtX&#10;vChexYviBVC8ixO+uQzRm5b5id3z4ztTfMElXgkvHv6zES8ePuarL/5SY158V9CoF7dwC8/dwq/M&#10;Xkj4P1+nxraRil+Obj029MNy/mH4RStqpkOnng0FW7TlwFfK/bJXf7Fu8ZeFv7a3dpDwf7s+mV0I&#10;318CtIkPp+ZyXrzGGGOMMcYYY4ziNcYYY4wxxhhjFK8xxhhjjDHGGKN4jTHGGGOMMcYoXmOMMcYY&#10;Y4wxRvEaY4wxxhhjjDGK1xhjjDHGGGOMUbzGGGOMMcYYY4ziNcYYY4wxxhhjFK8xxhhjjDHGGMVr&#10;jDHGGGOMMcYoXmOMMcYYY4wxRvEaY4wxxhhjjDGK1xhjjDHGGGOMUbzGGGOMMcYYY4ziNcYYY4wx&#10;xhijeI0xxhhjjDHGGMVrjDHGGGOMMcYoXmOMMcYYY4wxRvEaY4wxxhhjjDGK1xhjjDHGGGOM4jXG&#10;GGOMMcYYYxSvMcYYY4wxxhijeI0xxhhjjDHGGMVrjDHGGGOMMcYoXmOMMcYYY4wxRvEaY4wxxhhj&#10;jFG8xhhjjDHGGGOM4jXGGGOMMcYYYxSvMcYYY4wxxhijeI0xxhhjjDHGGMVrjDHGGGOMMcYoXmOM&#10;McYYY4wxitcYY4wxxhhjjFG8xhhjjDHGGGOM4jXGGGOMMcYYYxSvMcYYY4wxxhhT//z//8rU2MPe&#10;dJUAAAAASUVORK5CYIJQSwMECgAAAAAAAAAhAMWbyCjofgAA6H4AABQAAABkcnMvbWVkaWEvaW1h&#10;Z2UyLnBuZ4lQTkcNChoKAAAADUlIRFIAAAGBAAABgQgGAAAB9149sgAAAAFzUkdCAK7OHOkAAAAE&#10;Z0FNQQAAsY8L/GEFAAAACXBIWXMAACHVAAAh1QEEnLSdAAB+fUlEQVR4Xu29B7gdxZXve/CYec/2&#10;jD3vu2PPm5fuvb6+9871zADSIQghJKEsHWUyHEAkISSSEBmkgwIgIWEy6ATlfJSzjnJEEQWCyWCC&#10;QQlQAGEzxv1qddfqrq5enXZ37+7eu9b3/T7PEMTu6v/6VXXt7t4VqoSaur/jz2bs6KNN39Fbm7q9&#10;tzbllV7aZMbEbT21CVt7avVbemh1jPGbu2svb+qujW3q+DPj30y5pmzv9r9m7+qjzdzZRwtzAC9u&#10;qtJe2FilPbehm/bM+m7a06s7/C/jTyxiNe7uq83Z1VeL5QDWddWeYoxb20V7ck0XzfgvJFxJHsDo&#10;1Z21J5o6J3cgc3dfrBXjAB5r6qSNXNVJG7GyY7wHE+cBPOtzAKP4ATy6oqNWs7xDPAdSzDMgH8BQ&#10;xsPL2kc7kDQiBAcwTDiAh5a21x5Y0q6wA8nCGcADuG/xRdo9DOOTBay0zoDXAQxZ1FYbvLBt8ANJ&#10;q4mpA7hXOIC7FrQJdhBZPQN3sgO4Y34b7bb5rb0PJCtN7HUAg+a11m6de6H7gWSpicUIyQdwS6PL&#10;Qczb0/df8nAG4AD6z2mlXTfj/H8xPrlQXgfw7Z+/kvjSxjcyfzI46cIJme+O6hwnoA7gJsaNsy9w&#10;ng2vMyAfQJJNLB/Eu4f3kQdw/SzpIGr3VP7UK0LyGRAPIG6NigdwjPHO4b3kAVw3s6XW5oXf/p1x&#10;BKz8esDtAPzOgBihME2MB4AHQR3AtTNaatUzzrfOhl8Th40QfvCZux/Sz4CY/zBNrB/Eob36AdxA&#10;HMDV04WD8DoAsFCYM4AHgBF68/Ot5hmAgxi+spfrGZCbGA7ibXYQ1BmAA7hyWgvrILwOAM4AHESY&#10;COEBfPOn4zpihMBCQTWKB+F2AFeIB+F1AHAG4CCCNDEcwN5PVppNjAfw3qEDZoQg735nAHvg2Kmj&#10;2lvsINwO4LKp51kH4XUAcAbA/X5nACwEByFbCA5E7AE4CL8zgE2MB+F2AJdOEQ7C6wDgDMBBeB0A&#10;zgNwEJB7+QDgfzFCcBB+B4BN/DUcxMG9rgdw8eRzrYPwOgA4A3AQXmdAnAfgIMQeEA8AzgAchN8Z&#10;wB6Ag/j9wVddD6CveBBeBwBnAA7C6wyIEUKVihEq5AAgQngQbgfQZ9I51kFQByA2sb4OYh/A6wyI&#10;E9n0XY+Sa6GwBwC8yQ7C7QB6TRQOwu0MYITExZzbGRAjFGQic4/QEfMA4P+Gg3A7gJ4Tz7YOomZJ&#10;5U/dDgAihAeA4AFEXU6LTSyfAeNgjINwO4A2L/zSWjtBuR0AREg+CACzb8Li4racBnAtZIN9WMD6&#10;4PYD+IrxxhevkgfQY4JwFrDcDoBq4iTOgJtG4SCoA6hqIA4CttfdDiDsctpvJpab2GsecDuAjnVn&#10;/Ff+0e3ldwYm7RiiTWQ0bL9bq3/lbq1u22BtPONlxktb79Je3HKX9vzmO7XnGM9uvkN7ZtMd2tMb&#10;79Ce2nCHNm7D7dpYxpPrb9PGrLtNe2LtIO1xxmOMUWsGaSNXD9RGMB5tulVn2KoB2lBg5QDt4RUD&#10;bAfQraHSeRaw8nAG4AC61nscBFSYAxB7IDMHgJVWE8d2AFBZPQNd6psHPwiouGfioh8AVlaauOAD&#10;wMrtGZArrSaO7QCgchkhsdKIEP9Px1PUGYC/nrsDwDPA/7Ktrpl1zv+I4wC6vHzWb/kfGU8NWdj2&#10;P/AA+F8KVD0b/uffhzkA+Of5v6pKlVjwBQ3srE/bDrvrxr7upG29tAnbemoNW3vqe1q1m3toL2/u&#10;rr20qXu8zVtozd7VV5vFPrjfh4dNOfHDw2bE8xuqtGf59Tz/44pXjfo3q8E+vDzy8of/nX4Z3FUb&#10;yy7C+B+fXM3d3VcL8+Fx5GEzzu3DP8U//Bh+Ffk4uwjj/7l4K+yHDzPy4oeHq8eR7NqF/2ej15yt&#10;vc8v1sjjhx/OqFnBrltWtj+ff4zCat6ei7VCP3yhI48fHi59H+HXLPzjhKt5u/r8udixoT78g0vb&#10;afcuaftn/rGCVxKxKeTD388uuOBqkX+sYJWVkccPf8+ii7S7g67R0mpYvw9/F18l849J17xdfS/P&#10;4sjjh7+dXZ8MnNvqSv5xnWXcu5TdDw9XhwPZxRX/uPaavaPPX8PGJo0PP4DRf3arv/KPbVUeRh4+&#10;/C2NrbSb2WUt/9hWuX34U+ZtPiIx3nD1J/dviNw+PFzS8o9tlNfIyx8+yZGXD8Dtw9/Arsf7zWpp&#10;HYRXbOwH8KXrh49Llfjh4bs4+PBL35ygjVp9g+PDw4YC//jGPUpumRc//NGTHwYe+YMnPjRjEybz&#10;+OEBGPklb0zQRrIDkD/8NTOE+5O8GtZv5J0f3vqKF0ce8x6mYeEA+rPYLGYHMLzpeseHh10Qzw+P&#10;qsRmDTry8MHdYgMNG9Q2cAAQm0WvN2iPrrre9uGr2Ye/anoLfRunwm3kUZV4AIV8eLiJBMCRB9ss&#10;OPC074eHhoUDgNjAAdSs6uf48LD/dPnU8zT9pipq5HFtAx8e9BikYcXYwAeHkYebqsTYQMb9PjyM&#10;PHyRDrFZyA5g2Mp+jpGHD3/ZFHYAbiOPmUe/e4082gYOQIwNngExNnAAfh8eRh4OAGKz4LUG7ZEV&#10;15Ef/pIp52oVXh8eYoMH4PfhYeShUcUPDyMP/ytmHg6A+vDQsKIq4dYFiM381+q1h5dfZ4sNfnjY&#10;uqwQY0NNUngAfh+esk3QD09NUnAAEJv5B+q1B5df6xh5+PB9JrED8Fvb6AfAPpTfh8eRhwP44Og+&#10;h23gwwNBPjyMPBwAqHIeHMCya8kP33sSvwfJ62IE1zZBPrxoG/zAIkE//JRd4/QDgNjMZQdw/9Jr&#10;3D88lNuHh9jICzO/Dx/U814jb3BEz3zj/jrtPnYA8oeH7Xr+8Ssq3D48xEb88EAcH15uWOrDAxAb&#10;OIB7l1Y7Pjx8UcI/fkWF24eH2MgHAGCzWsR/0xQAsZnDDuCeJdWOD99dPAAo6sMHzXzUkce1DaXK&#10;2fvqtCGLq70/PFTSH94t824zLGZ+1t467W52AOKHr2ogvhx8am3nH7w+PN4oNYHfKFX/ymCtFm+W&#10;2jpYv1HqBfNmKetGqd/pN0vdrt8shTdKjV43yLpZCm6UWmPcKDW8ybhRqqZpgHGz1MoB2iOMwYuq&#10;bR++a12l85oYKksjT2UePjx8Pcs/rrMea+p4RZY/fFdGp/FnXcU/Ll1pNqzfh+8S9IvxLI584A+P&#10;lcSHT3zkxXpo6UV/zsrId6o763v+scJV3B++kJHvXBfxdpy75rW6IK2G7fTiv7bkH6PwykXDelUa&#10;I8//09FL/vD8L1ckNfL8j4+nxA/P/5Kj4mpY/sfFU5h5/v8GrrAjz/81VbmoKdu7tzL2cI19XHzO&#10;FHcV9acdga3W7qK+27Kheyv+R6jyq1k7e32HXxQB+Gy49dVF8ME3TwDf4gXgyTXYfMGn13Af45l1&#10;Xb/jH6G8Cr7UxW+l4Z0OcQ0+DLw4+LDf6Db4+jOQfC8GgOfAYGcAHqUau7oLfdGa55qzo8eV+C6W&#10;og8+H/gggw9bM/AoGOxwwNNUuFHwxKr23teyWa3GXX2+0++A4XfBJDH4snYKTb7b4OsnoMnYrcGn&#10;wkat6Jh9fcFLrJIe/Li0E2bw4ak22LiBB8Ng/wMeDuOHnI2au6vP98UYfDn5+glIOvnE4MMGFDzc&#10;Bvs4+gNuS9oVtgURRxk3mpZP8uXBh400fEAP96T40CRfjWzNntXkw1sf5MGHuw3iTD41+PCQIeyr&#10;wYOGdy9pk+y1SRqDX5QJN4bB1zc2+eYmPGfFhyy+mru7z6ly0g4MfKGDD/s9+qOGjDsWtDnFhzBa&#10;leuEG2Xw4VlP2DGExyXFLc+CSk244QYfBl4cfHxiGOBDGq7UhOscfP0EBEi+OPjwjQU89Qwb/3xo&#10;g5VKfvTki4MPj53DNy/w6DkfYu8q6uDzgS/W4MPAF3vw4Ts7GHz46guf/edDTdfMXb1OFTL41h3x&#10;blgPWMjgbaCu/MkOdceZF8670WSMu9MQ6g41N2Dw4QW0XskXB9/8Cm9GS/dVU6HJpwceMAY6Le1E&#10;TT418AjcKgiD/+7hvfpzHV7Jx8GHl0f049+h8iG3VxTtuA0+EHbwszbhUoOPQPLhBcDwbAokH55P&#10;8Rt8AN7gAd8F86G3qpDBR+fHMfhBkk/pBhEVk4Tzv/z2oO0EAJB8PAkw+CP4Q0J+g1/Nv4znQ29U&#10;Id/hikvNoINf6FJTHGy/5IsnA5IbNvlBJlw8CaAdeHcxPOQEA48POvkNPt5Ec+mUSmufqdDBx9WO&#10;eBKSSr7b4MMzGlTyZ7060pxs/ZIfdPBxwsWTANqBkwDPOcHgiw9reQ3+ldMM4H4afgqst2R7Db7X&#10;UlM8CXFNuMe/O2yeAHnwYeCBkat66YOP/79TO+1MlwfVjtvgixOufhJOHdXfVgYnAZ7VgsGH57Xk&#10;wYeBFwcfBt68mYnBT4Hxlu+gyddPAB981A4MPi4pow4+Trh4AijtDF/ZzRz4g8c/8XQ+noQoyZdX&#10;O/gABWgHXuANz5vB4A9dwR+a80g+Dj7ckAVvouKngL+lPETyZeeL6/oogy8uNfEkBFnt4AmhtIMn&#10;IWzyvdb5+AQLDDyeBBj8h1dc55t8HHy8I46fggr9Lethki87XzwJYSZcv6Wm22oHB13ks68/dEy4&#10;eAKAOAYfJ1x8dAi0A+8ehwcXIfkP8YcXvZKPgw/Au9j4KbDeEh80+bLzxZNQaPL9VjuPrepLamf7&#10;hyvICVc8AXENPk64eBJAO3AS4NlFGHx4ftEv+Tj4cE8ovAyPn4KKipc3d72AHHw+8G6Dj9rRTwAb&#10;KCDK4MPAU9oxToS1tfDQ0s7kakcc+KCDT13hwoTrtdTEkwDagZMAz1/CwD+AD5EGGHy4Kbf7hDPs&#10;X4WGSb7sfLe9naDa8XO+mPx3D73qGGyROLWDg//p1x+YA29xRFcOvLseTgIMPjxHGmTw4Y5ogA+9&#10;VYUMPmpHHnyZpPZ2oi41/QYfkk8NPgLph5PQuL9OH3zxYV6vwceXifKht1eQwacmXGrgRaIkHwZf&#10;nnDjWmp6Db6oHXnwEdDOm1+8qj/LC4MPz/MGGXzP5wLgLuUgyZedTw28DE6w7ljOByjVeIFXsb6w&#10;ARWxDzSFc/Dh1ycA0A78gAM8jwyDP4Q/VO01+PBESbe65t63UwZJPjXh/uHLA5z9Oh+JHDX4kOAD&#10;kSP7tPcJ3pM5vE/fx7ezV99Ms8HW8HBFKwNrexsH9+oTrAyoxgEbdBh4ETgJMPjig+HU4MO7jAM/&#10;0uOX/CQmXC/nJ60dWGoGvcL1cj48G+41+J6PW1MVZPCzPuH6LTVh8MNe4QZ1vjz4BT+Np5Ifz+BH&#10;fhd8kOTHNfhhkl/o4Bcz+cZPIcT0WCcb9FNxDL5+Asok+frD7+PPiv+hkjwmXx78YiQ/1h8Coapm&#10;SYdWasJ1H/wOtdJ+UJJVyOCXqnZg8CO/dyNKsYH/PgvaSSv5nerOTO9xKbGGLGr323JLPj/0bNSQ&#10;BW2Ol8uE27k2gdVO1Crl5OsnQB/8M6v54War/Aaf/2Nk3Tzngh8yrR23dwFmodwmXP63I1W/med/&#10;l8aE67ulnGbdu7jNm7jaqdAqTuN/ObW6fNq5FxaW/OYX8j9Claqc1+RXevwFb1aG2zXxlk28Y1C/&#10;cY3fN4X3Tr28udtfjH9bVajC5yNmCLfohx18/b4p8d4pfvcIYPxXVNkKHsvCR7OCDv6kAgYf7516&#10;nvHchqryPhn4RGghg19I8uXB1+8gwRsYGManKoOCgTcG3xj4LAy+eRPD2q6leyLgLQBZHHwYeBx8&#10;uIlh7FrjO3TjU5dA6a9fyNng6zcx8O/QjaPIYc3d1eekc/ALc34cE66XdtwG/wkGfIf++MqOJ42j&#10;ykmZb32JYfCTSH6owW/qpD3G7x4xji7DNWdH79vowc+OdgodfLiDBG5gqFne7jbjaDNW88Q3fWV0&#10;8IM432vw4e6R4SuMO0iMo85IGYN/MTH4OXH+mnCDj3cNGkefcuV+8EMmHwcf7x4xRiGlyoN2khx8&#10;vH3HGI0ilxp8694puHXHGJUiVblNuH6Dj/dNGaOTcJXrhOs3+HjjmjFKCVW5T7h+g69/lbsooZOg&#10;nB9s8PUbGBjGqMVYavCDDz7cQWKMWkylJtxwg6/fvhPTrTts8NWEW8jg6zetxXEScjv4KSYfB//2&#10;+RFPgHPws6OdPAy+fr/sPO/bNl1r9u7ef8nq4GfV+dTg6zcqz2sV/h4lNfgFDL4+8NLgz22t3yVu&#10;jGrAyqXzMzDhOpNvDL5+m35jiJMQdfCTSH6enE8NPjwjYYyuT83e3nt31rRTCoMPT4TeNOeC3cYo&#10;e1TWBj/Tzg80+K30wceHU4xR9ig1+NEnXLfBv2m2z+8XFOr8U7Y3trthvcVXRHyTI8mfnFAvlfKC&#10;fskUYn/ZVJgXTgXRDgy+fgLwsSyvk1Bo8ukBFym9wQcOfLbFd/Ax+Tj48EycMdpEFaodetAR68cj&#10;gmgnSxMuNegicALCDv71s1x+OKLQwQfn0wMPGEnPq/OpQUfgHXb72QmAgV/yRoOr8+XB78cfSDRG&#10;Xagwgy9fZMUx+Fm8yKIGHsCXCIonYOz6Qa7Olwf/WuoEFDr49AmwPJ837YirnbsWOE+C+QZHBpwA&#10;SP5idgKeXD8w8ODDo7jGqPNq2Nry78NqR1xqFnvwqcl24YGx8S81GYdPfEIOPp4AcD6cgDHrBvpq&#10;Bwcf6NnQ8u+N0WcVZfBhnS8P/rFTn8c++CvefIYceERc3cQ1+OI6Xx58PAGgHfi1Dv0EBBz8agY8&#10;hG6MPqsogw8XWTj4SV1kUQMuamfvp6tsJwCINPjURRZf7YgnYN9nm3XlwAkYve7WUIMPbwAwRp+V&#10;1+AH2dUUlRM5+dKEKw76jo8W+DpfPAlxJF9e59tOwKd4Aur1ExBm8K+aJp2AQgcfthfEExCndsTB&#10;pybcNz/fSjrfOAHGhVWcgw8TrnwCQDsL2Ql4gp2AMIMPr18wRp9VIdoR93bwBMQ94XoNPiQffpXD&#10;bcLFK9tPv347tsGHCdd+Ajbp2oET8PhaOAHBBx/efWGMPqsogw+pxxOQxOAD8uDLP40CUM7HkxDX&#10;4MOEa56AU0fZ3LNJ186C1+AEDAg1+PDiET781s9lFTL44gmIY8KVl5puyQcg9fh/UxMuDD4sH0NP&#10;uB67mjj4wKvsBIB24AQ8tmZAqME3T0DDuov+c1jny6sdGHzYPIs64YoXWXgCqAlXPAHvHzqgvcd4&#10;aGkHx4SL63fQUNTk40UWDr51AlqaJyDM4MNrdzpPOvO/VEzc0r1HlMEH7eDuZVTtiFe45gmQBh+c&#10;jyfALfno/Ck7a8yTEMfgw4QrnwDQDvxC0yh2AsIMvv6+o8ln96xgg39NIdoRJ1w8AXENPmgHT4A8&#10;+Djhnvjua9uJkAcftDN0eU/zBEQZfPEKVz4BoB04ASNXGycg6OADF08557qKetYBUQYftIMnIIrz&#10;5b0dPAHU4IsTrngC5NXOV98eMk9AuMF339XEwYdf6NjDTgBoZ96BOv0EBE4+f9tXH+iAlzd0/i9R&#10;Bh+0gycgrsEH7cDgw3peHvwvjv3BHHTQDv7f1FLTMfj6wEuDH+BrRPEKFwcfTwCkHk7ACHYCwgw+&#10;vGat88tsDtAn4giDD9oxT4DX4IfcUsar2WOnDjuSj4MuQi018QREcb68vWD9Ps1RbfcnwgloGhBI&#10;Ozj48I47ffChogw+aAdPQBzJR+c/1tTLPAmydiD547cO1ge+8dVxnoMPRHG+vL0gnwDQzlx2AoY3&#10;3RJq8G0nIMrgg3bwBMQ1+KgdPAEAtdpxS/7HX72VyODDhCufANAOnoAwgw9vd+TDX1ERZfAh9foJ&#10;YIMU5+CjdqyTcJRcanolf/DC9gEGP/jXiDDhyicAtDN3f532KDsBfs4XBx9ercmHv6IiyuDrJ4AN&#10;EBD34KN25LsXqMHf+sFC2+Aven28c/BDTrjy4IPv7Sdgo66dRnYCatgJCDP49hNQwOCLEy6eAGDF&#10;60/FOvioHfEEiANNEdeEKw/+V9/Cj8HhCTiinwDQDpyAYauME+CnHRx8eKMvH/6KiiiDD9oRTwCu&#10;3z8/9k5sgy9qhxpw5MGl3WN3vqwdHHxgFzsBoJ05++AE9A81+D3FEzBma8u/L3TwQTvy4CPHvzsS&#10;6+BTzo/rCjfs4OMJgNTP2Vern4Awg9+y4X9a3wlDBRl8dL682qEGH8nW4Bc+4cqDL5+AoSv7+zof&#10;Bx9eJs6H3apCBx+gBl4k8cHXB14a/JgnXHnw8QSAdmabJyDY4MNb3PmwWxVWO+Jqhxp0kSxpRz8B&#10;AQbffgKcgw/ACQDlwAl4ZOXNgQcfXqHPh91ehQw+rHaoQacQL6yc2JeaQVY7Mua3VV6wAZWxJ12G&#10;Hnz4SdydH1sn4OEVN0cbfKhCBh+WmtRgy9CDjuRv8PEEgHZm7bVOgN/ge56AoM5PYp0f2fkO7YR3&#10;PlDNCLqrCScAtIMnIMjgw8+m8OGmyzf5Lrua4g9C234Mmv8gtO+PQQNHgv0gtPPHoPc5fwyaEejH&#10;oBnUj0ED1A9Cyz8GDamHE/AQOwH+g++Rfqyg2kkl+QlOuEGTT63zZ+4drz3IT4DX4MMPBvFhdq+n&#10;1nbaVQqDn4R2qMFH7cAJ8Bv8Lg3N9/Bh9q6ogz9pxxBtImfC9rt1Ghj1rwCDtbptg7VaznjOy1sH&#10;ay9tvUt7Edhi8MLmO7XnGc+Z3KE9u+kO7RnG08BGg99tuEN7ijFuw+06Y4H1t2lPMsYA64BB2ui1&#10;g7QnGI8LPMYYtWaQNnLNQG3kaoMRjOFNt+o8KlDTNIBd8Q7QhiIrB7Dlp8HDKwa4DL71O2V8eP0r&#10;8xNuDBdZYZIf5grXbfDhR+L48AYrffBTejIl684PNviGdgoafKgn1nT8ixr8eAa/c33lD3xYw5Wa&#10;cKMPfkHpFyubg58P50cefCg14RY++PCzuHwYo5Vyvt/gO7UT2+BjKeenOPhQavCDD37npH4KXU24&#10;4uDTzk9s8LHUhJvi4GMVWzv6CYh58HOjHbdSzk9x8LHU4Kc4+FjxDr5yfkGlJtyUS024KdZdcy/4&#10;13JyfqeGM27nh56NKs3Bp7XDDzk7Fcr5jsHPj/M71zb/hh9yduquha1HloPz+eFmr4IMPv9H9crb&#10;4POPnb26s7HlWX6Dz/9RsrI+4fKPmc3ynnBbN/B/LFBlbcLlHyu75Tb4/G9HqrQmXP6fz3bJF1ls&#10;hXM9/1uJVNLJ5/+ZbBfu7Qyef+Et/C+lWldMOfc/wg5+j4bK8L9cpEqVqoRrypbu/9+kLT1aTNne&#10;q9ukrd0v1l+YtbXX5RO3V3Wrg7/O/j7/R1WpymY1bO3599O39z6Br9xG8AXE+B5cA+ONoOKbQRHj&#10;VX3Wiyr1F5fxl5eJ79DCtwnhS20QfMUHvmkCeGlj1xNj2OfjH1WVqsJrxvbe3+LviiDGryxYv7QQ&#10;Nfz4rsog4RcbgAo/vvFDfOuH/v6DTVUaPoYPPLeh67f8EFWpMmr2jr7vw294iT+iVorhx9chPK8/&#10;kW88la8/HM4fEH96fbf3+ZCoKuWas6PvLvEHSyH4xQw/Bj+O8L8cU/jhAX0EnxXHR5bHre3s/xuY&#10;qrJd+q+z89DnJfwY/DTDrz+zD/BHxw266E8x86FVldVq3Nn7ez34Kvyhwo/B9wr/WP4Uufk0OeOJ&#10;1Z2+50OvKs2ai6H3DL/RAMUKfxbX/GIDeJnfagD38OMT/Qg83/xEU2c1SxSz5u6+WFPhDxZ+yvxB&#10;lj1k+IXgi+E3HvDnD/nzZ835qVIVZ2Hwg4VfLXvSCj8864/AY+cjV3ZUDRGl5unBV+FPa81fSPj1&#10;4PPww3sXzHcvACtUQwQqTas4zSv8YvBV+PMTfngFA76GAahg55mfclVYLOCfWuE3GkAMv1rz0+EX&#10;GyCpC16v8JsNEDD8NcuN12HgKzGGLuvwGY9A+da8PRdr5RT+UlzzFxR+Br6WBN+OwSNRPmUPv1rz&#10;5yX8YZc9QcKPr4dBeERKt1T44ws/Br9Uwg+v6cFX9QA8MqVTLNDCmr+ML3hZ0Es5/Bj8KOHH1yUB&#10;9y5sXRLXDMJuj9EAYvjVBS8dfrEBIl/wFhB+swEChj8O84vhh8ca8dFGAHJkxClnlfXwhzG/X/jV&#10;BW8y4b8HWGS9QoxHK/vVuKvPQLdlj1rzZzP8YZc9xQ6/+IaBu+ZfOIhHLZulwq/W/EmFH99vor/j&#10;hMEjl62iwi8Gv6TDz4Ke1fDrwS+h8ONLfuJ60U8sNXdn75PBzG80QLHCn+e7Oq0GiNf8ZgMEDH/S&#10;yx69AUKEX2wAeM2Y8XrJVid5FNOpLIY/jPn9wq8ueLNhfjr8xksO9bdM+rzsMLHyD79a86cd/rDL&#10;nqyFH4PvFX58xy3Ao1mcUuEPH34MfhbDj8HPZPhZ6P3Cjy96Hjj3wuI0gnv4jQYoVvjVXZ3O8JsN&#10;EDD8+VjzBws/vukc4FFNplT4g5u/mMseFX6DAQB/4zyPbLzlDH92lz1+4VcXvMmEP4kL3rDhNzB+&#10;cIRHN57KS/gx+KUe/rBr/rxf8IYNf3/+myMAj3C0UuH3Dj8GP4vhx+BnMvws9IHCP9cv/Dz4Uvj1&#10;334BZl8QrRFYqNW7OlnYxQZQF7y8AUKEP+lljxh+swH47+/ov8Ezo0Xh71otZvhP/fkr7dvIfBma&#10;b6LyJ39OJsyJSBw1+M6d4wlQjPDjj1DdMKvA2aBY4Ufr06EOCh1wL8hAh4EFyA8qsHFChzooLOAp&#10;hB+B8B/4bIv27uF9kcIvLnuo8Bu/wmb8EhuPdrAqxvv5Mfy47KHD7YcV6qTW/OqCl172UMEOyjEG&#10;BB+bAMK/9M0J2pI3Gojwt4oc/n781/Cund7yFI+4fxUz/Ljmp0PuhmR1ZrS4w4/Bz2L4MfhphB/X&#10;/Me+O0IG3AsIPwIXvPtZE7xzeK8efGyCMBe8tuB7hB9+ChLhEfeupMLvd8FLh13GHn6k0PCrC95o&#10;F7xU0CnE8CMQfGwCMP/SNyZoi1kTQAOMXT9QG7n6hlBrfr/ww++hXjvD+E1UHnX3Knb4cbeHDj1C&#10;h//dQ5tjM38xlz1ZC3+UL7nePrSHDD5AhR8RmwCCv4Q3AZj/yXVGE7iZv9DwIzzqdKX5g3Rhwr/8&#10;9RG5CP/ujxeRF7R+iBewWQo/Bp/a6py++/FA4Udg2WM1QSujCV5v0IM/hjdB3OGv5lw1/bwTPPLO&#10;SiP8CBX+r779RHvrizW5+pKLCnVQxPBTbH5vVubC77XVueMPq7QvTnxMNgEEf/9nm/UmgGXPYtYE&#10;i1gTQPBHsyYY0XR97OGHXyVHeOSdlUb48UsuyvyO8LOgZzH8T67pQYYaeWnLjYGWPWh94I/H3iUb&#10;ASl6+FnoC/2Gl2oCWPbs+3QzW07t1e1vNgEL++h1t2rDWRPowY85/PpP8zN45O015ZWefykk/HF9&#10;wys3AFCo+cUGSPqClwo9EOea/4k1lxKNAGE6FCj8egOECL/YAHF8w0s1AQQfmwDsD0uhha/X69aH&#10;JngUmiBi+KuJ8F81rYV2JeOKKef+hUffqiTN7xV+/dYGlybI8pp/3dt1kcP/zZ+O67iFX172PLy0&#10;ox5++UuuuMwfd/iNrU66CSD42AQQfJgFoAnA/E+sZU2w6vpEwo9cweDRt6pYyx45/PglF9UEWQw/&#10;XPC+8fl6R/h//8WWQOEft/YqM/wi03cNcw2/vOwRGwCJbdkTY/hxr59sAhb2vZ9usjfBa/V68B/X&#10;m6Bf7OGH4COXTz3P2QRphR+XPG5NkJULXnGrU26AVW8+7xv+t7/YQ4Zf5vgpa70vh19c9ogNgLsy&#10;2Qi/8xteWwOcMoDgYxPAsmcha4IFehO01B5bO0CrWdkvcPgx+EHDj/DoW5VW+PU1Pwu63ABwf07W&#10;wg/7+3IDAH7LHljuyGEXlz3y3/MKv7jswfAjo5ouCx9+FvpA4Y9wS7MYfgSWPa+yJniLNQHYH5sA&#10;zP/YmgHaMN4ESYT/Mg6PvlETN3VrKYe/2Lc0i+FHgoSfWvZYDRBf+BG5AbzCL17wykE/+d3Xvsse&#10;t/DjsufIyc8cjZDGml82v9gAsOyRGwCA4GMT9GP2X/hagzafNQEEH5pgKGuCqGt+t/BfNuU87VJG&#10;j/rKC3gLVFSwwF9RiPn9wh/mYRYx/Ehaa36vb3gdTeATfvGCt2HbEEczIEdOfB44/LjsuXdRO2cT&#10;pBx+Pfg8/LDkAegmaGk2AQR/AW8CMP+o1QO0R1Zcl1j4kb5TzrmKtwBrgs09rwgTfgx+HOHHNT/V&#10;BGmHXw8+Dz+u+eUmCBJ+RDb/nj+sIRvCL/y45t/8/lxHE7gue1IIPwDLHrkBvmbAsmeP3AQH6vXQ&#10;j+RNEDT8GPyg4b9kyrk6fScKTTBxW7eWaYUf1/xuTVDsNb9b+HHZIzYA7NcfPPEHM/hu4ZdDLi97&#10;5L/vF35c88sNsOHdOc7ws9DHE34e/BDhx31+MfwIBB+bAJY9MAvMO1CnN8EI1gQPsybA4McR/kuE&#10;8F882cC2HILyCr/YAIWu+d3Cj2t+qgnczB9ozZ/QXZ27Pl7Cv6yyCGJ+OeiwCwQN8NXJQ46/h+HX&#10;G4AIPyx5puyscTRBWmt+t/AbtLSFH4Flz55PNmm/P/iqHnxsAjD/iKYB2kPLjSagwi82gF/4RfNj&#10;+IG+DB59q9IKP675qSYolvmDhF9c9shNALiFHwHrf/3NYUfgRQ6f+Mw3/MDIpisdDTB4YbvMhb8f&#10;wMJONQEEfzdvAgg+NgEEH5rgweXXJhZ+hEffqjDhj7LskcOPUE2QtfCLa36qEda+PZkMv9sFLwR/&#10;+4crrOD7hB/W+3L4gYeW9Ux1ze93e4NvE7Dgz2PXA3NZE0Dwhzfdoj247NrEwt9nEnCOswnE4Bcz&#10;/LjmdzQBC1VS4deDX2D4xWXP58feI5th7Npqz/AHXfOL4f/k63fIBshy+AFY9lBNUC00AdjfbAIW&#10;9Ed5E2Dw4w4/0JtqgvGbq/6SRvhxySOGH0k7/Bh8OfzyssfeBEcNWECBB5a0Lzj849bfTAYfWPja&#10;i8HCH8N7e2zBDxF+3OenmgCCj00A9ocmaNxfp1sfmuAB3gR+4acueP3CD/ScUOm8gQ5KDr/eADGE&#10;X2wAt61OMfxIMS94g5hfDr+87JFvbJPBAH996pD2wdEDWuPecdqC/c9qh058bAu4F3cv6pC5Nb9b&#10;+BGqCSD4uz/ZqDcBBH8ubwIIfg1rgvuXXhu7+ZFeE4lZACvu8GPwvcKPa36qCRBxWzKL4aeWPVT4&#10;C2XkqiszecFLhZ8KvJ0jOrDs2cWa4E2pCSD0w1b1Z01wTSLhR3jknfXyxqrjxQ4/rvn9wk+RxfB7&#10;LXum7R5Bhhx559CrmfiGN2z46bDLGOFHIPjYBGD/RtYAc/bVmk1wHzRBAuHvyaia2Nz98UqoYocf&#10;1/xhwi/y7IYr7MHPYPi9LniT/4Y3vvf2yOG/f+mVLNBU4EXs4Ucg+NgEEPxG3gRg/mErjSYwgh9f&#10;+HtOPFuHR9294go/Bt8v/LjeDxt+kSeaqkKFH4OfyfCz0AcKf8oXvLfO68LCTIUeocOPQPCxCSD4&#10;jbwJIPhDeRPEHf4eEwx41L0raPjFBvAyv9UAzvDjBS8V7jBkwfx6A4QIfzGXPWYDCOEPa37xgpcO&#10;PkCHXsbWBCz4c1gTzOZN8MjKm7V7l1bHHv7ADQD13Iau3ya17JHDj1udVLCjYt+6DAu7qA2425MU&#10;todRosIC6gcd6qDQYaf4igH23/XxRu2NL17Vg49NAOZ/eMXN2j1LjCaIK/zdGd3qmwd/DSNUscKP&#10;UCEuFDrUQWEBV+EPAR10Cgg/AsHfyZsAgg9NMGtvrR58aIIhrAniCj/Cox2u4lzzu4UftzqpMIeF&#10;DnVQWMBV+ENAB51CDD8CF7zYBBD82fuMJoDQYxPEFf6qhgIbAOrptV0/TDr8Xvv8YXd71AVv9Ate&#10;8Uuuag58u4voN7VJN7bBTg8Ca32E2ucXd3vcmuAhaILF0ATRw1/VUMmWQWcV/iMdUFEveNUvs+Tr&#10;glcMf9xPcmH4IfQILnmgCWayJoDgQxPczZogWvh5AzB4lKNVscwvh3/Te1O1jQQbkHct1ptMMVmH&#10;vGOxVmKNyNuTdVYTNIm8ZbDKxiSdlSK/n6StIFgu8+ZEbRnBUpk3JmpLHMCLbCVeh7e5OVko89oE&#10;/YkuivkyBxq0eQTwTa+D/fDtr5M5LszeB0ATjNdD/yBvgqjhj60BsLK07CmPL7lo81PLnmKZP8yy&#10;x8/8gNua/4HlN2uDFxlNUGj4Y28ALLXmL0b4k/uGt9hr/rDhL8z8lY7wd2XwyCZTKvxS+Fno1QVv&#10;dsLftT7hBsCKa83vF351wZuM+Yt5wRt/+I0GoMJftAbAynP4w5q/mOFPctlTyuEvegNgqQve0gg/&#10;Bj+b4Xdf9iBd0moArMdWdTiuLniDhJ8Hv4jhx+DHEf4srfnF8Heua36SRzH9sjVAwPDnYc1vNIBa&#10;8xcv/EYDiOHXG0AKf+r2dyt1wavCH2f4KfMbNM9mA2ANX9XhtrTCry54Sz/8HWqb3cajlv3Kcvgx&#10;+KUefgx+NsMfbM2P4e+cdfu7llZxWmbDz0IfT/h58AOEXw9+DOHH4McR/qxe8ErhP80IVI7roSXt&#10;P40z/HoDhAh/MZc9ZgMI4S+W+cUG8At/8c1vNIAYfr0BPMLfqbbZZzxCpVPFNr8KfzbD72f+znV5&#10;XfqEqFIKP7XsUeFX4Q9ccYcfg1/q4cfgBwl/Htb8ZRl+ue5d2Pqz2MLPQh8o/OquzvTDP775H3kE&#10;VGHpDRAi/MVc9pgNIIS/WOYXG8Av/EYDZPuCF3YN+SlXJZYKf/7DH2CrU5VbFbTsSTj81LJHhT98&#10;+PkpVuVV6YVfPcYYLvzB1/z81Kryq9DhZ6EPFH51wZtK+PlpVRWkbp/T6pd+4Q+z5ud/bMWAea1/&#10;UGv+OMNvNIBb+LvUN/ueD72qwKVVnBZH+GtqKn7E/0TPUmv++MPPh1ZV2Lp7Qdvdha75b5vb+q/8&#10;j4lcLOy70w4/Bj8P4WcXtXv40KkqpHDJEzb8/F8vWt0w44L31ZqfWb6u2Qd8SFRFqSGL2vwlyFbn&#10;HfNb/8D/lczWNTNbfFeK4a+qb/4dP0RVUevuRRdebd7iQHzJNWTe+f+Z/6MlVz0bWv599ZQWx73C&#10;LzaAX/iNBogn/FUTm53o8uxvfs4/qqpCCpYx9y1s/e8PLGj1P25/9jf/G//LqmKsvg3N/vPFE89u&#10;2Xfi2T0unlx55cVTzrmu94TKK+H/78X+ejf29/k/qkqVKlWqSqqe3dHl5xNf6frvE17p2WHStu69&#10;J27tdfnkrT2qJ27v0XfClqoO49nfg3+G/+OqVOWjJuzt8ssp23vUT9veW0OmcqZs76VNecVgssCk&#10;bRYTt/U0mbDVoEGgfmsPrX6LQR3j5c1V9RM2d/ml8V9XpaqINW1Hz6oZO/poM3b01qYLFCv8SO1m&#10;g/Gbu1ts6lZlfEpVqmKq6Tt6vj9zZx9tph56JHvhfxnY1F2DH19HXtjU7X3jKFSpCli1e7r/4ywW&#10;eEAPPidM+Ke6hR+ILfxWA2D4xQZ4EdhYpYM/wj5uQ5t/5IepSpVVs3b2vnU2D31i4U/Y/H7hxx9h&#10;N3+IfX2XgfzwVZVj1e6p/OnsXX212bv6aK7hN4NfYuHHH2Hnv0Vds6Typ3xYVJV6zdrV+0sj+Cr8&#10;zh9i7/olHyZVpVQbNrT58RwWeCCJ8Kd1wRtX+PXfoV5v/x3q/rWVpxujpyq3NWt3r7YYfBX+4OEX&#10;f4t67JrObY3RVJWbmrOrZ8/G3Vbw5fCLwc9j+DH4SYdf/B3qMas79zRGV1Vma+bOHv8KwVfhx/B3&#10;iyX84m9Rj1530b8ao60qMwVrfAy+Cn9y4Td/h5qhrhEyUnOF4AcNvxl8IJfhN4IfV/j14IcIv/hb&#10;1MZZUFX0mruzz/tBw192X3K5hN9oAH/zmw3gE379d6gZo1Z2Uo9YFrMg+Cr82Qi/9VvUndRskHQx&#10;638fS/jN4KvwxxV+/XeoGSNXdlTvEkqi5u6+WA++Cn92wy/+EDs7ZeqN0XEUC/S+tMJf6l9yhb3g&#10;DRp+/UfYGcNXtNtnnEVVBZUR/HDhF4Ofx/Bj8PMefvwRdsA4m6oCV+2e7j9V4S+N8Os/ws5Qd5wG&#10;rPmv9p6hwu8X/mS/5Io7/PAD7MCw5e1nGWdZFVnz9mDwCw+/GXwgl+E3gl9q4X90RQethmOcbVW2&#10;gvDPKyD8ie/zA7GF32qAuC94jQbwD7/ZACmFf9hyA37aVUFlNvwJm79cwz+Uw09/eVfs4TeDr8Kf&#10;5fADjyxrX75NAD+AUeiaX4W/NMIPPAxNEPDHUEqm5rzS4icq/Cr8EH5k8JwWP+HxKO2aur/jz9IO&#10;v/qGN1vhf2ipwZCmM35mpKREq3ZP5emFhl8Mfh7Dj8FX4afD/+DSdjqXNv72b420lGCp8AcJf/73&#10;+QOFnwdfDP8DSwyMtJRYqfCr8AcJP3B/qTVBHOE3gw/kMvxG8FX4/cMP3Lf4otJoAgh/6X/D6wy/&#10;2ABqt8fCEX6hAcTwIzxG+azMhj9h86vwxxN+/EFGHqd8VeOevicKWfaoff4yCT8Pvl/44ZdI717Q&#10;9gSPVT5q9u4eF6jwq/DHEX7jp3gv0u5YcEErHq/sV5rhL5cvucop/Phb1Ea6Ml7lGH4MfrHCrwe/&#10;zMJ/90IDI2UZrULCLwZfhV+F3yv8gzlG2jJWc3f17qrC7xV+tc8fR/iBO+a17makLkNV3uE3gq/C&#10;n3z471rQRsdIXUYqSvjN4AMq/EbwyyD8GPxCwn8nx0hfysVCPTpM+NWXXGID+JvfbIAsh5/hCL/Q&#10;AHGaH8N/B+P2+ReO4TFMr1T4VfjTCP8d8w14DNOpWMJvBl+FvyTCz4NfjPDfrtM6nSaAZ3pV+FX4&#10;0w7/bdAAaTxTXOzwp3XBG1f41T5/MuG/bZ6Bkcoi1dxdffYECb8Y/DyGH4Ovwp/t8A9iDJx34R4j&#10;nUUoFX45/GWyz5/R8BsNUKRZQIW/TMPPg5/V8A+ce6GOkdIEK0z4zeADuQy/EXwV/nyE/9akG8Av&#10;/Inv8wOxhd9qgLgveI0G8A+/2QBZDj/DEX6hAbIUfmBAkk2QavgTNr8Kf2mEf0BjQg1QUPjN4Kvw&#10;q/AXJ/zALUk0gQp/mYefBz8P4b+lsVW8DTBrZ6+TKvzu4Q96wavCX5zw92fcNOv8kzy+0SvJ8Ktv&#10;eFX4o4bfCL4V/v5zWmk3M4z0RqzZO3uPlcMvBj+P4cfgq/CXbvh1Zp//lJHiCFXe4Vf7/LkNP+Mm&#10;hpHiCKXCr8Kf1/DfNDtiA7iF3ww+kMvwG8GPK/x68FX4Mxf+G2dfoGOkuYDC8Cf+JReQYPjFBoiy&#10;5jcawN/8ZgNkOfwMR/iFBshq+K0G8A7/TTz8BTcAM3u7ooSfB//Un7/Svo3Ml6H5Jg7+5M3JInCi&#10;YI5afOfO8RgpZvhvYFw7/dyLeKyDl2f4zeDHE36ADnQY6IB7QYY5LCxEXlBhjRs62EFg4fYJPkCF&#10;OArFDP8Nswx4rINXsb/kokMdFDrgXpBhDgsLkRdUWOOGDnYQWLhTCD+A4X/38L6ihP/6sA0we3vP&#10;K+IIf5gLXjrYQaAD7gUZ5rCwEHlBhTVu6GAHgYU7pfADaH5sgKTDf/2sltp1M867wkh3gCp2+Atv&#10;ACPQR09+qL7kCnvByy92C7ngPfrN52Swg4LLHmgAr/AbwfcPPwbfLfz9OEa6A1Sxww87PXTAvbCM&#10;/tGR7Sr8RQo/7PR8dPR1MthBwWWP3gA8/MvenJho+PvNDNkAxQx/+Aawwg9M2nZVyPCrL7kKDT8w&#10;em0/MthBOMbAZc+7h/ea5ocGSDL81xkNcJoecK8yg1/E8MP+Ph10Cnv4AXv4jeCr8CcTftzjp8Lt&#10;B4QfwGUPNAAue/QGSDD8wLVGE3iX2ABhwh/1Sy467BTuDVBOX3KJDeAIP8MRfqEBooa/kAbA8OsN&#10;wAIPvMMbAMwvNsBTG243wy82QLAL3gtcwx+qAWIJfwDzB28AZ/CB2s19yi78nuYvQvjh290Hl1SR&#10;QacQw48NAMGHBsBlDzQAmn8cNIAQ/LjCf+0MnwaYsaH7P4Zd9sQRfri9gQ49QocfUOEvfvjx9gYq&#10;7DJy+AFc9ugNwEIPLNUbwFj2QAPEH/7ztWsYfaae8Ssed2elFX64r4cOPkAHH1Dh9wk/D34S4cd7&#10;e6jQI1T4AVz2YAOA+aEBcNkjNkCw8PPg+4Qf4XF3Vlrhd28AOvhAnsK/cP/j5BdZFEdOfpyb8OON&#10;bWHCD+CyBxoAlz16A/DQYwMkEf5q/wbwD3+U3R4q/HA3ZzHDX6zdHirgQcBvbHf+YUnmw483tgUN&#10;P4DWNxrAWPYsfWOiaX1ogLjDD8HXme7ZAOmE39kAdPBrt/TNRfipUAfFfsuCwco3X850+PHenvuX&#10;9CADL2NY32gAXPYsERpgLDQACz8GP87wX+3WADO2926VVvjtDWCE/cR3B7Uvjr2pzd49UA894h/+&#10;9Pb5171TT4Y6KFT4RbIcfry9Ab/kenzNjdoHR1/Xjn7zhUsDtDIagIceGwDMP3b97YmFH7hs8jmt&#10;jdQLlWb44UEW2fx5e4yRCrTM58fedb3gHb6is/bVt1+QwRcZtrxz7p7kcjaAsex559Be0/rQALjs&#10;eXL9bYmFH7hqegvnLJBm+I0GsMKvN4Aj/Ebw8xb+E98dKWi3hwo/UrO8KjfhhwteuQFw2fO23AB8&#10;2YMNkFT4XRuACn/Ub3iDhB9eVOvVAFne7aFCj0Td6hy2vBPZAIAZfqEBshh+uOB1NAAPPTYAmN9o&#10;AMP60ADO8Pt/yYXhNxvAJfxXTiMaIFT4YzQ/Pr8rN0Aewv81W7JQwf/82Dux7vM7G+CoTl6e4ZUb&#10;AK0PDYDLniVvTDCXPWOgAUKF3wp+kPB7NkAa4XdrgCyH/3frLibDv+jAmEDhf/PzrTp+4Ufk8OMD&#10;LVkPP1zwejYA3+pczBsAzD9mndEASYXf0QCXNlb8TZrhhwteuQGyHH63rc7N708PbP5v/nRcJ0j4&#10;8YJXDD6y6f25mQ4/XPBSDQDmNxrAsD40AC57oAGM8PPgxxz+K6ABLq34Gx5/Zv8d3Tth+ItxwSuH&#10;H9b7jgYoMPxBL3ijhP+dQ9vJBgiz7MEGCBp+XPOL4UeyHH644JUbAJc90AC47NEbgIXeaoDg4deD&#10;HyL8wGVTzulspJ8VC/3WNMPv1gBJhV8PfoHhd/uGN2j4v/zmoBl+kSDhN9b7bCZgIRL54Mj+zITf&#10;CL4VfrjgdTQA3+3BBgDzL37daAAw/5h1gxIN/xVTW2iXTDlnq5F+VmmGHy925QbIavgXHRjtCP+s&#10;PY8ECH9HMvgiY9Zc6RN+A7kBgKyGH5Y7tgY4ddS0PjQALnugAXDZMxobIKHwXz71PB0j/azSDr9b&#10;A9jDn40nueTwA/7ht5Y8fgT9kksMP9x/c/+SDpkMv60BWPgdDcBCDyzSG8Cwvt4ACYff3gAphx8u&#10;eOUGyGL44ZZmOfyHT3zkG/7nN17vCDqu+U9+d8z214+f+so3/LDcEcOPZDH8ZgPw8GMDgPmxAcD8&#10;0AAQfr0B1g5KPPyXyQ2QXviNi10x/PDenULDrwc/ofCPWuX84ssv/JT9n990s23NL/99v/ADr36y&#10;2hZ+IIvhhwteMfwALnugAXDZYzYAC/sTvAGSDL+tAYoZfrEBxK1OMfzYAGlvddrD30l7//BusgG8&#10;wg/bnF9/e9gW8M3vLrBd8L5/6ID2noAefqEB5PADsN53NkBxw281gHv44YLX0QAs9MBbvAEg+HoD&#10;sLBD8KEBrPCH+4Y3aPgvnUI0QFrhh/W+GH4ga+EH5PADfuEHRq7sbmsAYOiyzu4XvAHC79YAWQs/&#10;7PNTDQDBhwaA8GMD4LLncWwAIfhxh9/RAGmGHxDDbzRAtsIP25xuDeAVftzjlxsAGb6iZ6A1vxx+&#10;WO/LDZDF8MN6X24AXPaYDcDCvpA3AARfb4CEw29rgLTDDxe8cgNkLfxuDRAk/HjBSzUAEjb8bg2Q&#10;tfDTDWBYX28AFngIPjQALnugAZIO/yVTznU2QFrhh/U+2QC24AcLvx78BMIPa333BvAPP675x2+5&#10;k2wAYNWbkwOHHy545QbIYvjhglduAAg/NgAue8wGYGHHBtCDn1D4HQ2QRPgx+H7hJxsgY+F3b4Dg&#10;4ZfX/FQTBA0/rPfdGiCJ8BvB9w8/Bh/DD+t9MfxfYwOwsGMDQPD1BmBhh+BDAyQdflsDpB1+uOCV&#10;GyBr4XdrgELDj2v+L77+yNYAJ7/7OlD43Roga+EXGwDCrzcACzwEHxoAlz0LX2swlzyPYQMkGP6L&#10;JxMNkE74jX1+qgGyFH642N343nRb+OH25CDhFwMOyBe88t8PEn5Y78sNkMXwwwWvGH4Alz1mA7Cw&#10;L+ANAMHXGyDh8DsaIJnwG8H3Cz+s9+UGyFr4cbdHDD8QxPxywOULXvnvBwn/sVNHyAbIWvjhglcM&#10;PzYABF9vABZ4CD40AC57HlszKPHw2xqgsPBbDRD2gtcIv32f39kA/uE3G6BI4ccGsB5O+VIPnlf4&#10;qQYA3MJ/6MRnvuGn7L/746ZYw281gBV+sQHcLnjt4Te+5JIbAJc9bx3cay57zAZggR8lNEBS4e8r&#10;N0C48DvNHyX8cMHraIAMhh8ueMXwI17h97rgpQgS/geXOl9Mm3T4KfMHCb9rA7Cw//7gq/YG4KHH&#10;Bkgy/LYGSDv8sN6XGyCL4ccLXrkBIIBe4cc1PxV4kSDhhwtdOfxAVsMPF7yOBuChxwYA80MDoPWh&#10;AZIOf99JRAOkFX6vBsha+GG9LzcA4Bd+cc3/xh+3m6E/dPxT9s91CRx+WOrI4a9ZcWmGws+Dz8MP&#10;6325AdD60AC47JkvNMDINQMTD3+fSedYDVC/qceWNMPv1gBZDD/w2KqeZBMECT/u82MDBLngxfC7&#10;2T/L4XdrAAi+3gA89NgAEHxogKTD32vC2dYTYS9tquqcVvhxt0duADn8evAzEH5c71MNAAQJP4Qe&#10;GyBq+O9c0DZy+I3gJxN+WO/LDQDhxwZA60MD4LJn5GqrAZIIv94AE5tbzwTX1FT8KEz4MfhxhR8u&#10;eB0NkOHw4wUv1QCAX/iRqOE/8s1nRQs/Bj9s+F0bgIWeagAIPTZAnOHvI4S/N8P2VgioZMIf/GEW&#10;WwOwEGU9/EDNiq5EAxzViSv8I1ZdToYfyEP44YLX0QA89NgAEHxoALQ+NECS4dcbQK40w29rABYi&#10;owGyHX5c70/d+bAj/Pi44hfHP4gUfir0SF7CD+t9uQHQ+tAAuOyZd8BqgBHYAAmF37UBgoffCH5c&#10;4TcbgIcfyEP48QH2KTsfcoRf5PipI4HDP2Sh8y5PmTyFP0gDQOixASD4egOECb8Q/CDh7zWRaACv&#10;8IsNEHW3hwo/XPCK4TcbIMvhZ4gXvA8v6+jaAAgG+MjJz7TVb03Wpu4eru3+eJX25Tdf2ALuRdTw&#10;Ww3gHf4w+/zO8NsfY6QaAIIPDYDWhwbAZc+IpoHBw+9ifvGCVw6/awOkFX644JUbADl4/L3Mh1+/&#10;4OUXvVTwASrMYZi1d1xOwm+E/g9fvusIPoLLnjepBmDmH950a6LhJxvghQ3dW6UVfrjgpcIP4M1n&#10;wNsHt2Qz/Cz44gXv46svizX8Wf2GVw7//s+2kYG3c8Rc9mADQPD1BuDLHmyApMLfs6GZ8xdioNIK&#10;P1zw+oVfJMvhFy94hy4P/mPSMh9++UbGbm/gwXcJPx12mSM6aH1oAFz2QAOg9aEBEgs/g8fdWXGH&#10;3+2CVw4/1QBU8EVGr+6W6fBTF7xvHdxJhh2Ztmtk7Lc0Jx3+m+ZcJIXcDSP8ZAMw8889UG82wKO8&#10;AZIIv3cDCMEvVvhxtydM+JE8hd/rSy4gqw+zxGl+sQEg+HoD8GUPNgAEHxogTPi9dnvk8PeceLZ7&#10;A6QVftjtCRt+RIU/X+EHcNkDDYDWhwbAZY/YAPGF/2ydHl4NULuhzT8GC3/4fX6v8MM2ZyHhB2bt&#10;fji58PPgq/A7wz9x5xgWZirwIs7wA7jsoRoAQo8NkET4O77061/xuNOV1q8xUuEOigp/ccNP3d7g&#10;hA4/gMsebAAIPjQAWh8aIPbwTzDgMXevOMOvBz9A+GGPnwp2UNIOPwa/XMJPfbllhw4+gtaHBsBl&#10;T+N+qwFqmgYY4ReCH0f4AzcAHX73Nb/RAP7mNxtACn/UBpjwyu3xhZ/hCL/QAFk1v9UA3uGP4xve&#10;Zzc9xIJMBR+gQy8iNwCEHhsAgo8NQIU/zG4PLntCNQBUscMP3/BSwQ4KvLVZhT/p8Fu3Nnx49C0W&#10;5MLCD+CyBxoArQ8NgEseaIC4w9/dCP9pRsJ9qtjhh293qWBHxX6bchiOGnznDbWXHyfmL6tEhYXT&#10;DzrQYaDDToHLnje+oBtg2CqrAeIKP2+AYFXs8CfRAHSwg8DCrcIfEjroFF8xcNmDDQChxwaA0GMD&#10;xBn+UA3w3LrOV8a9z+8Vfri1gQpxodDBDgILtwp/SOigU0D4AbQ+NABaHxoArQ8NEHf4u9WddSWP&#10;d7AqZvjjbAA62EFg4VbhDwkddAoMv1sDzBEaYChvgEL2+anwVzF4rINXMcMPN7ZRYQ4LHewgsHCr&#10;8IeEDjqFGH5sAAg9NgCEHhsAgg8NEGf4qxoKaICnN3bsWqzwp/Ukl223h+/0ZHm3p5j7/EA1wp/g&#10;QvB+frypDe/twW94cZsTd3twzY+g9aEB0PrQALjsGboSGiBE+FnIvcLfdcJZXXmsw5UKvwp/UuGH&#10;L7moBgDzYwPEEf6qhsrw9seyGsA//GYDRAj/H748QLDf5CMvjhp8GJAPvDiyz+T9ALznx2GDd33Z&#10;q/OOH4cM4GdGgwBvYfbl4F79EcUgwP59UCDkXuCyR28AvuyBBvAOv9EA4rLH0QA8/JEaAKpY4U/l&#10;rk7B/lk1f7G/5DLtn5T5GWh9DL/eAPvqzWXPI0IDBAm/GPxYww+lwq/Cn3T4wfyz99WZyx5sgKjh&#10;7xZHA4xb03lcGuHf9N5UnY0EG5B3DdbbmKKzTuQdg7UEa5C3J5uslmgSectglY1JOitFfm+wgmC5&#10;yJsTdZYRLBV5Y6K2hGSCtljkdQP43V0Z+B0uG6816G9lloGXVMnAI4sUcBenDOzpU8AyxwEzP4Qf&#10;QOtDA8QR/i71Zz3FYxytSsr83Pqlb35u/QDm162fkvlx2YPhBx5eYTVAkPCLF7wY/ljsj8VCflIM&#10;vx58Ff5Ewh90tyfv4ffa58cGiBL+rvXNT/L4xlNphn/yjiHaJM5Eggnb79ZpEKh/BRmsU7fNopYz&#10;nuDlrQYv6dyl8+IWJy9svlPnec5zDu7QngU2GTzDeRrYaOd3wIY7tKdMbtfGEYwF1t+uPbn+NpMx&#10;wDqRQdpoZO0g7QkO/PSoDPwYnc6aQfqPUiDwenKd1RbwtjadpoH6WxsQeHhFBu7mROC2BgS+4NJh&#10;SxwEljsIBB/B4BcS/ljtj5Ub83Prl6r50fqlaH77sqfw8HetT6ABoFT4VfiLGn4W8syEH0qFX4Xf&#10;N/xC8NMIf6INAJXJ8DMc4RcaIKvhtxrAO/zR9vntL6pNNPwu5o9yS7OjAdIMP5QKf57CbwU/j+EX&#10;gx8k/EVpAKhMh58HX4VfhT+xGr260x4V/jTDz4Ovwm/SqbbZXh7P4pQKf/bDrwc/x+EPcsELdGHw&#10;WBav4JclVfiDh98Ivn/4Mfh5DX+x9vlt4WdZ5LEsbqnwq/CnHf5U7C9W0cLPg6/CXyLhZyHPffih&#10;HlvZcbQKvwp/GuHvXHfmWB7DdCtq+MUGcISf4Qi/0ABZDb/VAFb4xQYIdsGrvuRyC3+X+ubp21+s&#10;RMxfQuGnzF/O4ReDn/vwQ9WsuKibCn+xwm8FvxzD377ujO48dtmqRMPPg1/64efBV+Enw59J+4ul&#10;wq/CHyT8YS94cxF+rHILvxH84oVfD74Kf3Zr6NJ2F6rw28OPwc9r+NP6kgvD3/mlf7+QxysfNWxF&#10;+xMq/Cr8cYS/U22zeB9wL1YFCj8Pvgp/iYSfhTxW89flaOlDlQp/DsIvBF+FP4Eiw89whF9ogKyG&#10;32oA7/CX85dcjgYo5/BjqfAHDb8V/DyGXwy+Cr9UKvwq/GUbfqj+tZWnO8LPg1/64efBV+H3DP9v&#10;a377tzwupVlDpp7xMxV+9/Drwc9x+KNc8LZ54bd/x2NS2nXJnBY/yUP4jeD7hx+Dn9fwB9/tSS78&#10;lbX//FMejzKpmoofqfDnKfwJfcNrrPnTeaY3C6XCX/bhV6XCn4Pws5Cr8CdYKvwJhF8Ivgp/xuve&#10;xW2eSjP8VgN4h199wys0gAp/fFX64beCn8fwi8EvNPwdas+azU+3KrFundHq/8h3+HnwVfhdw19+&#10;25whSoW/tMPPT7MqqgYvvPDRcgi/Hvwch7+gC966Zvv5aVblVmmE3wi+f/gx+HkNf5r7/OzUnmac&#10;YVWupcJfeuHvXH/m9/z0qvKqe5Zc2EmFPyPhZyGPI/z81KoKUir8pRP+jnXNP+KnVVWQKnb4rQaw&#10;wi82QLALXvUlFxV+fkpVBa04w3/L7Jbd4M+EB23ChJ8yv/qSK1z4K9mY6ydUVfCKK/yD5l64kf+R&#10;trpx7nlnqPAnG/6OL53xb3y4VYWpeMLf6j3+x3nWzXNa9own/Dz4Kvxap9oze/PhVRW2ooZ/YOOF&#10;C/kfFapunt3yomKEXw9+jsPvdcHLLnDb8eFUVUhFCf9t8y68nP8xkapNTcWPVfjDhV+t8SPWHYtb&#10;nVFo+PkfkUhdP/OCLzH4eQ1/Ul9ydalv/hUfJlVRqpBveNka/3H+rxelutf+809V+I3wqzs1Y6q7&#10;5ra+MEz4Wejf5v9qqtVvRotbSjL8LORu4e9aW3kbP3xVUevSxoq/CXpL853zWzfwfy2TdV3jb//P&#10;VMMvBD/u8Lea8Jtf8sNUFUcNWnDOfwryJFfNhjY/5v9K7oqF/kMMv9kASYXfxfyFXvB2rWv2AT8M&#10;VXHWkIVtvnV7gH3wgtbT+T9WknXFtPOrshr+qoZmPfnHVBVn3bOw7cWOV5csaLt3yKJWv+X/SFnX&#10;JRPO+uUVU86pLVb4q+rPbujC/pv8P68qjho8p8VP7llw0X9joT7vwcXt/on/ZVUxVpdp5/784vpm&#10;Z/SZWNmx78SzL+876exrLp5yznV9pp57ae+GcztdPLnZGR1qK3/B/3FVqlSpUqVKlSpVqlSpKueq&#10;0Sp+NPWVHr+ZtqN3p8mv9BwxdVvPLVO29fxh6vbe2tTtvbQpwCtOJrswaZuTidt6kkwAttppEKjf&#10;3P2H+q09ttRt7T6iblNV5/oNnX4Dn5d/dFWqVKlSJda0HV1+PmN791bTdvTcMn1Hb01mGhM7hSF8&#10;ESb6FOUvwiYBrX6LnToXaoHNFi9v6rblhQ1dWj3LxoUPkSpVqlTlsyZs7vLLGTt7Ns3c0Ueb4aC3&#10;DiV+gBI/UKryB8Zv7u7gZWSTxUuMF9dXrX6WjS8falWqVKlKp2Zs7z1j5s4+GomSv4Oo8qd4cVOV&#10;9uJGOy9sqJrBT5EqVapURavZ23teMWNHr1OzmNhlSPkzkpS/PgEwqUeR/yRJ+nHJ320CCCp/QJa/&#10;2wTwoo4kf4LnkQ1V2nPrup56fm3VFfzUqlKlSpVVM3f26DJzV58Ts3f10XSYzCnxA5T4ASX/bMof&#10;ec6km8mzjGfWdTnx9NqOXXkUVKlSVeo1Z3evWbN39WWyFylQ/g7xK/nnRf4m6w2ekfjdus7qFw5V&#10;qcp7zdnVe9wcJnmknORPiR9IW/7Unn+W5I88rdNVe3qdBZsYxvFoqVKlKms1b1ffX8/a2fukKH1a&#10;/lz8GZR/uX3hmzX5G+Kn5O/kKcbYNV1OPrmuy3/jEVSlSlUxa9aO3r0ad/fVGrnoKdzkT0kfUfJP&#10;Xv6U+IG8yF9nrcE4G120J9e078UjqkqVqjhrzq7ubXTpI1z0FEr+5SZ/S/xR5U+JH/CTPzBWZI3B&#10;Eyvbt+URVqVKVZiauq3jr2zSV/JX8s+R/J8kGMOomX/+r3jEValSJVfj7l67SPEzKOkjYeVPih9Q&#10;8neQjPyZ8MtM/iarO+uMZjy+stNuHn1VqsqzamoqfjR3Z+8f5hLSN+Gip7DLX5gAmNAp+QOk/BlJ&#10;yl+fAJjUA8sfcEwAycjfbQKg5e8xATC5+00Axdjz954ALPm7TQCy/O0TgCF/2wTAxB5I/mss+cs8&#10;ATR1/KGC9QNvDVWqSrfm7u7dCaSPkOIHmNQp8QMlK3+H+IEsyN8pfkDJPwb5I00Gj3NGrezQmbeM&#10;KlX5r9m7eo+eu/tiU/ypy98hfiX/vMqfEj9QqPwt8UeUPxN7IfI36KTzGLKy42jeSqpU5acad/St&#10;McSv5E+JH6DkT4kfSFv+1J6/kn/C8gdWGYzijFzZ/lHeYqpUZa/m7e7VjRJ/PPLn4lfyJ8UPlKv8&#10;DfGXtvxFRnJGrOjQjbeeKlXp1aQNvf7BEn95yV894Vta8jfFn0H5o/hNVnbURgjUbGjzD7wlVakq&#10;TjHBf1Qs+VPSR5T8k5c/JX5AyT99+SPDOY8ub/8Rb1FVquKv2Xt6tJhnE7+Sv5J/IfK3xB9V/pT4&#10;gXKTv8kKNhFwhi5pfz5vXVWqotXc3X2OK/k7ocQPKPkr+acpf4sOWg1j6LJ2x3krq1IVvGo2tPnx&#10;vD0Xa4XKn5I+Elb+pPgBJX8HycjfLv6syd8UP6Dkb8pfZNhyA+hr3uKqVNHVuLvPPJS/1wRAiV+H&#10;i57CLn9hAmBCp+QPkPJnJCl/fQJgUg8sf8AxASQjf7cJIKj8AVn+bhNAMfb8vScAS/6+EwCXv30C&#10;MORvmwCY2APJv8CHvMLK3zEBMLHHKf8aLn+RoYxHlrVdwFtelSqj9C0fJf9w8neIH1Dyz7X8mdhL&#10;Wf4yDy25SG0VlXs17rr4r/S2T4bk7xC/kn9e5U+JHyhU/pb4lfzDyP+RZe3tLGn/V64EVeVQtXsq&#10;T9fFr+QfWf6U+IG05U/t+Sv5K/k75M94WKJ/beXpXBWqSq2m7u/4M3f5W+KPR/5c/BmUv3rIK135&#10;G+KPT/6m+JX8I8kfeGipxZCmjj/j6lCV95rzSoufpCF/SvqIkn/y8qfEDyj5Jy9/m/gBJva8yB95&#10;cGk7HXZl8FOuElV5K02rOE3Jn4leyV9HyV/JP4z8kQeWGFQwn3C1qMpDuX/hq+RPiR9Q8neTvyX+&#10;qPKnxA8o+XvLXxZ/JPkT4veSv8j9i9qpL5CzXvP29D6WFfmT4geU/B0kI38mfCV/JX+EEH9g+Uvc&#10;s6TNMa4cVVmpObv7zkf5e00ApPgBLnoKu/yFCYAJnZI/QMqfkaT89QmAST2w/AHHBJCM/N0mAFr+&#10;HhMAk7vfBFCMbR/vCcCSv9sEIMvfPgEY8rdNAEzsgeRfwg95URNAIPkzAsmfmABk+QP3Lb7I5N7F&#10;bdRDZ2lX7Z4K43ZPJf/g8neIH8iC/J3iB5T8y1v+svizIH9rEjD4bWPF33IlqSpmZV7+DvEr+edV&#10;/pT4gdTlz8Su5J+e/EXuWXSRxtWkKulicl/gFL+SPyV+IE/yp/b8S0n+lviV/FOTPxN7XPK/B2Dy&#10;Fxkyv+1CripVcZd+v7+H+JX87VDyp8QPKPkr+Sv5R5S/TluTwXNa/ISrS1Uc1bir97vJyp+LP4Py&#10;V0/4pit/Q/zxyd8UfwblbxM/wMSu5B9O/sDdwEI2ESxo8y5XmKpCa9qOLj8vlvwp6SNK/snLnxI/&#10;oOSv5J83+YsMZvRvrPwFV5qqMDVnV+/dSv4WlPgBJX83+Vvijyp/SvyAkr+Sv5f8Re6a13oPV5uq&#10;AHWakr8FJX5AyV/JP6vyl8UfSf6E+PMkf30CABa00QG/GZpTRRaTeU0Y+VPSR8LKnxQ/oOTvIBn5&#10;28Wv5K/kX0ryB+7k3Da/zXCuPFViNe7s8708AVDi1+Gip7DLX5gAmNAp+QOk/BlJyl+fAJjUA8sf&#10;cEwAycjfbQKg5e8xATC5+00Axdjz954ALPm7TQCy/O0TgCF/2wTAxB5I/uohL6f8GYHkT0wAhcpf&#10;nwASlL84ASB3zG/9PVefKiglf1r8gFP8QBbk7xQ/oOSv5K/k7yF/ZL4BV2D51twdvTtlRv4O8Sv5&#10;51X+lPiBQuVviT+i/JnYlfzTl3/S2z5B5A/czrll/gUduRLLqxp39nlfyd8JJX9K/EDa8qf2/JX8&#10;lfxjlT8Te6nK//b5rU0GzrvgQ67G8qjGnb1/iEf+XPwZlH+Wv/AtB/kb4lfyV/LPtvxvQ+bBRHDh&#10;D1yRpV1K/naKKX9K/ICSv7v8TfFnUP428QNM7Er+xZO/LP5C5Y8M4nBVll7V1laeToof4KKncJM/&#10;JX1EyT95+VPiB5T8lfyV/AuTv0hlbcXpXJ2lUVP39/mVkr+Bkr+b/C3xR5U/JX5Ayd9b/rL4I8mf&#10;EL+Sv7/8ByJzL9RunHneP3GF5rtmbu9xhpK/kr+Sv5J/yclfEH8s8p9ryB+5lXHL7HPP5CrNZ83a&#10;3autKH9K+khY+ZPiB5T8HSQjf7v4syZ/U/yAkr+SPxN7nuQvMmDO+e24UvNVc3b17Bl+5S9MAEzo&#10;lPwBUv6MJOWvTwBM6lHkr+7zd04AlPy9JwBL/r4TAJe/fQIw5G+bAJjYA8lfPeTllD8jkPyJCaBQ&#10;+esTQILypyaAJLd93OSvTwCcW2a17MXVmo+aiRMAkzolfkDJX8lflj8lfiB1+TOxK/kr+ach/wGN&#10;FrmZCGZtr2pbFPk7xK/kr+Qvi1/JPzX5M7HHJf+kt30yL3+RuRe05arNZs3Z0eO/UuIHykn+lPiB&#10;tOVP7fkr+Sv5K/nnQP6NrXT6M66fcfavuXKzVTUb2vzYX/5c/BmUv3rIK135G+KPT/6m+JX8lfwB&#10;JnY38edF/jpzDNpsqPgxV292Kqj8KekjSv7Jy58SP6Dkn7z8beIHmNiV/JX8neJ3l//NAly92Sgl&#10;fyX/OORPiR9Q8lfyLw/5G+L3kz9yE4MrON2auav3l0r+5Sh/S/xK/unIXxZ/JPkT4i9Z+Qviz5L8&#10;TfEHkD9y/cwLvuQqTqfm7Oo1Paz8SfEDSv4OkpE/E76Sv5I/QohfyT+g/H0e8kpS/jfNBi7QbmTc&#10;MKvlTK7k4lbtnsrTyQmACZ2SP0DKn5Gk/PUJgEk9sPwBxwSQjPzdJgBa/h4TAJO73wRQjG0f7wnA&#10;kr/bBCDL3z4BGPK3TQBM7IHkrx7ycsqfEUj+xARQqPz1CSBB+VMTQFa2fXwnACb2QBMAlz9OAEgq&#10;L5wrOflz4Z/681c2vk2dL4vCN1ngT9E5WQKcSIWjTr4rjOMZJcvyp8QP+MkfuYHB1VycmrWjz9cF&#10;y98h/mzIX54EaCEXE1rWcUPKuNgwCUWFkmneoOWcNEzcJS5/pFTlrzPrAu36Wed/zRWdbM3a2ePW&#10;UpS/QU8mRkrIxYSWddyQMi42TEJRoWSaN2g5Jw0TdwziByjhZhFR/gc+26K9e3ifTlbkb4ofCCF/&#10;5HpGvxnnDeSqTq5KUf7iPj8t5mJAyzpuSBkXGyahqFAyzRu0nJOGibvM5I+IK3+3SSCv8rdomey2&#10;0Iztvb/NivyTutuHFnSS0LKOG1LGxYZJKCqUTPMGLeekYeIuU/kj4raPPAkUKn+7+NOVP9CPce3M&#10;87/lyo63pu3u/M+lLH8A7vahRZ0ETlEfPP5WEe/z97/bR77LB6Bu9Qx6t4+61TMDd/ssie9un7C3&#10;eh48/gdSzsVCXPGLk4Ao/2VvTmBM1Ja80VBU+VPiB8LI32RmS+3qaf/yz1zd8VWpyx9v8aSFHSdO&#10;+SM7P5xaBPlb4o8qf0r8gJJ/EeVPiD9r8kd2f7yKlHPSHOOIk8B+cxLYa1v5L5UmAW/5G+LPkvyB&#10;6zhc3fHUjO29Z5S6/JOfBGjxiyj5l7b8ZfGXi/wBvLefknRSoPzFScBY9eMksFdHXPGLk4Cf/E3x&#10;xyR/U/wAF38h8keqp54/gys8epWD/PGhLlrgUaCFL7P347ku8reLX8lfyT+P8kf2fbaBFHacyPJH&#10;xCd8YRJ4h00AgOskIIj/yfWDtKc23K6NWn1D5uUPXMvhCo9W03f0fF+eAJKUvz4BMKkHlj/gmADC&#10;yz/+SYCWPcVX335MyD/qyt8+AVDy954ALPm7TQCy/O0TgCF/2wTAxB5I/uoJX6f8GYHkT0wAhcpf&#10;nwBikj+AT/h++c0XpLyjQolfRNz2kScB3PZZ+oY1CYir/7HrB+qTwEicBJjY3eQPyPL3nQC4+J3y&#10;NyaAfiHlrzMDrgZafMBVXnhlVv4O8QOFyx+hhR4GWvRuHDz+tpI/wsSu5F+68hc5ePxjUuSFQAmf&#10;Qlzxi5OAuO0Dk8BSNgksNicBY+vnSTYJjMNJQJC9TFbkf+2M87VrOFzlhdXMHb3XJL3tkxX547t9&#10;aLEHgZa8F0teG1pU+aPsZQqVvyV+Jf/U5M/EHpf8k36xGyC+12fmq6NJqQeFEr0XrpMAnwBA+kts&#10;kwDf8oFJYJ01CeRF/sjV085dw5UevrIuf0r8QCHyR2jBe0EL3ouj33yo5A8wsScp/9l7HtFe+2yN&#10;dujEh+T9+hRHTn6ivfbHddqsPcOU/BOSPyC+2O3wyU9JybtBCT4IIH/c9hEnAXHbR5wExG0fahIw&#10;xQ9Eln9he/5e8keqGVzp4Wr6tt7dk5B/Wl/4yri91ZMWPQUteC8+OLwtdfkb4i8d+c/c86B2/NRh&#10;UuhxAw9dgYRmv/qokj9B1Ld6vn1oj0P4IpTYwyBu+zgnAWPbx5wEXmeTAJc9MEaYBPIg/2qJK2e0&#10;6MHVHrzKSf7ia5xp4YvQgnfjy28+MsVfSvI3xV9k+R/4bDUp6CRxPn1r540vNiv5M7G7id9P/vKL&#10;3eCvHTphfWdACb0QcMsHsE8C1raPPgm8YUwCOAHgJDCWTQIjcBLg8qfED2RF/tXTDa5mcLUHq2k7&#10;zv15ucnffxKgJS8Cr0Z46/M1Nukr+UeT/7i1vZhoj5JyThpK+EF4vKmPkj8njPzFd/vg6x2QPZ+s&#10;I8UeBpwAQPr7P9tsTgLitg9MAkvYJLBImARA+qNxEmhik4Age5ksyh+5tPbXv+CK969p23puKTf5&#10;A/BjLkHkH+6XvKLK3xJ/VPlT4geyKP+vvvkjKeaonPjuiL7vf/DEh9oXx99nK86PtK++/dz+z8TE&#10;V99+4ZQ/IX4lf3f5I37v9qGkL4NbPiD9fTgJHGKTAJc9sFiYBMRtH30SWH8bmwSuz7z8RfGLXDH1&#10;3K1c8f5VjvLHX/Dykj8STP5M+Er+oeQ/enWVTcZhgSuGD47sje1uH9znr906iAn9oEPyYXh0ZVX5&#10;yF8QfyzyD/AzjpT0ZXDLR58EPmWTAJsA3mbgBEBOAnzbZ/S6W7Un2SQwXJgETPEDXPxZlP9V01uY&#10;cMV714TNXX5ZjvK3JgFa/CK+8mdSz6r8TfEDGZH/mDXdSan7AW+0fGbDlak84XuQXUFQsvcjbvnL&#10;4i83+ePdPpT0ZcRtH5gEYAIQJwGQvm0S4LIHxEkgj/LXmdZCu2TCWb/kqnev6a/0mkCJH6Dkr08A&#10;TOpR5J+N3/A1frOXkr4MLf+o2z72CYCSv/cEYMnfdwLg8rdPAIb8bRMAE3sg+Ud4wpeSux+PN1Vl&#10;6j7/HR8uIoVPc1THlD8xAQSRv+sEkKD8qQmg2Ns+svzxbh9K+jLito88CeC2z+LXYRKYwCaBenMC&#10;ECeBR3ES4OJ3yt+YAPoVLP+WpPyBahEmebcJgJL/lZzLp5xbz1XvXuUq/0IngbS+8AVSlz8Te6Hy&#10;3/L+dFLwbmx8b2rmH/IauryTJHwRQ/4iez5epeTPKVT+eMcPJX0ZnADkSUDc9oG7guBqYKE0CTzB&#10;JoExMAmsYpMAE3388qfFD1SLMMkXIn8Rrnr3Klf5I5T0ZfIqf0v86ckfbvOkJO/G4tfGxi7/b/50&#10;3EZU+SPiXr+r/JmMZAqVf9LbPnmQP0JJXwYnAJC+bRJgksetH9gGEicB3PbRJ4F1xiQgiz8v8geu&#10;YHDV01X/SqffJCl/SvxA2vIX7/ahpC+j5F+Y/MNMAIdP/iGxlT81CcQlfwS2eoavNG5vdZO/yANL&#10;2iv5E/jJH+/4oaQvg1s+8iQgrvjFSUDc9nlirTwJ5E/+SN+J5/13rnxnTX6l5whZ/qXyha+f/BFK&#10;+jLFlL8h/vjkb4q/yPKHp3sp2VM8sbpHIvIfu+YKdmXxjGMSqN96d6zyF4FtniMnPyXFL/Pgkk6p&#10;yl8Wfx7kj3f7UNKXEbd99n26yXsSeI1NAnwCAOk/bk4C/RKRv038AJN83PLXmdpCu2zy2SO48p01&#10;dVvPH8pV/rjHT0lfRsk/nPyDTgAgwjjl/9U3hxzCD8qw5Z0jy19kIZt8ZOlTKPnb5W8Xv1P+eLcP&#10;JX0bp9gkIMh+rzQJ4LaPPgm8bkwC4raPMQkM0mrYJNAv4/J3iB9g8r986nk6l0497weufGeVs/wL&#10;nQTc5W+JP6r8KfEDeZB/qAmAiT0O+VNSL5So8gdwn7/+lXsc0hfB1yQo+dPip+SP+/yk+AEmfwQn&#10;AHkSELd9YBJYxCaBBeYkYGz7PLZ2gDYaJwEm9iTkT4kfiEv+Ilz5zipn+SOU9GWU/IPJH97oufbt&#10;OlL6MnHIP+gE8NnX72vLXqvT3ju0j/z7MkOXdYkkf5F9n651lT+y8q0J6chfEH+W5G+Kn5C/6yQg&#10;yF+eBED6r4qTAJ8AQPoLbZMAX/HjJLCWTQIr++Va/sBlDK58Z5Wz/PUvexmU9EXg/UBK/v7yx1c6&#10;U8KXebype2T5Ax8deYOUOPLOF6+Se/7PbLiJ/OdFospf3Os/fuoIKX+RXMs/xENeUeUPwF6/l/wR&#10;3PKRJwFx20ecBPrhJMDE/tiaAdoTbBIYJk0CeZM/wpVvr2d3nPtzT/kDjgkgGfm7TQC0/D0mACZ3&#10;vwlAvtWTEj8A8kfs8rdPAJT8vScAS/5uE4Asf/sEYMjfNgEwsQeSf8I/47jq9y+R0hf56ts/RpY/&#10;3udPyVvkuY03OSYA3Oqh/nmRh5Z2sMufmAD85I/AVg8lfpFlb9TGJn9qAsjKto/vBMAE7zcB6JMA&#10;IX0ZcdsHJoG32AQAWJNAS/skwMSO2z7yJOCUf7IPeckUKn+dKedpXab95udc/VZN3Nj130n5O8QP&#10;ZEH+TvEDhcof7/bxkj+i5O8tfwRWu5T4Rcas7hVZ/siS/S+SAheR5S8ibve4rvwjyh85xq4GKPmL&#10;KPnT4gdQ/ni3DyV9GXHbxz4JWNs+4iQgrvhxEhjKJoEgK3+gWoRJPgvyv5Rz8eRmZ3D1WzVxe4+O&#10;5Sx/xEv+iJ/8ReGLFCp/S/wR5c/EXgz5A3CXDyV9mTjkD+DtnZT4KeD7gDTkj+z9dC0pfhElfyey&#10;/PGOH0r6MtaK3z4J9MNJgIl94WsNbCKYoM2XJoFRbBJ4HCeBHMsf6TuleWeufqvYJNDXTf6U+IG0&#10;5U/t+Rcqf4SSvoySv7f8EUr6MnHJX2Tm7pGk+L049u1RNkZXO+XPxB6X/MW7fUauupQUv4iSvyR+&#10;QJI/QklfBrd8ANskwCSP2z4LpEkAV/3mJLDiOlL8QLUIk3wW5Y/0mXzuJVz9VjHZX1PO8se7fSjp&#10;ywSRvyH+8pQ/3upJSV8mTvmLe/3IiVNfkdL3Y8qOoYnIH4EvfCnxiyj5+8s/3CRgbfuIk4C44hcn&#10;AXHbZ9RqYxJ4RJoEqmWY5LMs/0umnKvTd8rZ13D1WzVha4/qpOVPiR/Igvzxy15K+jLFlL8p/gzK&#10;3yZ+gMsfoaQvk5T8xb1+ZPTqq7QjJ/5ISt+NZzbcoss+TvnDPn/9K/eR4hfxk78s/izJ3y7+5OSP&#10;d/tQ0hf5mtEPJwEm9kCTgLDtM1KaBKplmOSjyt8hfiBm+XtOApO2dr+YEj+QRflT4gcKlT/e7UNJ&#10;X0aUPqLk74SSvkwx5O+15//5sY9I+Ys0vTlNF38c8kcOn/yEFL+Ikj8tfgDlj1/2UuIHQP6IuO2z&#10;R5oEcNWvTwKvsUngQL1txS9OAnmWP3Dx5HO1PhOI7aD6LV07lrP88YteSvoyfvKnxA+Ui/zxi95P&#10;vnqDFD8Cb9lc81a9KX9Z/GHkT8lbRJY/gls91L8jEpf8AfjCl5K+yNFvPs+x/A3xF0P+eLePl/wR&#10;ccUvTgLitg/cFQQTwbwDdY5J4DE2CTyMkwAhfSRt+V+iQ8sf6TWR+GL4pQ1V/1bO8g87CSj5u8sf&#10;eWrt5a7yF4kif1ztU+IWGb3mSlL+hUwCUeQP+/yNe8eR4hd5an1/f/kL4o9F/ik85BVE/qb4AUn+&#10;iJf8EddJQNj2gW0gcRLAFf8InASWX0eKH8iD/JEe9cQtos+uOPfn+ZK/XfxR5Y9f9lLSlwkif1P8&#10;QJnJX7zbR3xWQJY/8slXbxYsf+SZDTeS8hap23aPQ/7A/k+3kP88cvK7Y7HIH6GkL6PkL4gf4OKX&#10;5Y93+1DSlwH546pfnwQOskng4Ku2Fb84CZhbPowRTQO0UWsGaQ8Rk0Am5U+IH+nL6PIs8bAYVKHy&#10;d5sAgsofkOXvNgFEX/nbJwDzTh+AyZ2SvgzK33cC4PK3TwCG/G0TABN7IPkX6SEvxwTAxB5W/sjw&#10;FV6/tmXx5JpLCpI/gFs9CwM8LFYIsvz1CaAA+QedAGqW96XlD8Qpf4CJPYz8fScAJnY3+QOy/H0n&#10;AC5+p/yNCaAfh5K+jLjts+eTTdrv2QQAeE4CTPIANQkElT+QhPwBh/wZlPgBkD/Cle+scpY/Qklf&#10;pujyZ2LPm/zFL3y3fjCHFL/MsOWdCpK/CGz1UCIvhOOnvoxN/vAFLyV8me0fLVfyB5jkg8hfh4md&#10;kr6MuO2zm5gEQPq2SYDLHhAngTzL33cSKFf5PyNASV/GT/6W+Mtb/iZM7F+c+IAUv8zUnQ8WLH95&#10;zx9uCT3x3dek4L0Yt+4Gu/gjyj/oBPD1qUNK/kzyYeSPd/tQ0pdB2cuTgLjtA3cFwSQwl00COAHg&#10;JDByzUDtweXX5lr+fSedq/VhcOU7q25r1V+SlD+1558V+SOU9GWU/IPLX/yy98tvPifFLwMyjCJ/&#10;GfH+fkAU/vYPV8T2hS8l/2Er+pLCpygV+ZviByLLP9jPOFLSl/GcBJjogXlsEpgvTQIg/OFNt1iT&#10;AJM6JX4g6/LvM+kcrdekc9x/VKZ+c9XIYn3hmzX5490+lPRlgsjfFL+Svw7u87935FVS/BTPbLw+&#10;VvkDIHt5EkhC/sDX3x4iZS/zx2PvK/nbxB9c/mEngWqObRLgsgfEScBc8eMksJpNAsuuza38kd4T&#10;m7n/vOQzGzv896TlT4kfSFv+eLcPJX2ZvMrfJn6Aib1Y8heZ8MrdpPTdGLWqTyzyRza+N8dkxu7H&#10;Y5f/e4f3krKnqHvlwUzI3y7+6PKnxA/ELX/8speSvky1yySAE4DrJMCk/igxCTjED2RE/ob47fLX&#10;JwBG1ctnuf/QPFS5yh+hpG/ChAQo+Rcmf3GvH6CE785RbdaekZHkj4ir/jjl//Wpw6To3cie/A3x&#10;50n+eLcPJX2ZapgAuOypSQCEb5sEmNRR+OIkkJT8w9znD4SVP8JV7175kb8l/qjyF7/k9ZK/fRJQ&#10;8pfFH1T+AO7zj113JSF8kaN2mDyBUav6ZkL+v/9iByl4L55cd2Mm5W+KP0fyx7t9KOnLoOzlScBc&#10;8eMkcKBBa9xfZ04AOAmMYJPAA/IkkCP5B54Exm/qPiFZ+TPhZ1D+5CTAJESh5B9d/iZ8m2fxgee4&#10;9L3lT/Hh0dfYZNC+KPIfsepyUuxB2Pj+vHjlXwIPefWLKH+Ekr6M7yTApD6XTQLzpEkAZF8jTwI5&#10;lD/Qo+Hseq5696rd0P0fafl7TABM7n4TQDG2fbwnAEv+bhMAfNnrJX8ktPxz+JBX0G0fagIIJH8G&#10;7vOLPNbUN9QE4Maxbw9pT62/0TkBhJD//s82akF+AcyP320YaJO/NQEUb+XvOwEwsQeaACJ/4WtM&#10;AP0Klj/9M46U9GVwAgDh7/5kozUJcNkD8iSAK35zElh6LSl+IKj8gajyp77w9ZJ/r4kGXSac9Uuu&#10;eu+yy98pfqDU5I93+1DSl1Hyd4o/qvzFL3v1PX/G0W8+IwXvByXiYvPVtwdzf7cPkHX5A9UMSvoy&#10;5opfmATeZOAEIE8COAHok8CqW7ThTbdq9y+9JpfyR7ji/evlTT22UOIHsiR/lL1MIfJHKOkHwXw/&#10;DhPAlvenKfkTBJW/+GWvQXv91cuy7GUoGReToyfhzZ/tlPwdRJH/+drK389kk+oRh9SDA//uEWsS&#10;YFLfxSYBmAB8JwG+7TNsVX/HJJAn+QM9J5y9lSvev0avqfyFQ/wlLH/xbh9K8F6g/L2Yt+9RJX8/&#10;+TvE7/6F77h1/TIjf/iSVz3kRcm/8D3/hu2PCwKPgiF/cxIQZC9PArjiNyeBfXWm7OVJIG/yB3oy&#10;OtT++hdc8cGq3OSPd/tQoqegZB+E0U1dlPwLlL+MuNf/3KZbtT98+SYp6jj49Ot3tWc3DjJf64Ao&#10;+ccj/+tntebijgO7/BGcAORJACcAfRLYX69PBHP21TomgUebbtXuEycBQvpIluSPcLUHr+c3dOqe&#10;Zfkb4o9P/vhlLyV8EUrshRBG/jbxA0zsSv4WYe72uW8xjOHl2pi112lPrb9JG7X6KvZndLLd769+&#10;xrF48r9u5gVM0JTIC4GWP4ITAMjeMQnwbZ/G/XWOSQCEb5sECOkjWZR/z4lna93rm/Xgag9XbuIH&#10;Sk3+eLcPJX6AEnlU3vx8g5I/oxjyl2/1FKWv5E+LH0hK/sAbX+xmcqZkHhZa+jLiil+cBFD28iRg&#10;rvgZ4iSQhPwN8ccp/7NtcKWHrxc3dl0Vv/wt8UeVPyV+oBD5490+xZC/jJK/kn9h8jfEnzf5wxe+&#10;tMzDQsvejYInASb5oSudk0Aa9/lT4gfc5N+D0W1C5Vqu9MKqXOSPFFP+IsWQvyz+SPInxF+y8hfE&#10;nyX5m+KPSf6m+AEu/rjlD3f70EIPAy15P/QJgG/7UJMACL9RnAS47AFxEsiF/CdYcJUXXkz874vi&#10;L1X5I5Sgi8HbB19R8ueUrPzVE77aO4cPMCFTYg8CLfegoOzlScBc8TMaYRLYX6/NZpMATgA4CdQ0&#10;3ardu7TaLn8mdEr8QNryB7rXNfuAqzxaFSZ/+wRAyd97ArDk7zYByPK3TwCG/G0TAJO8m/zxAS9K&#10;0MWiJLZ9iAmgUPnrE0CC8qcmgKxs+/hOAEzsbvIHZPn7TgBc/E75GxNAv4Llb3/Ii5a7H7TUw+I7&#10;CTDZz2GTQCMxCTyiTwIDbJMAJX6Akn9SX/ia8icmAIArPHq9sKFqRqnLH5/wpeRcLHZ/vFjJn6Pk&#10;n3f5W+JH9n22jcmYkrwbtMwLBScAEL5tEhBkL08CKPxHVt5sTgKU+IEsyb87o6qh2Qyu8HgqDvmj&#10;7GUKlb8l/ojyX2293oGSc7H449fvlLX8k972UfJPR/7I58c/YTKmZC9DSzwq5oofJ4EvXtXeYOAE&#10;IE8COAHgJDBs1QDtniXOSSBr8ke4uuOrp9a2+79LWf4IJeesYX/bZrE4aue7wqEexsoTx7IIk2cc&#10;0FIuFrS8o/IVx5wEmOx3frxRnwCCTAIg+odXOCeBrMof6PD8//y/uLrjrWfXd/k2qvwN8WdP/nmY&#10;BGg5Jw0Tt5K/DinftGHyjANaysWClndUUP7mJCDIXp4EUPjiJICylyeBLMsf6Frf7BRXdjKVFfmb&#10;4o9J/vheH0q+aUPLOWmYuJX8dUj5pg2TZxzQUi4WtLyjIssfwQlAngRwAsBJYA6bBGbtdU4CQ9kk&#10;MESaBAzxZ0P+QBWDqzq5YiK/pRTljy92oyScFrSck4aJW8lfh5Rv2jB5xgEt5WJByzsqlPhFcAKA&#10;+/ypSQBkP3ufcxIA2cuTQPzyt8RfqPyrGthVQF3zQVzVyRYT+vFC5E+JH8iC/KO81dP2gBew0n6L&#10;J1LoF77yl72RvvAlvuwlv/Bdkp8vfOUve7P0hS/1ZW/QL3zNL3sBj/v8Af8vfOO5z1+mWkb49S4Z&#10;8X3++Epn8aVu4rt9HMT8S17iJICylycBccVvTgKLqzMpf30CqK88yRVdnFLyV/LPrPwF8ccif/WQ&#10;V8nIP9IksBIngQTkz2ROQYkfEOVf1VCpw9VcvOq/5J9/iuIHgsrfFD+Qcfn/4csDAdlP8lGhHHXy&#10;Ycx8UChH9jl4P0bei8JhO+/Gwl6Td+LgkMHbCfBWXBwEjJ9ejBu8Nz9WuMwLBScAkL08CeC2z0PS&#10;JECJH6DEDyQpf6CytuJ0rubi1u/WdZplTQCW/H0nAC5/+wRgyN82ATCxB5J/Qj/jOG5tXwdjRdb0&#10;YZ/FyRiZ1X3YZ5HpzT6TRFNv9lnsPEYwalUvByMJRqx0MnxlTxuPEtQQDFvRw8FQiuV2HtHpbuNh&#10;YJmdhwgeBJZW2XhA4n5kicV9Jt1M7kUWW9xDMARZ1NXkboLByEKLu2x0sbPA4E4X7kDmA511bie4&#10;DZlnMchBJ3YFIzDX4FaCASKNBre40J/gZoKbGjvamdNRu9GFG2Rmd9Sun90hGLM6sCsbmutmtXdw&#10;7UwaccUvTgLitg9OAnezSaAw+dsnALdtH4CSP2DJ3z4BdK1vNpMrOZ1icv8yNfkzsRdj28ex9bMy&#10;3m0f9YSv97YPtfWjHvKSt32MrR99uyfGbR+gWmS6+9ZP0G0fIIltH0De9gHE7R4RUf7iJDB7X702&#10;c+94cwLASeARYhKgxA+ElT8lfcRN/t0YnevPOsJVnG4Flb8l/nzLf9N7U21sDMgGmXedrCeZ4mAd&#10;xTtO1gZgDcXbkx2sDkCTG2/ZWeXKJBsr3fi9xYqALPfizYkmywKy1Is3DJYEYoLOYi9et1gUkIV+&#10;vAY0aAtCMD8IBxr0n2gMCry1MxBshQ738AcFVvSBYeIH+RuTQJ05CaDsH5QmAUr8QLHkj3AFZ6PK&#10;Qf5I3dZbdWoJxjsYoL0ss8XJSwQvbr7FwQsEz29y8tym/r48S/DMRidPU2yw8zudm208Bay3M45g&#10;LLDuJhtPurHWYozJjSajCZ7wYs0NJo8TPIasthhl43qdkUiTxYiADCd4FFllUWOjn5OVBsMIhoqs&#10;AK7THnHhYZHlBg8RPLj8WjvL3HlAZum12v0u3BeCe5de4+CeJTRDKBZfw8QOVNsYvPhqcwIQJ4HB&#10;i6ozIf/MTQBQ/fdUnh5E/qb4cyh/JFfbPkvi2/Yp51s9o2z7UHf7FL7tU7y7fUp52yfsE74PLL+Z&#10;TYrOSSAu+du/8PWWP1BZW5nOF8F+9dSqNr/Jo/xt4geY2AuR/+Qd9zCGaJMIJgZgwva7HTQQ1L9C&#10;MdhG3TYntQTjA/AysNXOSzp32XgR2OLPC8DmO02eJ3jOkztMnkU2WTxD8DSy0ZvfIRsMnnJwu864&#10;AIwVWQ/cpj3pwhhknRuDdEaLrDV4guDxgDwms8ZgFMHINQPtrKYZQdE0kF3h3EoCP9YSFHiTpwy8&#10;zoEC7ut3wFbzFLDKpwDxi+AkQIk/uvwt8bvJH2g/4d9/zZWbzRq7pn3bcpO/QQftxc03O3ghAM9v&#10;usnBcwTPbqS40cYzwAY7TxP8juApgnHr7YzVucHGk8A6f8YAa6+3MZrgCWANRT+Tx5HVFo8RjEKa&#10;rvNkJLLKYISDa3WGSzzqQg2yErhGZxjBUJEVblRrj4gsN3iY4KGAPCizrFp7wIX7l11tZ+nV2n0u&#10;3Cuz5GrtHp2rHAwJwd06V9oYvJjmLopFNHe6cMdCmv6NvVOTf1dGp/FnXsRVm+0as7pDz3KSv7zt&#10;I2/5RNr2IbZ8SnbbR9jySWvbx3PLp4BtH2rLB8jStg+15QME3fZxbPkACT3kFXbbB+/zD7rtI271&#10;iLiu/JnMKSjxA4XKv2s9mwBqK3tzxeajxq7t2EPJX8k/FfmrJ3yV/EtI/sYEcGa+JgAs2BrylH9C&#10;D3nJ8ndMAEzsccpf3efvLX9qAsjbF76+E0Dq9/nbf8ZRpFqESV594WtBiR+w5G+fANy2fQBK/oAl&#10;f/sEQIkfQfkDHeuat+NKzWc9ubbLGUr+Sv55lT8lfiA78qfFD1SLMMkr+VtQ4gfCyp+SPhJW/uLK&#10;H+n08llncpXmu2q2dfyVLn8mdiV/JX8lfyV/RMmflj/Qrv7f/okrtDSqf23l6Ur+BcifiT0u+Se9&#10;51+q8jfFD0SWfzJ7/kC1CJO8kr8FJX4gi/IHflvz27/l6iy9UvJX8lfyj0/+1TJM8kr+FpT4gbjk&#10;H/YhL8BL/l0YXJWlXU80dfwhDvnbxA8wsSv5F0/+svizJH+7+JX8g8jfIX5AyZ8kCfl3qm/+A1dk&#10;edRjqzp+pOSv5J91+VPiB5T8iyN/Q/xxyt8Sf3T5W+KPIn+g8/hmH3I1llc9tqJD+5KVPyF+Jf9i&#10;yd8Qf6nLnxI/kLb8c3Gff0bkD3Soa96ZK7F8K235y+JX8g8of0H8schfPeSl5J+0/JnMKSjxA0nK&#10;H+AKVAU1ckXH75X8lfyV/EtE/kzolPgBJX/4MZgzv+fqUyXWiBUdasgJgIk9TvmnsudPTACFyl+f&#10;ABKUPzUBZGXbx3cCYGJ3kz8gy993AuDid8rfmAAKl796wlcndvnbJwC3bR+Akj9gyd8+AVDiRyjx&#10;A7L8u9Q31zrUNRvBlafKpU5T8lfyL1350+IHqkWY5JX8LSjxA2HlT0kfCSv/MCt/kD8AfjM0p8q3&#10;hq9oty/X8mdij0v+SW/7KPkr+Sv5Jyv/znXN9nO1qQpTNQvb/IOSv5J/WPmb4gciyz+ZPX+gWoRJ&#10;XsnfghI/kDf5A20mnfkPXGmqCq2a5e0+VPJX8i8F+VfLMMkr+VtQ4gfikn8SD3m5yb9TfbN3ucJU&#10;xVGD57T4iZJ/NPnL4s+S/O3ijy5/SvxAKcnfIX4gI/I3xJ9V+VviT0L+nRktnvp/fsLVpSruqlnW&#10;foGSf6nK3xC/kn868lcPeRlEkX/H2maLuKpUJV0gf1n8keRPiF/Jv7jyN8VfovKnxA8o+VvkVf6d&#10;6/Q7f1QVuyprK05X8g8hf0H8schfPeSl5J+0/JnMKSjxA6nIv6aidF/7nJd6ZFnbBVmTvyx+JX8l&#10;fyST8mdCp8QPKPnT8u/w8lkLuYJUZaUeXtL2mK/8GYHkT0wAQeTvOgEkKH9qAsjKto/vBMDE7iZ/&#10;QJa/7wTAxe+UvzEBFC5/9YSvTuzyt08Abts+ACV/wJK/fQKgxA9ElX+nujOPceWoymo9sqT9X5X8&#10;lfzjkT8tfqBahEleyd+CEj8QVv6U9JFiy7/z+OZ/5YpRlYvSKk4LJX8m9rjkn/S2T6nK3xQ/EFn+&#10;yWz7ANUiTPJK/haU+IFcyx/2/ZlPuFlU5a3g+QIlfyV/JX9a/ICSv7v8K2srf8pVoirvNbCxzd/l&#10;Vf6y+JX8iyf/ahkmeSV/C0r8QFzyt3/hWzz5d5x6xs+4OlSVWvWvrTxdyT+6/O3ijy5/SvxAKcnf&#10;IX4gI/I3xB+n/C3xR5e/Jf6k5Q+3nXNVqCqHun9Ru78q+UeRvyH+Upc/JX4gbfmrh7wM1Be+qiLX&#10;fYvaHs+0/AXxZ0n+pvhjkr8pfoCLX8k/p/JnMqegxA+kIf+OtWcd5wpQpcqoexa2mV/S8lcPeZWe&#10;/JnQKfEDSv60/NVDXqp8q/+eytPNCSBB+VMTQFa2fXwnACb2QBNA5C98jQmgcPmrh7x0Ype/fQJw&#10;2/YBKPkDlvztEwAlfoQSPxBE/pW1lWq/X1Wwumdh278q+XvLnxI/kB350+IHlPxp8QOU+IGw8qek&#10;j4SVf5SVf4fxzU7wtlalKlgNWdT6L0r+Sv5K/gZ5lf9FtWe15C2tSlXwGrLAugJQ8veXvyl+ILL8&#10;k9nzB5T8afEDlPiBPMq/Q32zj3grq1IVvpT8S0v+NvEDTPJK/haU+IG45F/Mh7zaPK1+w1dVlKqp&#10;+FHc8pfFnyX528Wv5B9E/g7xAxmRvyH+8pN/+/FnVvEOVqWq8LpjbqszlPwLkz8lfkDJP6/yt8Qf&#10;Xf6W+OOUf8e6M4fz1lWlKnoNXtDmj+Unf0P8pS5/SvxA2vJXT/gahJF/57pmY3nLqlIVT7XZ0ObH&#10;ictfEH8s8lcPeSn5Jy1/JnMKSvxAkvLvUHdGZ96uqlTFW3cvaPOxkr+Sf6ryZ0KnxA+Uq/w71Tf/&#10;Ab6b422qSlX8NXhBqzZxyJ+aAOLY9unfWPmLW+dcuNuUP8DEHkb+vhMAE7ub/AFZ/r4TABe/U/7G&#10;BFC4/NUTvjqxy98+Abht+wCU/AFL/vYJgBI/Qokf6Dz+zD28PVWpSrayKH8m9qf4xyOreur5vyo/&#10;+dPiB5T8afEDlPiBsPKnpI+Elb/byv+8Z/7tn3jEValKvrIk/4GNrd6qiXC5O2DO+e2U/JX8RSjx&#10;A1mSf6fxZ17EI6xKVXFqSNMZP8uC/AfNuzDRS93+sy/oUYj8TfEDkeWfzJ4/oORPix+gxA9kQf6d&#10;as/szSOqSlVxa/DC1kNSlf/cC57kHyWVun7e2b++aeb5J/Msf5v4ASZ5JX8LSvxAXPIP+5BX17rm&#10;33SZ/K//jUdQlapU6jRR/FHkL4vfS/63zW39Sf8Zlf/IP0Nm68bZLcdS8qfED5SS/B3iBzIif0P8&#10;ccrfEn90+Vvil+XftaH573i0VKlKtwYvbLOuWPK/fX6rL26Zdd5/4f/p3NcNs1rOzLL8KfEDacu/&#10;3B7y6lrXrJFHRpWqbNSQhW23JPp6h3lt/nrHvNY7+X+urOrGmS269Jt5wQkl/5zKn8mcghI/IMq/&#10;W33lyS71Z3XjUVClKjs1sLHN3yXxVs8757X+6+3zWv2e/2dUedQ1s867/LoZ559S8s+//LvVNz/V&#10;bULllfzUqlKVzbp7Qdv/QPHHIf+7Z539//I/WlWcpVWcdvW0FlOd8lcPeenELn/7BOC27QNU1Z89&#10;E84PP1OqVGW37lnQdi78hGOhv+E7eGHrvwxedEGf6ya1+d/5H6kqI3XFzPP+6epp561S8o9f/t0m&#10;NF/bceoZv+JDrUpV9uuexW1H3ruwzTf4o+0ilPwHs6uBwQtaDxu8uM1v+B+hqgTr0sbKX1w547xW&#10;V04/b7OS/zlaj4bm27o1NGvdobbyF3yIVKnKdtVoFT9iIu9/76KLtty3+KLv71/STmP/q8PE/yn7&#10;3+lDFra9cciiVuc9sOCc/8T/NVWqCq+aih9dMrXFby6Zek6Xy6aeO+qyqedsuWzyOX/Jgvx7TTrn&#10;h14Tzt7aq+HsUX0mNetSNfGs/15xacXf8E+uSpUqVapUqVKVxaqo+P8Bd/Yx2FzzWRkAAAAASUVO&#10;RK5CYIJQSwECLQAUAAYACAAAACEAsYJntgoBAAATAgAAEwAAAAAAAAAAAAAAAAAAAAAAW0NvbnRl&#10;bnRfVHlwZXNdLnhtbFBLAQItABQABgAIAAAAIQA4/SH/1gAAAJQBAAALAAAAAAAAAAAAAAAAADsB&#10;AABfcmVscy8ucmVsc1BLAQItABQABgAIAAAAIQAE6eZqvAQAAKkNAAAOAAAAAAAAAAAAAAAAADoC&#10;AABkcnMvZTJvRG9jLnhtbFBLAQItABQABgAIAAAAIQAubPAAxQAAAKUBAAAZAAAAAAAAAAAAAAAA&#10;ACIHAABkcnMvX3JlbHMvZTJvRG9jLnhtbC5yZWxzUEsBAi0AFAAGAAgAAAAhAOm20TnkAAAADwEA&#10;AA8AAAAAAAAAAAAAAAAAHggAAGRycy9kb3ducmV2LnhtbFBLAQItAAoAAAAAAAAAIQBtAEjP1H0A&#10;ANR9AAAUAAAAAAAAAAAAAAAAAC8JAABkcnMvbWVkaWEvaW1hZ2UxLnBuZ1BLAQItAAoAAAAAAAAA&#10;IQDFm8go6H4AAOh+AAAUAAAAAAAAAAAAAAAAADWHAABkcnMvbWVkaWEvaW1hZ2UyLnBuZ1BLBQYA&#10;AAAABwAHAL4BAABPB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133;top:-4832;width:77723;height:10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QMrxAAAANsAAAAPAAAAZHJzL2Rvd25yZXYueG1sRI9BawIx&#10;FITvBf9DeIK3blZLi2yNImKLFhFce+jxsXnNLm5ewiZd13/fFIQeh5n5hlmsBtuKnrrQOFYwzXIQ&#10;xJXTDRsFn+e3xzmIEJE1to5JwY0CrJajhwUW2l35RH0ZjUgQDgUqqGP0hZShqsliyJwnTt636yzG&#10;JDsjdYfXBLetnOX5i7TYcFqo0dOmpupS/lgFfJ5Wh20Z5fFj6PfevZsv/2SUmoyH9SuISEP8D9/b&#10;O61g9gx/X9IPkMtfAAAA//8DAFBLAQItABQABgAIAAAAIQDb4fbL7gAAAIUBAAATAAAAAAAAAAAA&#10;AAAAAAAAAABbQ29udGVudF9UeXBlc10ueG1sUEsBAi0AFAAGAAgAAAAhAFr0LFu/AAAAFQEAAAsA&#10;AAAAAAAAAAAAAAAAHwEAAF9yZWxzLy5yZWxzUEsBAi0AFAAGAAgAAAAhAPbdAyvEAAAA2wAAAA8A&#10;AAAAAAAAAAAAAAAABwIAAGRycy9kb3ducmV2LnhtbFBLBQYAAAAAAwADALcAAAD4AgAAAAA=&#10;">
                  <v:imagedata r:id="rId10" o:title=""/>
                  <v:path arrowok="t"/>
                </v:shape>
                <v:shape id="Picture 26" o:spid="_x0000_s1028" type="#_x0000_t75" style="position:absolute;left:53003;top:2703;width:16002;height:160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pxdxgAAANsAAAAPAAAAZHJzL2Rvd25yZXYueG1sRI9BawIx&#10;FITvBf9DeEJvNauglNUoVlosthe3vXh7Js/N1s3LdpPq2l/fFASPw8x8w8wWnavFidpQeVYwHGQg&#10;iLU3FZcKPj9eHh5BhIhssPZMCi4UYDHv3c0wN/7MWzoVsRQJwiFHBTbGJpcyaEsOw8A3xMk7+NZh&#10;TLItpWnxnOCulqMsm0iHFacFiw2tLOlj8eMU6Oe3/fp7rb82x/ff8U4XT+NDbZW673fLKYhIXbyF&#10;r+1Xo2A0gf8v6QfI+R8AAAD//wMAUEsBAi0AFAAGAAgAAAAhANvh9svuAAAAhQEAABMAAAAAAAAA&#10;AAAAAAAAAAAAAFtDb250ZW50X1R5cGVzXS54bWxQSwECLQAUAAYACAAAACEAWvQsW78AAAAVAQAA&#10;CwAAAAAAAAAAAAAAAAAfAQAAX3JlbHMvLnJlbHNQSwECLQAUAAYACAAAACEAJdqcXcYAAADbAAAA&#10;DwAAAAAAAAAAAAAAAAAHAgAAZHJzL2Rvd25yZXYueG1sUEsFBgAAAAADAAMAtwAAAPoCAAAAAA==&#10;">
                  <v:imagedata r:id="rId11" o:title=""/>
                </v:shape>
                <v:shapetype id="_x0000_t202" coordsize="21600,21600" o:spt="202" path="m,l,21600r21600,l21600,xe">
                  <v:stroke joinstyle="miter"/>
                  <v:path gradientshapeok="t" o:connecttype="rect"/>
                </v:shapetype>
                <v:shape id="Text Box 3" o:spid="_x0000_s1029" type="#_x0000_t202" style="position:absolute;left:8763;top:23202;width:62807;height:19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rsidR="00FB1216" w:rsidRDefault="00FB1216" w:rsidP="002166B7">
                        <w:pPr>
                          <w:pStyle w:val="body"/>
                          <w:spacing w:before="0" w:after="120" w:line="192" w:lineRule="auto"/>
                          <w:rPr>
                            <w:rFonts w:ascii="Calibri" w:hAnsi="Calibri" w:cs="OpenSans-Bold"/>
                            <w:b/>
                            <w:bCs/>
                            <w:color w:val="62777F"/>
                            <w:sz w:val="80"/>
                            <w:szCs w:val="80"/>
                          </w:rPr>
                        </w:pPr>
                        <w:r>
                          <w:rPr>
                            <w:rFonts w:ascii="Calibri" w:hAnsi="Calibri" w:cs="OpenSans-Bold"/>
                            <w:b/>
                            <w:bCs/>
                            <w:color w:val="62777F"/>
                            <w:sz w:val="80"/>
                            <w:szCs w:val="80"/>
                          </w:rPr>
                          <w:t>2019 Economic Study:</w:t>
                        </w:r>
                      </w:p>
                      <w:p w:rsidR="00FB1216" w:rsidRPr="00716539" w:rsidRDefault="00FB1216" w:rsidP="002166B7">
                        <w:pPr>
                          <w:pStyle w:val="body"/>
                          <w:spacing w:before="0" w:after="120" w:line="192" w:lineRule="auto"/>
                          <w:rPr>
                            <w:rFonts w:ascii="Calibri" w:hAnsi="Calibri" w:cs="OpenSans-Bold"/>
                            <w:b/>
                            <w:bCs/>
                            <w:color w:val="62777F"/>
                            <w:sz w:val="80"/>
                            <w:szCs w:val="80"/>
                          </w:rPr>
                        </w:pPr>
                        <w:r>
                          <w:rPr>
                            <w:rFonts w:ascii="Calibri" w:hAnsi="Calibri" w:cs="OpenSans-Bold"/>
                            <w:b/>
                            <w:bCs/>
                            <w:color w:val="62777F"/>
                            <w:sz w:val="80"/>
                            <w:szCs w:val="80"/>
                          </w:rPr>
                          <w:t>Offshore Wind Integration</w:t>
                        </w:r>
                      </w:p>
                      <w:p w:rsidR="00FB1216" w:rsidRDefault="00FB1216" w:rsidP="002166B7">
                        <w:pPr>
                          <w:pStyle w:val="body"/>
                          <w:spacing w:before="240" w:line="192" w:lineRule="auto"/>
                          <w:ind w:left="86"/>
                          <w:rPr>
                            <w:rFonts w:ascii="Calibri" w:hAnsi="Calibri" w:cs="OpenSans-Bold"/>
                            <w:b/>
                            <w:bCs/>
                            <w:color w:val="62777F"/>
                            <w:spacing w:val="-2"/>
                            <w:sz w:val="32"/>
                            <w:szCs w:val="32"/>
                          </w:rPr>
                        </w:pPr>
                        <w:r>
                          <w:rPr>
                            <w:rFonts w:ascii="Calibri" w:hAnsi="Calibri" w:cs="OpenSans-Bold"/>
                            <w:b/>
                            <w:bCs/>
                            <w:color w:val="62777F"/>
                            <w:spacing w:val="-2"/>
                            <w:sz w:val="32"/>
                            <w:szCs w:val="32"/>
                          </w:rPr>
                          <w:t>© ISO New England Inc.</w:t>
                        </w:r>
                      </w:p>
                      <w:p w:rsidR="00FB1216" w:rsidRPr="007A11B4" w:rsidRDefault="00FB1216" w:rsidP="007A11B4">
                        <w:pPr>
                          <w:pStyle w:val="body"/>
                          <w:spacing w:before="240" w:line="192" w:lineRule="auto"/>
                          <w:ind w:left="86"/>
                          <w:rPr>
                            <w:rFonts w:ascii="Calibri" w:hAnsi="Calibri" w:cs="OpenSans-Bold"/>
                            <w:b/>
                            <w:bCs/>
                            <w:color w:val="62777F"/>
                            <w:spacing w:val="-2"/>
                            <w:sz w:val="24"/>
                            <w:szCs w:val="24"/>
                          </w:rPr>
                        </w:pPr>
                        <w:r w:rsidRPr="007A11B4">
                          <w:rPr>
                            <w:rFonts w:ascii="Calibri" w:hAnsi="Calibri" w:cs="OpenSans-Bold"/>
                            <w:b/>
                            <w:bCs/>
                            <w:color w:val="62777F"/>
                            <w:spacing w:val="-2"/>
                            <w:sz w:val="24"/>
                            <w:szCs w:val="24"/>
                          </w:rPr>
                          <w:t>J</w:t>
                        </w:r>
                        <w:r>
                          <w:rPr>
                            <w:rFonts w:ascii="Calibri" w:hAnsi="Calibri" w:cs="OpenSans-Bold"/>
                            <w:b/>
                            <w:bCs/>
                            <w:color w:val="62777F"/>
                            <w:spacing w:val="-2"/>
                            <w:sz w:val="24"/>
                            <w:szCs w:val="24"/>
                          </w:rPr>
                          <w:t>U</w:t>
                        </w:r>
                        <w:r w:rsidRPr="007A11B4">
                          <w:rPr>
                            <w:rFonts w:ascii="Calibri" w:hAnsi="Calibri" w:cs="OpenSans-Bold"/>
                            <w:b/>
                            <w:bCs/>
                            <w:color w:val="62777F"/>
                            <w:spacing w:val="-2"/>
                            <w:sz w:val="24"/>
                            <w:szCs w:val="24"/>
                          </w:rPr>
                          <w:t>NE 30, 2020</w:t>
                        </w:r>
                      </w:p>
                    </w:txbxContent>
                  </v:textbox>
                </v:shape>
              </v:group>
            </w:pict>
          </mc:Fallback>
        </mc:AlternateContent>
      </w:r>
    </w:p>
    <w:p w:rsidR="00D85494" w:rsidRDefault="00D85494" w:rsidP="00E401C4">
      <w:pPr>
        <w:adjustRightInd/>
        <w:spacing w:line="240" w:lineRule="auto"/>
        <w:textAlignment w:val="auto"/>
        <w:outlineLvl w:val="0"/>
        <w:rPr>
          <w:rFonts w:ascii="Calibri" w:hAnsi="Calibri" w:cs="Arial"/>
          <w:b/>
          <w:bCs/>
          <w:color w:val="0C95D2"/>
          <w:sz w:val="36"/>
          <w:szCs w:val="36"/>
        </w:rPr>
        <w:sectPr w:rsidR="00D85494" w:rsidSect="004C3378">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pgNumType w:fmt="lowerRoman"/>
          <w:cols w:space="720"/>
          <w:docGrid w:linePitch="360"/>
        </w:sectPr>
      </w:pPr>
      <w:bookmarkStart w:id="0" w:name="_Toc477187093"/>
      <w:bookmarkStart w:id="1" w:name="_Toc477794591"/>
      <w:bookmarkStart w:id="2" w:name="_Toc486405945"/>
      <w:bookmarkStart w:id="3" w:name="_Toc497394705"/>
      <w:bookmarkStart w:id="4" w:name="_Toc497812733"/>
      <w:bookmarkStart w:id="5" w:name="_Toc517681482"/>
    </w:p>
    <w:p w:rsidR="00302948" w:rsidRDefault="002166B7" w:rsidP="00EC4E5A">
      <w:pPr>
        <w:rPr>
          <w:rFonts w:ascii="Calibri" w:hAnsi="Calibri" w:cs="Arial"/>
          <w:b/>
          <w:bCs/>
          <w:color w:val="0C95D2"/>
          <w:sz w:val="36"/>
          <w:szCs w:val="36"/>
        </w:rPr>
      </w:pPr>
      <w:r>
        <w:rPr>
          <w:rFonts w:ascii="Calibri" w:hAnsi="Calibri" w:cs="OpenSans-Bold"/>
          <w:b/>
          <w:bCs/>
          <w:noProof/>
          <w:color w:val="3D484C"/>
          <w:sz w:val="80"/>
          <w:szCs w:val="80"/>
        </w:rPr>
        <mc:AlternateContent>
          <mc:Choice Requires="wps">
            <w:drawing>
              <wp:anchor distT="0" distB="0" distL="114300" distR="114300" simplePos="0" relativeHeight="251668480" behindDoc="0" locked="0" layoutInCell="1" allowOverlap="1" wp14:anchorId="3829306A" wp14:editId="74DB0437">
                <wp:simplePos x="0" y="0"/>
                <wp:positionH relativeFrom="margin">
                  <wp:posOffset>-679450</wp:posOffset>
                </wp:positionH>
                <wp:positionV relativeFrom="paragraph">
                  <wp:posOffset>5876925</wp:posOffset>
                </wp:positionV>
                <wp:extent cx="7299960" cy="244475"/>
                <wp:effectExtent l="0" t="0" r="0" b="3175"/>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99960" cy="24447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rsidR="00FB1216" w:rsidRPr="00716539" w:rsidRDefault="00FB1216" w:rsidP="002166B7">
                            <w:pPr>
                              <w:widowControl w:val="0"/>
                              <w:suppressAutoHyphens/>
                              <w:autoSpaceDE w:val="0"/>
                              <w:autoSpaceDN w:val="0"/>
                              <w:jc w:val="center"/>
                              <w:textAlignment w:val="center"/>
                              <w:rPr>
                                <w:rFonts w:ascii="Calibri" w:hAnsi="Calibri" w:cs="OpenSans-Bold"/>
                                <w:b/>
                                <w:bCs/>
                                <w:caps/>
                                <w:color w:val="62777F"/>
                                <w:sz w:val="14"/>
                                <w:szCs w:val="14"/>
                              </w:rPr>
                            </w:pPr>
                            <w:r w:rsidRPr="004A2480">
                              <w:rPr>
                                <w:rFonts w:ascii="Calibri" w:hAnsi="Calibri" w:cs="OpenSans-Bold"/>
                                <w:b/>
                                <w:bCs/>
                                <w:caps/>
                                <w:color w:val="62777F"/>
                                <w:sz w:val="14"/>
                                <w:szCs w:val="14"/>
                              </w:rPr>
                              <w:t>ISO-NE PUBLIC</w:t>
                            </w:r>
                          </w:p>
                          <w:p w:rsidR="00FB1216" w:rsidRPr="004759C4" w:rsidRDefault="00FB1216" w:rsidP="002166B7">
                            <w:pPr>
                              <w:rPr>
                                <w:rFonts w:ascii="Calibri" w:hAnsi="Calibri"/>
                                <w:color w:val="787B7F"/>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29306A" id="Text Box 30" o:spid="_x0000_s1030" type="#_x0000_t202" style="position:absolute;margin-left:-53.5pt;margin-top:462.75pt;width:574.8pt;height:19.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mFQagIAAMIEAAAOAAAAZHJzL2Uyb0RvYy54bWysVN9P2zAQfp+0/8Hye0nSpZRGpCgUdZpU&#10;ARJMPLuOQ6Mltme7JGzif99np4GO7Wnai3O++3w/vrvL+UXfNuRJGFsrmdPkJKZESK7KWj7m9Ov9&#10;enJGiXVMlqxRUuT0WVh6sfz44bzTmZiqnWpKYQicSJt1Oqc753QWRZbvRMvsidJCwlgp0zKHq3mM&#10;SsM6eG+baBrHp1GnTKmN4sJaaK8GI10G/1UluLupKiscaXKK3Fw4TTi3/oyW5yx7NEzvan5Ig/1D&#10;Fi2rJYK+urpijpG9qf9w1dbcKKsqd8JVG6mqqrkINaCaJH5Xzd2OaRFqATlWv9Jk/59bfv10a0hd&#10;5vQT6JGsRY/uRe/IpeoJVOCn0zYD7E4D6Hro0edQq9Ubxb9ZQKIjzPDAAu356CvT+i8qJXiIGM+v&#10;tPswHMr5dLFYnMLEYZumaTqf+bjR22ttrPssVEu8kFODtoYM2NPGugE6QnwwqdZ100DPskb+poDP&#10;QSPCbAyvWYZMIHqkzyn07edqNp8W89liclrMkkmaxGeTooink6t1ERdxul4t0suXQ57j+8DDULpn&#10;xPXbPnCbjDxuVfkMGo0aBtFqvq5R0oZZd8sMJg8sYJvcDY6qUV1O1UGiZKfMj7/pPR4DASslHSY5&#10;p/b7nhlBSfNFYlQWSZrCrQuXFFXhYo4t22OL3LcrhWVJsLeaB9HjXTOKlVHtA5au8FFhYpIjdk7d&#10;KK7csF9YWi6KIoAw7Jq5jbzTfJwe37D7/oEZfeiqA4vXapx5lr1r7oAdulnsnarq0HnP88DqYQyx&#10;KGF2DkvtN/H4HlBvv57lLwAAAP//AwBQSwMEFAAGAAgAAAAhAC0824ThAAAADQEAAA8AAABkcnMv&#10;ZG93bnJldi54bWxMj8FOwzAQRO9I/IO1SNxau1EbaIhTIaQKhLgQ+gFu7MZR4rUV20ng63FPcJyd&#10;0eyb8rCYgUxq9J1FDps1A6KwsbLDlsPp67h6BOKDQCkGi4rDt/JwqG5vSlFIO+OnmurQklSCvhAc&#10;dAiuoNQ3Whnh19YpTN7FjkaEJMeWylHMqdwMNGMsp0Z0mD5o4dSLVk1fR8PhGF/fzPRDo3uvmxm1&#10;6+Ppo+f8/m55fgIS1BL+wnDFT+hQJaazjSg9GTisNuwhjQkc9tluB+QaYdssB3JOp3zLgFYl/b+i&#10;+gUAAP//AwBQSwECLQAUAAYACAAAACEAtoM4kv4AAADhAQAAEwAAAAAAAAAAAAAAAAAAAAAAW0Nv&#10;bnRlbnRfVHlwZXNdLnhtbFBLAQItABQABgAIAAAAIQA4/SH/1gAAAJQBAAALAAAAAAAAAAAAAAAA&#10;AC8BAABfcmVscy8ucmVsc1BLAQItABQABgAIAAAAIQDaImFQagIAAMIEAAAOAAAAAAAAAAAAAAAA&#10;AC4CAABkcnMvZTJvRG9jLnhtbFBLAQItABQABgAIAAAAIQAtPNuE4QAAAA0BAAAPAAAAAAAAAAAA&#10;AAAAAMQEAABkcnMvZG93bnJldi54bWxQSwUGAAAAAAQABADzAAAA0gUAAAAA&#10;" filled="f" stroked="f">
                <v:path arrowok="t"/>
                <v:textbox>
                  <w:txbxContent>
                    <w:p w:rsidR="00FB1216" w:rsidRPr="00716539" w:rsidRDefault="00FB1216" w:rsidP="002166B7">
                      <w:pPr>
                        <w:widowControl w:val="0"/>
                        <w:suppressAutoHyphens/>
                        <w:autoSpaceDE w:val="0"/>
                        <w:autoSpaceDN w:val="0"/>
                        <w:jc w:val="center"/>
                        <w:textAlignment w:val="center"/>
                        <w:rPr>
                          <w:rFonts w:ascii="Calibri" w:hAnsi="Calibri" w:cs="OpenSans-Bold"/>
                          <w:b/>
                          <w:bCs/>
                          <w:caps/>
                          <w:color w:val="62777F"/>
                          <w:sz w:val="14"/>
                          <w:szCs w:val="14"/>
                        </w:rPr>
                      </w:pPr>
                      <w:r w:rsidRPr="004A2480">
                        <w:rPr>
                          <w:rFonts w:ascii="Calibri" w:hAnsi="Calibri" w:cs="OpenSans-Bold"/>
                          <w:b/>
                          <w:bCs/>
                          <w:caps/>
                          <w:color w:val="62777F"/>
                          <w:sz w:val="14"/>
                          <w:szCs w:val="14"/>
                        </w:rPr>
                        <w:t>ISO-NE PUBLIC</w:t>
                      </w:r>
                    </w:p>
                    <w:p w:rsidR="00FB1216" w:rsidRPr="004759C4" w:rsidRDefault="00FB1216" w:rsidP="002166B7">
                      <w:pPr>
                        <w:rPr>
                          <w:rFonts w:ascii="Calibri" w:hAnsi="Calibri"/>
                          <w:color w:val="787B7F"/>
                          <w:sz w:val="14"/>
                          <w:szCs w:val="14"/>
                        </w:rPr>
                      </w:pPr>
                    </w:p>
                  </w:txbxContent>
                </v:textbox>
                <w10:wrap type="square" anchorx="margin"/>
              </v:shape>
            </w:pict>
          </mc:Fallback>
        </mc:AlternateContent>
      </w:r>
    </w:p>
    <w:p w:rsidR="00D85494" w:rsidRDefault="00D85494">
      <w:pPr>
        <w:adjustRightInd/>
        <w:spacing w:after="0" w:line="240" w:lineRule="auto"/>
        <w:textAlignment w:val="auto"/>
        <w:rPr>
          <w:rFonts w:ascii="Calibri" w:hAnsi="Calibri" w:cs="Arial"/>
          <w:b/>
          <w:bCs/>
          <w:color w:val="0C95D2"/>
          <w:sz w:val="36"/>
          <w:szCs w:val="36"/>
        </w:rPr>
        <w:sectPr w:rsidR="00D85494" w:rsidSect="00D85494">
          <w:type w:val="continuous"/>
          <w:pgSz w:w="12240" w:h="15840" w:code="1"/>
          <w:pgMar w:top="1440" w:right="1440" w:bottom="1440" w:left="1440" w:header="720" w:footer="720" w:gutter="0"/>
          <w:pgNumType w:fmt="lowerRoman"/>
          <w:cols w:space="720"/>
          <w:docGrid w:linePitch="360"/>
        </w:sectPr>
      </w:pPr>
      <w:bookmarkStart w:id="6" w:name="_GoBack"/>
      <w:bookmarkEnd w:id="6"/>
    </w:p>
    <w:p w:rsidR="002166B7" w:rsidRDefault="002166B7" w:rsidP="001F5E1A">
      <w:pPr>
        <w:adjustRightInd/>
        <w:spacing w:after="120" w:line="240" w:lineRule="auto"/>
        <w:textAlignment w:val="auto"/>
        <w:outlineLvl w:val="0"/>
        <w:rPr>
          <w:rFonts w:ascii="Calibri" w:hAnsi="Calibri" w:cs="Arial"/>
          <w:b/>
          <w:bCs/>
          <w:color w:val="0C95D2"/>
          <w:sz w:val="36"/>
          <w:szCs w:val="36"/>
        </w:rPr>
        <w:sectPr w:rsidR="002166B7" w:rsidSect="001E2301">
          <w:headerReference w:type="default" r:id="rId18"/>
          <w:footerReference w:type="default" r:id="rId19"/>
          <w:pgSz w:w="12240" w:h="15840" w:code="1"/>
          <w:pgMar w:top="1440" w:right="1440" w:bottom="1440" w:left="1440" w:header="720" w:footer="720" w:gutter="0"/>
          <w:pgNumType w:fmt="lowerRoman" w:start="3"/>
          <w:cols w:space="720"/>
          <w:docGrid w:linePitch="360"/>
        </w:sectPr>
      </w:pPr>
      <w:bookmarkStart w:id="7" w:name="_Toc518562629"/>
      <w:bookmarkStart w:id="8" w:name="_Toc528571170"/>
      <w:bookmarkStart w:id="9" w:name="_Toc43194319"/>
      <w:bookmarkStart w:id="10" w:name="_Toc43224071"/>
      <w:bookmarkStart w:id="11" w:name="_Toc43224447"/>
    </w:p>
    <w:p w:rsidR="00F565D2" w:rsidRPr="00FB1216" w:rsidRDefault="00F565D2" w:rsidP="001F5E1A">
      <w:pPr>
        <w:adjustRightInd/>
        <w:spacing w:after="120" w:line="240" w:lineRule="auto"/>
        <w:textAlignment w:val="auto"/>
        <w:outlineLvl w:val="0"/>
        <w:rPr>
          <w:rFonts w:ascii="Calibri" w:hAnsi="Calibri" w:cs="Arial"/>
          <w:b/>
          <w:bCs/>
          <w:color w:val="0C95D2"/>
          <w:sz w:val="36"/>
          <w:szCs w:val="36"/>
        </w:rPr>
      </w:pPr>
      <w:bookmarkStart w:id="12" w:name="_Toc44412031"/>
      <w:r w:rsidRPr="00FB1216">
        <w:rPr>
          <w:rFonts w:ascii="Calibri" w:hAnsi="Calibri" w:cs="Arial"/>
          <w:b/>
          <w:bCs/>
          <w:color w:val="0C95D2"/>
          <w:sz w:val="36"/>
          <w:szCs w:val="36"/>
        </w:rPr>
        <w:lastRenderedPageBreak/>
        <w:t>Table of Contents</w:t>
      </w:r>
      <w:bookmarkEnd w:id="0"/>
      <w:bookmarkEnd w:id="1"/>
      <w:bookmarkEnd w:id="2"/>
      <w:bookmarkEnd w:id="3"/>
      <w:bookmarkEnd w:id="4"/>
      <w:bookmarkEnd w:id="5"/>
      <w:bookmarkEnd w:id="7"/>
      <w:bookmarkEnd w:id="8"/>
      <w:bookmarkEnd w:id="9"/>
      <w:bookmarkEnd w:id="10"/>
      <w:bookmarkEnd w:id="11"/>
      <w:bookmarkEnd w:id="12"/>
    </w:p>
    <w:p w:rsidR="00FB1216" w:rsidRPr="00FB1216" w:rsidRDefault="00CD7DBD" w:rsidP="00FB1216">
      <w:pPr>
        <w:pStyle w:val="TOC1"/>
        <w:rPr>
          <w:rFonts w:asciiTheme="majorHAnsi" w:eastAsiaTheme="minorEastAsia" w:hAnsiTheme="majorHAnsi" w:cstheme="minorBidi"/>
          <w:b w:val="0"/>
          <w:bCs w:val="0"/>
          <w:sz w:val="22"/>
          <w:szCs w:val="22"/>
        </w:rPr>
      </w:pPr>
      <w:r w:rsidRPr="00FB1216">
        <w:rPr>
          <w:rFonts w:asciiTheme="majorHAnsi" w:hAnsiTheme="majorHAnsi" w:cstheme="minorHAnsi"/>
        </w:rPr>
        <w:fldChar w:fldCharType="begin"/>
      </w:r>
      <w:r w:rsidRPr="00FB1216">
        <w:rPr>
          <w:rFonts w:asciiTheme="majorHAnsi" w:hAnsiTheme="majorHAnsi" w:cstheme="minorHAnsi"/>
        </w:rPr>
        <w:instrText xml:space="preserve"> TOC \o "1-3" \h \z \u </w:instrText>
      </w:r>
      <w:r w:rsidRPr="00FB1216">
        <w:rPr>
          <w:rFonts w:asciiTheme="majorHAnsi" w:hAnsiTheme="majorHAnsi" w:cstheme="minorHAnsi"/>
        </w:rPr>
        <w:fldChar w:fldCharType="separate"/>
      </w:r>
      <w:hyperlink w:anchor="_Toc44412032" w:history="1">
        <w:r w:rsidR="00FB1216" w:rsidRPr="00FB1216">
          <w:rPr>
            <w:rStyle w:val="Hyperlink"/>
            <w:rFonts w:asciiTheme="majorHAnsi" w:hAnsiTheme="majorHAnsi"/>
          </w:rPr>
          <w:t>Figures</w:t>
        </w:r>
        <w:r w:rsidR="00FB1216" w:rsidRPr="00FB1216">
          <w:rPr>
            <w:rFonts w:asciiTheme="majorHAnsi" w:hAnsiTheme="majorHAnsi"/>
            <w:webHidden/>
          </w:rPr>
          <w:tab/>
        </w:r>
        <w:r w:rsidR="00FB1216" w:rsidRPr="00FB1216">
          <w:rPr>
            <w:rFonts w:asciiTheme="majorHAnsi" w:hAnsiTheme="majorHAnsi"/>
            <w:webHidden/>
          </w:rPr>
          <w:fldChar w:fldCharType="begin"/>
        </w:r>
        <w:r w:rsidR="00FB1216" w:rsidRPr="00FB1216">
          <w:rPr>
            <w:rFonts w:asciiTheme="majorHAnsi" w:hAnsiTheme="majorHAnsi"/>
            <w:webHidden/>
          </w:rPr>
          <w:instrText xml:space="preserve"> PAGEREF _Toc44412032 \h </w:instrText>
        </w:r>
        <w:r w:rsidR="00FB1216" w:rsidRPr="00FB1216">
          <w:rPr>
            <w:rFonts w:asciiTheme="majorHAnsi" w:hAnsiTheme="majorHAnsi"/>
            <w:webHidden/>
          </w:rPr>
        </w:r>
        <w:r w:rsidR="00FB1216" w:rsidRPr="00FB1216">
          <w:rPr>
            <w:rFonts w:asciiTheme="majorHAnsi" w:hAnsiTheme="majorHAnsi"/>
            <w:webHidden/>
          </w:rPr>
          <w:fldChar w:fldCharType="separate"/>
        </w:r>
        <w:r w:rsidR="00F54CC0">
          <w:rPr>
            <w:rFonts w:asciiTheme="majorHAnsi" w:hAnsiTheme="majorHAnsi"/>
            <w:webHidden/>
          </w:rPr>
          <w:t>iv</w:t>
        </w:r>
        <w:r w:rsidR="00FB1216" w:rsidRPr="00FB1216">
          <w:rPr>
            <w:rFonts w:asciiTheme="majorHAnsi" w:hAnsiTheme="majorHAnsi"/>
            <w:webHidden/>
          </w:rPr>
          <w:fldChar w:fldCharType="end"/>
        </w:r>
      </w:hyperlink>
    </w:p>
    <w:p w:rsidR="00FB1216" w:rsidRPr="00FB1216" w:rsidRDefault="00B032A6" w:rsidP="00FB1216">
      <w:pPr>
        <w:pStyle w:val="TOC1"/>
        <w:rPr>
          <w:rFonts w:asciiTheme="majorHAnsi" w:eastAsiaTheme="minorEastAsia" w:hAnsiTheme="majorHAnsi" w:cstheme="minorBidi"/>
          <w:b w:val="0"/>
          <w:bCs w:val="0"/>
          <w:sz w:val="22"/>
          <w:szCs w:val="22"/>
        </w:rPr>
      </w:pPr>
      <w:hyperlink w:anchor="_Toc44412033" w:history="1">
        <w:r w:rsidR="00FB1216" w:rsidRPr="00FB1216">
          <w:rPr>
            <w:rStyle w:val="Hyperlink"/>
            <w:rFonts w:asciiTheme="majorHAnsi" w:hAnsiTheme="majorHAnsi"/>
          </w:rPr>
          <w:t>Tables</w:t>
        </w:r>
        <w:r w:rsidR="00FB1216" w:rsidRPr="00FB1216">
          <w:rPr>
            <w:rFonts w:asciiTheme="majorHAnsi" w:hAnsiTheme="majorHAnsi"/>
            <w:webHidden/>
          </w:rPr>
          <w:tab/>
        </w:r>
        <w:r w:rsidR="00FB1216" w:rsidRPr="00FB1216">
          <w:rPr>
            <w:rFonts w:asciiTheme="majorHAnsi" w:hAnsiTheme="majorHAnsi"/>
            <w:webHidden/>
          </w:rPr>
          <w:fldChar w:fldCharType="begin"/>
        </w:r>
        <w:r w:rsidR="00FB1216" w:rsidRPr="00FB1216">
          <w:rPr>
            <w:rFonts w:asciiTheme="majorHAnsi" w:hAnsiTheme="majorHAnsi"/>
            <w:webHidden/>
          </w:rPr>
          <w:instrText xml:space="preserve"> PAGEREF _Toc44412033 \h </w:instrText>
        </w:r>
        <w:r w:rsidR="00FB1216" w:rsidRPr="00FB1216">
          <w:rPr>
            <w:rFonts w:asciiTheme="majorHAnsi" w:hAnsiTheme="majorHAnsi"/>
            <w:webHidden/>
          </w:rPr>
        </w:r>
        <w:r w:rsidR="00FB1216" w:rsidRPr="00FB1216">
          <w:rPr>
            <w:rFonts w:asciiTheme="majorHAnsi" w:hAnsiTheme="majorHAnsi"/>
            <w:webHidden/>
          </w:rPr>
          <w:fldChar w:fldCharType="separate"/>
        </w:r>
        <w:r w:rsidR="00F54CC0">
          <w:rPr>
            <w:rFonts w:asciiTheme="majorHAnsi" w:hAnsiTheme="majorHAnsi"/>
            <w:webHidden/>
          </w:rPr>
          <w:t>v</w:t>
        </w:r>
        <w:r w:rsidR="00FB1216" w:rsidRPr="00FB1216">
          <w:rPr>
            <w:rFonts w:asciiTheme="majorHAnsi" w:hAnsiTheme="majorHAnsi"/>
            <w:webHidden/>
          </w:rPr>
          <w:fldChar w:fldCharType="end"/>
        </w:r>
      </w:hyperlink>
    </w:p>
    <w:p w:rsidR="00FB1216" w:rsidRPr="00FB1216" w:rsidRDefault="00B032A6" w:rsidP="00FB1216">
      <w:pPr>
        <w:pStyle w:val="TOC1"/>
        <w:rPr>
          <w:rFonts w:asciiTheme="majorHAnsi" w:eastAsiaTheme="minorEastAsia" w:hAnsiTheme="majorHAnsi" w:cstheme="minorBidi"/>
          <w:b w:val="0"/>
          <w:bCs w:val="0"/>
          <w:sz w:val="22"/>
          <w:szCs w:val="22"/>
        </w:rPr>
      </w:pPr>
      <w:hyperlink w:anchor="_Toc44412034" w:history="1">
        <w:r w:rsidR="00FB1216" w:rsidRPr="00FB1216">
          <w:rPr>
            <w:rStyle w:val="Hyperlink"/>
            <w:rFonts w:asciiTheme="majorHAnsi" w:hAnsiTheme="majorHAnsi"/>
          </w:rPr>
          <w:t>Section 1</w:t>
        </w:r>
        <w:r w:rsidR="00FB1216" w:rsidRPr="00FB1216">
          <w:rPr>
            <w:rStyle w:val="Hyperlink"/>
            <w:rFonts w:asciiTheme="majorHAnsi" w:hAnsiTheme="majorHAnsi"/>
          </w:rPr>
          <w:br/>
          <w:t>Executive Summary</w:t>
        </w:r>
        <w:r w:rsidR="00FB1216" w:rsidRPr="00FB1216">
          <w:rPr>
            <w:rFonts w:asciiTheme="majorHAnsi" w:hAnsiTheme="majorHAnsi"/>
            <w:webHidden/>
          </w:rPr>
          <w:tab/>
        </w:r>
        <w:r w:rsidR="00FB1216" w:rsidRPr="00FB1216">
          <w:rPr>
            <w:rFonts w:asciiTheme="majorHAnsi" w:hAnsiTheme="majorHAnsi"/>
            <w:webHidden/>
          </w:rPr>
          <w:fldChar w:fldCharType="begin"/>
        </w:r>
        <w:r w:rsidR="00FB1216" w:rsidRPr="00FB1216">
          <w:rPr>
            <w:rFonts w:asciiTheme="majorHAnsi" w:hAnsiTheme="majorHAnsi"/>
            <w:webHidden/>
          </w:rPr>
          <w:instrText xml:space="preserve"> PAGEREF _Toc44412034 \h </w:instrText>
        </w:r>
        <w:r w:rsidR="00FB1216" w:rsidRPr="00FB1216">
          <w:rPr>
            <w:rFonts w:asciiTheme="majorHAnsi" w:hAnsiTheme="majorHAnsi"/>
            <w:webHidden/>
          </w:rPr>
        </w:r>
        <w:r w:rsidR="00FB1216" w:rsidRPr="00FB1216">
          <w:rPr>
            <w:rFonts w:asciiTheme="majorHAnsi" w:hAnsiTheme="majorHAnsi"/>
            <w:webHidden/>
          </w:rPr>
          <w:fldChar w:fldCharType="separate"/>
        </w:r>
        <w:r w:rsidR="00F54CC0">
          <w:rPr>
            <w:rFonts w:asciiTheme="majorHAnsi" w:hAnsiTheme="majorHAnsi"/>
            <w:webHidden/>
          </w:rPr>
          <w:t>1</w:t>
        </w:r>
        <w:r w:rsidR="00FB1216" w:rsidRPr="00FB1216">
          <w:rPr>
            <w:rFonts w:asciiTheme="majorHAnsi" w:hAnsiTheme="majorHAnsi"/>
            <w:webHidden/>
          </w:rPr>
          <w:fldChar w:fldCharType="end"/>
        </w:r>
      </w:hyperlink>
    </w:p>
    <w:p w:rsidR="00FB1216" w:rsidRPr="00FB1216" w:rsidRDefault="00B032A6" w:rsidP="00FB1216">
      <w:pPr>
        <w:pStyle w:val="TOC1"/>
        <w:rPr>
          <w:rFonts w:asciiTheme="majorHAnsi" w:eastAsiaTheme="minorEastAsia" w:hAnsiTheme="majorHAnsi" w:cstheme="minorBidi"/>
          <w:b w:val="0"/>
          <w:bCs w:val="0"/>
          <w:sz w:val="22"/>
          <w:szCs w:val="22"/>
        </w:rPr>
      </w:pPr>
      <w:hyperlink w:anchor="_Toc44412035" w:history="1">
        <w:r w:rsidR="00FB1216" w:rsidRPr="00FB1216">
          <w:rPr>
            <w:rStyle w:val="Hyperlink"/>
            <w:rFonts w:asciiTheme="majorHAnsi" w:hAnsiTheme="majorHAnsi"/>
          </w:rPr>
          <w:t>Section 2</w:t>
        </w:r>
        <w:r w:rsidR="00FB1216" w:rsidRPr="00FB1216">
          <w:rPr>
            <w:rStyle w:val="Hyperlink"/>
            <w:rFonts w:asciiTheme="majorHAnsi" w:hAnsiTheme="majorHAnsi"/>
          </w:rPr>
          <w:br/>
          <w:t>Background</w:t>
        </w:r>
        <w:r w:rsidR="00FB1216" w:rsidRPr="00FB1216">
          <w:rPr>
            <w:rFonts w:asciiTheme="majorHAnsi" w:hAnsiTheme="majorHAnsi"/>
            <w:webHidden/>
          </w:rPr>
          <w:tab/>
        </w:r>
        <w:r w:rsidR="00FB1216" w:rsidRPr="00FB1216">
          <w:rPr>
            <w:rFonts w:asciiTheme="majorHAnsi" w:hAnsiTheme="majorHAnsi"/>
            <w:webHidden/>
          </w:rPr>
          <w:fldChar w:fldCharType="begin"/>
        </w:r>
        <w:r w:rsidR="00FB1216" w:rsidRPr="00FB1216">
          <w:rPr>
            <w:rFonts w:asciiTheme="majorHAnsi" w:hAnsiTheme="majorHAnsi"/>
            <w:webHidden/>
          </w:rPr>
          <w:instrText xml:space="preserve"> PAGEREF _Toc44412035 \h </w:instrText>
        </w:r>
        <w:r w:rsidR="00FB1216" w:rsidRPr="00FB1216">
          <w:rPr>
            <w:rFonts w:asciiTheme="majorHAnsi" w:hAnsiTheme="majorHAnsi"/>
            <w:webHidden/>
          </w:rPr>
        </w:r>
        <w:r w:rsidR="00FB1216" w:rsidRPr="00FB1216">
          <w:rPr>
            <w:rFonts w:asciiTheme="majorHAnsi" w:hAnsiTheme="majorHAnsi"/>
            <w:webHidden/>
          </w:rPr>
          <w:fldChar w:fldCharType="separate"/>
        </w:r>
        <w:r w:rsidR="00F54CC0">
          <w:rPr>
            <w:rFonts w:asciiTheme="majorHAnsi" w:hAnsiTheme="majorHAnsi"/>
            <w:webHidden/>
          </w:rPr>
          <w:t>2</w:t>
        </w:r>
        <w:r w:rsidR="00FB1216" w:rsidRPr="00FB1216">
          <w:rPr>
            <w:rFonts w:asciiTheme="majorHAnsi" w:hAnsiTheme="majorHAnsi"/>
            <w:webHidden/>
          </w:rPr>
          <w:fldChar w:fldCharType="end"/>
        </w:r>
      </w:hyperlink>
    </w:p>
    <w:p w:rsidR="00FB1216" w:rsidRPr="00FB1216" w:rsidRDefault="00B032A6" w:rsidP="00FB1216">
      <w:pPr>
        <w:pStyle w:val="TOC1"/>
        <w:rPr>
          <w:rFonts w:asciiTheme="majorHAnsi" w:eastAsiaTheme="minorEastAsia" w:hAnsiTheme="majorHAnsi" w:cstheme="minorBidi"/>
          <w:b w:val="0"/>
          <w:bCs w:val="0"/>
          <w:sz w:val="22"/>
          <w:szCs w:val="22"/>
        </w:rPr>
      </w:pPr>
      <w:hyperlink w:anchor="_Toc44412036" w:history="1">
        <w:r w:rsidR="00FB1216" w:rsidRPr="00FB1216">
          <w:rPr>
            <w:rStyle w:val="Hyperlink"/>
            <w:rFonts w:asciiTheme="majorHAnsi" w:hAnsiTheme="majorHAnsi"/>
          </w:rPr>
          <w:t>Section 3</w:t>
        </w:r>
        <w:r w:rsidR="00FB1216" w:rsidRPr="00FB1216">
          <w:rPr>
            <w:rStyle w:val="Hyperlink"/>
            <w:rFonts w:asciiTheme="majorHAnsi" w:hAnsiTheme="majorHAnsi"/>
          </w:rPr>
          <w:br/>
          <w:t>Purpose of the 2019 NESCOE Economic Study and Metrics Analyzed</w:t>
        </w:r>
        <w:r w:rsidR="00FB1216" w:rsidRPr="00FB1216">
          <w:rPr>
            <w:rFonts w:asciiTheme="majorHAnsi" w:hAnsiTheme="majorHAnsi"/>
            <w:webHidden/>
          </w:rPr>
          <w:tab/>
        </w:r>
        <w:r w:rsidR="00FB1216" w:rsidRPr="00FB1216">
          <w:rPr>
            <w:rFonts w:asciiTheme="majorHAnsi" w:hAnsiTheme="majorHAnsi"/>
            <w:webHidden/>
          </w:rPr>
          <w:fldChar w:fldCharType="begin"/>
        </w:r>
        <w:r w:rsidR="00FB1216" w:rsidRPr="00FB1216">
          <w:rPr>
            <w:rFonts w:asciiTheme="majorHAnsi" w:hAnsiTheme="majorHAnsi"/>
            <w:webHidden/>
          </w:rPr>
          <w:instrText xml:space="preserve"> PAGEREF _Toc44412036 \h </w:instrText>
        </w:r>
        <w:r w:rsidR="00FB1216" w:rsidRPr="00FB1216">
          <w:rPr>
            <w:rFonts w:asciiTheme="majorHAnsi" w:hAnsiTheme="majorHAnsi"/>
            <w:webHidden/>
          </w:rPr>
        </w:r>
        <w:r w:rsidR="00FB1216" w:rsidRPr="00FB1216">
          <w:rPr>
            <w:rFonts w:asciiTheme="majorHAnsi" w:hAnsiTheme="majorHAnsi"/>
            <w:webHidden/>
          </w:rPr>
          <w:fldChar w:fldCharType="separate"/>
        </w:r>
        <w:r w:rsidR="00F54CC0">
          <w:rPr>
            <w:rFonts w:asciiTheme="majorHAnsi" w:hAnsiTheme="majorHAnsi"/>
            <w:webHidden/>
          </w:rPr>
          <w:t>4</w:t>
        </w:r>
        <w:r w:rsidR="00FB1216" w:rsidRPr="00FB1216">
          <w:rPr>
            <w:rFonts w:asciiTheme="majorHAnsi" w:hAnsiTheme="majorHAnsi"/>
            <w:webHidden/>
          </w:rPr>
          <w:fldChar w:fldCharType="end"/>
        </w:r>
      </w:hyperlink>
    </w:p>
    <w:p w:rsidR="00FB1216" w:rsidRPr="00FB1216" w:rsidRDefault="00B032A6" w:rsidP="00FB1216">
      <w:pPr>
        <w:pStyle w:val="TOC1"/>
        <w:rPr>
          <w:rFonts w:asciiTheme="majorHAnsi" w:eastAsiaTheme="minorEastAsia" w:hAnsiTheme="majorHAnsi" w:cstheme="minorBidi"/>
          <w:b w:val="0"/>
          <w:bCs w:val="0"/>
          <w:sz w:val="22"/>
          <w:szCs w:val="22"/>
        </w:rPr>
      </w:pPr>
      <w:hyperlink w:anchor="_Toc44412037" w:history="1">
        <w:r w:rsidR="00FB1216" w:rsidRPr="00FB1216">
          <w:rPr>
            <w:rStyle w:val="Hyperlink"/>
            <w:rFonts w:asciiTheme="majorHAnsi" w:hAnsiTheme="majorHAnsi"/>
          </w:rPr>
          <w:t>Section 4</w:t>
        </w:r>
        <w:r w:rsidR="00FB1216" w:rsidRPr="00FB1216">
          <w:rPr>
            <w:rStyle w:val="Hyperlink"/>
            <w:rFonts w:asciiTheme="majorHAnsi" w:hAnsiTheme="majorHAnsi"/>
          </w:rPr>
          <w:br/>
          <w:t>Scenarios</w:t>
        </w:r>
        <w:r w:rsidR="00FB1216" w:rsidRPr="00FB1216">
          <w:rPr>
            <w:rFonts w:asciiTheme="majorHAnsi" w:hAnsiTheme="majorHAnsi"/>
            <w:webHidden/>
          </w:rPr>
          <w:tab/>
        </w:r>
        <w:r w:rsidR="00FB1216" w:rsidRPr="00FB1216">
          <w:rPr>
            <w:rFonts w:asciiTheme="majorHAnsi" w:hAnsiTheme="majorHAnsi"/>
            <w:webHidden/>
          </w:rPr>
          <w:fldChar w:fldCharType="begin"/>
        </w:r>
        <w:r w:rsidR="00FB1216" w:rsidRPr="00FB1216">
          <w:rPr>
            <w:rFonts w:asciiTheme="majorHAnsi" w:hAnsiTheme="majorHAnsi"/>
            <w:webHidden/>
          </w:rPr>
          <w:instrText xml:space="preserve"> PAGEREF _Toc44412037 \h </w:instrText>
        </w:r>
        <w:r w:rsidR="00FB1216" w:rsidRPr="00FB1216">
          <w:rPr>
            <w:rFonts w:asciiTheme="majorHAnsi" w:hAnsiTheme="majorHAnsi"/>
            <w:webHidden/>
          </w:rPr>
        </w:r>
        <w:r w:rsidR="00FB1216" w:rsidRPr="00FB1216">
          <w:rPr>
            <w:rFonts w:asciiTheme="majorHAnsi" w:hAnsiTheme="majorHAnsi"/>
            <w:webHidden/>
          </w:rPr>
          <w:fldChar w:fldCharType="separate"/>
        </w:r>
        <w:r w:rsidR="00F54CC0">
          <w:rPr>
            <w:rFonts w:asciiTheme="majorHAnsi" w:hAnsiTheme="majorHAnsi"/>
            <w:webHidden/>
          </w:rPr>
          <w:t>5</w:t>
        </w:r>
        <w:r w:rsidR="00FB1216" w:rsidRPr="00FB1216">
          <w:rPr>
            <w:rFonts w:asciiTheme="majorHAnsi" w:hAnsiTheme="majorHAnsi"/>
            <w:webHidden/>
          </w:rPr>
          <w:fldChar w:fldCharType="end"/>
        </w:r>
      </w:hyperlink>
    </w:p>
    <w:p w:rsidR="00FB1216" w:rsidRPr="00FB1216" w:rsidRDefault="00B032A6" w:rsidP="00FB1216">
      <w:pPr>
        <w:pStyle w:val="TOC1"/>
        <w:rPr>
          <w:rFonts w:asciiTheme="majorHAnsi" w:eastAsiaTheme="minorEastAsia" w:hAnsiTheme="majorHAnsi" w:cstheme="minorBidi"/>
          <w:b w:val="0"/>
          <w:bCs w:val="0"/>
          <w:sz w:val="22"/>
          <w:szCs w:val="22"/>
        </w:rPr>
      </w:pPr>
      <w:hyperlink w:anchor="_Toc44412038" w:history="1">
        <w:r w:rsidR="00FB1216" w:rsidRPr="00FB1216">
          <w:rPr>
            <w:rStyle w:val="Hyperlink"/>
            <w:rFonts w:asciiTheme="majorHAnsi" w:hAnsiTheme="majorHAnsi"/>
          </w:rPr>
          <w:t>Section 5</w:t>
        </w:r>
        <w:r w:rsidR="00FB1216" w:rsidRPr="00FB1216">
          <w:rPr>
            <w:rStyle w:val="Hyperlink"/>
            <w:rFonts w:asciiTheme="majorHAnsi" w:hAnsiTheme="majorHAnsi"/>
          </w:rPr>
          <w:br/>
          <w:t>Methodology and Assumptions</w:t>
        </w:r>
        <w:r w:rsidR="00FB1216" w:rsidRPr="00FB1216">
          <w:rPr>
            <w:rFonts w:asciiTheme="majorHAnsi" w:hAnsiTheme="majorHAnsi"/>
            <w:webHidden/>
          </w:rPr>
          <w:tab/>
        </w:r>
        <w:r w:rsidR="00FB1216" w:rsidRPr="00FB1216">
          <w:rPr>
            <w:rFonts w:asciiTheme="majorHAnsi" w:hAnsiTheme="majorHAnsi"/>
            <w:webHidden/>
          </w:rPr>
          <w:fldChar w:fldCharType="begin"/>
        </w:r>
        <w:r w:rsidR="00FB1216" w:rsidRPr="00FB1216">
          <w:rPr>
            <w:rFonts w:asciiTheme="majorHAnsi" w:hAnsiTheme="majorHAnsi"/>
            <w:webHidden/>
          </w:rPr>
          <w:instrText xml:space="preserve"> PAGEREF _Toc44412038 \h </w:instrText>
        </w:r>
        <w:r w:rsidR="00FB1216" w:rsidRPr="00FB1216">
          <w:rPr>
            <w:rFonts w:asciiTheme="majorHAnsi" w:hAnsiTheme="majorHAnsi"/>
            <w:webHidden/>
          </w:rPr>
        </w:r>
        <w:r w:rsidR="00FB1216" w:rsidRPr="00FB1216">
          <w:rPr>
            <w:rFonts w:asciiTheme="majorHAnsi" w:hAnsiTheme="majorHAnsi"/>
            <w:webHidden/>
          </w:rPr>
          <w:fldChar w:fldCharType="separate"/>
        </w:r>
        <w:r w:rsidR="00F54CC0">
          <w:rPr>
            <w:rFonts w:asciiTheme="majorHAnsi" w:hAnsiTheme="majorHAnsi"/>
            <w:webHidden/>
          </w:rPr>
          <w:t>8</w:t>
        </w:r>
        <w:r w:rsidR="00FB1216" w:rsidRPr="00FB1216">
          <w:rPr>
            <w:rFonts w:asciiTheme="majorHAnsi" w:hAnsiTheme="majorHAnsi"/>
            <w:webHidden/>
          </w:rPr>
          <w:fldChar w:fldCharType="end"/>
        </w:r>
      </w:hyperlink>
    </w:p>
    <w:p w:rsidR="00FB1216" w:rsidRPr="00FB1216" w:rsidRDefault="00B032A6" w:rsidP="00FB1216">
      <w:pPr>
        <w:pStyle w:val="TOC2"/>
        <w:rPr>
          <w:rFonts w:asciiTheme="majorHAnsi" w:eastAsiaTheme="minorEastAsia" w:hAnsiTheme="majorHAnsi" w:cstheme="minorBidi"/>
          <w:bCs w:val="0"/>
          <w:sz w:val="22"/>
          <w:szCs w:val="22"/>
        </w:rPr>
      </w:pPr>
      <w:hyperlink w:anchor="_Toc44412039" w:history="1">
        <w:r w:rsidR="00FB1216" w:rsidRPr="00FB1216">
          <w:rPr>
            <w:rStyle w:val="Hyperlink"/>
            <w:rFonts w:asciiTheme="majorHAnsi" w:hAnsiTheme="majorHAnsi"/>
          </w:rPr>
          <w:t>5.1 Modeling Tools and Methodology</w:t>
        </w:r>
        <w:r w:rsidR="00FB1216" w:rsidRPr="00FB1216">
          <w:rPr>
            <w:rFonts w:asciiTheme="majorHAnsi" w:hAnsiTheme="majorHAnsi"/>
            <w:webHidden/>
          </w:rPr>
          <w:tab/>
        </w:r>
        <w:r w:rsidR="00FB1216" w:rsidRPr="00FB1216">
          <w:rPr>
            <w:rFonts w:asciiTheme="majorHAnsi" w:hAnsiTheme="majorHAnsi"/>
            <w:webHidden/>
          </w:rPr>
          <w:fldChar w:fldCharType="begin"/>
        </w:r>
        <w:r w:rsidR="00FB1216" w:rsidRPr="00FB1216">
          <w:rPr>
            <w:rFonts w:asciiTheme="majorHAnsi" w:hAnsiTheme="majorHAnsi"/>
            <w:webHidden/>
          </w:rPr>
          <w:instrText xml:space="preserve"> PAGEREF _Toc44412039 \h </w:instrText>
        </w:r>
        <w:r w:rsidR="00FB1216" w:rsidRPr="00FB1216">
          <w:rPr>
            <w:rFonts w:asciiTheme="majorHAnsi" w:hAnsiTheme="majorHAnsi"/>
            <w:webHidden/>
          </w:rPr>
        </w:r>
        <w:r w:rsidR="00FB1216" w:rsidRPr="00FB1216">
          <w:rPr>
            <w:rFonts w:asciiTheme="majorHAnsi" w:hAnsiTheme="majorHAnsi"/>
            <w:webHidden/>
          </w:rPr>
          <w:fldChar w:fldCharType="separate"/>
        </w:r>
        <w:r w:rsidR="00F54CC0">
          <w:rPr>
            <w:rFonts w:asciiTheme="majorHAnsi" w:hAnsiTheme="majorHAnsi"/>
            <w:webHidden/>
          </w:rPr>
          <w:t>8</w:t>
        </w:r>
        <w:r w:rsidR="00FB1216" w:rsidRPr="00FB1216">
          <w:rPr>
            <w:rFonts w:asciiTheme="majorHAnsi" w:hAnsiTheme="majorHAnsi"/>
            <w:webHidden/>
          </w:rPr>
          <w:fldChar w:fldCharType="end"/>
        </w:r>
      </w:hyperlink>
    </w:p>
    <w:p w:rsidR="00FB1216" w:rsidRPr="00FB1216" w:rsidRDefault="00B032A6" w:rsidP="00FB1216">
      <w:pPr>
        <w:pStyle w:val="TOC2"/>
        <w:rPr>
          <w:rFonts w:asciiTheme="majorHAnsi" w:eastAsiaTheme="minorEastAsia" w:hAnsiTheme="majorHAnsi" w:cstheme="minorBidi"/>
          <w:bCs w:val="0"/>
          <w:sz w:val="22"/>
          <w:szCs w:val="22"/>
        </w:rPr>
      </w:pPr>
      <w:hyperlink w:anchor="_Toc44412040" w:history="1">
        <w:r w:rsidR="00FB1216" w:rsidRPr="00FB1216">
          <w:rPr>
            <w:rStyle w:val="Hyperlink"/>
            <w:rFonts w:asciiTheme="majorHAnsi" w:hAnsiTheme="majorHAnsi"/>
          </w:rPr>
          <w:t>5.2 Assumptions</w:t>
        </w:r>
        <w:r w:rsidR="00FB1216" w:rsidRPr="00FB1216">
          <w:rPr>
            <w:rFonts w:asciiTheme="majorHAnsi" w:hAnsiTheme="majorHAnsi"/>
            <w:webHidden/>
          </w:rPr>
          <w:tab/>
        </w:r>
        <w:r w:rsidR="00FB1216" w:rsidRPr="00FB1216">
          <w:rPr>
            <w:rFonts w:asciiTheme="majorHAnsi" w:hAnsiTheme="majorHAnsi"/>
            <w:webHidden/>
          </w:rPr>
          <w:fldChar w:fldCharType="begin"/>
        </w:r>
        <w:r w:rsidR="00FB1216" w:rsidRPr="00FB1216">
          <w:rPr>
            <w:rFonts w:asciiTheme="majorHAnsi" w:hAnsiTheme="majorHAnsi"/>
            <w:webHidden/>
          </w:rPr>
          <w:instrText xml:space="preserve"> PAGEREF _Toc44412040 \h </w:instrText>
        </w:r>
        <w:r w:rsidR="00FB1216" w:rsidRPr="00FB1216">
          <w:rPr>
            <w:rFonts w:asciiTheme="majorHAnsi" w:hAnsiTheme="majorHAnsi"/>
            <w:webHidden/>
          </w:rPr>
        </w:r>
        <w:r w:rsidR="00FB1216" w:rsidRPr="00FB1216">
          <w:rPr>
            <w:rFonts w:asciiTheme="majorHAnsi" w:hAnsiTheme="majorHAnsi"/>
            <w:webHidden/>
          </w:rPr>
          <w:fldChar w:fldCharType="separate"/>
        </w:r>
        <w:r w:rsidR="00F54CC0">
          <w:rPr>
            <w:rFonts w:asciiTheme="majorHAnsi" w:hAnsiTheme="majorHAnsi"/>
            <w:webHidden/>
          </w:rPr>
          <w:t>8</w:t>
        </w:r>
        <w:r w:rsidR="00FB1216" w:rsidRPr="00FB1216">
          <w:rPr>
            <w:rFonts w:asciiTheme="majorHAnsi" w:hAnsiTheme="majorHAnsi"/>
            <w:webHidden/>
          </w:rPr>
          <w:fldChar w:fldCharType="end"/>
        </w:r>
      </w:hyperlink>
    </w:p>
    <w:p w:rsidR="00FB1216" w:rsidRPr="00FB1216" w:rsidRDefault="00B032A6" w:rsidP="00FB1216">
      <w:pPr>
        <w:pStyle w:val="TOC3"/>
        <w:spacing w:after="120" w:line="240" w:lineRule="auto"/>
        <w:rPr>
          <w:rFonts w:asciiTheme="majorHAnsi" w:eastAsiaTheme="minorEastAsia" w:hAnsiTheme="majorHAnsi" w:cstheme="minorBidi"/>
          <w:noProof/>
          <w:sz w:val="22"/>
          <w:szCs w:val="22"/>
        </w:rPr>
      </w:pPr>
      <w:hyperlink w:anchor="_Toc44412041" w:history="1">
        <w:r w:rsidR="00FB1216" w:rsidRPr="00FB1216">
          <w:rPr>
            <w:rStyle w:val="Hyperlink"/>
            <w:rFonts w:asciiTheme="majorHAnsi" w:hAnsiTheme="majorHAnsi"/>
            <w:noProof/>
            <w14:scene3d>
              <w14:camera w14:prst="orthographicFront"/>
              <w14:lightRig w14:rig="threePt" w14:dir="t">
                <w14:rot w14:lat="0" w14:lon="0" w14:rev="0"/>
              </w14:lightRig>
            </w14:scene3d>
          </w:rPr>
          <w:t>5.2.1</w:t>
        </w:r>
        <w:r w:rsidR="00FB1216" w:rsidRPr="00FB1216">
          <w:rPr>
            <w:rStyle w:val="Hyperlink"/>
            <w:rFonts w:asciiTheme="majorHAnsi" w:hAnsiTheme="majorHAnsi"/>
            <w:noProof/>
          </w:rPr>
          <w:t xml:space="preserve"> Parameters for Unconstrained and Constrained Transmission Simulations</w:t>
        </w:r>
        <w:r w:rsidR="00FB1216" w:rsidRPr="00FB1216">
          <w:rPr>
            <w:rFonts w:asciiTheme="majorHAnsi" w:hAnsiTheme="majorHAnsi"/>
            <w:noProof/>
            <w:webHidden/>
          </w:rPr>
          <w:tab/>
        </w:r>
        <w:r w:rsidR="00FB1216" w:rsidRPr="00FB1216">
          <w:rPr>
            <w:rFonts w:asciiTheme="majorHAnsi" w:hAnsiTheme="majorHAnsi"/>
            <w:noProof/>
            <w:webHidden/>
          </w:rPr>
          <w:fldChar w:fldCharType="begin"/>
        </w:r>
        <w:r w:rsidR="00FB1216" w:rsidRPr="00FB1216">
          <w:rPr>
            <w:rFonts w:asciiTheme="majorHAnsi" w:hAnsiTheme="majorHAnsi"/>
            <w:noProof/>
            <w:webHidden/>
          </w:rPr>
          <w:instrText xml:space="preserve"> PAGEREF _Toc44412041 \h </w:instrText>
        </w:r>
        <w:r w:rsidR="00FB1216" w:rsidRPr="00FB1216">
          <w:rPr>
            <w:rFonts w:asciiTheme="majorHAnsi" w:hAnsiTheme="majorHAnsi"/>
            <w:noProof/>
            <w:webHidden/>
          </w:rPr>
        </w:r>
        <w:r w:rsidR="00FB1216" w:rsidRPr="00FB1216">
          <w:rPr>
            <w:rFonts w:asciiTheme="majorHAnsi" w:hAnsiTheme="majorHAnsi"/>
            <w:noProof/>
            <w:webHidden/>
          </w:rPr>
          <w:fldChar w:fldCharType="separate"/>
        </w:r>
        <w:r w:rsidR="00F54CC0">
          <w:rPr>
            <w:rFonts w:asciiTheme="majorHAnsi" w:hAnsiTheme="majorHAnsi"/>
            <w:noProof/>
            <w:webHidden/>
          </w:rPr>
          <w:t>9</w:t>
        </w:r>
        <w:r w:rsidR="00FB1216" w:rsidRPr="00FB1216">
          <w:rPr>
            <w:rFonts w:asciiTheme="majorHAnsi" w:hAnsiTheme="majorHAnsi"/>
            <w:noProof/>
            <w:webHidden/>
          </w:rPr>
          <w:fldChar w:fldCharType="end"/>
        </w:r>
      </w:hyperlink>
    </w:p>
    <w:p w:rsidR="00FB1216" w:rsidRPr="00FB1216" w:rsidRDefault="00B032A6" w:rsidP="00FB1216">
      <w:pPr>
        <w:pStyle w:val="TOC3"/>
        <w:spacing w:after="120" w:line="240" w:lineRule="auto"/>
        <w:rPr>
          <w:rFonts w:asciiTheme="majorHAnsi" w:eastAsiaTheme="minorEastAsia" w:hAnsiTheme="majorHAnsi" w:cstheme="minorBidi"/>
          <w:noProof/>
          <w:sz w:val="22"/>
          <w:szCs w:val="22"/>
        </w:rPr>
      </w:pPr>
      <w:hyperlink w:anchor="_Toc44412042" w:history="1">
        <w:r w:rsidR="00FB1216" w:rsidRPr="00FB1216">
          <w:rPr>
            <w:rStyle w:val="Hyperlink"/>
            <w:rFonts w:asciiTheme="majorHAnsi" w:hAnsiTheme="majorHAnsi"/>
            <w:noProof/>
            <w14:scene3d>
              <w14:camera w14:prst="orthographicFront"/>
              <w14:lightRig w14:rig="threePt" w14:dir="t">
                <w14:rot w14:lat="0" w14:lon="0" w14:rev="0"/>
              </w14:lightRig>
            </w14:scene3d>
          </w:rPr>
          <w:t>5.2.2</w:t>
        </w:r>
        <w:r w:rsidR="00FB1216" w:rsidRPr="00FB1216">
          <w:rPr>
            <w:rStyle w:val="Hyperlink"/>
            <w:rFonts w:asciiTheme="majorHAnsi" w:hAnsiTheme="majorHAnsi"/>
            <w:noProof/>
          </w:rPr>
          <w:t xml:space="preserve"> Interchanges</w:t>
        </w:r>
        <w:r w:rsidR="00FB1216" w:rsidRPr="00FB1216">
          <w:rPr>
            <w:rFonts w:asciiTheme="majorHAnsi" w:hAnsiTheme="majorHAnsi"/>
            <w:noProof/>
            <w:webHidden/>
          </w:rPr>
          <w:tab/>
        </w:r>
        <w:r w:rsidR="00FB1216" w:rsidRPr="00FB1216">
          <w:rPr>
            <w:rFonts w:asciiTheme="majorHAnsi" w:hAnsiTheme="majorHAnsi"/>
            <w:noProof/>
            <w:webHidden/>
          </w:rPr>
          <w:fldChar w:fldCharType="begin"/>
        </w:r>
        <w:r w:rsidR="00FB1216" w:rsidRPr="00FB1216">
          <w:rPr>
            <w:rFonts w:asciiTheme="majorHAnsi" w:hAnsiTheme="majorHAnsi"/>
            <w:noProof/>
            <w:webHidden/>
          </w:rPr>
          <w:instrText xml:space="preserve"> PAGEREF _Toc44412042 \h </w:instrText>
        </w:r>
        <w:r w:rsidR="00FB1216" w:rsidRPr="00FB1216">
          <w:rPr>
            <w:rFonts w:asciiTheme="majorHAnsi" w:hAnsiTheme="majorHAnsi"/>
            <w:noProof/>
            <w:webHidden/>
          </w:rPr>
        </w:r>
        <w:r w:rsidR="00FB1216" w:rsidRPr="00FB1216">
          <w:rPr>
            <w:rFonts w:asciiTheme="majorHAnsi" w:hAnsiTheme="majorHAnsi"/>
            <w:noProof/>
            <w:webHidden/>
          </w:rPr>
          <w:fldChar w:fldCharType="separate"/>
        </w:r>
        <w:r w:rsidR="00F54CC0">
          <w:rPr>
            <w:rFonts w:asciiTheme="majorHAnsi" w:hAnsiTheme="majorHAnsi"/>
            <w:noProof/>
            <w:webHidden/>
          </w:rPr>
          <w:t>10</w:t>
        </w:r>
        <w:r w:rsidR="00FB1216" w:rsidRPr="00FB1216">
          <w:rPr>
            <w:rFonts w:asciiTheme="majorHAnsi" w:hAnsiTheme="majorHAnsi"/>
            <w:noProof/>
            <w:webHidden/>
          </w:rPr>
          <w:fldChar w:fldCharType="end"/>
        </w:r>
      </w:hyperlink>
    </w:p>
    <w:p w:rsidR="00FB1216" w:rsidRPr="00FB1216" w:rsidRDefault="00B032A6" w:rsidP="00FB1216">
      <w:pPr>
        <w:pStyle w:val="TOC3"/>
        <w:spacing w:after="120" w:line="240" w:lineRule="auto"/>
        <w:rPr>
          <w:rFonts w:asciiTheme="majorHAnsi" w:eastAsiaTheme="minorEastAsia" w:hAnsiTheme="majorHAnsi" w:cstheme="minorBidi"/>
          <w:noProof/>
          <w:sz w:val="22"/>
          <w:szCs w:val="22"/>
        </w:rPr>
      </w:pPr>
      <w:hyperlink w:anchor="_Toc44412043" w:history="1">
        <w:r w:rsidR="00FB1216" w:rsidRPr="00FB1216">
          <w:rPr>
            <w:rStyle w:val="Hyperlink"/>
            <w:rFonts w:asciiTheme="majorHAnsi" w:hAnsiTheme="majorHAnsi"/>
            <w:noProof/>
            <w14:scene3d>
              <w14:camera w14:prst="orthographicFront"/>
              <w14:lightRig w14:rig="threePt" w14:dir="t">
                <w14:rot w14:lat="0" w14:lon="0" w14:rev="0"/>
              </w14:lightRig>
            </w14:scene3d>
          </w:rPr>
          <w:t>5.2.3</w:t>
        </w:r>
        <w:r w:rsidR="00FB1216" w:rsidRPr="00FB1216">
          <w:rPr>
            <w:rStyle w:val="Hyperlink"/>
            <w:rFonts w:asciiTheme="majorHAnsi" w:hAnsiTheme="majorHAnsi"/>
            <w:noProof/>
          </w:rPr>
          <w:t xml:space="preserve"> Weather Assumptions</w:t>
        </w:r>
        <w:r w:rsidR="00FB1216" w:rsidRPr="00FB1216">
          <w:rPr>
            <w:rFonts w:asciiTheme="majorHAnsi" w:hAnsiTheme="majorHAnsi"/>
            <w:noProof/>
            <w:webHidden/>
          </w:rPr>
          <w:tab/>
        </w:r>
        <w:r w:rsidR="00FB1216" w:rsidRPr="00FB1216">
          <w:rPr>
            <w:rFonts w:asciiTheme="majorHAnsi" w:hAnsiTheme="majorHAnsi"/>
            <w:noProof/>
            <w:webHidden/>
          </w:rPr>
          <w:fldChar w:fldCharType="begin"/>
        </w:r>
        <w:r w:rsidR="00FB1216" w:rsidRPr="00FB1216">
          <w:rPr>
            <w:rFonts w:asciiTheme="majorHAnsi" w:hAnsiTheme="majorHAnsi"/>
            <w:noProof/>
            <w:webHidden/>
          </w:rPr>
          <w:instrText xml:space="preserve"> PAGEREF _Toc44412043 \h </w:instrText>
        </w:r>
        <w:r w:rsidR="00FB1216" w:rsidRPr="00FB1216">
          <w:rPr>
            <w:rFonts w:asciiTheme="majorHAnsi" w:hAnsiTheme="majorHAnsi"/>
            <w:noProof/>
            <w:webHidden/>
          </w:rPr>
        </w:r>
        <w:r w:rsidR="00FB1216" w:rsidRPr="00FB1216">
          <w:rPr>
            <w:rFonts w:asciiTheme="majorHAnsi" w:hAnsiTheme="majorHAnsi"/>
            <w:noProof/>
            <w:webHidden/>
          </w:rPr>
          <w:fldChar w:fldCharType="separate"/>
        </w:r>
        <w:r w:rsidR="00F54CC0">
          <w:rPr>
            <w:rFonts w:asciiTheme="majorHAnsi" w:hAnsiTheme="majorHAnsi"/>
            <w:noProof/>
            <w:webHidden/>
          </w:rPr>
          <w:t>10</w:t>
        </w:r>
        <w:r w:rsidR="00FB1216" w:rsidRPr="00FB1216">
          <w:rPr>
            <w:rFonts w:asciiTheme="majorHAnsi" w:hAnsiTheme="majorHAnsi"/>
            <w:noProof/>
            <w:webHidden/>
          </w:rPr>
          <w:fldChar w:fldCharType="end"/>
        </w:r>
      </w:hyperlink>
    </w:p>
    <w:p w:rsidR="00FB1216" w:rsidRPr="00FB1216" w:rsidRDefault="00B032A6" w:rsidP="00FB1216">
      <w:pPr>
        <w:pStyle w:val="TOC3"/>
        <w:spacing w:after="120" w:line="240" w:lineRule="auto"/>
        <w:rPr>
          <w:rFonts w:asciiTheme="majorHAnsi" w:eastAsiaTheme="minorEastAsia" w:hAnsiTheme="majorHAnsi" w:cstheme="minorBidi"/>
          <w:noProof/>
          <w:sz w:val="22"/>
          <w:szCs w:val="22"/>
        </w:rPr>
      </w:pPr>
      <w:hyperlink w:anchor="_Toc44412044" w:history="1">
        <w:r w:rsidR="00FB1216" w:rsidRPr="00FB1216">
          <w:rPr>
            <w:rStyle w:val="Hyperlink"/>
            <w:rFonts w:asciiTheme="majorHAnsi" w:hAnsiTheme="majorHAnsi"/>
            <w:noProof/>
            <w14:scene3d>
              <w14:camera w14:prst="orthographicFront"/>
              <w14:lightRig w14:rig="threePt" w14:dir="t">
                <w14:rot w14:lat="0" w14:lon="0" w14:rev="0"/>
              </w14:lightRig>
            </w14:scene3d>
          </w:rPr>
          <w:t>5.2.4</w:t>
        </w:r>
        <w:r w:rsidR="00FB1216" w:rsidRPr="00FB1216">
          <w:rPr>
            <w:rStyle w:val="Hyperlink"/>
            <w:rFonts w:asciiTheme="majorHAnsi" w:hAnsiTheme="majorHAnsi"/>
            <w:noProof/>
          </w:rPr>
          <w:t xml:space="preserve"> Load Assumptions</w:t>
        </w:r>
        <w:r w:rsidR="00FB1216" w:rsidRPr="00FB1216">
          <w:rPr>
            <w:rFonts w:asciiTheme="majorHAnsi" w:hAnsiTheme="majorHAnsi"/>
            <w:noProof/>
            <w:webHidden/>
          </w:rPr>
          <w:tab/>
        </w:r>
        <w:r w:rsidR="00FB1216" w:rsidRPr="00FB1216">
          <w:rPr>
            <w:rFonts w:asciiTheme="majorHAnsi" w:hAnsiTheme="majorHAnsi"/>
            <w:noProof/>
            <w:webHidden/>
          </w:rPr>
          <w:fldChar w:fldCharType="begin"/>
        </w:r>
        <w:r w:rsidR="00FB1216" w:rsidRPr="00FB1216">
          <w:rPr>
            <w:rFonts w:asciiTheme="majorHAnsi" w:hAnsiTheme="majorHAnsi"/>
            <w:noProof/>
            <w:webHidden/>
          </w:rPr>
          <w:instrText xml:space="preserve"> PAGEREF _Toc44412044 \h </w:instrText>
        </w:r>
        <w:r w:rsidR="00FB1216" w:rsidRPr="00FB1216">
          <w:rPr>
            <w:rFonts w:asciiTheme="majorHAnsi" w:hAnsiTheme="majorHAnsi"/>
            <w:noProof/>
            <w:webHidden/>
          </w:rPr>
        </w:r>
        <w:r w:rsidR="00FB1216" w:rsidRPr="00FB1216">
          <w:rPr>
            <w:rFonts w:asciiTheme="majorHAnsi" w:hAnsiTheme="majorHAnsi"/>
            <w:noProof/>
            <w:webHidden/>
          </w:rPr>
          <w:fldChar w:fldCharType="separate"/>
        </w:r>
        <w:r w:rsidR="00F54CC0">
          <w:rPr>
            <w:rFonts w:asciiTheme="majorHAnsi" w:hAnsiTheme="majorHAnsi"/>
            <w:noProof/>
            <w:webHidden/>
          </w:rPr>
          <w:t>10</w:t>
        </w:r>
        <w:r w:rsidR="00FB1216" w:rsidRPr="00FB1216">
          <w:rPr>
            <w:rFonts w:asciiTheme="majorHAnsi" w:hAnsiTheme="majorHAnsi"/>
            <w:noProof/>
            <w:webHidden/>
          </w:rPr>
          <w:fldChar w:fldCharType="end"/>
        </w:r>
      </w:hyperlink>
    </w:p>
    <w:p w:rsidR="00FB1216" w:rsidRPr="00FB1216" w:rsidRDefault="00B032A6" w:rsidP="00FB1216">
      <w:pPr>
        <w:pStyle w:val="TOC3"/>
        <w:spacing w:after="120" w:line="240" w:lineRule="auto"/>
        <w:rPr>
          <w:rFonts w:asciiTheme="majorHAnsi" w:eastAsiaTheme="minorEastAsia" w:hAnsiTheme="majorHAnsi" w:cstheme="minorBidi"/>
          <w:noProof/>
          <w:sz w:val="22"/>
          <w:szCs w:val="22"/>
        </w:rPr>
      </w:pPr>
      <w:hyperlink w:anchor="_Toc44412045" w:history="1">
        <w:r w:rsidR="00FB1216" w:rsidRPr="00FB1216">
          <w:rPr>
            <w:rStyle w:val="Hyperlink"/>
            <w:rFonts w:asciiTheme="majorHAnsi" w:hAnsiTheme="majorHAnsi"/>
            <w:noProof/>
            <w14:scene3d>
              <w14:camera w14:prst="orthographicFront"/>
              <w14:lightRig w14:rig="threePt" w14:dir="t">
                <w14:rot w14:lat="0" w14:lon="0" w14:rev="0"/>
              </w14:lightRig>
            </w14:scene3d>
          </w:rPr>
          <w:t>5.2.5</w:t>
        </w:r>
        <w:r w:rsidR="00FB1216" w:rsidRPr="00FB1216">
          <w:rPr>
            <w:rStyle w:val="Hyperlink"/>
            <w:rFonts w:asciiTheme="majorHAnsi" w:hAnsiTheme="majorHAnsi"/>
            <w:noProof/>
          </w:rPr>
          <w:t xml:space="preserve"> Regulation, Ramping, and Reserve Capability</w:t>
        </w:r>
        <w:r w:rsidR="00FB1216" w:rsidRPr="00FB1216">
          <w:rPr>
            <w:rFonts w:asciiTheme="majorHAnsi" w:hAnsiTheme="majorHAnsi"/>
            <w:noProof/>
            <w:webHidden/>
          </w:rPr>
          <w:tab/>
        </w:r>
        <w:r w:rsidR="00FB1216" w:rsidRPr="00FB1216">
          <w:rPr>
            <w:rFonts w:asciiTheme="majorHAnsi" w:hAnsiTheme="majorHAnsi"/>
            <w:noProof/>
            <w:webHidden/>
          </w:rPr>
          <w:fldChar w:fldCharType="begin"/>
        </w:r>
        <w:r w:rsidR="00FB1216" w:rsidRPr="00FB1216">
          <w:rPr>
            <w:rFonts w:asciiTheme="majorHAnsi" w:hAnsiTheme="majorHAnsi"/>
            <w:noProof/>
            <w:webHidden/>
          </w:rPr>
          <w:instrText xml:space="preserve"> PAGEREF _Toc44412045 \h </w:instrText>
        </w:r>
        <w:r w:rsidR="00FB1216" w:rsidRPr="00FB1216">
          <w:rPr>
            <w:rFonts w:asciiTheme="majorHAnsi" w:hAnsiTheme="majorHAnsi"/>
            <w:noProof/>
            <w:webHidden/>
          </w:rPr>
        </w:r>
        <w:r w:rsidR="00FB1216" w:rsidRPr="00FB1216">
          <w:rPr>
            <w:rFonts w:asciiTheme="majorHAnsi" w:hAnsiTheme="majorHAnsi"/>
            <w:noProof/>
            <w:webHidden/>
          </w:rPr>
          <w:fldChar w:fldCharType="separate"/>
        </w:r>
        <w:r w:rsidR="00F54CC0">
          <w:rPr>
            <w:rFonts w:asciiTheme="majorHAnsi" w:hAnsiTheme="majorHAnsi"/>
            <w:noProof/>
            <w:webHidden/>
          </w:rPr>
          <w:t>11</w:t>
        </w:r>
        <w:r w:rsidR="00FB1216" w:rsidRPr="00FB1216">
          <w:rPr>
            <w:rFonts w:asciiTheme="majorHAnsi" w:hAnsiTheme="majorHAnsi"/>
            <w:noProof/>
            <w:webHidden/>
          </w:rPr>
          <w:fldChar w:fldCharType="end"/>
        </w:r>
      </w:hyperlink>
    </w:p>
    <w:p w:rsidR="00FB1216" w:rsidRPr="00FB1216" w:rsidRDefault="00B032A6" w:rsidP="00FB1216">
      <w:pPr>
        <w:pStyle w:val="TOC3"/>
        <w:spacing w:after="120" w:line="240" w:lineRule="auto"/>
        <w:rPr>
          <w:rFonts w:asciiTheme="majorHAnsi" w:eastAsiaTheme="minorEastAsia" w:hAnsiTheme="majorHAnsi" w:cstheme="minorBidi"/>
          <w:noProof/>
          <w:sz w:val="22"/>
          <w:szCs w:val="22"/>
        </w:rPr>
      </w:pPr>
      <w:hyperlink w:anchor="_Toc44412046" w:history="1">
        <w:r w:rsidR="00FB1216" w:rsidRPr="00FB1216">
          <w:rPr>
            <w:rStyle w:val="Hyperlink"/>
            <w:rFonts w:asciiTheme="majorHAnsi" w:hAnsiTheme="majorHAnsi"/>
            <w:noProof/>
            <w14:scene3d>
              <w14:camera w14:prst="orthographicFront"/>
              <w14:lightRig w14:rig="threePt" w14:dir="t">
                <w14:rot w14:lat="0" w14:lon="0" w14:rev="0"/>
              </w14:lightRig>
            </w14:scene3d>
          </w:rPr>
          <w:t>5.2.6</w:t>
        </w:r>
        <w:r w:rsidR="00FB1216" w:rsidRPr="00FB1216">
          <w:rPr>
            <w:rStyle w:val="Hyperlink"/>
            <w:rFonts w:asciiTheme="majorHAnsi" w:hAnsiTheme="majorHAnsi"/>
            <w:noProof/>
          </w:rPr>
          <w:t xml:space="preserve"> Fuel-Price Assumptions</w:t>
        </w:r>
        <w:r w:rsidR="00FB1216" w:rsidRPr="00FB1216">
          <w:rPr>
            <w:rFonts w:asciiTheme="majorHAnsi" w:hAnsiTheme="majorHAnsi"/>
            <w:noProof/>
            <w:webHidden/>
          </w:rPr>
          <w:tab/>
        </w:r>
        <w:r w:rsidR="00FB1216" w:rsidRPr="00FB1216">
          <w:rPr>
            <w:rFonts w:asciiTheme="majorHAnsi" w:hAnsiTheme="majorHAnsi"/>
            <w:noProof/>
            <w:webHidden/>
          </w:rPr>
          <w:fldChar w:fldCharType="begin"/>
        </w:r>
        <w:r w:rsidR="00FB1216" w:rsidRPr="00FB1216">
          <w:rPr>
            <w:rFonts w:asciiTheme="majorHAnsi" w:hAnsiTheme="majorHAnsi"/>
            <w:noProof/>
            <w:webHidden/>
          </w:rPr>
          <w:instrText xml:space="preserve"> PAGEREF _Toc44412046 \h </w:instrText>
        </w:r>
        <w:r w:rsidR="00FB1216" w:rsidRPr="00FB1216">
          <w:rPr>
            <w:rFonts w:asciiTheme="majorHAnsi" w:hAnsiTheme="majorHAnsi"/>
            <w:noProof/>
            <w:webHidden/>
          </w:rPr>
        </w:r>
        <w:r w:rsidR="00FB1216" w:rsidRPr="00FB1216">
          <w:rPr>
            <w:rFonts w:asciiTheme="majorHAnsi" w:hAnsiTheme="majorHAnsi"/>
            <w:noProof/>
            <w:webHidden/>
          </w:rPr>
          <w:fldChar w:fldCharType="separate"/>
        </w:r>
        <w:r w:rsidR="00F54CC0">
          <w:rPr>
            <w:rFonts w:asciiTheme="majorHAnsi" w:hAnsiTheme="majorHAnsi"/>
            <w:noProof/>
            <w:webHidden/>
          </w:rPr>
          <w:t>11</w:t>
        </w:r>
        <w:r w:rsidR="00FB1216" w:rsidRPr="00FB1216">
          <w:rPr>
            <w:rFonts w:asciiTheme="majorHAnsi" w:hAnsiTheme="majorHAnsi"/>
            <w:noProof/>
            <w:webHidden/>
          </w:rPr>
          <w:fldChar w:fldCharType="end"/>
        </w:r>
      </w:hyperlink>
    </w:p>
    <w:p w:rsidR="00FB1216" w:rsidRPr="00FB1216" w:rsidRDefault="00B032A6" w:rsidP="00FB1216">
      <w:pPr>
        <w:pStyle w:val="TOC3"/>
        <w:spacing w:after="120" w:line="240" w:lineRule="auto"/>
        <w:rPr>
          <w:rFonts w:asciiTheme="majorHAnsi" w:eastAsiaTheme="minorEastAsia" w:hAnsiTheme="majorHAnsi" w:cstheme="minorBidi"/>
          <w:noProof/>
          <w:sz w:val="22"/>
          <w:szCs w:val="22"/>
        </w:rPr>
      </w:pPr>
      <w:hyperlink w:anchor="_Toc44412047" w:history="1">
        <w:r w:rsidR="00FB1216" w:rsidRPr="00FB1216">
          <w:rPr>
            <w:rStyle w:val="Hyperlink"/>
            <w:rFonts w:asciiTheme="majorHAnsi" w:hAnsiTheme="majorHAnsi"/>
            <w:noProof/>
            <w14:scene3d>
              <w14:camera w14:prst="orthographicFront"/>
              <w14:lightRig w14:rig="threePt" w14:dir="t">
                <w14:rot w14:lat="0" w14:lon="0" w14:rev="0"/>
              </w14:lightRig>
            </w14:scene3d>
          </w:rPr>
          <w:t>5.2.7</w:t>
        </w:r>
        <w:r w:rsidR="00FB1216" w:rsidRPr="00FB1216">
          <w:rPr>
            <w:rStyle w:val="Hyperlink"/>
            <w:rFonts w:asciiTheme="majorHAnsi" w:hAnsiTheme="majorHAnsi"/>
            <w:noProof/>
          </w:rPr>
          <w:t xml:space="preserve"> Air Emission Allowance Prices</w:t>
        </w:r>
        <w:r w:rsidR="00FB1216" w:rsidRPr="00FB1216">
          <w:rPr>
            <w:rFonts w:asciiTheme="majorHAnsi" w:hAnsiTheme="majorHAnsi"/>
            <w:noProof/>
            <w:webHidden/>
          </w:rPr>
          <w:tab/>
        </w:r>
        <w:r w:rsidR="00FB1216" w:rsidRPr="00FB1216">
          <w:rPr>
            <w:rFonts w:asciiTheme="majorHAnsi" w:hAnsiTheme="majorHAnsi"/>
            <w:noProof/>
            <w:webHidden/>
          </w:rPr>
          <w:fldChar w:fldCharType="begin"/>
        </w:r>
        <w:r w:rsidR="00FB1216" w:rsidRPr="00FB1216">
          <w:rPr>
            <w:rFonts w:asciiTheme="majorHAnsi" w:hAnsiTheme="majorHAnsi"/>
            <w:noProof/>
            <w:webHidden/>
          </w:rPr>
          <w:instrText xml:space="preserve"> PAGEREF _Toc44412047 \h </w:instrText>
        </w:r>
        <w:r w:rsidR="00FB1216" w:rsidRPr="00FB1216">
          <w:rPr>
            <w:rFonts w:asciiTheme="majorHAnsi" w:hAnsiTheme="majorHAnsi"/>
            <w:noProof/>
            <w:webHidden/>
          </w:rPr>
        </w:r>
        <w:r w:rsidR="00FB1216" w:rsidRPr="00FB1216">
          <w:rPr>
            <w:rFonts w:asciiTheme="majorHAnsi" w:hAnsiTheme="majorHAnsi"/>
            <w:noProof/>
            <w:webHidden/>
          </w:rPr>
          <w:fldChar w:fldCharType="separate"/>
        </w:r>
        <w:r w:rsidR="00F54CC0">
          <w:rPr>
            <w:rFonts w:asciiTheme="majorHAnsi" w:hAnsiTheme="majorHAnsi"/>
            <w:noProof/>
            <w:webHidden/>
          </w:rPr>
          <w:t>11</w:t>
        </w:r>
        <w:r w:rsidR="00FB1216" w:rsidRPr="00FB1216">
          <w:rPr>
            <w:rFonts w:asciiTheme="majorHAnsi" w:hAnsiTheme="majorHAnsi"/>
            <w:noProof/>
            <w:webHidden/>
          </w:rPr>
          <w:fldChar w:fldCharType="end"/>
        </w:r>
      </w:hyperlink>
    </w:p>
    <w:p w:rsidR="00FB1216" w:rsidRPr="00FB1216" w:rsidRDefault="00B032A6" w:rsidP="00FB1216">
      <w:pPr>
        <w:pStyle w:val="TOC3"/>
        <w:spacing w:after="120" w:line="240" w:lineRule="auto"/>
        <w:rPr>
          <w:rFonts w:asciiTheme="majorHAnsi" w:eastAsiaTheme="minorEastAsia" w:hAnsiTheme="majorHAnsi" w:cstheme="minorBidi"/>
          <w:noProof/>
          <w:sz w:val="22"/>
          <w:szCs w:val="22"/>
        </w:rPr>
      </w:pPr>
      <w:hyperlink w:anchor="_Toc44412048" w:history="1">
        <w:r w:rsidR="00FB1216" w:rsidRPr="00FB1216">
          <w:rPr>
            <w:rStyle w:val="Hyperlink"/>
            <w:rFonts w:asciiTheme="majorHAnsi" w:hAnsiTheme="majorHAnsi"/>
            <w:noProof/>
            <w14:scene3d>
              <w14:camera w14:prst="orthographicFront"/>
              <w14:lightRig w14:rig="threePt" w14:dir="t">
                <w14:rot w14:lat="0" w14:lon="0" w14:rev="0"/>
              </w14:lightRig>
            </w14:scene3d>
          </w:rPr>
          <w:t>5.2.8</w:t>
        </w:r>
        <w:r w:rsidR="00FB1216" w:rsidRPr="00FB1216">
          <w:rPr>
            <w:rStyle w:val="Hyperlink"/>
            <w:rFonts w:asciiTheme="majorHAnsi" w:hAnsiTheme="majorHAnsi"/>
            <w:noProof/>
          </w:rPr>
          <w:t xml:space="preserve"> Threshold Prices</w:t>
        </w:r>
        <w:r w:rsidR="00FB1216" w:rsidRPr="00FB1216">
          <w:rPr>
            <w:rFonts w:asciiTheme="majorHAnsi" w:hAnsiTheme="majorHAnsi"/>
            <w:noProof/>
            <w:webHidden/>
          </w:rPr>
          <w:tab/>
        </w:r>
        <w:r w:rsidR="00FB1216" w:rsidRPr="00FB1216">
          <w:rPr>
            <w:rFonts w:asciiTheme="majorHAnsi" w:hAnsiTheme="majorHAnsi"/>
            <w:noProof/>
            <w:webHidden/>
          </w:rPr>
          <w:fldChar w:fldCharType="begin"/>
        </w:r>
        <w:r w:rsidR="00FB1216" w:rsidRPr="00FB1216">
          <w:rPr>
            <w:rFonts w:asciiTheme="majorHAnsi" w:hAnsiTheme="majorHAnsi"/>
            <w:noProof/>
            <w:webHidden/>
          </w:rPr>
          <w:instrText xml:space="preserve"> PAGEREF _Toc44412048 \h </w:instrText>
        </w:r>
        <w:r w:rsidR="00FB1216" w:rsidRPr="00FB1216">
          <w:rPr>
            <w:rFonts w:asciiTheme="majorHAnsi" w:hAnsiTheme="majorHAnsi"/>
            <w:noProof/>
            <w:webHidden/>
          </w:rPr>
        </w:r>
        <w:r w:rsidR="00FB1216" w:rsidRPr="00FB1216">
          <w:rPr>
            <w:rFonts w:asciiTheme="majorHAnsi" w:hAnsiTheme="majorHAnsi"/>
            <w:noProof/>
            <w:webHidden/>
          </w:rPr>
          <w:fldChar w:fldCharType="separate"/>
        </w:r>
        <w:r w:rsidR="00F54CC0">
          <w:rPr>
            <w:rFonts w:asciiTheme="majorHAnsi" w:hAnsiTheme="majorHAnsi"/>
            <w:noProof/>
            <w:webHidden/>
          </w:rPr>
          <w:t>12</w:t>
        </w:r>
        <w:r w:rsidR="00FB1216" w:rsidRPr="00FB1216">
          <w:rPr>
            <w:rFonts w:asciiTheme="majorHAnsi" w:hAnsiTheme="majorHAnsi"/>
            <w:noProof/>
            <w:webHidden/>
          </w:rPr>
          <w:fldChar w:fldCharType="end"/>
        </w:r>
      </w:hyperlink>
    </w:p>
    <w:p w:rsidR="00FB1216" w:rsidRPr="00FB1216" w:rsidRDefault="00B032A6" w:rsidP="00FB1216">
      <w:pPr>
        <w:pStyle w:val="TOC1"/>
        <w:rPr>
          <w:rFonts w:asciiTheme="majorHAnsi" w:eastAsiaTheme="minorEastAsia" w:hAnsiTheme="majorHAnsi" w:cstheme="minorBidi"/>
          <w:b w:val="0"/>
          <w:bCs w:val="0"/>
          <w:sz w:val="22"/>
          <w:szCs w:val="22"/>
        </w:rPr>
      </w:pPr>
      <w:hyperlink w:anchor="_Toc44412049" w:history="1">
        <w:r w:rsidR="00FB1216" w:rsidRPr="00FB1216">
          <w:rPr>
            <w:rStyle w:val="Hyperlink"/>
            <w:rFonts w:asciiTheme="majorHAnsi" w:hAnsiTheme="majorHAnsi"/>
          </w:rPr>
          <w:t>Section 6</w:t>
        </w:r>
        <w:r w:rsidR="00FB1216">
          <w:rPr>
            <w:rStyle w:val="Hyperlink"/>
            <w:rFonts w:asciiTheme="majorHAnsi" w:hAnsiTheme="majorHAnsi"/>
          </w:rPr>
          <w:br/>
        </w:r>
        <w:r w:rsidR="00FB1216" w:rsidRPr="00FB1216">
          <w:rPr>
            <w:rStyle w:val="Hyperlink"/>
            <w:rFonts w:asciiTheme="majorHAnsi" w:hAnsiTheme="majorHAnsi"/>
          </w:rPr>
          <w:t>Key Observations</w:t>
        </w:r>
        <w:r w:rsidR="00FB1216" w:rsidRPr="00FB1216">
          <w:rPr>
            <w:rFonts w:asciiTheme="majorHAnsi" w:hAnsiTheme="majorHAnsi"/>
            <w:webHidden/>
          </w:rPr>
          <w:tab/>
        </w:r>
        <w:r w:rsidR="00FB1216" w:rsidRPr="00FB1216">
          <w:rPr>
            <w:rFonts w:asciiTheme="majorHAnsi" w:hAnsiTheme="majorHAnsi"/>
            <w:webHidden/>
          </w:rPr>
          <w:fldChar w:fldCharType="begin"/>
        </w:r>
        <w:r w:rsidR="00FB1216" w:rsidRPr="00FB1216">
          <w:rPr>
            <w:rFonts w:asciiTheme="majorHAnsi" w:hAnsiTheme="majorHAnsi"/>
            <w:webHidden/>
          </w:rPr>
          <w:instrText xml:space="preserve"> PAGEREF _Toc44412049 \h </w:instrText>
        </w:r>
        <w:r w:rsidR="00FB1216" w:rsidRPr="00FB1216">
          <w:rPr>
            <w:rFonts w:asciiTheme="majorHAnsi" w:hAnsiTheme="majorHAnsi"/>
            <w:webHidden/>
          </w:rPr>
        </w:r>
        <w:r w:rsidR="00FB1216" w:rsidRPr="00FB1216">
          <w:rPr>
            <w:rFonts w:asciiTheme="majorHAnsi" w:hAnsiTheme="majorHAnsi"/>
            <w:webHidden/>
          </w:rPr>
          <w:fldChar w:fldCharType="separate"/>
        </w:r>
        <w:r w:rsidR="00F54CC0">
          <w:rPr>
            <w:rFonts w:asciiTheme="majorHAnsi" w:hAnsiTheme="majorHAnsi"/>
            <w:webHidden/>
          </w:rPr>
          <w:t>13</w:t>
        </w:r>
        <w:r w:rsidR="00FB1216" w:rsidRPr="00FB1216">
          <w:rPr>
            <w:rFonts w:asciiTheme="majorHAnsi" w:hAnsiTheme="majorHAnsi"/>
            <w:webHidden/>
          </w:rPr>
          <w:fldChar w:fldCharType="end"/>
        </w:r>
      </w:hyperlink>
    </w:p>
    <w:p w:rsidR="00FB1216" w:rsidRPr="00FB1216" w:rsidRDefault="00B032A6" w:rsidP="00FB1216">
      <w:pPr>
        <w:pStyle w:val="TOC3"/>
        <w:spacing w:after="120" w:line="240" w:lineRule="auto"/>
        <w:rPr>
          <w:rFonts w:asciiTheme="majorHAnsi" w:eastAsiaTheme="minorEastAsia" w:hAnsiTheme="majorHAnsi" w:cstheme="minorBidi"/>
          <w:noProof/>
          <w:sz w:val="22"/>
          <w:szCs w:val="22"/>
        </w:rPr>
      </w:pPr>
      <w:hyperlink w:anchor="_Toc44412050" w:history="1">
        <w:r w:rsidR="00FB1216" w:rsidRPr="00FB1216">
          <w:rPr>
            <w:rStyle w:val="Hyperlink"/>
            <w:rFonts w:asciiTheme="majorHAnsi" w:hAnsiTheme="majorHAnsi"/>
            <w:noProof/>
            <w14:scene3d>
              <w14:camera w14:prst="orthographicFront"/>
              <w14:lightRig w14:rig="threePt" w14:dir="t">
                <w14:rot w14:lat="0" w14:lon="0" w14:rev="0"/>
              </w14:lightRig>
            </w14:scene3d>
          </w:rPr>
          <w:t>6.1.1</w:t>
        </w:r>
        <w:r w:rsidR="00FB1216" w:rsidRPr="00FB1216">
          <w:rPr>
            <w:rStyle w:val="Hyperlink"/>
            <w:rFonts w:asciiTheme="majorHAnsi" w:hAnsiTheme="majorHAnsi"/>
            <w:noProof/>
          </w:rPr>
          <w:t xml:space="preserve"> Oversupply (Spillage)</w:t>
        </w:r>
        <w:r w:rsidR="00FB1216" w:rsidRPr="00FB1216">
          <w:rPr>
            <w:rFonts w:asciiTheme="majorHAnsi" w:hAnsiTheme="majorHAnsi"/>
            <w:noProof/>
            <w:webHidden/>
          </w:rPr>
          <w:tab/>
        </w:r>
        <w:r w:rsidR="00FB1216" w:rsidRPr="00FB1216">
          <w:rPr>
            <w:rFonts w:asciiTheme="majorHAnsi" w:hAnsiTheme="majorHAnsi"/>
            <w:noProof/>
            <w:webHidden/>
          </w:rPr>
          <w:fldChar w:fldCharType="begin"/>
        </w:r>
        <w:r w:rsidR="00FB1216" w:rsidRPr="00FB1216">
          <w:rPr>
            <w:rFonts w:asciiTheme="majorHAnsi" w:hAnsiTheme="majorHAnsi"/>
            <w:noProof/>
            <w:webHidden/>
          </w:rPr>
          <w:instrText xml:space="preserve"> PAGEREF _Toc44412050 \h </w:instrText>
        </w:r>
        <w:r w:rsidR="00FB1216" w:rsidRPr="00FB1216">
          <w:rPr>
            <w:rFonts w:asciiTheme="majorHAnsi" w:hAnsiTheme="majorHAnsi"/>
            <w:noProof/>
            <w:webHidden/>
          </w:rPr>
        </w:r>
        <w:r w:rsidR="00FB1216" w:rsidRPr="00FB1216">
          <w:rPr>
            <w:rFonts w:asciiTheme="majorHAnsi" w:hAnsiTheme="majorHAnsi"/>
            <w:noProof/>
            <w:webHidden/>
          </w:rPr>
          <w:fldChar w:fldCharType="separate"/>
        </w:r>
        <w:r w:rsidR="00F54CC0">
          <w:rPr>
            <w:rFonts w:asciiTheme="majorHAnsi" w:hAnsiTheme="majorHAnsi"/>
            <w:noProof/>
            <w:webHidden/>
          </w:rPr>
          <w:t>13</w:t>
        </w:r>
        <w:r w:rsidR="00FB1216" w:rsidRPr="00FB1216">
          <w:rPr>
            <w:rFonts w:asciiTheme="majorHAnsi" w:hAnsiTheme="majorHAnsi"/>
            <w:noProof/>
            <w:webHidden/>
          </w:rPr>
          <w:fldChar w:fldCharType="end"/>
        </w:r>
      </w:hyperlink>
    </w:p>
    <w:p w:rsidR="00FB1216" w:rsidRPr="00FB1216" w:rsidRDefault="00B032A6" w:rsidP="00FB1216">
      <w:pPr>
        <w:pStyle w:val="TOC3"/>
        <w:spacing w:after="120" w:line="240" w:lineRule="auto"/>
        <w:rPr>
          <w:rFonts w:asciiTheme="majorHAnsi" w:eastAsiaTheme="minorEastAsia" w:hAnsiTheme="majorHAnsi" w:cstheme="minorBidi"/>
          <w:noProof/>
          <w:sz w:val="22"/>
          <w:szCs w:val="22"/>
        </w:rPr>
      </w:pPr>
      <w:hyperlink w:anchor="_Toc44412051" w:history="1">
        <w:r w:rsidR="00FB1216" w:rsidRPr="00FB1216">
          <w:rPr>
            <w:rStyle w:val="Hyperlink"/>
            <w:rFonts w:asciiTheme="majorHAnsi" w:hAnsiTheme="majorHAnsi"/>
            <w:noProof/>
            <w14:scene3d>
              <w14:camera w14:prst="orthographicFront"/>
              <w14:lightRig w14:rig="threePt" w14:dir="t">
                <w14:rot w14:lat="0" w14:lon="0" w14:rev="0"/>
              </w14:lightRig>
            </w14:scene3d>
          </w:rPr>
          <w:t>6.1.2</w:t>
        </w:r>
        <w:r w:rsidR="00FB1216" w:rsidRPr="00FB1216">
          <w:rPr>
            <w:rStyle w:val="Hyperlink"/>
            <w:rFonts w:asciiTheme="majorHAnsi" w:hAnsiTheme="majorHAnsi"/>
            <w:noProof/>
          </w:rPr>
          <w:t xml:space="preserve"> Systemwide Production Costs</w:t>
        </w:r>
        <w:r w:rsidR="00FB1216" w:rsidRPr="00FB1216">
          <w:rPr>
            <w:rFonts w:asciiTheme="majorHAnsi" w:hAnsiTheme="majorHAnsi"/>
            <w:noProof/>
            <w:webHidden/>
          </w:rPr>
          <w:tab/>
        </w:r>
        <w:r w:rsidR="00FB1216" w:rsidRPr="00FB1216">
          <w:rPr>
            <w:rFonts w:asciiTheme="majorHAnsi" w:hAnsiTheme="majorHAnsi"/>
            <w:noProof/>
            <w:webHidden/>
          </w:rPr>
          <w:fldChar w:fldCharType="begin"/>
        </w:r>
        <w:r w:rsidR="00FB1216" w:rsidRPr="00FB1216">
          <w:rPr>
            <w:rFonts w:asciiTheme="majorHAnsi" w:hAnsiTheme="majorHAnsi"/>
            <w:noProof/>
            <w:webHidden/>
          </w:rPr>
          <w:instrText xml:space="preserve"> PAGEREF _Toc44412051 \h </w:instrText>
        </w:r>
        <w:r w:rsidR="00FB1216" w:rsidRPr="00FB1216">
          <w:rPr>
            <w:rFonts w:asciiTheme="majorHAnsi" w:hAnsiTheme="majorHAnsi"/>
            <w:noProof/>
            <w:webHidden/>
          </w:rPr>
        </w:r>
        <w:r w:rsidR="00FB1216" w:rsidRPr="00FB1216">
          <w:rPr>
            <w:rFonts w:asciiTheme="majorHAnsi" w:hAnsiTheme="majorHAnsi"/>
            <w:noProof/>
            <w:webHidden/>
          </w:rPr>
          <w:fldChar w:fldCharType="separate"/>
        </w:r>
        <w:r w:rsidR="00F54CC0">
          <w:rPr>
            <w:rFonts w:asciiTheme="majorHAnsi" w:hAnsiTheme="majorHAnsi"/>
            <w:noProof/>
            <w:webHidden/>
          </w:rPr>
          <w:t>16</w:t>
        </w:r>
        <w:r w:rsidR="00FB1216" w:rsidRPr="00FB1216">
          <w:rPr>
            <w:rFonts w:asciiTheme="majorHAnsi" w:hAnsiTheme="majorHAnsi"/>
            <w:noProof/>
            <w:webHidden/>
          </w:rPr>
          <w:fldChar w:fldCharType="end"/>
        </w:r>
      </w:hyperlink>
    </w:p>
    <w:p w:rsidR="00FB1216" w:rsidRPr="00FB1216" w:rsidRDefault="00B032A6" w:rsidP="00FB1216">
      <w:pPr>
        <w:pStyle w:val="TOC3"/>
        <w:spacing w:after="120" w:line="240" w:lineRule="auto"/>
        <w:rPr>
          <w:rFonts w:asciiTheme="majorHAnsi" w:eastAsiaTheme="minorEastAsia" w:hAnsiTheme="majorHAnsi" w:cstheme="minorBidi"/>
          <w:noProof/>
          <w:sz w:val="22"/>
          <w:szCs w:val="22"/>
        </w:rPr>
      </w:pPr>
      <w:hyperlink w:anchor="_Toc44412052" w:history="1">
        <w:r w:rsidR="00FB1216" w:rsidRPr="00FB1216">
          <w:rPr>
            <w:rStyle w:val="Hyperlink"/>
            <w:rFonts w:asciiTheme="majorHAnsi" w:hAnsiTheme="majorHAnsi"/>
            <w:noProof/>
            <w14:scene3d>
              <w14:camera w14:prst="orthographicFront"/>
              <w14:lightRig w14:rig="threePt" w14:dir="t">
                <w14:rot w14:lat="0" w14:lon="0" w14:rev="0"/>
              </w14:lightRig>
            </w14:scene3d>
          </w:rPr>
          <w:t>6.1.3</w:t>
        </w:r>
        <w:r w:rsidR="00FB1216" w:rsidRPr="00FB1216">
          <w:rPr>
            <w:rStyle w:val="Hyperlink"/>
            <w:rFonts w:asciiTheme="majorHAnsi" w:hAnsiTheme="majorHAnsi"/>
            <w:noProof/>
          </w:rPr>
          <w:t xml:space="preserve"> Annual Average Locational Marginal Prices</w:t>
        </w:r>
        <w:r w:rsidR="00FB1216" w:rsidRPr="00FB1216">
          <w:rPr>
            <w:rFonts w:asciiTheme="majorHAnsi" w:hAnsiTheme="majorHAnsi"/>
            <w:noProof/>
            <w:webHidden/>
          </w:rPr>
          <w:tab/>
        </w:r>
        <w:r w:rsidR="00FB1216" w:rsidRPr="00FB1216">
          <w:rPr>
            <w:rFonts w:asciiTheme="majorHAnsi" w:hAnsiTheme="majorHAnsi"/>
            <w:noProof/>
            <w:webHidden/>
          </w:rPr>
          <w:fldChar w:fldCharType="begin"/>
        </w:r>
        <w:r w:rsidR="00FB1216" w:rsidRPr="00FB1216">
          <w:rPr>
            <w:rFonts w:asciiTheme="majorHAnsi" w:hAnsiTheme="majorHAnsi"/>
            <w:noProof/>
            <w:webHidden/>
          </w:rPr>
          <w:instrText xml:space="preserve"> PAGEREF _Toc44412052 \h </w:instrText>
        </w:r>
        <w:r w:rsidR="00FB1216" w:rsidRPr="00FB1216">
          <w:rPr>
            <w:rFonts w:asciiTheme="majorHAnsi" w:hAnsiTheme="majorHAnsi"/>
            <w:noProof/>
            <w:webHidden/>
          </w:rPr>
        </w:r>
        <w:r w:rsidR="00FB1216" w:rsidRPr="00FB1216">
          <w:rPr>
            <w:rFonts w:asciiTheme="majorHAnsi" w:hAnsiTheme="majorHAnsi"/>
            <w:noProof/>
            <w:webHidden/>
          </w:rPr>
          <w:fldChar w:fldCharType="separate"/>
        </w:r>
        <w:r w:rsidR="00F54CC0">
          <w:rPr>
            <w:rFonts w:asciiTheme="majorHAnsi" w:hAnsiTheme="majorHAnsi"/>
            <w:noProof/>
            <w:webHidden/>
          </w:rPr>
          <w:t>18</w:t>
        </w:r>
        <w:r w:rsidR="00FB1216" w:rsidRPr="00FB1216">
          <w:rPr>
            <w:rFonts w:asciiTheme="majorHAnsi" w:hAnsiTheme="majorHAnsi"/>
            <w:noProof/>
            <w:webHidden/>
          </w:rPr>
          <w:fldChar w:fldCharType="end"/>
        </w:r>
      </w:hyperlink>
    </w:p>
    <w:p w:rsidR="00FB1216" w:rsidRPr="00FB1216" w:rsidRDefault="00B032A6" w:rsidP="00FB1216">
      <w:pPr>
        <w:pStyle w:val="TOC3"/>
        <w:spacing w:after="120" w:line="240" w:lineRule="auto"/>
        <w:rPr>
          <w:rFonts w:asciiTheme="majorHAnsi" w:eastAsiaTheme="minorEastAsia" w:hAnsiTheme="majorHAnsi" w:cstheme="minorBidi"/>
          <w:noProof/>
          <w:sz w:val="22"/>
          <w:szCs w:val="22"/>
        </w:rPr>
      </w:pPr>
      <w:hyperlink w:anchor="_Toc44412053" w:history="1">
        <w:r w:rsidR="00FB1216" w:rsidRPr="00FB1216">
          <w:rPr>
            <w:rStyle w:val="Hyperlink"/>
            <w:rFonts w:asciiTheme="majorHAnsi" w:hAnsiTheme="majorHAnsi"/>
            <w:noProof/>
            <w14:scene3d>
              <w14:camera w14:prst="orthographicFront"/>
              <w14:lightRig w14:rig="threePt" w14:dir="t">
                <w14:rot w14:lat="0" w14:lon="0" w14:rev="0"/>
              </w14:lightRig>
            </w14:scene3d>
          </w:rPr>
          <w:t>6.1.4</w:t>
        </w:r>
        <w:r w:rsidR="00FB1216" w:rsidRPr="00FB1216">
          <w:rPr>
            <w:rStyle w:val="Hyperlink"/>
            <w:rFonts w:asciiTheme="majorHAnsi" w:hAnsiTheme="majorHAnsi"/>
            <w:noProof/>
          </w:rPr>
          <w:t xml:space="preserve"> Load-Serving Entity Energy Expense and Uplift Costs</w:t>
        </w:r>
        <w:r w:rsidR="00FB1216" w:rsidRPr="00FB1216">
          <w:rPr>
            <w:rFonts w:asciiTheme="majorHAnsi" w:hAnsiTheme="majorHAnsi"/>
            <w:noProof/>
            <w:webHidden/>
          </w:rPr>
          <w:tab/>
        </w:r>
        <w:r w:rsidR="00FB1216" w:rsidRPr="00FB1216">
          <w:rPr>
            <w:rFonts w:asciiTheme="majorHAnsi" w:hAnsiTheme="majorHAnsi"/>
            <w:noProof/>
            <w:webHidden/>
          </w:rPr>
          <w:fldChar w:fldCharType="begin"/>
        </w:r>
        <w:r w:rsidR="00FB1216" w:rsidRPr="00FB1216">
          <w:rPr>
            <w:rFonts w:asciiTheme="majorHAnsi" w:hAnsiTheme="majorHAnsi"/>
            <w:noProof/>
            <w:webHidden/>
          </w:rPr>
          <w:instrText xml:space="preserve"> PAGEREF _Toc44412053 \h </w:instrText>
        </w:r>
        <w:r w:rsidR="00FB1216" w:rsidRPr="00FB1216">
          <w:rPr>
            <w:rFonts w:asciiTheme="majorHAnsi" w:hAnsiTheme="majorHAnsi"/>
            <w:noProof/>
            <w:webHidden/>
          </w:rPr>
        </w:r>
        <w:r w:rsidR="00FB1216" w:rsidRPr="00FB1216">
          <w:rPr>
            <w:rFonts w:asciiTheme="majorHAnsi" w:hAnsiTheme="majorHAnsi"/>
            <w:noProof/>
            <w:webHidden/>
          </w:rPr>
          <w:fldChar w:fldCharType="separate"/>
        </w:r>
        <w:r w:rsidR="00F54CC0">
          <w:rPr>
            <w:rFonts w:asciiTheme="majorHAnsi" w:hAnsiTheme="majorHAnsi"/>
            <w:noProof/>
            <w:webHidden/>
          </w:rPr>
          <w:t>19</w:t>
        </w:r>
        <w:r w:rsidR="00FB1216" w:rsidRPr="00FB1216">
          <w:rPr>
            <w:rFonts w:asciiTheme="majorHAnsi" w:hAnsiTheme="majorHAnsi"/>
            <w:noProof/>
            <w:webHidden/>
          </w:rPr>
          <w:fldChar w:fldCharType="end"/>
        </w:r>
      </w:hyperlink>
    </w:p>
    <w:p w:rsidR="00FB1216" w:rsidRPr="00FB1216" w:rsidRDefault="00B032A6" w:rsidP="00FB1216">
      <w:pPr>
        <w:pStyle w:val="TOC3"/>
        <w:spacing w:after="120" w:line="240" w:lineRule="auto"/>
        <w:rPr>
          <w:rFonts w:asciiTheme="majorHAnsi" w:eastAsiaTheme="minorEastAsia" w:hAnsiTheme="majorHAnsi" w:cstheme="minorBidi"/>
          <w:noProof/>
          <w:sz w:val="22"/>
          <w:szCs w:val="22"/>
        </w:rPr>
      </w:pPr>
      <w:hyperlink w:anchor="_Toc44412054" w:history="1">
        <w:r w:rsidR="00FB1216" w:rsidRPr="00FB1216">
          <w:rPr>
            <w:rStyle w:val="Hyperlink"/>
            <w:rFonts w:asciiTheme="majorHAnsi" w:hAnsiTheme="majorHAnsi"/>
            <w:noProof/>
            <w14:scene3d>
              <w14:camera w14:prst="orthographicFront"/>
              <w14:lightRig w14:rig="threePt" w14:dir="t">
                <w14:rot w14:lat="0" w14:lon="0" w14:rev="0"/>
              </w14:lightRig>
            </w14:scene3d>
          </w:rPr>
          <w:t>6.1.5</w:t>
        </w:r>
        <w:r w:rsidR="00FB1216" w:rsidRPr="00FB1216">
          <w:rPr>
            <w:rStyle w:val="Hyperlink"/>
            <w:rFonts w:asciiTheme="majorHAnsi" w:hAnsiTheme="majorHAnsi"/>
            <w:noProof/>
          </w:rPr>
          <w:t xml:space="preserve"> Congestion by Interface</w:t>
        </w:r>
        <w:r w:rsidR="00FB1216" w:rsidRPr="00FB1216">
          <w:rPr>
            <w:rFonts w:asciiTheme="majorHAnsi" w:hAnsiTheme="majorHAnsi"/>
            <w:noProof/>
            <w:webHidden/>
          </w:rPr>
          <w:tab/>
        </w:r>
        <w:r w:rsidR="00FB1216" w:rsidRPr="00FB1216">
          <w:rPr>
            <w:rFonts w:asciiTheme="majorHAnsi" w:hAnsiTheme="majorHAnsi"/>
            <w:noProof/>
            <w:webHidden/>
          </w:rPr>
          <w:fldChar w:fldCharType="begin"/>
        </w:r>
        <w:r w:rsidR="00FB1216" w:rsidRPr="00FB1216">
          <w:rPr>
            <w:rFonts w:asciiTheme="majorHAnsi" w:hAnsiTheme="majorHAnsi"/>
            <w:noProof/>
            <w:webHidden/>
          </w:rPr>
          <w:instrText xml:space="preserve"> PAGEREF _Toc44412054 \h </w:instrText>
        </w:r>
        <w:r w:rsidR="00FB1216" w:rsidRPr="00FB1216">
          <w:rPr>
            <w:rFonts w:asciiTheme="majorHAnsi" w:hAnsiTheme="majorHAnsi"/>
            <w:noProof/>
            <w:webHidden/>
          </w:rPr>
        </w:r>
        <w:r w:rsidR="00FB1216" w:rsidRPr="00FB1216">
          <w:rPr>
            <w:rFonts w:asciiTheme="majorHAnsi" w:hAnsiTheme="majorHAnsi"/>
            <w:noProof/>
            <w:webHidden/>
          </w:rPr>
          <w:fldChar w:fldCharType="separate"/>
        </w:r>
        <w:r w:rsidR="00F54CC0">
          <w:rPr>
            <w:rFonts w:asciiTheme="majorHAnsi" w:hAnsiTheme="majorHAnsi"/>
            <w:noProof/>
            <w:webHidden/>
          </w:rPr>
          <w:t>20</w:t>
        </w:r>
        <w:r w:rsidR="00FB1216" w:rsidRPr="00FB1216">
          <w:rPr>
            <w:rFonts w:asciiTheme="majorHAnsi" w:hAnsiTheme="majorHAnsi"/>
            <w:noProof/>
            <w:webHidden/>
          </w:rPr>
          <w:fldChar w:fldCharType="end"/>
        </w:r>
      </w:hyperlink>
    </w:p>
    <w:p w:rsidR="00FB1216" w:rsidRPr="00FB1216" w:rsidRDefault="00B032A6" w:rsidP="00FB1216">
      <w:pPr>
        <w:pStyle w:val="TOC3"/>
        <w:spacing w:after="120" w:line="240" w:lineRule="auto"/>
        <w:rPr>
          <w:rFonts w:asciiTheme="majorHAnsi" w:eastAsiaTheme="minorEastAsia" w:hAnsiTheme="majorHAnsi" w:cstheme="minorBidi"/>
          <w:noProof/>
          <w:sz w:val="22"/>
          <w:szCs w:val="22"/>
        </w:rPr>
      </w:pPr>
      <w:hyperlink w:anchor="_Toc44412055" w:history="1">
        <w:r w:rsidR="00FB1216" w:rsidRPr="00FB1216">
          <w:rPr>
            <w:rStyle w:val="Hyperlink"/>
            <w:rFonts w:asciiTheme="majorHAnsi" w:hAnsiTheme="majorHAnsi"/>
            <w:noProof/>
            <w14:scene3d>
              <w14:camera w14:prst="orthographicFront"/>
              <w14:lightRig w14:rig="threePt" w14:dir="t">
                <w14:rot w14:lat="0" w14:lon="0" w14:rev="0"/>
              </w14:lightRig>
            </w14:scene3d>
          </w:rPr>
          <w:t>6.1.6</w:t>
        </w:r>
        <w:r w:rsidR="00FB1216" w:rsidRPr="00FB1216">
          <w:rPr>
            <w:rStyle w:val="Hyperlink"/>
            <w:rFonts w:asciiTheme="majorHAnsi" w:hAnsiTheme="majorHAnsi"/>
            <w:noProof/>
          </w:rPr>
          <w:t xml:space="preserve"> Native New England Resource CO</w:t>
        </w:r>
        <w:r w:rsidR="00FB1216" w:rsidRPr="00FB1216">
          <w:rPr>
            <w:rStyle w:val="Hyperlink"/>
            <w:rFonts w:asciiTheme="majorHAnsi" w:hAnsiTheme="majorHAnsi"/>
            <w:noProof/>
            <w:vertAlign w:val="subscript"/>
          </w:rPr>
          <w:t>2</w:t>
        </w:r>
        <w:r w:rsidR="00FB1216" w:rsidRPr="00FB1216">
          <w:rPr>
            <w:rStyle w:val="Hyperlink"/>
            <w:rFonts w:asciiTheme="majorHAnsi" w:hAnsiTheme="majorHAnsi"/>
            <w:noProof/>
          </w:rPr>
          <w:t xml:space="preserve"> Emissions</w:t>
        </w:r>
        <w:r w:rsidR="00FB1216" w:rsidRPr="00FB1216">
          <w:rPr>
            <w:rFonts w:asciiTheme="majorHAnsi" w:hAnsiTheme="majorHAnsi"/>
            <w:noProof/>
            <w:webHidden/>
          </w:rPr>
          <w:tab/>
        </w:r>
        <w:r w:rsidR="00FB1216" w:rsidRPr="00FB1216">
          <w:rPr>
            <w:rFonts w:asciiTheme="majorHAnsi" w:hAnsiTheme="majorHAnsi"/>
            <w:noProof/>
            <w:webHidden/>
          </w:rPr>
          <w:fldChar w:fldCharType="begin"/>
        </w:r>
        <w:r w:rsidR="00FB1216" w:rsidRPr="00FB1216">
          <w:rPr>
            <w:rFonts w:asciiTheme="majorHAnsi" w:hAnsiTheme="majorHAnsi"/>
            <w:noProof/>
            <w:webHidden/>
          </w:rPr>
          <w:instrText xml:space="preserve"> PAGEREF _Toc44412055 \h </w:instrText>
        </w:r>
        <w:r w:rsidR="00FB1216" w:rsidRPr="00FB1216">
          <w:rPr>
            <w:rFonts w:asciiTheme="majorHAnsi" w:hAnsiTheme="majorHAnsi"/>
            <w:noProof/>
            <w:webHidden/>
          </w:rPr>
        </w:r>
        <w:r w:rsidR="00FB1216" w:rsidRPr="00FB1216">
          <w:rPr>
            <w:rFonts w:asciiTheme="majorHAnsi" w:hAnsiTheme="majorHAnsi"/>
            <w:noProof/>
            <w:webHidden/>
          </w:rPr>
          <w:fldChar w:fldCharType="separate"/>
        </w:r>
        <w:r w:rsidR="00F54CC0">
          <w:rPr>
            <w:rFonts w:asciiTheme="majorHAnsi" w:hAnsiTheme="majorHAnsi"/>
            <w:noProof/>
            <w:webHidden/>
          </w:rPr>
          <w:t>21</w:t>
        </w:r>
        <w:r w:rsidR="00FB1216" w:rsidRPr="00FB1216">
          <w:rPr>
            <w:rFonts w:asciiTheme="majorHAnsi" w:hAnsiTheme="majorHAnsi"/>
            <w:noProof/>
            <w:webHidden/>
          </w:rPr>
          <w:fldChar w:fldCharType="end"/>
        </w:r>
      </w:hyperlink>
    </w:p>
    <w:p w:rsidR="00FB1216" w:rsidRPr="00FB1216" w:rsidRDefault="00B032A6" w:rsidP="00FB1216">
      <w:pPr>
        <w:pStyle w:val="TOC3"/>
        <w:spacing w:after="120" w:line="240" w:lineRule="auto"/>
        <w:rPr>
          <w:rFonts w:asciiTheme="majorHAnsi" w:eastAsiaTheme="minorEastAsia" w:hAnsiTheme="majorHAnsi" w:cstheme="minorBidi"/>
          <w:noProof/>
          <w:sz w:val="22"/>
          <w:szCs w:val="22"/>
        </w:rPr>
      </w:pPr>
      <w:hyperlink w:anchor="_Toc44412056" w:history="1">
        <w:r w:rsidR="00FB1216" w:rsidRPr="00FB1216">
          <w:rPr>
            <w:rStyle w:val="Hyperlink"/>
            <w:rFonts w:asciiTheme="majorHAnsi" w:hAnsiTheme="majorHAnsi"/>
            <w:noProof/>
            <w14:scene3d>
              <w14:camera w14:prst="orthographicFront"/>
              <w14:lightRig w14:rig="threePt" w14:dir="t">
                <w14:rot w14:lat="0" w14:lon="0" w14:rev="0"/>
              </w14:lightRig>
            </w14:scene3d>
          </w:rPr>
          <w:t>6.1.7</w:t>
        </w:r>
        <w:r w:rsidR="00FB1216" w:rsidRPr="00FB1216">
          <w:rPr>
            <w:rStyle w:val="Hyperlink"/>
            <w:rFonts w:asciiTheme="majorHAnsi" w:hAnsiTheme="majorHAnsi"/>
            <w:noProof/>
          </w:rPr>
          <w:t xml:space="preserve"> Ancillary Services</w:t>
        </w:r>
        <w:r w:rsidR="00FB1216" w:rsidRPr="00FB1216">
          <w:rPr>
            <w:rFonts w:asciiTheme="majorHAnsi" w:hAnsiTheme="majorHAnsi"/>
            <w:noProof/>
            <w:webHidden/>
          </w:rPr>
          <w:tab/>
        </w:r>
        <w:r w:rsidR="00FB1216" w:rsidRPr="00FB1216">
          <w:rPr>
            <w:rFonts w:asciiTheme="majorHAnsi" w:hAnsiTheme="majorHAnsi"/>
            <w:noProof/>
            <w:webHidden/>
          </w:rPr>
          <w:fldChar w:fldCharType="begin"/>
        </w:r>
        <w:r w:rsidR="00FB1216" w:rsidRPr="00FB1216">
          <w:rPr>
            <w:rFonts w:asciiTheme="majorHAnsi" w:hAnsiTheme="majorHAnsi"/>
            <w:noProof/>
            <w:webHidden/>
          </w:rPr>
          <w:instrText xml:space="preserve"> PAGEREF _Toc44412056 \h </w:instrText>
        </w:r>
        <w:r w:rsidR="00FB1216" w:rsidRPr="00FB1216">
          <w:rPr>
            <w:rFonts w:asciiTheme="majorHAnsi" w:hAnsiTheme="majorHAnsi"/>
            <w:noProof/>
            <w:webHidden/>
          </w:rPr>
        </w:r>
        <w:r w:rsidR="00FB1216" w:rsidRPr="00FB1216">
          <w:rPr>
            <w:rFonts w:asciiTheme="majorHAnsi" w:hAnsiTheme="majorHAnsi"/>
            <w:noProof/>
            <w:webHidden/>
          </w:rPr>
          <w:fldChar w:fldCharType="separate"/>
        </w:r>
        <w:r w:rsidR="00F54CC0">
          <w:rPr>
            <w:rFonts w:asciiTheme="majorHAnsi" w:hAnsiTheme="majorHAnsi"/>
            <w:noProof/>
            <w:webHidden/>
          </w:rPr>
          <w:t>22</w:t>
        </w:r>
        <w:r w:rsidR="00FB1216" w:rsidRPr="00FB1216">
          <w:rPr>
            <w:rFonts w:asciiTheme="majorHAnsi" w:hAnsiTheme="majorHAnsi"/>
            <w:noProof/>
            <w:webHidden/>
          </w:rPr>
          <w:fldChar w:fldCharType="end"/>
        </w:r>
      </w:hyperlink>
    </w:p>
    <w:p w:rsidR="00FB1216" w:rsidRPr="00FB1216" w:rsidRDefault="00B032A6" w:rsidP="00FB1216">
      <w:pPr>
        <w:pStyle w:val="TOC3"/>
        <w:spacing w:after="120" w:line="240" w:lineRule="auto"/>
        <w:rPr>
          <w:rFonts w:asciiTheme="majorHAnsi" w:eastAsiaTheme="minorEastAsia" w:hAnsiTheme="majorHAnsi" w:cstheme="minorBidi"/>
          <w:noProof/>
          <w:sz w:val="22"/>
          <w:szCs w:val="22"/>
        </w:rPr>
      </w:pPr>
      <w:hyperlink w:anchor="_Toc44412057" w:history="1">
        <w:r w:rsidR="00FB1216" w:rsidRPr="00FB1216">
          <w:rPr>
            <w:rStyle w:val="Hyperlink"/>
            <w:rFonts w:asciiTheme="majorHAnsi" w:hAnsiTheme="majorHAnsi"/>
            <w:noProof/>
            <w14:scene3d>
              <w14:camera w14:prst="orthographicFront"/>
              <w14:lightRig w14:rig="threePt" w14:dir="t">
                <w14:rot w14:lat="0" w14:lon="0" w14:rev="0"/>
              </w14:lightRig>
            </w14:scene3d>
          </w:rPr>
          <w:t>6.1.8</w:t>
        </w:r>
        <w:r w:rsidR="00FB1216" w:rsidRPr="00FB1216">
          <w:rPr>
            <w:rStyle w:val="Hyperlink"/>
            <w:rFonts w:asciiTheme="majorHAnsi" w:hAnsiTheme="majorHAnsi"/>
            <w:noProof/>
          </w:rPr>
          <w:t xml:space="preserve"> Marginal Emissions</w:t>
        </w:r>
        <w:r w:rsidR="00FB1216" w:rsidRPr="00FB1216">
          <w:rPr>
            <w:rFonts w:asciiTheme="majorHAnsi" w:hAnsiTheme="majorHAnsi"/>
            <w:noProof/>
            <w:webHidden/>
          </w:rPr>
          <w:tab/>
        </w:r>
        <w:r w:rsidR="00FB1216" w:rsidRPr="00FB1216">
          <w:rPr>
            <w:rFonts w:asciiTheme="majorHAnsi" w:hAnsiTheme="majorHAnsi"/>
            <w:noProof/>
            <w:webHidden/>
          </w:rPr>
          <w:fldChar w:fldCharType="begin"/>
        </w:r>
        <w:r w:rsidR="00FB1216" w:rsidRPr="00FB1216">
          <w:rPr>
            <w:rFonts w:asciiTheme="majorHAnsi" w:hAnsiTheme="majorHAnsi"/>
            <w:noProof/>
            <w:webHidden/>
          </w:rPr>
          <w:instrText xml:space="preserve"> PAGEREF _Toc44412057 \h </w:instrText>
        </w:r>
        <w:r w:rsidR="00FB1216" w:rsidRPr="00FB1216">
          <w:rPr>
            <w:rFonts w:asciiTheme="majorHAnsi" w:hAnsiTheme="majorHAnsi"/>
            <w:noProof/>
            <w:webHidden/>
          </w:rPr>
        </w:r>
        <w:r w:rsidR="00FB1216" w:rsidRPr="00FB1216">
          <w:rPr>
            <w:rFonts w:asciiTheme="majorHAnsi" w:hAnsiTheme="majorHAnsi"/>
            <w:noProof/>
            <w:webHidden/>
          </w:rPr>
          <w:fldChar w:fldCharType="separate"/>
        </w:r>
        <w:r w:rsidR="00F54CC0">
          <w:rPr>
            <w:rFonts w:asciiTheme="majorHAnsi" w:hAnsiTheme="majorHAnsi"/>
            <w:noProof/>
            <w:webHidden/>
          </w:rPr>
          <w:t>25</w:t>
        </w:r>
        <w:r w:rsidR="00FB1216" w:rsidRPr="00FB1216">
          <w:rPr>
            <w:rFonts w:asciiTheme="majorHAnsi" w:hAnsiTheme="majorHAnsi"/>
            <w:noProof/>
            <w:webHidden/>
          </w:rPr>
          <w:fldChar w:fldCharType="end"/>
        </w:r>
      </w:hyperlink>
    </w:p>
    <w:p w:rsidR="00FB1216" w:rsidRPr="00FB1216" w:rsidRDefault="00B032A6" w:rsidP="00FB1216">
      <w:pPr>
        <w:pStyle w:val="TOC3"/>
        <w:spacing w:after="120" w:line="240" w:lineRule="auto"/>
        <w:rPr>
          <w:rFonts w:asciiTheme="majorHAnsi" w:eastAsiaTheme="minorEastAsia" w:hAnsiTheme="majorHAnsi" w:cstheme="minorBidi"/>
          <w:noProof/>
          <w:sz w:val="22"/>
          <w:szCs w:val="22"/>
        </w:rPr>
      </w:pPr>
      <w:hyperlink w:anchor="_Toc44412058" w:history="1">
        <w:r w:rsidR="00FB1216" w:rsidRPr="00FB1216">
          <w:rPr>
            <w:rStyle w:val="Hyperlink"/>
            <w:rFonts w:asciiTheme="majorHAnsi" w:hAnsiTheme="majorHAnsi"/>
            <w:noProof/>
            <w14:scene3d>
              <w14:camera w14:prst="orthographicFront"/>
              <w14:lightRig w14:rig="threePt" w14:dir="t">
                <w14:rot w14:lat="0" w14:lon="0" w14:rev="0"/>
              </w14:lightRig>
            </w14:scene3d>
          </w:rPr>
          <w:t>6.1.9</w:t>
        </w:r>
        <w:r w:rsidR="00FB1216" w:rsidRPr="00FB1216">
          <w:rPr>
            <w:rStyle w:val="Hyperlink"/>
            <w:rFonts w:asciiTheme="majorHAnsi" w:hAnsiTheme="majorHAnsi"/>
            <w:noProof/>
          </w:rPr>
          <w:t xml:space="preserve"> Transmission Interconnection</w:t>
        </w:r>
        <w:r w:rsidR="00FB1216" w:rsidRPr="00FB1216">
          <w:rPr>
            <w:rFonts w:asciiTheme="majorHAnsi" w:hAnsiTheme="majorHAnsi"/>
            <w:noProof/>
            <w:webHidden/>
          </w:rPr>
          <w:tab/>
        </w:r>
        <w:r w:rsidR="00FB1216" w:rsidRPr="00FB1216">
          <w:rPr>
            <w:rFonts w:asciiTheme="majorHAnsi" w:hAnsiTheme="majorHAnsi"/>
            <w:noProof/>
            <w:webHidden/>
          </w:rPr>
          <w:fldChar w:fldCharType="begin"/>
        </w:r>
        <w:r w:rsidR="00FB1216" w:rsidRPr="00FB1216">
          <w:rPr>
            <w:rFonts w:asciiTheme="majorHAnsi" w:hAnsiTheme="majorHAnsi"/>
            <w:noProof/>
            <w:webHidden/>
          </w:rPr>
          <w:instrText xml:space="preserve"> PAGEREF _Toc44412058 \h </w:instrText>
        </w:r>
        <w:r w:rsidR="00FB1216" w:rsidRPr="00FB1216">
          <w:rPr>
            <w:rFonts w:asciiTheme="majorHAnsi" w:hAnsiTheme="majorHAnsi"/>
            <w:noProof/>
            <w:webHidden/>
          </w:rPr>
        </w:r>
        <w:r w:rsidR="00FB1216" w:rsidRPr="00FB1216">
          <w:rPr>
            <w:rFonts w:asciiTheme="majorHAnsi" w:hAnsiTheme="majorHAnsi"/>
            <w:noProof/>
            <w:webHidden/>
          </w:rPr>
          <w:fldChar w:fldCharType="separate"/>
        </w:r>
        <w:r w:rsidR="00F54CC0">
          <w:rPr>
            <w:rFonts w:asciiTheme="majorHAnsi" w:hAnsiTheme="majorHAnsi"/>
            <w:noProof/>
            <w:webHidden/>
          </w:rPr>
          <w:t>26</w:t>
        </w:r>
        <w:r w:rsidR="00FB1216" w:rsidRPr="00FB1216">
          <w:rPr>
            <w:rFonts w:asciiTheme="majorHAnsi" w:hAnsiTheme="majorHAnsi"/>
            <w:noProof/>
            <w:webHidden/>
          </w:rPr>
          <w:fldChar w:fldCharType="end"/>
        </w:r>
      </w:hyperlink>
    </w:p>
    <w:p w:rsidR="00FB1216" w:rsidRPr="00FB1216" w:rsidRDefault="00B032A6" w:rsidP="00FB1216">
      <w:pPr>
        <w:pStyle w:val="TOC1"/>
        <w:rPr>
          <w:rFonts w:asciiTheme="majorHAnsi" w:eastAsiaTheme="minorEastAsia" w:hAnsiTheme="majorHAnsi" w:cstheme="minorBidi"/>
          <w:b w:val="0"/>
          <w:bCs w:val="0"/>
          <w:sz w:val="22"/>
          <w:szCs w:val="22"/>
        </w:rPr>
      </w:pPr>
      <w:hyperlink w:anchor="_Toc44412059" w:history="1">
        <w:r w:rsidR="00FB1216" w:rsidRPr="00FB1216">
          <w:rPr>
            <w:rStyle w:val="Hyperlink"/>
            <w:rFonts w:asciiTheme="majorHAnsi" w:hAnsiTheme="majorHAnsi"/>
          </w:rPr>
          <w:t>Section 7</w:t>
        </w:r>
        <w:r w:rsidR="00FB1216">
          <w:rPr>
            <w:rStyle w:val="Hyperlink"/>
            <w:rFonts w:asciiTheme="majorHAnsi" w:hAnsiTheme="majorHAnsi"/>
          </w:rPr>
          <w:br/>
        </w:r>
        <w:r w:rsidR="00FB1216" w:rsidRPr="00FB1216">
          <w:rPr>
            <w:rStyle w:val="Hyperlink"/>
            <w:rFonts w:asciiTheme="majorHAnsi" w:hAnsiTheme="majorHAnsi"/>
          </w:rPr>
          <w:t>Summary</w:t>
        </w:r>
        <w:r w:rsidR="00FB1216" w:rsidRPr="00FB1216">
          <w:rPr>
            <w:rFonts w:asciiTheme="majorHAnsi" w:hAnsiTheme="majorHAnsi"/>
            <w:webHidden/>
          </w:rPr>
          <w:tab/>
        </w:r>
        <w:r w:rsidR="00FB1216" w:rsidRPr="00FB1216">
          <w:rPr>
            <w:rFonts w:asciiTheme="majorHAnsi" w:hAnsiTheme="majorHAnsi"/>
            <w:webHidden/>
          </w:rPr>
          <w:fldChar w:fldCharType="begin"/>
        </w:r>
        <w:r w:rsidR="00FB1216" w:rsidRPr="00FB1216">
          <w:rPr>
            <w:rFonts w:asciiTheme="majorHAnsi" w:hAnsiTheme="majorHAnsi"/>
            <w:webHidden/>
          </w:rPr>
          <w:instrText xml:space="preserve"> PAGEREF _Toc44412059 \h </w:instrText>
        </w:r>
        <w:r w:rsidR="00FB1216" w:rsidRPr="00FB1216">
          <w:rPr>
            <w:rFonts w:asciiTheme="majorHAnsi" w:hAnsiTheme="majorHAnsi"/>
            <w:webHidden/>
          </w:rPr>
        </w:r>
        <w:r w:rsidR="00FB1216" w:rsidRPr="00FB1216">
          <w:rPr>
            <w:rFonts w:asciiTheme="majorHAnsi" w:hAnsiTheme="majorHAnsi"/>
            <w:webHidden/>
          </w:rPr>
          <w:fldChar w:fldCharType="separate"/>
        </w:r>
        <w:r w:rsidR="00F54CC0">
          <w:rPr>
            <w:rFonts w:asciiTheme="majorHAnsi" w:hAnsiTheme="majorHAnsi"/>
            <w:webHidden/>
          </w:rPr>
          <w:t>37</w:t>
        </w:r>
        <w:r w:rsidR="00FB1216" w:rsidRPr="00FB1216">
          <w:rPr>
            <w:rFonts w:asciiTheme="majorHAnsi" w:hAnsiTheme="majorHAnsi"/>
            <w:webHidden/>
          </w:rPr>
          <w:fldChar w:fldCharType="end"/>
        </w:r>
      </w:hyperlink>
    </w:p>
    <w:p w:rsidR="00F565D2" w:rsidRPr="00E712DA" w:rsidRDefault="00CD7DBD" w:rsidP="00FB1216">
      <w:pPr>
        <w:spacing w:after="120" w:line="240" w:lineRule="auto"/>
        <w:rPr>
          <w:rFonts w:asciiTheme="majorHAnsi" w:hAnsiTheme="majorHAnsi" w:cstheme="majorHAnsi"/>
          <w:szCs w:val="20"/>
        </w:rPr>
        <w:sectPr w:rsidR="00F565D2" w:rsidRPr="00E712DA" w:rsidSect="001E2301">
          <w:footerReference w:type="default" r:id="rId20"/>
          <w:pgSz w:w="12240" w:h="15840" w:code="1"/>
          <w:pgMar w:top="1440" w:right="1440" w:bottom="1440" w:left="1440" w:header="720" w:footer="720" w:gutter="0"/>
          <w:pgNumType w:fmt="lowerRoman" w:start="3"/>
          <w:cols w:space="720"/>
          <w:docGrid w:linePitch="360"/>
        </w:sectPr>
      </w:pPr>
      <w:r w:rsidRPr="00FB1216">
        <w:rPr>
          <w:rFonts w:asciiTheme="majorHAnsi" w:hAnsiTheme="majorHAnsi" w:cstheme="minorHAnsi"/>
          <w:szCs w:val="20"/>
        </w:rPr>
        <w:fldChar w:fldCharType="end"/>
      </w:r>
    </w:p>
    <w:p w:rsidR="00F565D2" w:rsidRPr="00225B89" w:rsidRDefault="00F565D2" w:rsidP="001F5E1A">
      <w:pPr>
        <w:adjustRightInd/>
        <w:spacing w:after="120" w:line="240" w:lineRule="auto"/>
        <w:textAlignment w:val="auto"/>
        <w:outlineLvl w:val="0"/>
        <w:rPr>
          <w:rFonts w:ascii="Calibri" w:hAnsi="Calibri" w:cs="Arial"/>
          <w:b/>
          <w:bCs/>
          <w:color w:val="0C95D2"/>
          <w:sz w:val="36"/>
          <w:szCs w:val="36"/>
        </w:rPr>
      </w:pPr>
      <w:bookmarkStart w:id="13" w:name="_Toc173682257"/>
      <w:bookmarkStart w:id="14" w:name="_Toc44412032"/>
      <w:r w:rsidRPr="005628EB">
        <w:rPr>
          <w:rFonts w:ascii="Calibri" w:hAnsi="Calibri" w:cs="Arial"/>
          <w:b/>
          <w:bCs/>
          <w:color w:val="0C95D2"/>
          <w:sz w:val="36"/>
          <w:szCs w:val="36"/>
        </w:rPr>
        <w:lastRenderedPageBreak/>
        <w:t>Figures</w:t>
      </w:r>
      <w:bookmarkEnd w:id="13"/>
      <w:bookmarkEnd w:id="14"/>
    </w:p>
    <w:p w:rsidR="001F5E1A" w:rsidRPr="001F5E1A" w:rsidRDefault="00CD7DBD" w:rsidP="001F5E1A">
      <w:pPr>
        <w:pStyle w:val="TableofFigures"/>
        <w:rPr>
          <w:rFonts w:asciiTheme="minorHAnsi" w:eastAsiaTheme="minorEastAsia" w:hAnsiTheme="minorHAnsi" w:cstheme="minorBidi"/>
          <w:b w:val="0"/>
          <w:sz w:val="22"/>
          <w:szCs w:val="22"/>
        </w:rPr>
      </w:pPr>
      <w:r w:rsidRPr="001F5E1A">
        <w:rPr>
          <w:rFonts w:asciiTheme="minorHAnsi" w:hAnsiTheme="minorHAnsi"/>
          <w:b w:val="0"/>
        </w:rPr>
        <w:fldChar w:fldCharType="begin"/>
      </w:r>
      <w:r w:rsidRPr="001F5E1A">
        <w:rPr>
          <w:rFonts w:asciiTheme="minorHAnsi" w:hAnsiTheme="minorHAnsi"/>
          <w:b w:val="0"/>
        </w:rPr>
        <w:instrText xml:space="preserve"> TOC \h \z \c "Figure" </w:instrText>
      </w:r>
      <w:r w:rsidRPr="001F5E1A">
        <w:rPr>
          <w:rFonts w:asciiTheme="minorHAnsi" w:hAnsiTheme="minorHAnsi"/>
          <w:b w:val="0"/>
        </w:rPr>
        <w:fldChar w:fldCharType="separate"/>
      </w:r>
      <w:hyperlink w:anchor="_Toc43224476" w:history="1">
        <w:r w:rsidR="001F5E1A" w:rsidRPr="001F5E1A">
          <w:rPr>
            <w:rStyle w:val="Hyperlink"/>
            <w:b w:val="0"/>
          </w:rPr>
          <w:t>Figure 4</w:t>
        </w:r>
        <w:r w:rsidR="001F5E1A" w:rsidRPr="001F5E1A">
          <w:rPr>
            <w:rStyle w:val="Hyperlink"/>
            <w:b w:val="0"/>
          </w:rPr>
          <w:noBreakHyphen/>
          <w:t xml:space="preserve">1: </w:t>
        </w:r>
        <w:r w:rsidR="001F5E1A" w:rsidRPr="001F5E1A">
          <w:rPr>
            <w:rStyle w:val="Hyperlink"/>
            <w:b w:val="0"/>
          </w:rPr>
          <w:tab/>
          <w:t>US Bureau of Ocean Energy Management lease areas showing the location</w:t>
        </w:r>
        <w:r w:rsidR="001F5E1A">
          <w:rPr>
            <w:rStyle w:val="Hyperlink"/>
            <w:b w:val="0"/>
          </w:rPr>
          <w:br/>
        </w:r>
        <w:r w:rsidR="001F5E1A" w:rsidRPr="001F5E1A">
          <w:rPr>
            <w:rStyle w:val="Hyperlink"/>
            <w:b w:val="0"/>
          </w:rPr>
          <w:t>of offshore wind sites and interconnection points used for the preliminary results.</w:t>
        </w:r>
        <w:r w:rsidR="001F5E1A" w:rsidRPr="001F5E1A">
          <w:rPr>
            <w:b w:val="0"/>
            <w:webHidden/>
          </w:rPr>
          <w:tab/>
        </w:r>
        <w:r w:rsidR="001F5E1A" w:rsidRPr="001F5E1A">
          <w:rPr>
            <w:b w:val="0"/>
            <w:webHidden/>
          </w:rPr>
          <w:fldChar w:fldCharType="begin"/>
        </w:r>
        <w:r w:rsidR="001F5E1A" w:rsidRPr="001F5E1A">
          <w:rPr>
            <w:b w:val="0"/>
            <w:webHidden/>
          </w:rPr>
          <w:instrText xml:space="preserve"> PAGEREF _Toc43224476 \h </w:instrText>
        </w:r>
        <w:r w:rsidR="001F5E1A" w:rsidRPr="001F5E1A">
          <w:rPr>
            <w:b w:val="0"/>
            <w:webHidden/>
          </w:rPr>
        </w:r>
        <w:r w:rsidR="001F5E1A" w:rsidRPr="001F5E1A">
          <w:rPr>
            <w:b w:val="0"/>
            <w:webHidden/>
          </w:rPr>
          <w:fldChar w:fldCharType="separate"/>
        </w:r>
        <w:r w:rsidR="00F54CC0">
          <w:rPr>
            <w:b w:val="0"/>
            <w:webHidden/>
          </w:rPr>
          <w:t>7</w:t>
        </w:r>
        <w:r w:rsidR="001F5E1A" w:rsidRPr="001F5E1A">
          <w:rPr>
            <w:b w:val="0"/>
            <w:webHidden/>
          </w:rPr>
          <w:fldChar w:fldCharType="end"/>
        </w:r>
      </w:hyperlink>
    </w:p>
    <w:p w:rsidR="001F5E1A" w:rsidRPr="001F5E1A" w:rsidRDefault="00B032A6" w:rsidP="001F5E1A">
      <w:pPr>
        <w:pStyle w:val="TableofFigures"/>
        <w:rPr>
          <w:rFonts w:asciiTheme="minorHAnsi" w:eastAsiaTheme="minorEastAsia" w:hAnsiTheme="minorHAnsi" w:cstheme="minorBidi"/>
          <w:b w:val="0"/>
          <w:sz w:val="22"/>
          <w:szCs w:val="22"/>
        </w:rPr>
      </w:pPr>
      <w:hyperlink w:anchor="_Toc43224477" w:history="1">
        <w:r w:rsidR="001F5E1A" w:rsidRPr="001F5E1A">
          <w:rPr>
            <w:rStyle w:val="Hyperlink"/>
            <w:b w:val="0"/>
          </w:rPr>
          <w:t>Figure 5</w:t>
        </w:r>
        <w:r w:rsidR="001F5E1A" w:rsidRPr="001F5E1A">
          <w:rPr>
            <w:rStyle w:val="Hyperlink"/>
            <w:b w:val="0"/>
          </w:rPr>
          <w:noBreakHyphen/>
          <w:t xml:space="preserve">1: </w:t>
        </w:r>
        <w:r w:rsidR="001F5E1A" w:rsidRPr="001F5E1A">
          <w:rPr>
            <w:rStyle w:val="Hyperlink"/>
            <w:b w:val="0"/>
          </w:rPr>
          <w:tab/>
          <w:t>Assumed New England system representation for the 2030 study year.</w:t>
        </w:r>
        <w:r w:rsidR="001F5E1A" w:rsidRPr="001F5E1A">
          <w:rPr>
            <w:b w:val="0"/>
            <w:webHidden/>
          </w:rPr>
          <w:tab/>
        </w:r>
        <w:r w:rsidR="001F5E1A" w:rsidRPr="001F5E1A">
          <w:rPr>
            <w:b w:val="0"/>
            <w:webHidden/>
          </w:rPr>
          <w:fldChar w:fldCharType="begin"/>
        </w:r>
        <w:r w:rsidR="001F5E1A" w:rsidRPr="001F5E1A">
          <w:rPr>
            <w:b w:val="0"/>
            <w:webHidden/>
          </w:rPr>
          <w:instrText xml:space="preserve"> PAGEREF _Toc43224477 \h </w:instrText>
        </w:r>
        <w:r w:rsidR="001F5E1A" w:rsidRPr="001F5E1A">
          <w:rPr>
            <w:b w:val="0"/>
            <w:webHidden/>
          </w:rPr>
        </w:r>
        <w:r w:rsidR="001F5E1A" w:rsidRPr="001F5E1A">
          <w:rPr>
            <w:b w:val="0"/>
            <w:webHidden/>
          </w:rPr>
          <w:fldChar w:fldCharType="separate"/>
        </w:r>
        <w:r w:rsidR="00F54CC0">
          <w:rPr>
            <w:b w:val="0"/>
            <w:webHidden/>
          </w:rPr>
          <w:t>9</w:t>
        </w:r>
        <w:r w:rsidR="001F5E1A" w:rsidRPr="001F5E1A">
          <w:rPr>
            <w:b w:val="0"/>
            <w:webHidden/>
          </w:rPr>
          <w:fldChar w:fldCharType="end"/>
        </w:r>
      </w:hyperlink>
    </w:p>
    <w:p w:rsidR="001F5E1A" w:rsidRPr="001F5E1A" w:rsidRDefault="00B032A6" w:rsidP="001F5E1A">
      <w:pPr>
        <w:pStyle w:val="TableofFigures"/>
        <w:rPr>
          <w:rFonts w:asciiTheme="minorHAnsi" w:eastAsiaTheme="minorEastAsia" w:hAnsiTheme="minorHAnsi" w:cstheme="minorBidi"/>
          <w:b w:val="0"/>
          <w:sz w:val="22"/>
          <w:szCs w:val="22"/>
        </w:rPr>
      </w:pPr>
      <w:hyperlink w:anchor="_Toc43224478" w:history="1">
        <w:r w:rsidR="001F5E1A" w:rsidRPr="001F5E1A">
          <w:rPr>
            <w:rStyle w:val="Hyperlink"/>
            <w:b w:val="0"/>
          </w:rPr>
          <w:t>Figure 6</w:t>
        </w:r>
        <w:r w:rsidR="001F5E1A" w:rsidRPr="001F5E1A">
          <w:rPr>
            <w:rStyle w:val="Hyperlink"/>
            <w:b w:val="0"/>
          </w:rPr>
          <w:noBreakHyphen/>
          <w:t xml:space="preserve">1: </w:t>
        </w:r>
        <w:r w:rsidR="001F5E1A" w:rsidRPr="001F5E1A">
          <w:rPr>
            <w:rStyle w:val="Hyperlink"/>
            <w:b w:val="0"/>
          </w:rPr>
          <w:tab/>
          <w:t>Total amount of spilled resource energy (terawatt-hours; TWh) by scenario studied.</w:t>
        </w:r>
        <w:r w:rsidR="001F5E1A" w:rsidRPr="001F5E1A">
          <w:rPr>
            <w:b w:val="0"/>
            <w:webHidden/>
          </w:rPr>
          <w:tab/>
        </w:r>
        <w:r w:rsidR="001F5E1A" w:rsidRPr="001F5E1A">
          <w:rPr>
            <w:b w:val="0"/>
            <w:webHidden/>
          </w:rPr>
          <w:fldChar w:fldCharType="begin"/>
        </w:r>
        <w:r w:rsidR="001F5E1A" w:rsidRPr="001F5E1A">
          <w:rPr>
            <w:b w:val="0"/>
            <w:webHidden/>
          </w:rPr>
          <w:instrText xml:space="preserve"> PAGEREF _Toc43224478 \h </w:instrText>
        </w:r>
        <w:r w:rsidR="001F5E1A" w:rsidRPr="001F5E1A">
          <w:rPr>
            <w:b w:val="0"/>
            <w:webHidden/>
          </w:rPr>
        </w:r>
        <w:r w:rsidR="001F5E1A" w:rsidRPr="001F5E1A">
          <w:rPr>
            <w:b w:val="0"/>
            <w:webHidden/>
          </w:rPr>
          <w:fldChar w:fldCharType="separate"/>
        </w:r>
        <w:r w:rsidR="00F54CC0">
          <w:rPr>
            <w:b w:val="0"/>
            <w:webHidden/>
          </w:rPr>
          <w:t>14</w:t>
        </w:r>
        <w:r w:rsidR="001F5E1A" w:rsidRPr="001F5E1A">
          <w:rPr>
            <w:b w:val="0"/>
            <w:webHidden/>
          </w:rPr>
          <w:fldChar w:fldCharType="end"/>
        </w:r>
      </w:hyperlink>
    </w:p>
    <w:p w:rsidR="001F5E1A" w:rsidRPr="001F5E1A" w:rsidRDefault="00B032A6" w:rsidP="001F5E1A">
      <w:pPr>
        <w:pStyle w:val="TableofFigures"/>
        <w:rPr>
          <w:rFonts w:asciiTheme="minorHAnsi" w:eastAsiaTheme="minorEastAsia" w:hAnsiTheme="minorHAnsi" w:cstheme="minorBidi"/>
          <w:b w:val="0"/>
          <w:sz w:val="22"/>
          <w:szCs w:val="22"/>
        </w:rPr>
      </w:pPr>
      <w:hyperlink w:anchor="_Toc43224479" w:history="1">
        <w:r w:rsidR="001F5E1A" w:rsidRPr="001F5E1A">
          <w:rPr>
            <w:rStyle w:val="Hyperlink"/>
            <w:b w:val="0"/>
          </w:rPr>
          <w:t>Figure 6</w:t>
        </w:r>
        <w:r w:rsidR="001F5E1A" w:rsidRPr="001F5E1A">
          <w:rPr>
            <w:rStyle w:val="Hyperlink"/>
            <w:b w:val="0"/>
          </w:rPr>
          <w:noBreakHyphen/>
          <w:t xml:space="preserve">2: </w:t>
        </w:r>
        <w:r w:rsidR="001F5E1A" w:rsidRPr="001F5E1A">
          <w:rPr>
            <w:rStyle w:val="Hyperlink"/>
            <w:b w:val="0"/>
          </w:rPr>
          <w:tab/>
          <w:t xml:space="preserve">Monthly spilled resource energy (TWh) for the 8000_1 </w:t>
        </w:r>
        <w:r w:rsidR="009C23D6">
          <w:rPr>
            <w:rStyle w:val="Hyperlink"/>
            <w:b w:val="0"/>
          </w:rPr>
          <w:t>c</w:t>
        </w:r>
        <w:r w:rsidR="001F5E1A" w:rsidRPr="001F5E1A">
          <w:rPr>
            <w:rStyle w:val="Hyperlink"/>
            <w:b w:val="0"/>
          </w:rPr>
          <w:t xml:space="preserve">onstrained </w:t>
        </w:r>
        <w:r w:rsidR="009C23D6">
          <w:rPr>
            <w:rStyle w:val="Hyperlink"/>
            <w:b w:val="0"/>
          </w:rPr>
          <w:t>s</w:t>
        </w:r>
        <w:r w:rsidR="001F5E1A" w:rsidRPr="001F5E1A">
          <w:rPr>
            <w:rStyle w:val="Hyperlink"/>
            <w:b w:val="0"/>
          </w:rPr>
          <w:t>cenario.</w:t>
        </w:r>
        <w:r w:rsidR="001F5E1A" w:rsidRPr="001F5E1A">
          <w:rPr>
            <w:b w:val="0"/>
            <w:webHidden/>
          </w:rPr>
          <w:tab/>
        </w:r>
        <w:r w:rsidR="001F5E1A" w:rsidRPr="001F5E1A">
          <w:rPr>
            <w:b w:val="0"/>
            <w:webHidden/>
          </w:rPr>
          <w:fldChar w:fldCharType="begin"/>
        </w:r>
        <w:r w:rsidR="001F5E1A" w:rsidRPr="001F5E1A">
          <w:rPr>
            <w:b w:val="0"/>
            <w:webHidden/>
          </w:rPr>
          <w:instrText xml:space="preserve"> PAGEREF _Toc43224479 \h </w:instrText>
        </w:r>
        <w:r w:rsidR="001F5E1A" w:rsidRPr="001F5E1A">
          <w:rPr>
            <w:b w:val="0"/>
            <w:webHidden/>
          </w:rPr>
        </w:r>
        <w:r w:rsidR="001F5E1A" w:rsidRPr="001F5E1A">
          <w:rPr>
            <w:b w:val="0"/>
            <w:webHidden/>
          </w:rPr>
          <w:fldChar w:fldCharType="separate"/>
        </w:r>
        <w:r w:rsidR="00F54CC0">
          <w:rPr>
            <w:b w:val="0"/>
            <w:webHidden/>
          </w:rPr>
          <w:t>15</w:t>
        </w:r>
        <w:r w:rsidR="001F5E1A" w:rsidRPr="001F5E1A">
          <w:rPr>
            <w:b w:val="0"/>
            <w:webHidden/>
          </w:rPr>
          <w:fldChar w:fldCharType="end"/>
        </w:r>
      </w:hyperlink>
    </w:p>
    <w:p w:rsidR="001F5E1A" w:rsidRPr="001F5E1A" w:rsidRDefault="00B032A6" w:rsidP="001F5E1A">
      <w:pPr>
        <w:pStyle w:val="TableofFigures"/>
        <w:rPr>
          <w:rFonts w:asciiTheme="minorHAnsi" w:eastAsiaTheme="minorEastAsia" w:hAnsiTheme="minorHAnsi" w:cstheme="minorBidi"/>
          <w:b w:val="0"/>
          <w:sz w:val="22"/>
          <w:szCs w:val="22"/>
        </w:rPr>
      </w:pPr>
      <w:hyperlink w:anchor="_Toc43224480" w:history="1">
        <w:r w:rsidR="001F5E1A" w:rsidRPr="001F5E1A">
          <w:rPr>
            <w:rStyle w:val="Hyperlink"/>
            <w:b w:val="0"/>
          </w:rPr>
          <w:t>Figure 6</w:t>
        </w:r>
        <w:r w:rsidR="001F5E1A" w:rsidRPr="001F5E1A">
          <w:rPr>
            <w:rStyle w:val="Hyperlink"/>
            <w:b w:val="0"/>
          </w:rPr>
          <w:noBreakHyphen/>
          <w:t xml:space="preserve">3: </w:t>
        </w:r>
        <w:r w:rsidR="001F5E1A" w:rsidRPr="001F5E1A">
          <w:rPr>
            <w:rStyle w:val="Hyperlink"/>
            <w:b w:val="0"/>
          </w:rPr>
          <w:tab/>
          <w:t>Energy production during two low-spill days (MW).</w:t>
        </w:r>
        <w:r w:rsidR="001F5E1A" w:rsidRPr="001F5E1A">
          <w:rPr>
            <w:b w:val="0"/>
            <w:webHidden/>
          </w:rPr>
          <w:tab/>
        </w:r>
        <w:r w:rsidR="001F5E1A" w:rsidRPr="001F5E1A">
          <w:rPr>
            <w:b w:val="0"/>
            <w:webHidden/>
          </w:rPr>
          <w:fldChar w:fldCharType="begin"/>
        </w:r>
        <w:r w:rsidR="001F5E1A" w:rsidRPr="001F5E1A">
          <w:rPr>
            <w:b w:val="0"/>
            <w:webHidden/>
          </w:rPr>
          <w:instrText xml:space="preserve"> PAGEREF _Toc43224480 \h </w:instrText>
        </w:r>
        <w:r w:rsidR="001F5E1A" w:rsidRPr="001F5E1A">
          <w:rPr>
            <w:b w:val="0"/>
            <w:webHidden/>
          </w:rPr>
        </w:r>
        <w:r w:rsidR="001F5E1A" w:rsidRPr="001F5E1A">
          <w:rPr>
            <w:b w:val="0"/>
            <w:webHidden/>
          </w:rPr>
          <w:fldChar w:fldCharType="separate"/>
        </w:r>
        <w:r w:rsidR="00F54CC0">
          <w:rPr>
            <w:b w:val="0"/>
            <w:webHidden/>
          </w:rPr>
          <w:t>15</w:t>
        </w:r>
        <w:r w:rsidR="001F5E1A" w:rsidRPr="001F5E1A">
          <w:rPr>
            <w:b w:val="0"/>
            <w:webHidden/>
          </w:rPr>
          <w:fldChar w:fldCharType="end"/>
        </w:r>
      </w:hyperlink>
    </w:p>
    <w:p w:rsidR="001F5E1A" w:rsidRPr="001F5E1A" w:rsidRDefault="00B032A6" w:rsidP="001F5E1A">
      <w:pPr>
        <w:pStyle w:val="TableofFigures"/>
        <w:rPr>
          <w:rFonts w:asciiTheme="minorHAnsi" w:eastAsiaTheme="minorEastAsia" w:hAnsiTheme="minorHAnsi" w:cstheme="minorBidi"/>
          <w:b w:val="0"/>
          <w:sz w:val="22"/>
          <w:szCs w:val="22"/>
        </w:rPr>
      </w:pPr>
      <w:hyperlink w:anchor="_Toc43224481" w:history="1">
        <w:r w:rsidR="001F5E1A" w:rsidRPr="001F5E1A">
          <w:rPr>
            <w:rStyle w:val="Hyperlink"/>
            <w:b w:val="0"/>
          </w:rPr>
          <w:t>Figure 6</w:t>
        </w:r>
        <w:r w:rsidR="001F5E1A" w:rsidRPr="001F5E1A">
          <w:rPr>
            <w:rStyle w:val="Hyperlink"/>
            <w:b w:val="0"/>
          </w:rPr>
          <w:noBreakHyphen/>
          <w:t xml:space="preserve">4: </w:t>
        </w:r>
        <w:r w:rsidR="001F5E1A" w:rsidRPr="001F5E1A">
          <w:rPr>
            <w:rStyle w:val="Hyperlink"/>
            <w:b w:val="0"/>
          </w:rPr>
          <w:tab/>
        </w:r>
        <w:r w:rsidR="001F5E1A" w:rsidRPr="001F5E1A">
          <w:rPr>
            <w:rStyle w:val="Hyperlink"/>
            <w:b w:val="0"/>
            <w:bCs/>
          </w:rPr>
          <w:t>Energy resource production of the two highest</w:t>
        </w:r>
        <w:r w:rsidR="00B37010">
          <w:rPr>
            <w:rStyle w:val="Hyperlink"/>
            <w:b w:val="0"/>
            <w:bCs/>
          </w:rPr>
          <w:t xml:space="preserve"> </w:t>
        </w:r>
        <w:r w:rsidR="001F5E1A" w:rsidRPr="001F5E1A">
          <w:rPr>
            <w:rStyle w:val="Hyperlink"/>
            <w:b w:val="0"/>
            <w:bCs/>
          </w:rPr>
          <w:t>spill days.</w:t>
        </w:r>
        <w:r w:rsidR="001F5E1A" w:rsidRPr="001F5E1A">
          <w:rPr>
            <w:b w:val="0"/>
            <w:webHidden/>
          </w:rPr>
          <w:tab/>
        </w:r>
        <w:r w:rsidR="001F5E1A" w:rsidRPr="001F5E1A">
          <w:rPr>
            <w:b w:val="0"/>
            <w:webHidden/>
          </w:rPr>
          <w:fldChar w:fldCharType="begin"/>
        </w:r>
        <w:r w:rsidR="001F5E1A" w:rsidRPr="001F5E1A">
          <w:rPr>
            <w:b w:val="0"/>
            <w:webHidden/>
          </w:rPr>
          <w:instrText xml:space="preserve"> PAGEREF _Toc43224481 \h </w:instrText>
        </w:r>
        <w:r w:rsidR="001F5E1A" w:rsidRPr="001F5E1A">
          <w:rPr>
            <w:b w:val="0"/>
            <w:webHidden/>
          </w:rPr>
        </w:r>
        <w:r w:rsidR="001F5E1A" w:rsidRPr="001F5E1A">
          <w:rPr>
            <w:b w:val="0"/>
            <w:webHidden/>
          </w:rPr>
          <w:fldChar w:fldCharType="separate"/>
        </w:r>
        <w:r w:rsidR="00F54CC0">
          <w:rPr>
            <w:b w:val="0"/>
            <w:webHidden/>
          </w:rPr>
          <w:t>16</w:t>
        </w:r>
        <w:r w:rsidR="001F5E1A" w:rsidRPr="001F5E1A">
          <w:rPr>
            <w:b w:val="0"/>
            <w:webHidden/>
          </w:rPr>
          <w:fldChar w:fldCharType="end"/>
        </w:r>
      </w:hyperlink>
    </w:p>
    <w:p w:rsidR="001F5E1A" w:rsidRPr="001F5E1A" w:rsidRDefault="00B032A6" w:rsidP="001F5E1A">
      <w:pPr>
        <w:pStyle w:val="TableofFigures"/>
        <w:rPr>
          <w:rFonts w:asciiTheme="minorHAnsi" w:eastAsiaTheme="minorEastAsia" w:hAnsiTheme="minorHAnsi" w:cstheme="minorBidi"/>
          <w:b w:val="0"/>
          <w:sz w:val="22"/>
          <w:szCs w:val="22"/>
        </w:rPr>
      </w:pPr>
      <w:hyperlink w:anchor="_Toc43224482" w:history="1">
        <w:r w:rsidR="001F5E1A" w:rsidRPr="001F5E1A">
          <w:rPr>
            <w:rStyle w:val="Hyperlink"/>
            <w:b w:val="0"/>
          </w:rPr>
          <w:t>Figure 6</w:t>
        </w:r>
        <w:r w:rsidR="001F5E1A" w:rsidRPr="001F5E1A">
          <w:rPr>
            <w:rStyle w:val="Hyperlink"/>
            <w:b w:val="0"/>
          </w:rPr>
          <w:noBreakHyphen/>
          <w:t xml:space="preserve">5: </w:t>
        </w:r>
        <w:r w:rsidR="001F5E1A" w:rsidRPr="001F5E1A">
          <w:rPr>
            <w:rStyle w:val="Hyperlink"/>
            <w:b w:val="0"/>
          </w:rPr>
          <w:tab/>
          <w:t>Energy resource spillage of the two highest</w:t>
        </w:r>
        <w:r w:rsidR="00B37010">
          <w:rPr>
            <w:rStyle w:val="Hyperlink"/>
            <w:b w:val="0"/>
          </w:rPr>
          <w:t xml:space="preserve"> </w:t>
        </w:r>
        <w:r w:rsidR="001F5E1A" w:rsidRPr="001F5E1A">
          <w:rPr>
            <w:rStyle w:val="Hyperlink"/>
            <w:b w:val="0"/>
          </w:rPr>
          <w:t>spill days.</w:t>
        </w:r>
        <w:r w:rsidR="001F5E1A" w:rsidRPr="001F5E1A">
          <w:rPr>
            <w:b w:val="0"/>
            <w:webHidden/>
          </w:rPr>
          <w:tab/>
        </w:r>
        <w:r w:rsidR="001F5E1A" w:rsidRPr="001F5E1A">
          <w:rPr>
            <w:b w:val="0"/>
            <w:webHidden/>
          </w:rPr>
          <w:fldChar w:fldCharType="begin"/>
        </w:r>
        <w:r w:rsidR="001F5E1A" w:rsidRPr="001F5E1A">
          <w:rPr>
            <w:b w:val="0"/>
            <w:webHidden/>
          </w:rPr>
          <w:instrText xml:space="preserve"> PAGEREF _Toc43224482 \h </w:instrText>
        </w:r>
        <w:r w:rsidR="001F5E1A" w:rsidRPr="001F5E1A">
          <w:rPr>
            <w:b w:val="0"/>
            <w:webHidden/>
          </w:rPr>
        </w:r>
        <w:r w:rsidR="001F5E1A" w:rsidRPr="001F5E1A">
          <w:rPr>
            <w:b w:val="0"/>
            <w:webHidden/>
          </w:rPr>
          <w:fldChar w:fldCharType="separate"/>
        </w:r>
        <w:r w:rsidR="00F54CC0">
          <w:rPr>
            <w:b w:val="0"/>
            <w:webHidden/>
          </w:rPr>
          <w:t>16</w:t>
        </w:r>
        <w:r w:rsidR="001F5E1A" w:rsidRPr="001F5E1A">
          <w:rPr>
            <w:b w:val="0"/>
            <w:webHidden/>
          </w:rPr>
          <w:fldChar w:fldCharType="end"/>
        </w:r>
      </w:hyperlink>
    </w:p>
    <w:p w:rsidR="001F5E1A" w:rsidRPr="001F5E1A" w:rsidRDefault="00B032A6" w:rsidP="001F5E1A">
      <w:pPr>
        <w:pStyle w:val="TableofFigures"/>
        <w:rPr>
          <w:rFonts w:asciiTheme="minorHAnsi" w:eastAsiaTheme="minorEastAsia" w:hAnsiTheme="minorHAnsi" w:cstheme="minorBidi"/>
          <w:b w:val="0"/>
          <w:sz w:val="22"/>
          <w:szCs w:val="22"/>
        </w:rPr>
      </w:pPr>
      <w:hyperlink w:anchor="_Toc43224483" w:history="1">
        <w:r w:rsidR="001F5E1A" w:rsidRPr="001F5E1A">
          <w:rPr>
            <w:rStyle w:val="Hyperlink"/>
            <w:b w:val="0"/>
          </w:rPr>
          <w:t>Figure 6</w:t>
        </w:r>
        <w:r w:rsidR="001F5E1A" w:rsidRPr="001F5E1A">
          <w:rPr>
            <w:rStyle w:val="Hyperlink"/>
            <w:b w:val="0"/>
          </w:rPr>
          <w:noBreakHyphen/>
          <w:t xml:space="preserve">6: </w:t>
        </w:r>
        <w:r w:rsidR="001F5E1A" w:rsidRPr="001F5E1A">
          <w:rPr>
            <w:rStyle w:val="Hyperlink"/>
            <w:b w:val="0"/>
          </w:rPr>
          <w:tab/>
          <w:t>Systemwide production costs ($ million).</w:t>
        </w:r>
        <w:r w:rsidR="001F5E1A" w:rsidRPr="001F5E1A">
          <w:rPr>
            <w:b w:val="0"/>
            <w:webHidden/>
          </w:rPr>
          <w:tab/>
        </w:r>
        <w:r w:rsidR="001F5E1A" w:rsidRPr="001F5E1A">
          <w:rPr>
            <w:b w:val="0"/>
            <w:webHidden/>
          </w:rPr>
          <w:fldChar w:fldCharType="begin"/>
        </w:r>
        <w:r w:rsidR="001F5E1A" w:rsidRPr="001F5E1A">
          <w:rPr>
            <w:b w:val="0"/>
            <w:webHidden/>
          </w:rPr>
          <w:instrText xml:space="preserve"> PAGEREF _Toc43224483 \h </w:instrText>
        </w:r>
        <w:r w:rsidR="001F5E1A" w:rsidRPr="001F5E1A">
          <w:rPr>
            <w:b w:val="0"/>
            <w:webHidden/>
          </w:rPr>
        </w:r>
        <w:r w:rsidR="001F5E1A" w:rsidRPr="001F5E1A">
          <w:rPr>
            <w:b w:val="0"/>
            <w:webHidden/>
          </w:rPr>
          <w:fldChar w:fldCharType="separate"/>
        </w:r>
        <w:r w:rsidR="00F54CC0">
          <w:rPr>
            <w:b w:val="0"/>
            <w:webHidden/>
          </w:rPr>
          <w:t>17</w:t>
        </w:r>
        <w:r w:rsidR="001F5E1A" w:rsidRPr="001F5E1A">
          <w:rPr>
            <w:b w:val="0"/>
            <w:webHidden/>
          </w:rPr>
          <w:fldChar w:fldCharType="end"/>
        </w:r>
      </w:hyperlink>
    </w:p>
    <w:p w:rsidR="001F5E1A" w:rsidRPr="001F5E1A" w:rsidRDefault="00B032A6" w:rsidP="001F5E1A">
      <w:pPr>
        <w:pStyle w:val="TableofFigures"/>
        <w:rPr>
          <w:rFonts w:asciiTheme="minorHAnsi" w:eastAsiaTheme="minorEastAsia" w:hAnsiTheme="minorHAnsi" w:cstheme="minorBidi"/>
          <w:b w:val="0"/>
          <w:sz w:val="22"/>
          <w:szCs w:val="22"/>
        </w:rPr>
      </w:pPr>
      <w:hyperlink w:anchor="_Toc43224484" w:history="1">
        <w:r w:rsidR="001F5E1A" w:rsidRPr="001F5E1A">
          <w:rPr>
            <w:rStyle w:val="Hyperlink"/>
            <w:b w:val="0"/>
          </w:rPr>
          <w:t>Figure 6</w:t>
        </w:r>
        <w:r w:rsidR="001F5E1A" w:rsidRPr="001F5E1A">
          <w:rPr>
            <w:rStyle w:val="Hyperlink"/>
            <w:b w:val="0"/>
          </w:rPr>
          <w:noBreakHyphen/>
          <w:t xml:space="preserve">7: </w:t>
        </w:r>
        <w:r w:rsidR="001F5E1A" w:rsidRPr="001F5E1A">
          <w:rPr>
            <w:rStyle w:val="Hyperlink"/>
            <w:b w:val="0"/>
          </w:rPr>
          <w:tab/>
          <w:t>Annual average LMPs by RSP subarea ($/MWh).</w:t>
        </w:r>
        <w:r w:rsidR="001F5E1A" w:rsidRPr="001F5E1A">
          <w:rPr>
            <w:b w:val="0"/>
            <w:webHidden/>
          </w:rPr>
          <w:tab/>
        </w:r>
        <w:r w:rsidR="001F5E1A" w:rsidRPr="001F5E1A">
          <w:rPr>
            <w:b w:val="0"/>
            <w:webHidden/>
          </w:rPr>
          <w:fldChar w:fldCharType="begin"/>
        </w:r>
        <w:r w:rsidR="001F5E1A" w:rsidRPr="001F5E1A">
          <w:rPr>
            <w:b w:val="0"/>
            <w:webHidden/>
          </w:rPr>
          <w:instrText xml:space="preserve"> PAGEREF _Toc43224484 \h </w:instrText>
        </w:r>
        <w:r w:rsidR="001F5E1A" w:rsidRPr="001F5E1A">
          <w:rPr>
            <w:b w:val="0"/>
            <w:webHidden/>
          </w:rPr>
        </w:r>
        <w:r w:rsidR="001F5E1A" w:rsidRPr="001F5E1A">
          <w:rPr>
            <w:b w:val="0"/>
            <w:webHidden/>
          </w:rPr>
          <w:fldChar w:fldCharType="separate"/>
        </w:r>
        <w:r w:rsidR="00F54CC0">
          <w:rPr>
            <w:b w:val="0"/>
            <w:webHidden/>
          </w:rPr>
          <w:t>19</w:t>
        </w:r>
        <w:r w:rsidR="001F5E1A" w:rsidRPr="001F5E1A">
          <w:rPr>
            <w:b w:val="0"/>
            <w:webHidden/>
          </w:rPr>
          <w:fldChar w:fldCharType="end"/>
        </w:r>
      </w:hyperlink>
    </w:p>
    <w:p w:rsidR="001F5E1A" w:rsidRPr="001F5E1A" w:rsidRDefault="00B032A6" w:rsidP="001F5E1A">
      <w:pPr>
        <w:pStyle w:val="TableofFigures"/>
        <w:rPr>
          <w:rFonts w:asciiTheme="minorHAnsi" w:eastAsiaTheme="minorEastAsia" w:hAnsiTheme="minorHAnsi" w:cstheme="minorBidi"/>
          <w:b w:val="0"/>
          <w:sz w:val="22"/>
          <w:szCs w:val="22"/>
        </w:rPr>
      </w:pPr>
      <w:hyperlink w:anchor="_Toc43224485" w:history="1">
        <w:r w:rsidR="001F5E1A" w:rsidRPr="001F5E1A">
          <w:rPr>
            <w:rStyle w:val="Hyperlink"/>
            <w:b w:val="0"/>
          </w:rPr>
          <w:t>Figure 6</w:t>
        </w:r>
        <w:r w:rsidR="001F5E1A" w:rsidRPr="001F5E1A">
          <w:rPr>
            <w:rStyle w:val="Hyperlink"/>
            <w:b w:val="0"/>
          </w:rPr>
          <w:noBreakHyphen/>
          <w:t xml:space="preserve">8: </w:t>
        </w:r>
        <w:r w:rsidR="001F5E1A" w:rsidRPr="001F5E1A">
          <w:rPr>
            <w:rStyle w:val="Hyperlink"/>
            <w:b w:val="0"/>
          </w:rPr>
          <w:tab/>
          <w:t>Congestion by interface ($ million).</w:t>
        </w:r>
        <w:r w:rsidR="001F5E1A" w:rsidRPr="001F5E1A">
          <w:rPr>
            <w:b w:val="0"/>
            <w:webHidden/>
          </w:rPr>
          <w:tab/>
        </w:r>
        <w:r w:rsidR="001F5E1A" w:rsidRPr="001F5E1A">
          <w:rPr>
            <w:b w:val="0"/>
            <w:webHidden/>
          </w:rPr>
          <w:fldChar w:fldCharType="begin"/>
        </w:r>
        <w:r w:rsidR="001F5E1A" w:rsidRPr="001F5E1A">
          <w:rPr>
            <w:b w:val="0"/>
            <w:webHidden/>
          </w:rPr>
          <w:instrText xml:space="preserve"> PAGEREF _Toc43224485 \h </w:instrText>
        </w:r>
        <w:r w:rsidR="001F5E1A" w:rsidRPr="001F5E1A">
          <w:rPr>
            <w:b w:val="0"/>
            <w:webHidden/>
          </w:rPr>
        </w:r>
        <w:r w:rsidR="001F5E1A" w:rsidRPr="001F5E1A">
          <w:rPr>
            <w:b w:val="0"/>
            <w:webHidden/>
          </w:rPr>
          <w:fldChar w:fldCharType="separate"/>
        </w:r>
        <w:r w:rsidR="00F54CC0">
          <w:rPr>
            <w:b w:val="0"/>
            <w:webHidden/>
          </w:rPr>
          <w:t>20</w:t>
        </w:r>
        <w:r w:rsidR="001F5E1A" w:rsidRPr="001F5E1A">
          <w:rPr>
            <w:b w:val="0"/>
            <w:webHidden/>
          </w:rPr>
          <w:fldChar w:fldCharType="end"/>
        </w:r>
      </w:hyperlink>
    </w:p>
    <w:p w:rsidR="001F5E1A" w:rsidRPr="001F5E1A" w:rsidRDefault="00B032A6" w:rsidP="001F5E1A">
      <w:pPr>
        <w:pStyle w:val="TableofFigures"/>
        <w:rPr>
          <w:rFonts w:asciiTheme="minorHAnsi" w:eastAsiaTheme="minorEastAsia" w:hAnsiTheme="minorHAnsi" w:cstheme="minorBidi"/>
          <w:b w:val="0"/>
          <w:sz w:val="22"/>
          <w:szCs w:val="22"/>
        </w:rPr>
      </w:pPr>
      <w:hyperlink w:anchor="_Toc43224486" w:history="1">
        <w:r w:rsidR="001F5E1A" w:rsidRPr="001F5E1A">
          <w:rPr>
            <w:rStyle w:val="Hyperlink"/>
            <w:b w:val="0"/>
          </w:rPr>
          <w:t>Figure 6</w:t>
        </w:r>
        <w:r w:rsidR="001F5E1A" w:rsidRPr="001F5E1A">
          <w:rPr>
            <w:rStyle w:val="Hyperlink"/>
            <w:b w:val="0"/>
          </w:rPr>
          <w:noBreakHyphen/>
          <w:t xml:space="preserve">9: </w:t>
        </w:r>
        <w:r w:rsidR="001F5E1A" w:rsidRPr="001F5E1A">
          <w:rPr>
            <w:rStyle w:val="Hyperlink"/>
            <w:b w:val="0"/>
          </w:rPr>
          <w:tab/>
          <w:t>Native New England resource CO</w:t>
        </w:r>
        <w:r w:rsidR="001F5E1A" w:rsidRPr="001F5E1A">
          <w:rPr>
            <w:rStyle w:val="Hyperlink"/>
            <w:b w:val="0"/>
            <w:vertAlign w:val="subscript"/>
          </w:rPr>
          <w:t>2</w:t>
        </w:r>
        <w:r w:rsidR="001F5E1A" w:rsidRPr="001F5E1A">
          <w:rPr>
            <w:rStyle w:val="Hyperlink"/>
            <w:b w:val="0"/>
          </w:rPr>
          <w:t xml:space="preserve"> emissions (millions of short tons).</w:t>
        </w:r>
        <w:r w:rsidR="001F5E1A" w:rsidRPr="001F5E1A">
          <w:rPr>
            <w:b w:val="0"/>
            <w:webHidden/>
          </w:rPr>
          <w:tab/>
        </w:r>
        <w:r w:rsidR="001F5E1A" w:rsidRPr="001F5E1A">
          <w:rPr>
            <w:b w:val="0"/>
            <w:webHidden/>
          </w:rPr>
          <w:fldChar w:fldCharType="begin"/>
        </w:r>
        <w:r w:rsidR="001F5E1A" w:rsidRPr="001F5E1A">
          <w:rPr>
            <w:b w:val="0"/>
            <w:webHidden/>
          </w:rPr>
          <w:instrText xml:space="preserve"> PAGEREF _Toc43224486 \h </w:instrText>
        </w:r>
        <w:r w:rsidR="001F5E1A" w:rsidRPr="001F5E1A">
          <w:rPr>
            <w:b w:val="0"/>
            <w:webHidden/>
          </w:rPr>
        </w:r>
        <w:r w:rsidR="001F5E1A" w:rsidRPr="001F5E1A">
          <w:rPr>
            <w:b w:val="0"/>
            <w:webHidden/>
          </w:rPr>
          <w:fldChar w:fldCharType="separate"/>
        </w:r>
        <w:r w:rsidR="00F54CC0">
          <w:rPr>
            <w:b w:val="0"/>
            <w:webHidden/>
          </w:rPr>
          <w:t>21</w:t>
        </w:r>
        <w:r w:rsidR="001F5E1A" w:rsidRPr="001F5E1A">
          <w:rPr>
            <w:b w:val="0"/>
            <w:webHidden/>
          </w:rPr>
          <w:fldChar w:fldCharType="end"/>
        </w:r>
      </w:hyperlink>
    </w:p>
    <w:p w:rsidR="001F5E1A" w:rsidRPr="001F5E1A" w:rsidRDefault="00B032A6" w:rsidP="001F5E1A">
      <w:pPr>
        <w:pStyle w:val="TableofFigures"/>
        <w:rPr>
          <w:rFonts w:asciiTheme="minorHAnsi" w:eastAsiaTheme="minorEastAsia" w:hAnsiTheme="minorHAnsi" w:cstheme="minorBidi"/>
          <w:b w:val="0"/>
          <w:sz w:val="22"/>
          <w:szCs w:val="22"/>
        </w:rPr>
      </w:pPr>
      <w:hyperlink w:anchor="_Toc43224487" w:history="1">
        <w:r w:rsidR="001F5E1A" w:rsidRPr="001F5E1A">
          <w:rPr>
            <w:rStyle w:val="Hyperlink"/>
            <w:b w:val="0"/>
          </w:rPr>
          <w:t>Figure 6</w:t>
        </w:r>
        <w:r w:rsidR="001F5E1A" w:rsidRPr="001F5E1A">
          <w:rPr>
            <w:rStyle w:val="Hyperlink"/>
            <w:b w:val="0"/>
          </w:rPr>
          <w:noBreakHyphen/>
          <w:t xml:space="preserve">10: </w:t>
        </w:r>
        <w:r w:rsidR="001F5E1A" w:rsidRPr="001F5E1A">
          <w:rPr>
            <w:rStyle w:val="Hyperlink"/>
            <w:b w:val="0"/>
          </w:rPr>
          <w:tab/>
          <w:t>Native New England resource CO</w:t>
        </w:r>
        <w:r w:rsidR="001F5E1A" w:rsidRPr="001F5E1A">
          <w:rPr>
            <w:rStyle w:val="Hyperlink"/>
            <w:b w:val="0"/>
            <w:vertAlign w:val="subscript"/>
          </w:rPr>
          <w:t>2</w:t>
        </w:r>
        <w:r w:rsidR="001F5E1A" w:rsidRPr="001F5E1A">
          <w:rPr>
            <w:rStyle w:val="Hyperlink"/>
            <w:b w:val="0"/>
          </w:rPr>
          <w:t xml:space="preserve"> emissions (millions of short tons)</w:t>
        </w:r>
        <w:r w:rsidR="001F5E1A" w:rsidRPr="001F5E1A">
          <w:rPr>
            <w:rStyle w:val="Hyperlink"/>
            <w:b w:val="0"/>
          </w:rPr>
          <w:br/>
          <w:t>by month for the 8000_1 scenarios.</w:t>
        </w:r>
        <w:r w:rsidR="001F5E1A" w:rsidRPr="001F5E1A">
          <w:rPr>
            <w:b w:val="0"/>
            <w:webHidden/>
          </w:rPr>
          <w:tab/>
        </w:r>
        <w:r w:rsidR="001F5E1A" w:rsidRPr="001F5E1A">
          <w:rPr>
            <w:b w:val="0"/>
            <w:webHidden/>
          </w:rPr>
          <w:fldChar w:fldCharType="begin"/>
        </w:r>
        <w:r w:rsidR="001F5E1A" w:rsidRPr="001F5E1A">
          <w:rPr>
            <w:b w:val="0"/>
            <w:webHidden/>
          </w:rPr>
          <w:instrText xml:space="preserve"> PAGEREF _Toc43224487 \h </w:instrText>
        </w:r>
        <w:r w:rsidR="001F5E1A" w:rsidRPr="001F5E1A">
          <w:rPr>
            <w:b w:val="0"/>
            <w:webHidden/>
          </w:rPr>
        </w:r>
        <w:r w:rsidR="001F5E1A" w:rsidRPr="001F5E1A">
          <w:rPr>
            <w:b w:val="0"/>
            <w:webHidden/>
          </w:rPr>
          <w:fldChar w:fldCharType="separate"/>
        </w:r>
        <w:r w:rsidR="00F54CC0">
          <w:rPr>
            <w:b w:val="0"/>
            <w:webHidden/>
          </w:rPr>
          <w:t>21</w:t>
        </w:r>
        <w:r w:rsidR="001F5E1A" w:rsidRPr="001F5E1A">
          <w:rPr>
            <w:b w:val="0"/>
            <w:webHidden/>
          </w:rPr>
          <w:fldChar w:fldCharType="end"/>
        </w:r>
      </w:hyperlink>
    </w:p>
    <w:p w:rsidR="001F5E1A" w:rsidRPr="001F5E1A" w:rsidRDefault="00B032A6" w:rsidP="001F5E1A">
      <w:pPr>
        <w:pStyle w:val="TableofFigures"/>
        <w:rPr>
          <w:rFonts w:asciiTheme="minorHAnsi" w:eastAsiaTheme="minorEastAsia" w:hAnsiTheme="minorHAnsi" w:cstheme="minorBidi"/>
          <w:b w:val="0"/>
          <w:sz w:val="22"/>
          <w:szCs w:val="22"/>
        </w:rPr>
      </w:pPr>
      <w:hyperlink w:anchor="_Toc43224488" w:history="1">
        <w:r w:rsidR="001F5E1A" w:rsidRPr="001F5E1A">
          <w:rPr>
            <w:rStyle w:val="Hyperlink"/>
            <w:b w:val="0"/>
          </w:rPr>
          <w:t>Figure 6</w:t>
        </w:r>
        <w:r w:rsidR="001F5E1A" w:rsidRPr="001F5E1A">
          <w:rPr>
            <w:rStyle w:val="Hyperlink"/>
            <w:b w:val="0"/>
          </w:rPr>
          <w:noBreakHyphen/>
          <w:t xml:space="preserve">11: </w:t>
        </w:r>
        <w:r w:rsidR="001F5E1A" w:rsidRPr="001F5E1A">
          <w:rPr>
            <w:rStyle w:val="Hyperlink"/>
            <w:b w:val="0"/>
          </w:rPr>
          <w:tab/>
          <w:t>Comparison of select 2016 Economic Study Phase II scenarios</w:t>
        </w:r>
        <w:r w:rsidR="001F5E1A" w:rsidRPr="001F5E1A">
          <w:rPr>
            <w:rStyle w:val="Hyperlink"/>
            <w:b w:val="0"/>
          </w:rPr>
          <w:br/>
          <w:t>with NESCOE 8,000 MW scenarios.</w:t>
        </w:r>
        <w:r w:rsidR="001F5E1A" w:rsidRPr="001F5E1A">
          <w:rPr>
            <w:b w:val="0"/>
            <w:webHidden/>
          </w:rPr>
          <w:tab/>
        </w:r>
        <w:r w:rsidR="001F5E1A" w:rsidRPr="001F5E1A">
          <w:rPr>
            <w:b w:val="0"/>
            <w:webHidden/>
          </w:rPr>
          <w:fldChar w:fldCharType="begin"/>
        </w:r>
        <w:r w:rsidR="001F5E1A" w:rsidRPr="001F5E1A">
          <w:rPr>
            <w:b w:val="0"/>
            <w:webHidden/>
          </w:rPr>
          <w:instrText xml:space="preserve"> PAGEREF _Toc43224488 \h </w:instrText>
        </w:r>
        <w:r w:rsidR="001F5E1A" w:rsidRPr="001F5E1A">
          <w:rPr>
            <w:b w:val="0"/>
            <w:webHidden/>
          </w:rPr>
        </w:r>
        <w:r w:rsidR="001F5E1A" w:rsidRPr="001F5E1A">
          <w:rPr>
            <w:b w:val="0"/>
            <w:webHidden/>
          </w:rPr>
          <w:fldChar w:fldCharType="separate"/>
        </w:r>
        <w:r w:rsidR="00F54CC0">
          <w:rPr>
            <w:b w:val="0"/>
            <w:webHidden/>
          </w:rPr>
          <w:t>23</w:t>
        </w:r>
        <w:r w:rsidR="001F5E1A" w:rsidRPr="001F5E1A">
          <w:rPr>
            <w:b w:val="0"/>
            <w:webHidden/>
          </w:rPr>
          <w:fldChar w:fldCharType="end"/>
        </w:r>
      </w:hyperlink>
    </w:p>
    <w:p w:rsidR="001F5E1A" w:rsidRPr="001F5E1A" w:rsidRDefault="00B032A6" w:rsidP="001F5E1A">
      <w:pPr>
        <w:pStyle w:val="TableofFigures"/>
        <w:rPr>
          <w:rFonts w:asciiTheme="minorHAnsi" w:eastAsiaTheme="minorEastAsia" w:hAnsiTheme="minorHAnsi" w:cstheme="minorBidi"/>
          <w:b w:val="0"/>
          <w:sz w:val="22"/>
          <w:szCs w:val="22"/>
        </w:rPr>
      </w:pPr>
      <w:hyperlink w:anchor="_Toc43224489" w:history="1">
        <w:r w:rsidR="001F5E1A" w:rsidRPr="001F5E1A">
          <w:rPr>
            <w:rStyle w:val="Hyperlink"/>
            <w:b w:val="0"/>
          </w:rPr>
          <w:t>Figure 6</w:t>
        </w:r>
        <w:r w:rsidR="001F5E1A" w:rsidRPr="001F5E1A">
          <w:rPr>
            <w:rStyle w:val="Hyperlink"/>
            <w:b w:val="0"/>
          </w:rPr>
          <w:noBreakHyphen/>
          <w:t xml:space="preserve">12: </w:t>
        </w:r>
        <w:r w:rsidR="001F5E1A" w:rsidRPr="001F5E1A">
          <w:rPr>
            <w:rStyle w:val="Hyperlink"/>
            <w:b w:val="0"/>
          </w:rPr>
          <w:tab/>
          <w:t>CO</w:t>
        </w:r>
        <w:r w:rsidR="001F5E1A" w:rsidRPr="001F5E1A">
          <w:rPr>
            <w:rStyle w:val="Hyperlink"/>
            <w:b w:val="0"/>
            <w:vertAlign w:val="subscript"/>
          </w:rPr>
          <w:t>2</w:t>
        </w:r>
        <w:r w:rsidR="001F5E1A" w:rsidRPr="001F5E1A">
          <w:rPr>
            <w:rStyle w:val="Hyperlink"/>
            <w:b w:val="0"/>
          </w:rPr>
          <w:t xml:space="preserve"> emission rates for the two marginal emissions analyses.</w:t>
        </w:r>
        <w:r w:rsidR="001F5E1A" w:rsidRPr="001F5E1A">
          <w:rPr>
            <w:b w:val="0"/>
            <w:webHidden/>
          </w:rPr>
          <w:tab/>
        </w:r>
        <w:r w:rsidR="001F5E1A" w:rsidRPr="001F5E1A">
          <w:rPr>
            <w:b w:val="0"/>
            <w:webHidden/>
          </w:rPr>
          <w:fldChar w:fldCharType="begin"/>
        </w:r>
        <w:r w:rsidR="001F5E1A" w:rsidRPr="001F5E1A">
          <w:rPr>
            <w:b w:val="0"/>
            <w:webHidden/>
          </w:rPr>
          <w:instrText xml:space="preserve"> PAGEREF _Toc43224489 \h </w:instrText>
        </w:r>
        <w:r w:rsidR="001F5E1A" w:rsidRPr="001F5E1A">
          <w:rPr>
            <w:b w:val="0"/>
            <w:webHidden/>
          </w:rPr>
        </w:r>
        <w:r w:rsidR="001F5E1A" w:rsidRPr="001F5E1A">
          <w:rPr>
            <w:b w:val="0"/>
            <w:webHidden/>
          </w:rPr>
          <w:fldChar w:fldCharType="separate"/>
        </w:r>
        <w:r w:rsidR="00F54CC0">
          <w:rPr>
            <w:b w:val="0"/>
            <w:webHidden/>
          </w:rPr>
          <w:t>26</w:t>
        </w:r>
        <w:r w:rsidR="001F5E1A" w:rsidRPr="001F5E1A">
          <w:rPr>
            <w:b w:val="0"/>
            <w:webHidden/>
          </w:rPr>
          <w:fldChar w:fldCharType="end"/>
        </w:r>
      </w:hyperlink>
    </w:p>
    <w:p w:rsidR="001F5E1A" w:rsidRPr="001F5E1A" w:rsidRDefault="00B032A6" w:rsidP="001F5E1A">
      <w:pPr>
        <w:pStyle w:val="TableofFigures"/>
        <w:rPr>
          <w:rFonts w:asciiTheme="minorHAnsi" w:eastAsiaTheme="minorEastAsia" w:hAnsiTheme="minorHAnsi" w:cstheme="minorBidi"/>
          <w:b w:val="0"/>
          <w:sz w:val="22"/>
          <w:szCs w:val="22"/>
        </w:rPr>
      </w:pPr>
      <w:hyperlink w:anchor="_Toc43224490" w:history="1">
        <w:r w:rsidR="001F5E1A" w:rsidRPr="001F5E1A">
          <w:rPr>
            <w:rStyle w:val="Hyperlink"/>
            <w:b w:val="0"/>
          </w:rPr>
          <w:t>Figure 6</w:t>
        </w:r>
        <w:r w:rsidR="001F5E1A" w:rsidRPr="001F5E1A">
          <w:rPr>
            <w:rStyle w:val="Hyperlink"/>
            <w:b w:val="0"/>
          </w:rPr>
          <w:noBreakHyphen/>
          <w:t xml:space="preserve">13: </w:t>
        </w:r>
        <w:r w:rsidR="001F5E1A" w:rsidRPr="001F5E1A">
          <w:rPr>
            <w:rStyle w:val="Hyperlink"/>
            <w:b w:val="0"/>
          </w:rPr>
          <w:tab/>
          <w:t>Anticipated injection capabilities without major transmission reinforcements.</w:t>
        </w:r>
        <w:r w:rsidR="001F5E1A" w:rsidRPr="001F5E1A">
          <w:rPr>
            <w:b w:val="0"/>
            <w:webHidden/>
          </w:rPr>
          <w:tab/>
        </w:r>
        <w:r w:rsidR="001F5E1A" w:rsidRPr="001F5E1A">
          <w:rPr>
            <w:b w:val="0"/>
            <w:webHidden/>
          </w:rPr>
          <w:fldChar w:fldCharType="begin"/>
        </w:r>
        <w:r w:rsidR="001F5E1A" w:rsidRPr="001F5E1A">
          <w:rPr>
            <w:b w:val="0"/>
            <w:webHidden/>
          </w:rPr>
          <w:instrText xml:space="preserve"> PAGEREF _Toc43224490 \h </w:instrText>
        </w:r>
        <w:r w:rsidR="001F5E1A" w:rsidRPr="001F5E1A">
          <w:rPr>
            <w:b w:val="0"/>
            <w:webHidden/>
          </w:rPr>
        </w:r>
        <w:r w:rsidR="001F5E1A" w:rsidRPr="001F5E1A">
          <w:rPr>
            <w:b w:val="0"/>
            <w:webHidden/>
          </w:rPr>
          <w:fldChar w:fldCharType="separate"/>
        </w:r>
        <w:r w:rsidR="00F54CC0">
          <w:rPr>
            <w:b w:val="0"/>
            <w:webHidden/>
          </w:rPr>
          <w:t>27</w:t>
        </w:r>
        <w:r w:rsidR="001F5E1A" w:rsidRPr="001F5E1A">
          <w:rPr>
            <w:b w:val="0"/>
            <w:webHidden/>
          </w:rPr>
          <w:fldChar w:fldCharType="end"/>
        </w:r>
      </w:hyperlink>
    </w:p>
    <w:p w:rsidR="001F5E1A" w:rsidRPr="001F5E1A" w:rsidRDefault="00B032A6" w:rsidP="001F5E1A">
      <w:pPr>
        <w:pStyle w:val="TableofFigures"/>
        <w:rPr>
          <w:rFonts w:asciiTheme="minorHAnsi" w:eastAsiaTheme="minorEastAsia" w:hAnsiTheme="minorHAnsi" w:cstheme="minorBidi"/>
          <w:b w:val="0"/>
          <w:sz w:val="22"/>
          <w:szCs w:val="22"/>
        </w:rPr>
      </w:pPr>
      <w:hyperlink w:anchor="_Toc43224491" w:history="1">
        <w:r w:rsidR="001F5E1A" w:rsidRPr="001F5E1A">
          <w:rPr>
            <w:rStyle w:val="Hyperlink"/>
            <w:b w:val="0"/>
          </w:rPr>
          <w:t>Figure 6</w:t>
        </w:r>
        <w:r w:rsidR="001F5E1A" w:rsidRPr="001F5E1A">
          <w:rPr>
            <w:rStyle w:val="Hyperlink"/>
            <w:b w:val="0"/>
          </w:rPr>
          <w:noBreakHyphen/>
          <w:t xml:space="preserve">14: </w:t>
        </w:r>
        <w:r w:rsidR="001F5E1A" w:rsidRPr="001F5E1A">
          <w:rPr>
            <w:rStyle w:val="Hyperlink"/>
            <w:b w:val="0"/>
          </w:rPr>
          <w:tab/>
          <w:t>Likely significant reinforcements for additional injections.</w:t>
        </w:r>
        <w:r w:rsidR="001F5E1A" w:rsidRPr="001F5E1A">
          <w:rPr>
            <w:b w:val="0"/>
            <w:webHidden/>
          </w:rPr>
          <w:tab/>
        </w:r>
        <w:r w:rsidR="001F5E1A" w:rsidRPr="001F5E1A">
          <w:rPr>
            <w:b w:val="0"/>
            <w:webHidden/>
          </w:rPr>
          <w:fldChar w:fldCharType="begin"/>
        </w:r>
        <w:r w:rsidR="001F5E1A" w:rsidRPr="001F5E1A">
          <w:rPr>
            <w:b w:val="0"/>
            <w:webHidden/>
          </w:rPr>
          <w:instrText xml:space="preserve"> PAGEREF _Toc43224491 \h </w:instrText>
        </w:r>
        <w:r w:rsidR="001F5E1A" w:rsidRPr="001F5E1A">
          <w:rPr>
            <w:b w:val="0"/>
            <w:webHidden/>
          </w:rPr>
        </w:r>
        <w:r w:rsidR="001F5E1A" w:rsidRPr="001F5E1A">
          <w:rPr>
            <w:b w:val="0"/>
            <w:webHidden/>
          </w:rPr>
          <w:fldChar w:fldCharType="separate"/>
        </w:r>
        <w:r w:rsidR="00F54CC0">
          <w:rPr>
            <w:b w:val="0"/>
            <w:webHidden/>
          </w:rPr>
          <w:t>28</w:t>
        </w:r>
        <w:r w:rsidR="001F5E1A" w:rsidRPr="001F5E1A">
          <w:rPr>
            <w:b w:val="0"/>
            <w:webHidden/>
          </w:rPr>
          <w:fldChar w:fldCharType="end"/>
        </w:r>
      </w:hyperlink>
    </w:p>
    <w:p w:rsidR="001F5E1A" w:rsidRPr="001F5E1A" w:rsidRDefault="00B032A6" w:rsidP="001F5E1A">
      <w:pPr>
        <w:pStyle w:val="TableofFigures"/>
        <w:rPr>
          <w:rFonts w:asciiTheme="minorHAnsi" w:eastAsiaTheme="minorEastAsia" w:hAnsiTheme="minorHAnsi" w:cstheme="minorBidi"/>
          <w:b w:val="0"/>
          <w:sz w:val="22"/>
          <w:szCs w:val="22"/>
        </w:rPr>
      </w:pPr>
      <w:hyperlink w:anchor="_Toc43224492" w:history="1">
        <w:r w:rsidR="001F5E1A" w:rsidRPr="001F5E1A">
          <w:rPr>
            <w:rStyle w:val="Hyperlink"/>
            <w:b w:val="0"/>
          </w:rPr>
          <w:t>Figure 6</w:t>
        </w:r>
        <w:r w:rsidR="001F5E1A" w:rsidRPr="001F5E1A">
          <w:rPr>
            <w:rStyle w:val="Hyperlink"/>
            <w:b w:val="0"/>
          </w:rPr>
          <w:noBreakHyphen/>
          <w:t xml:space="preserve">15: </w:t>
        </w:r>
        <w:r w:rsidR="001F5E1A" w:rsidRPr="001F5E1A">
          <w:rPr>
            <w:rStyle w:val="Hyperlink"/>
            <w:b w:val="0"/>
          </w:rPr>
          <w:tab/>
          <w:t>Potential transmission solution for the Cape Cod area.</w:t>
        </w:r>
        <w:r w:rsidR="001F5E1A" w:rsidRPr="001F5E1A">
          <w:rPr>
            <w:b w:val="0"/>
            <w:webHidden/>
          </w:rPr>
          <w:tab/>
        </w:r>
        <w:r w:rsidR="001F5E1A" w:rsidRPr="001F5E1A">
          <w:rPr>
            <w:b w:val="0"/>
            <w:webHidden/>
          </w:rPr>
          <w:fldChar w:fldCharType="begin"/>
        </w:r>
        <w:r w:rsidR="001F5E1A" w:rsidRPr="001F5E1A">
          <w:rPr>
            <w:b w:val="0"/>
            <w:webHidden/>
          </w:rPr>
          <w:instrText xml:space="preserve"> PAGEREF _Toc43224492 \h </w:instrText>
        </w:r>
        <w:r w:rsidR="001F5E1A" w:rsidRPr="001F5E1A">
          <w:rPr>
            <w:b w:val="0"/>
            <w:webHidden/>
          </w:rPr>
        </w:r>
        <w:r w:rsidR="001F5E1A" w:rsidRPr="001F5E1A">
          <w:rPr>
            <w:b w:val="0"/>
            <w:webHidden/>
          </w:rPr>
          <w:fldChar w:fldCharType="separate"/>
        </w:r>
        <w:r w:rsidR="00F54CC0">
          <w:rPr>
            <w:b w:val="0"/>
            <w:webHidden/>
          </w:rPr>
          <w:t>29</w:t>
        </w:r>
        <w:r w:rsidR="001F5E1A" w:rsidRPr="001F5E1A">
          <w:rPr>
            <w:b w:val="0"/>
            <w:webHidden/>
          </w:rPr>
          <w:fldChar w:fldCharType="end"/>
        </w:r>
      </w:hyperlink>
    </w:p>
    <w:p w:rsidR="001F5E1A" w:rsidRPr="001F5E1A" w:rsidRDefault="00B032A6" w:rsidP="001F5E1A">
      <w:pPr>
        <w:pStyle w:val="TableofFigures"/>
        <w:rPr>
          <w:rFonts w:asciiTheme="minorHAnsi" w:eastAsiaTheme="minorEastAsia" w:hAnsiTheme="minorHAnsi" w:cstheme="minorBidi"/>
          <w:b w:val="0"/>
          <w:sz w:val="22"/>
          <w:szCs w:val="22"/>
        </w:rPr>
      </w:pPr>
      <w:hyperlink w:anchor="_Toc43224493" w:history="1">
        <w:r w:rsidR="001F5E1A" w:rsidRPr="001F5E1A">
          <w:rPr>
            <w:rStyle w:val="Hyperlink"/>
            <w:b w:val="0"/>
          </w:rPr>
          <w:t>Figure 6</w:t>
        </w:r>
        <w:r w:rsidR="001F5E1A" w:rsidRPr="001F5E1A">
          <w:rPr>
            <w:rStyle w:val="Hyperlink"/>
            <w:b w:val="0"/>
          </w:rPr>
          <w:noBreakHyphen/>
          <w:t xml:space="preserve">16: </w:t>
        </w:r>
        <w:r w:rsidR="001F5E1A" w:rsidRPr="001F5E1A">
          <w:rPr>
            <w:rStyle w:val="Hyperlink"/>
            <w:b w:val="0"/>
          </w:rPr>
          <w:tab/>
          <w:t>Potential transmission solution for the Brayton Point area.</w:t>
        </w:r>
        <w:r w:rsidR="001F5E1A" w:rsidRPr="001F5E1A">
          <w:rPr>
            <w:b w:val="0"/>
            <w:webHidden/>
          </w:rPr>
          <w:tab/>
        </w:r>
        <w:r w:rsidR="001F5E1A" w:rsidRPr="001F5E1A">
          <w:rPr>
            <w:b w:val="0"/>
            <w:webHidden/>
          </w:rPr>
          <w:fldChar w:fldCharType="begin"/>
        </w:r>
        <w:r w:rsidR="001F5E1A" w:rsidRPr="001F5E1A">
          <w:rPr>
            <w:b w:val="0"/>
            <w:webHidden/>
          </w:rPr>
          <w:instrText xml:space="preserve"> PAGEREF _Toc43224493 \h </w:instrText>
        </w:r>
        <w:r w:rsidR="001F5E1A" w:rsidRPr="001F5E1A">
          <w:rPr>
            <w:b w:val="0"/>
            <w:webHidden/>
          </w:rPr>
        </w:r>
        <w:r w:rsidR="001F5E1A" w:rsidRPr="001F5E1A">
          <w:rPr>
            <w:b w:val="0"/>
            <w:webHidden/>
          </w:rPr>
          <w:fldChar w:fldCharType="separate"/>
        </w:r>
        <w:r w:rsidR="00F54CC0">
          <w:rPr>
            <w:b w:val="0"/>
            <w:webHidden/>
          </w:rPr>
          <w:t>30</w:t>
        </w:r>
        <w:r w:rsidR="001F5E1A" w:rsidRPr="001F5E1A">
          <w:rPr>
            <w:b w:val="0"/>
            <w:webHidden/>
          </w:rPr>
          <w:fldChar w:fldCharType="end"/>
        </w:r>
      </w:hyperlink>
    </w:p>
    <w:p w:rsidR="001F5E1A" w:rsidRPr="001F5E1A" w:rsidRDefault="00B032A6" w:rsidP="001F5E1A">
      <w:pPr>
        <w:pStyle w:val="TableofFigures"/>
        <w:rPr>
          <w:rFonts w:asciiTheme="minorHAnsi" w:eastAsiaTheme="minorEastAsia" w:hAnsiTheme="minorHAnsi" w:cstheme="minorBidi"/>
          <w:b w:val="0"/>
          <w:sz w:val="22"/>
          <w:szCs w:val="22"/>
        </w:rPr>
      </w:pPr>
      <w:hyperlink w:anchor="_Toc43224494" w:history="1">
        <w:r w:rsidR="001F5E1A" w:rsidRPr="001F5E1A">
          <w:rPr>
            <w:rStyle w:val="Hyperlink"/>
            <w:b w:val="0"/>
          </w:rPr>
          <w:t>Figure 6</w:t>
        </w:r>
        <w:r w:rsidR="001F5E1A" w:rsidRPr="001F5E1A">
          <w:rPr>
            <w:rStyle w:val="Hyperlink"/>
            <w:b w:val="0"/>
          </w:rPr>
          <w:noBreakHyphen/>
          <w:t xml:space="preserve">17: </w:t>
        </w:r>
        <w:r w:rsidR="001F5E1A" w:rsidRPr="001F5E1A">
          <w:rPr>
            <w:rStyle w:val="Hyperlink"/>
            <w:b w:val="0"/>
          </w:rPr>
          <w:tab/>
          <w:t>Montville area overloads.</w:t>
        </w:r>
        <w:r w:rsidR="001F5E1A" w:rsidRPr="001F5E1A">
          <w:rPr>
            <w:b w:val="0"/>
            <w:webHidden/>
          </w:rPr>
          <w:tab/>
        </w:r>
        <w:r w:rsidR="001F5E1A" w:rsidRPr="001F5E1A">
          <w:rPr>
            <w:b w:val="0"/>
            <w:webHidden/>
          </w:rPr>
          <w:fldChar w:fldCharType="begin"/>
        </w:r>
        <w:r w:rsidR="001F5E1A" w:rsidRPr="001F5E1A">
          <w:rPr>
            <w:b w:val="0"/>
            <w:webHidden/>
          </w:rPr>
          <w:instrText xml:space="preserve"> PAGEREF _Toc43224494 \h </w:instrText>
        </w:r>
        <w:r w:rsidR="001F5E1A" w:rsidRPr="001F5E1A">
          <w:rPr>
            <w:b w:val="0"/>
            <w:webHidden/>
          </w:rPr>
        </w:r>
        <w:r w:rsidR="001F5E1A" w:rsidRPr="001F5E1A">
          <w:rPr>
            <w:b w:val="0"/>
            <w:webHidden/>
          </w:rPr>
          <w:fldChar w:fldCharType="separate"/>
        </w:r>
        <w:r w:rsidR="00F54CC0">
          <w:rPr>
            <w:b w:val="0"/>
            <w:webHidden/>
          </w:rPr>
          <w:t>31</w:t>
        </w:r>
        <w:r w:rsidR="001F5E1A" w:rsidRPr="001F5E1A">
          <w:rPr>
            <w:b w:val="0"/>
            <w:webHidden/>
          </w:rPr>
          <w:fldChar w:fldCharType="end"/>
        </w:r>
      </w:hyperlink>
    </w:p>
    <w:p w:rsidR="001F5E1A" w:rsidRPr="001F5E1A" w:rsidRDefault="00B032A6" w:rsidP="001F5E1A">
      <w:pPr>
        <w:pStyle w:val="TableofFigures"/>
        <w:rPr>
          <w:rFonts w:asciiTheme="minorHAnsi" w:eastAsiaTheme="minorEastAsia" w:hAnsiTheme="minorHAnsi" w:cstheme="minorBidi"/>
          <w:b w:val="0"/>
          <w:sz w:val="22"/>
          <w:szCs w:val="22"/>
        </w:rPr>
      </w:pPr>
      <w:hyperlink w:anchor="_Toc43224495" w:history="1">
        <w:r w:rsidR="001F5E1A" w:rsidRPr="001F5E1A">
          <w:rPr>
            <w:rStyle w:val="Hyperlink"/>
            <w:b w:val="0"/>
          </w:rPr>
          <w:t>Figure 6</w:t>
        </w:r>
        <w:r w:rsidR="001F5E1A" w:rsidRPr="001F5E1A">
          <w:rPr>
            <w:rStyle w:val="Hyperlink"/>
            <w:b w:val="0"/>
          </w:rPr>
          <w:noBreakHyphen/>
          <w:t xml:space="preserve">18: </w:t>
        </w:r>
        <w:r w:rsidR="001F5E1A" w:rsidRPr="001F5E1A">
          <w:rPr>
            <w:rStyle w:val="Hyperlink"/>
            <w:b w:val="0"/>
          </w:rPr>
          <w:tab/>
          <w:t>Kent County area overloads.</w:t>
        </w:r>
        <w:r w:rsidR="001F5E1A" w:rsidRPr="001F5E1A">
          <w:rPr>
            <w:b w:val="0"/>
            <w:webHidden/>
          </w:rPr>
          <w:tab/>
        </w:r>
        <w:r w:rsidR="001F5E1A" w:rsidRPr="001F5E1A">
          <w:rPr>
            <w:b w:val="0"/>
            <w:webHidden/>
          </w:rPr>
          <w:fldChar w:fldCharType="begin"/>
        </w:r>
        <w:r w:rsidR="001F5E1A" w:rsidRPr="001F5E1A">
          <w:rPr>
            <w:b w:val="0"/>
            <w:webHidden/>
          </w:rPr>
          <w:instrText xml:space="preserve"> PAGEREF _Toc43224495 \h </w:instrText>
        </w:r>
        <w:r w:rsidR="001F5E1A" w:rsidRPr="001F5E1A">
          <w:rPr>
            <w:b w:val="0"/>
            <w:webHidden/>
          </w:rPr>
        </w:r>
        <w:r w:rsidR="001F5E1A" w:rsidRPr="001F5E1A">
          <w:rPr>
            <w:b w:val="0"/>
            <w:webHidden/>
          </w:rPr>
          <w:fldChar w:fldCharType="separate"/>
        </w:r>
        <w:r w:rsidR="00F54CC0">
          <w:rPr>
            <w:b w:val="0"/>
            <w:webHidden/>
          </w:rPr>
          <w:t>32</w:t>
        </w:r>
        <w:r w:rsidR="001F5E1A" w:rsidRPr="001F5E1A">
          <w:rPr>
            <w:b w:val="0"/>
            <w:webHidden/>
          </w:rPr>
          <w:fldChar w:fldCharType="end"/>
        </w:r>
      </w:hyperlink>
    </w:p>
    <w:p w:rsidR="001F5E1A" w:rsidRPr="001F5E1A" w:rsidRDefault="00B032A6" w:rsidP="001F5E1A">
      <w:pPr>
        <w:pStyle w:val="TableofFigures"/>
        <w:rPr>
          <w:rFonts w:asciiTheme="minorHAnsi" w:eastAsiaTheme="minorEastAsia" w:hAnsiTheme="minorHAnsi" w:cstheme="minorBidi"/>
          <w:b w:val="0"/>
          <w:sz w:val="22"/>
          <w:szCs w:val="22"/>
        </w:rPr>
      </w:pPr>
      <w:hyperlink w:anchor="_Toc43224496" w:history="1">
        <w:r w:rsidR="001F5E1A" w:rsidRPr="001F5E1A">
          <w:rPr>
            <w:rStyle w:val="Hyperlink"/>
            <w:b w:val="0"/>
          </w:rPr>
          <w:t>Figure 6</w:t>
        </w:r>
        <w:r w:rsidR="001F5E1A" w:rsidRPr="001F5E1A">
          <w:rPr>
            <w:rStyle w:val="Hyperlink"/>
            <w:b w:val="0"/>
          </w:rPr>
          <w:noBreakHyphen/>
          <w:t xml:space="preserve">19: </w:t>
        </w:r>
        <w:r w:rsidR="001F5E1A" w:rsidRPr="001F5E1A">
          <w:rPr>
            <w:rStyle w:val="Hyperlink"/>
            <w:b w:val="0"/>
          </w:rPr>
          <w:tab/>
          <w:t>Alternative 345 kV upgrades.</w:t>
        </w:r>
        <w:r w:rsidR="001F5E1A" w:rsidRPr="001F5E1A">
          <w:rPr>
            <w:b w:val="0"/>
            <w:webHidden/>
          </w:rPr>
          <w:tab/>
        </w:r>
        <w:r w:rsidR="001F5E1A" w:rsidRPr="001F5E1A">
          <w:rPr>
            <w:b w:val="0"/>
            <w:webHidden/>
          </w:rPr>
          <w:fldChar w:fldCharType="begin"/>
        </w:r>
        <w:r w:rsidR="001F5E1A" w:rsidRPr="001F5E1A">
          <w:rPr>
            <w:b w:val="0"/>
            <w:webHidden/>
          </w:rPr>
          <w:instrText xml:space="preserve"> PAGEREF _Toc43224496 \h </w:instrText>
        </w:r>
        <w:r w:rsidR="001F5E1A" w:rsidRPr="001F5E1A">
          <w:rPr>
            <w:b w:val="0"/>
            <w:webHidden/>
          </w:rPr>
        </w:r>
        <w:r w:rsidR="001F5E1A" w:rsidRPr="001F5E1A">
          <w:rPr>
            <w:b w:val="0"/>
            <w:webHidden/>
          </w:rPr>
          <w:fldChar w:fldCharType="separate"/>
        </w:r>
        <w:r w:rsidR="00F54CC0">
          <w:rPr>
            <w:b w:val="0"/>
            <w:webHidden/>
          </w:rPr>
          <w:t>32</w:t>
        </w:r>
        <w:r w:rsidR="001F5E1A" w:rsidRPr="001F5E1A">
          <w:rPr>
            <w:b w:val="0"/>
            <w:webHidden/>
          </w:rPr>
          <w:fldChar w:fldCharType="end"/>
        </w:r>
      </w:hyperlink>
    </w:p>
    <w:p w:rsidR="001F5E1A" w:rsidRPr="001F5E1A" w:rsidRDefault="00B032A6" w:rsidP="001F5E1A">
      <w:pPr>
        <w:pStyle w:val="TableofFigures"/>
        <w:rPr>
          <w:rFonts w:asciiTheme="minorHAnsi" w:eastAsiaTheme="minorEastAsia" w:hAnsiTheme="minorHAnsi" w:cstheme="minorBidi"/>
          <w:b w:val="0"/>
          <w:sz w:val="22"/>
          <w:szCs w:val="22"/>
        </w:rPr>
      </w:pPr>
      <w:hyperlink w:anchor="_Toc43224497" w:history="1">
        <w:r w:rsidR="001F5E1A" w:rsidRPr="001F5E1A">
          <w:rPr>
            <w:rStyle w:val="Hyperlink"/>
            <w:b w:val="0"/>
          </w:rPr>
          <w:t>Figure 6</w:t>
        </w:r>
        <w:r w:rsidR="001F5E1A" w:rsidRPr="001F5E1A">
          <w:rPr>
            <w:rStyle w:val="Hyperlink"/>
            <w:b w:val="0"/>
          </w:rPr>
          <w:noBreakHyphen/>
          <w:t xml:space="preserve">20: </w:t>
        </w:r>
        <w:r w:rsidR="001F5E1A" w:rsidRPr="001F5E1A">
          <w:rPr>
            <w:rStyle w:val="Hyperlink"/>
            <w:b w:val="0"/>
          </w:rPr>
          <w:tab/>
          <w:t>HVDC alternatives into the Mystic and K Street substations.</w:t>
        </w:r>
        <w:r w:rsidR="001F5E1A" w:rsidRPr="001F5E1A">
          <w:rPr>
            <w:b w:val="0"/>
            <w:webHidden/>
          </w:rPr>
          <w:tab/>
        </w:r>
        <w:r w:rsidR="001F5E1A" w:rsidRPr="001F5E1A">
          <w:rPr>
            <w:b w:val="0"/>
            <w:webHidden/>
          </w:rPr>
          <w:fldChar w:fldCharType="begin"/>
        </w:r>
        <w:r w:rsidR="001F5E1A" w:rsidRPr="001F5E1A">
          <w:rPr>
            <w:b w:val="0"/>
            <w:webHidden/>
          </w:rPr>
          <w:instrText xml:space="preserve"> PAGEREF _Toc43224497 \h </w:instrText>
        </w:r>
        <w:r w:rsidR="001F5E1A" w:rsidRPr="001F5E1A">
          <w:rPr>
            <w:b w:val="0"/>
            <w:webHidden/>
          </w:rPr>
        </w:r>
        <w:r w:rsidR="001F5E1A" w:rsidRPr="001F5E1A">
          <w:rPr>
            <w:b w:val="0"/>
            <w:webHidden/>
          </w:rPr>
          <w:fldChar w:fldCharType="separate"/>
        </w:r>
        <w:r w:rsidR="00F54CC0">
          <w:rPr>
            <w:b w:val="0"/>
            <w:webHidden/>
          </w:rPr>
          <w:t>33</w:t>
        </w:r>
        <w:r w:rsidR="001F5E1A" w:rsidRPr="001F5E1A">
          <w:rPr>
            <w:b w:val="0"/>
            <w:webHidden/>
          </w:rPr>
          <w:fldChar w:fldCharType="end"/>
        </w:r>
      </w:hyperlink>
    </w:p>
    <w:p w:rsidR="001F5E1A" w:rsidRPr="001F5E1A" w:rsidRDefault="00B032A6" w:rsidP="001F5E1A">
      <w:pPr>
        <w:pStyle w:val="TableofFigures"/>
        <w:rPr>
          <w:rFonts w:asciiTheme="minorHAnsi" w:eastAsiaTheme="minorEastAsia" w:hAnsiTheme="minorHAnsi" w:cstheme="minorBidi"/>
          <w:b w:val="0"/>
          <w:sz w:val="22"/>
          <w:szCs w:val="22"/>
        </w:rPr>
      </w:pPr>
      <w:hyperlink w:anchor="_Toc43224498" w:history="1">
        <w:r w:rsidR="001F5E1A" w:rsidRPr="001F5E1A">
          <w:rPr>
            <w:rStyle w:val="Hyperlink"/>
            <w:b w:val="0"/>
          </w:rPr>
          <w:t>Figure 6</w:t>
        </w:r>
        <w:r w:rsidR="001F5E1A" w:rsidRPr="001F5E1A">
          <w:rPr>
            <w:rStyle w:val="Hyperlink"/>
            <w:b w:val="0"/>
          </w:rPr>
          <w:noBreakHyphen/>
          <w:t xml:space="preserve">21: </w:t>
        </w:r>
        <w:r w:rsidR="001F5E1A" w:rsidRPr="001F5E1A">
          <w:rPr>
            <w:rStyle w:val="Hyperlink"/>
            <w:b w:val="0"/>
          </w:rPr>
          <w:tab/>
          <w:t>Conceptual application of offshore cable technology using AC and DC submarine cables.</w:t>
        </w:r>
        <w:r w:rsidR="001F5E1A" w:rsidRPr="001F5E1A">
          <w:rPr>
            <w:b w:val="0"/>
            <w:webHidden/>
          </w:rPr>
          <w:tab/>
        </w:r>
        <w:r w:rsidR="001F5E1A" w:rsidRPr="001F5E1A">
          <w:rPr>
            <w:b w:val="0"/>
            <w:webHidden/>
          </w:rPr>
          <w:fldChar w:fldCharType="begin"/>
        </w:r>
        <w:r w:rsidR="001F5E1A" w:rsidRPr="001F5E1A">
          <w:rPr>
            <w:b w:val="0"/>
            <w:webHidden/>
          </w:rPr>
          <w:instrText xml:space="preserve"> PAGEREF _Toc43224498 \h </w:instrText>
        </w:r>
        <w:r w:rsidR="001F5E1A" w:rsidRPr="001F5E1A">
          <w:rPr>
            <w:b w:val="0"/>
            <w:webHidden/>
          </w:rPr>
        </w:r>
        <w:r w:rsidR="001F5E1A" w:rsidRPr="001F5E1A">
          <w:rPr>
            <w:b w:val="0"/>
            <w:webHidden/>
          </w:rPr>
          <w:fldChar w:fldCharType="separate"/>
        </w:r>
        <w:r w:rsidR="00F54CC0">
          <w:rPr>
            <w:b w:val="0"/>
            <w:webHidden/>
          </w:rPr>
          <w:t>34</w:t>
        </w:r>
        <w:r w:rsidR="001F5E1A" w:rsidRPr="001F5E1A">
          <w:rPr>
            <w:b w:val="0"/>
            <w:webHidden/>
          </w:rPr>
          <w:fldChar w:fldCharType="end"/>
        </w:r>
      </w:hyperlink>
    </w:p>
    <w:p w:rsidR="00F565D2" w:rsidRPr="001F5E1A" w:rsidRDefault="00CD7DBD" w:rsidP="001F5E1A">
      <w:pPr>
        <w:spacing w:after="120" w:line="240" w:lineRule="auto"/>
        <w:ind w:left="1267" w:hanging="1267"/>
      </w:pPr>
      <w:r w:rsidRPr="001F5E1A">
        <w:rPr>
          <w:rFonts w:asciiTheme="minorHAnsi" w:hAnsiTheme="minorHAnsi"/>
          <w:szCs w:val="20"/>
        </w:rPr>
        <w:fldChar w:fldCharType="end"/>
      </w:r>
    </w:p>
    <w:p w:rsidR="003745BD" w:rsidRDefault="003745BD" w:rsidP="001F5E1A">
      <w:pPr>
        <w:pStyle w:val="TableofFigures"/>
        <w:sectPr w:rsidR="003745BD" w:rsidSect="00532809">
          <w:footerReference w:type="default" r:id="rId21"/>
          <w:pgSz w:w="12240" w:h="15840" w:code="1"/>
          <w:pgMar w:top="1440" w:right="1440" w:bottom="1440" w:left="1440" w:header="720" w:footer="720" w:gutter="0"/>
          <w:pgNumType w:fmt="lowerRoman"/>
          <w:cols w:space="720"/>
          <w:docGrid w:linePitch="360"/>
        </w:sectPr>
      </w:pPr>
    </w:p>
    <w:p w:rsidR="00F565D2" w:rsidRPr="00225B89" w:rsidRDefault="00F565D2" w:rsidP="0091124D">
      <w:pPr>
        <w:adjustRightInd/>
        <w:spacing w:line="240" w:lineRule="auto"/>
        <w:textAlignment w:val="auto"/>
        <w:outlineLvl w:val="0"/>
        <w:rPr>
          <w:rFonts w:ascii="Calibri" w:hAnsi="Calibri" w:cs="Arial"/>
          <w:b/>
          <w:bCs/>
          <w:color w:val="0C95D2"/>
          <w:sz w:val="36"/>
          <w:szCs w:val="36"/>
        </w:rPr>
      </w:pPr>
      <w:bookmarkStart w:id="15" w:name="_Toc44412033"/>
      <w:r w:rsidRPr="005628EB">
        <w:rPr>
          <w:rFonts w:ascii="Calibri" w:hAnsi="Calibri" w:cs="Arial"/>
          <w:b/>
          <w:bCs/>
          <w:color w:val="0C95D2"/>
          <w:sz w:val="36"/>
          <w:szCs w:val="36"/>
        </w:rPr>
        <w:lastRenderedPageBreak/>
        <w:t>Tables</w:t>
      </w:r>
      <w:bookmarkEnd w:id="15"/>
    </w:p>
    <w:p w:rsidR="00FB1216" w:rsidRPr="00FB1216" w:rsidRDefault="00CD7DBD">
      <w:pPr>
        <w:pStyle w:val="TableofFigures"/>
        <w:rPr>
          <w:rFonts w:asciiTheme="minorHAnsi" w:eastAsiaTheme="minorEastAsia" w:hAnsiTheme="minorHAnsi" w:cstheme="minorBidi"/>
          <w:b w:val="0"/>
          <w:sz w:val="22"/>
          <w:szCs w:val="22"/>
        </w:rPr>
      </w:pPr>
      <w:r w:rsidRPr="00FB1216">
        <w:rPr>
          <w:rFonts w:asciiTheme="minorHAnsi" w:hAnsiTheme="minorHAnsi"/>
          <w:b w:val="0"/>
        </w:rPr>
        <w:fldChar w:fldCharType="begin"/>
      </w:r>
      <w:r w:rsidRPr="00FB1216">
        <w:rPr>
          <w:rFonts w:asciiTheme="minorHAnsi" w:hAnsiTheme="minorHAnsi"/>
          <w:b w:val="0"/>
        </w:rPr>
        <w:instrText xml:space="preserve"> TOC \h \z \c "Table" </w:instrText>
      </w:r>
      <w:r w:rsidRPr="00FB1216">
        <w:rPr>
          <w:rFonts w:asciiTheme="minorHAnsi" w:hAnsiTheme="minorHAnsi"/>
          <w:b w:val="0"/>
        </w:rPr>
        <w:fldChar w:fldCharType="separate"/>
      </w:r>
      <w:hyperlink w:anchor="_Toc44412060" w:history="1">
        <w:r w:rsidR="00FB1216" w:rsidRPr="00FB1216">
          <w:rPr>
            <w:rStyle w:val="Hyperlink"/>
            <w:b w:val="0"/>
          </w:rPr>
          <w:t>Table 4</w:t>
        </w:r>
        <w:r w:rsidR="00FB1216" w:rsidRPr="00FB1216">
          <w:rPr>
            <w:rStyle w:val="Hyperlink"/>
            <w:b w:val="0"/>
          </w:rPr>
          <w:noBreakHyphen/>
          <w:t xml:space="preserve">1 </w:t>
        </w:r>
        <w:r w:rsidR="00FB1216">
          <w:rPr>
            <w:rStyle w:val="Hyperlink"/>
            <w:b w:val="0"/>
          </w:rPr>
          <w:tab/>
        </w:r>
        <w:r w:rsidR="00FB1216" w:rsidRPr="00FB1216">
          <w:rPr>
            <w:rStyle w:val="Hyperlink"/>
            <w:b w:val="0"/>
          </w:rPr>
          <w:t>Offshore Wind Integration Scenarios for the NESCOE 2019 Economic Study</w:t>
        </w:r>
        <w:r w:rsidR="00FB1216" w:rsidRPr="00FB1216">
          <w:rPr>
            <w:b w:val="0"/>
            <w:webHidden/>
          </w:rPr>
          <w:tab/>
        </w:r>
        <w:r w:rsidR="00FB1216" w:rsidRPr="00FB1216">
          <w:rPr>
            <w:b w:val="0"/>
            <w:webHidden/>
          </w:rPr>
          <w:fldChar w:fldCharType="begin"/>
        </w:r>
        <w:r w:rsidR="00FB1216" w:rsidRPr="00FB1216">
          <w:rPr>
            <w:b w:val="0"/>
            <w:webHidden/>
          </w:rPr>
          <w:instrText xml:space="preserve"> PAGEREF _Toc44412060 \h </w:instrText>
        </w:r>
        <w:r w:rsidR="00FB1216" w:rsidRPr="00FB1216">
          <w:rPr>
            <w:b w:val="0"/>
            <w:webHidden/>
          </w:rPr>
        </w:r>
        <w:r w:rsidR="00FB1216" w:rsidRPr="00FB1216">
          <w:rPr>
            <w:b w:val="0"/>
            <w:webHidden/>
          </w:rPr>
          <w:fldChar w:fldCharType="separate"/>
        </w:r>
        <w:r w:rsidR="00F54CC0">
          <w:rPr>
            <w:b w:val="0"/>
            <w:webHidden/>
          </w:rPr>
          <w:t>5</w:t>
        </w:r>
        <w:r w:rsidR="00FB1216" w:rsidRPr="00FB1216">
          <w:rPr>
            <w:b w:val="0"/>
            <w:webHidden/>
          </w:rPr>
          <w:fldChar w:fldCharType="end"/>
        </w:r>
      </w:hyperlink>
    </w:p>
    <w:p w:rsidR="00FB1216" w:rsidRPr="00FB1216" w:rsidRDefault="00B032A6">
      <w:pPr>
        <w:pStyle w:val="TableofFigures"/>
        <w:rPr>
          <w:rFonts w:asciiTheme="minorHAnsi" w:eastAsiaTheme="minorEastAsia" w:hAnsiTheme="minorHAnsi" w:cstheme="minorBidi"/>
          <w:b w:val="0"/>
          <w:sz w:val="22"/>
          <w:szCs w:val="22"/>
        </w:rPr>
      </w:pPr>
      <w:hyperlink w:anchor="_Toc44412061" w:history="1">
        <w:r w:rsidR="00FB1216" w:rsidRPr="00FB1216">
          <w:rPr>
            <w:rStyle w:val="Hyperlink"/>
            <w:b w:val="0"/>
          </w:rPr>
          <w:t>Table 4</w:t>
        </w:r>
        <w:r w:rsidR="00FB1216" w:rsidRPr="00FB1216">
          <w:rPr>
            <w:rStyle w:val="Hyperlink"/>
            <w:b w:val="0"/>
          </w:rPr>
          <w:noBreakHyphen/>
          <w:t xml:space="preserve">2 </w:t>
        </w:r>
        <w:r w:rsidR="00FB1216">
          <w:rPr>
            <w:rStyle w:val="Hyperlink"/>
            <w:b w:val="0"/>
          </w:rPr>
          <w:tab/>
        </w:r>
        <w:r w:rsidR="00FB1216" w:rsidRPr="00FB1216">
          <w:rPr>
            <w:rStyle w:val="Hyperlink"/>
            <w:b w:val="0"/>
          </w:rPr>
          <w:t>Interconnection Sensitivities to the 8,000 MW Offshore Wind Additions Scenario (MW)</w:t>
        </w:r>
        <w:r w:rsidR="00FB1216" w:rsidRPr="00FB1216">
          <w:rPr>
            <w:b w:val="0"/>
            <w:webHidden/>
          </w:rPr>
          <w:tab/>
        </w:r>
        <w:r w:rsidR="00FB1216" w:rsidRPr="00FB1216">
          <w:rPr>
            <w:b w:val="0"/>
            <w:webHidden/>
          </w:rPr>
          <w:fldChar w:fldCharType="begin"/>
        </w:r>
        <w:r w:rsidR="00FB1216" w:rsidRPr="00FB1216">
          <w:rPr>
            <w:b w:val="0"/>
            <w:webHidden/>
          </w:rPr>
          <w:instrText xml:space="preserve"> PAGEREF _Toc44412061 \h </w:instrText>
        </w:r>
        <w:r w:rsidR="00FB1216" w:rsidRPr="00FB1216">
          <w:rPr>
            <w:b w:val="0"/>
            <w:webHidden/>
          </w:rPr>
        </w:r>
        <w:r w:rsidR="00FB1216" w:rsidRPr="00FB1216">
          <w:rPr>
            <w:b w:val="0"/>
            <w:webHidden/>
          </w:rPr>
          <w:fldChar w:fldCharType="separate"/>
        </w:r>
        <w:r w:rsidR="00F54CC0">
          <w:rPr>
            <w:b w:val="0"/>
            <w:webHidden/>
          </w:rPr>
          <w:t>7</w:t>
        </w:r>
        <w:r w:rsidR="00FB1216" w:rsidRPr="00FB1216">
          <w:rPr>
            <w:b w:val="0"/>
            <w:webHidden/>
          </w:rPr>
          <w:fldChar w:fldCharType="end"/>
        </w:r>
      </w:hyperlink>
    </w:p>
    <w:p w:rsidR="00FB1216" w:rsidRPr="00FB1216" w:rsidRDefault="00B032A6">
      <w:pPr>
        <w:pStyle w:val="TableofFigures"/>
        <w:rPr>
          <w:rFonts w:asciiTheme="minorHAnsi" w:eastAsiaTheme="minorEastAsia" w:hAnsiTheme="minorHAnsi" w:cstheme="minorBidi"/>
          <w:b w:val="0"/>
          <w:sz w:val="22"/>
          <w:szCs w:val="22"/>
        </w:rPr>
      </w:pPr>
      <w:hyperlink w:anchor="_Toc44412062" w:history="1">
        <w:r w:rsidR="00FB1216" w:rsidRPr="00FB1216">
          <w:rPr>
            <w:rStyle w:val="Hyperlink"/>
            <w:b w:val="0"/>
          </w:rPr>
          <w:t>Table 5</w:t>
        </w:r>
        <w:r w:rsidR="00FB1216" w:rsidRPr="00FB1216">
          <w:rPr>
            <w:rStyle w:val="Hyperlink"/>
            <w:b w:val="0"/>
          </w:rPr>
          <w:noBreakHyphen/>
          <w:t xml:space="preserve">1 </w:t>
        </w:r>
        <w:r w:rsidR="00FB1216">
          <w:rPr>
            <w:rStyle w:val="Hyperlink"/>
            <w:b w:val="0"/>
          </w:rPr>
          <w:tab/>
        </w:r>
        <w:r w:rsidR="00FB1216" w:rsidRPr="00FB1216">
          <w:rPr>
            <w:rStyle w:val="Hyperlink"/>
            <w:b w:val="0"/>
          </w:rPr>
          <w:t>Interchange with Neighboring Systems (MW)</w:t>
        </w:r>
        <w:r w:rsidR="00FB1216" w:rsidRPr="00FB1216">
          <w:rPr>
            <w:b w:val="0"/>
            <w:webHidden/>
          </w:rPr>
          <w:tab/>
        </w:r>
        <w:r w:rsidR="00FB1216" w:rsidRPr="00FB1216">
          <w:rPr>
            <w:b w:val="0"/>
            <w:webHidden/>
          </w:rPr>
          <w:fldChar w:fldCharType="begin"/>
        </w:r>
        <w:r w:rsidR="00FB1216" w:rsidRPr="00FB1216">
          <w:rPr>
            <w:b w:val="0"/>
            <w:webHidden/>
          </w:rPr>
          <w:instrText xml:space="preserve"> PAGEREF _Toc44412062 \h </w:instrText>
        </w:r>
        <w:r w:rsidR="00FB1216" w:rsidRPr="00FB1216">
          <w:rPr>
            <w:b w:val="0"/>
            <w:webHidden/>
          </w:rPr>
        </w:r>
        <w:r w:rsidR="00FB1216" w:rsidRPr="00FB1216">
          <w:rPr>
            <w:b w:val="0"/>
            <w:webHidden/>
          </w:rPr>
          <w:fldChar w:fldCharType="separate"/>
        </w:r>
        <w:r w:rsidR="00F54CC0">
          <w:rPr>
            <w:b w:val="0"/>
            <w:webHidden/>
          </w:rPr>
          <w:t>10</w:t>
        </w:r>
        <w:r w:rsidR="00FB1216" w:rsidRPr="00FB1216">
          <w:rPr>
            <w:b w:val="0"/>
            <w:webHidden/>
          </w:rPr>
          <w:fldChar w:fldCharType="end"/>
        </w:r>
      </w:hyperlink>
    </w:p>
    <w:p w:rsidR="00FB1216" w:rsidRPr="00FB1216" w:rsidRDefault="00B032A6">
      <w:pPr>
        <w:pStyle w:val="TableofFigures"/>
        <w:rPr>
          <w:rFonts w:asciiTheme="minorHAnsi" w:eastAsiaTheme="minorEastAsia" w:hAnsiTheme="minorHAnsi" w:cstheme="minorBidi"/>
          <w:b w:val="0"/>
          <w:sz w:val="22"/>
          <w:szCs w:val="22"/>
        </w:rPr>
      </w:pPr>
      <w:hyperlink w:anchor="_Toc44412063" w:history="1">
        <w:r w:rsidR="00FB1216" w:rsidRPr="00FB1216">
          <w:rPr>
            <w:rStyle w:val="Hyperlink"/>
            <w:b w:val="0"/>
          </w:rPr>
          <w:t>Table 5</w:t>
        </w:r>
        <w:r w:rsidR="00FB1216" w:rsidRPr="00FB1216">
          <w:rPr>
            <w:rStyle w:val="Hyperlink"/>
            <w:b w:val="0"/>
          </w:rPr>
          <w:noBreakHyphen/>
          <w:t xml:space="preserve">2 </w:t>
        </w:r>
        <w:r w:rsidR="00FB1216">
          <w:rPr>
            <w:rStyle w:val="Hyperlink"/>
            <w:b w:val="0"/>
          </w:rPr>
          <w:tab/>
        </w:r>
        <w:r w:rsidR="00FB1216" w:rsidRPr="00FB1216">
          <w:rPr>
            <w:rStyle w:val="Hyperlink"/>
            <w:b w:val="0"/>
          </w:rPr>
          <w:t>Threshold Prices for the 2019 NESCOE Economic Study ($/MWh)</w:t>
        </w:r>
        <w:r w:rsidR="00FB1216" w:rsidRPr="00FB1216">
          <w:rPr>
            <w:b w:val="0"/>
            <w:webHidden/>
          </w:rPr>
          <w:tab/>
        </w:r>
        <w:r w:rsidR="00FB1216" w:rsidRPr="00FB1216">
          <w:rPr>
            <w:b w:val="0"/>
            <w:webHidden/>
          </w:rPr>
          <w:fldChar w:fldCharType="begin"/>
        </w:r>
        <w:r w:rsidR="00FB1216" w:rsidRPr="00FB1216">
          <w:rPr>
            <w:b w:val="0"/>
            <w:webHidden/>
          </w:rPr>
          <w:instrText xml:space="preserve"> PAGEREF _Toc44412063 \h </w:instrText>
        </w:r>
        <w:r w:rsidR="00FB1216" w:rsidRPr="00FB1216">
          <w:rPr>
            <w:b w:val="0"/>
            <w:webHidden/>
          </w:rPr>
        </w:r>
        <w:r w:rsidR="00FB1216" w:rsidRPr="00FB1216">
          <w:rPr>
            <w:b w:val="0"/>
            <w:webHidden/>
          </w:rPr>
          <w:fldChar w:fldCharType="separate"/>
        </w:r>
        <w:r w:rsidR="00F54CC0">
          <w:rPr>
            <w:b w:val="0"/>
            <w:webHidden/>
          </w:rPr>
          <w:t>12</w:t>
        </w:r>
        <w:r w:rsidR="00FB1216" w:rsidRPr="00FB1216">
          <w:rPr>
            <w:b w:val="0"/>
            <w:webHidden/>
          </w:rPr>
          <w:fldChar w:fldCharType="end"/>
        </w:r>
      </w:hyperlink>
    </w:p>
    <w:p w:rsidR="00FB1216" w:rsidRPr="00FB1216" w:rsidRDefault="00B032A6">
      <w:pPr>
        <w:pStyle w:val="TableofFigures"/>
        <w:rPr>
          <w:rFonts w:asciiTheme="minorHAnsi" w:eastAsiaTheme="minorEastAsia" w:hAnsiTheme="minorHAnsi" w:cstheme="minorBidi"/>
          <w:b w:val="0"/>
          <w:sz w:val="22"/>
          <w:szCs w:val="22"/>
        </w:rPr>
      </w:pPr>
      <w:hyperlink w:anchor="_Toc44412064" w:history="1">
        <w:r w:rsidR="00FB1216" w:rsidRPr="00FB1216">
          <w:rPr>
            <w:rStyle w:val="Hyperlink"/>
            <w:b w:val="0"/>
          </w:rPr>
          <w:t>Table 6</w:t>
        </w:r>
        <w:r w:rsidR="00FB1216" w:rsidRPr="00FB1216">
          <w:rPr>
            <w:rStyle w:val="Hyperlink"/>
            <w:b w:val="0"/>
          </w:rPr>
          <w:noBreakHyphen/>
          <w:t xml:space="preserve">1 </w:t>
        </w:r>
        <w:r w:rsidR="00FB1216">
          <w:rPr>
            <w:rStyle w:val="Hyperlink"/>
            <w:b w:val="0"/>
          </w:rPr>
          <w:tab/>
        </w:r>
        <w:r w:rsidR="00FB1216" w:rsidRPr="00FB1216">
          <w:rPr>
            <w:rStyle w:val="Hyperlink"/>
            <w:b w:val="0"/>
          </w:rPr>
          <w:t>Total Systemwide Production by Fuel Type (TWh) for the 8,000 MW Scenarios</w:t>
        </w:r>
        <w:r w:rsidR="00FB1216">
          <w:rPr>
            <w:rStyle w:val="Hyperlink"/>
            <w:b w:val="0"/>
          </w:rPr>
          <w:br/>
        </w:r>
        <w:r w:rsidR="00FB1216" w:rsidRPr="00FB1216">
          <w:rPr>
            <w:rStyle w:val="Hyperlink"/>
            <w:b w:val="0"/>
            <w:iCs/>
          </w:rPr>
          <w:t>Constrained (Cstr.) and Unconstrained (Uncstr.) Transmission</w:t>
        </w:r>
        <w:r w:rsidR="00FB1216" w:rsidRPr="00FB1216">
          <w:rPr>
            <w:b w:val="0"/>
            <w:webHidden/>
          </w:rPr>
          <w:tab/>
        </w:r>
        <w:r w:rsidR="00FB1216" w:rsidRPr="00FB1216">
          <w:rPr>
            <w:b w:val="0"/>
            <w:webHidden/>
          </w:rPr>
          <w:fldChar w:fldCharType="begin"/>
        </w:r>
        <w:r w:rsidR="00FB1216" w:rsidRPr="00FB1216">
          <w:rPr>
            <w:b w:val="0"/>
            <w:webHidden/>
          </w:rPr>
          <w:instrText xml:space="preserve"> PAGEREF _Toc44412064 \h </w:instrText>
        </w:r>
        <w:r w:rsidR="00FB1216" w:rsidRPr="00FB1216">
          <w:rPr>
            <w:b w:val="0"/>
            <w:webHidden/>
          </w:rPr>
        </w:r>
        <w:r w:rsidR="00FB1216" w:rsidRPr="00FB1216">
          <w:rPr>
            <w:b w:val="0"/>
            <w:webHidden/>
          </w:rPr>
          <w:fldChar w:fldCharType="separate"/>
        </w:r>
        <w:r w:rsidR="00F54CC0">
          <w:rPr>
            <w:b w:val="0"/>
            <w:webHidden/>
          </w:rPr>
          <w:t>18</w:t>
        </w:r>
        <w:r w:rsidR="00FB1216" w:rsidRPr="00FB1216">
          <w:rPr>
            <w:b w:val="0"/>
            <w:webHidden/>
          </w:rPr>
          <w:fldChar w:fldCharType="end"/>
        </w:r>
      </w:hyperlink>
    </w:p>
    <w:p w:rsidR="00FB1216" w:rsidRPr="00FB1216" w:rsidRDefault="00B032A6">
      <w:pPr>
        <w:pStyle w:val="TableofFigures"/>
        <w:rPr>
          <w:rFonts w:asciiTheme="minorHAnsi" w:eastAsiaTheme="minorEastAsia" w:hAnsiTheme="minorHAnsi" w:cstheme="minorBidi"/>
          <w:b w:val="0"/>
          <w:sz w:val="22"/>
          <w:szCs w:val="22"/>
        </w:rPr>
      </w:pPr>
      <w:hyperlink w:anchor="_Toc44412065" w:history="1">
        <w:r w:rsidR="00FB1216" w:rsidRPr="00FB1216">
          <w:rPr>
            <w:rStyle w:val="Hyperlink"/>
            <w:b w:val="0"/>
          </w:rPr>
          <w:t>Table 6</w:t>
        </w:r>
        <w:r w:rsidR="00FB1216" w:rsidRPr="00FB1216">
          <w:rPr>
            <w:rStyle w:val="Hyperlink"/>
            <w:b w:val="0"/>
          </w:rPr>
          <w:noBreakHyphen/>
          <w:t xml:space="preserve">2 </w:t>
        </w:r>
        <w:r w:rsidR="00FB1216">
          <w:rPr>
            <w:rStyle w:val="Hyperlink"/>
            <w:b w:val="0"/>
          </w:rPr>
          <w:tab/>
        </w:r>
        <w:r w:rsidR="00FB1216" w:rsidRPr="00FB1216">
          <w:rPr>
            <w:rStyle w:val="Hyperlink"/>
            <w:b w:val="0"/>
          </w:rPr>
          <w:t>Load-Serving Entity Energy Expenses and Uplift Costs ($ Million)</w:t>
        </w:r>
        <w:r w:rsidR="00FB1216" w:rsidRPr="00FB1216">
          <w:rPr>
            <w:b w:val="0"/>
            <w:webHidden/>
          </w:rPr>
          <w:tab/>
        </w:r>
        <w:r w:rsidR="00FB1216" w:rsidRPr="00FB1216">
          <w:rPr>
            <w:b w:val="0"/>
            <w:webHidden/>
          </w:rPr>
          <w:fldChar w:fldCharType="begin"/>
        </w:r>
        <w:r w:rsidR="00FB1216" w:rsidRPr="00FB1216">
          <w:rPr>
            <w:b w:val="0"/>
            <w:webHidden/>
          </w:rPr>
          <w:instrText xml:space="preserve"> PAGEREF _Toc44412065 \h </w:instrText>
        </w:r>
        <w:r w:rsidR="00FB1216" w:rsidRPr="00FB1216">
          <w:rPr>
            <w:b w:val="0"/>
            <w:webHidden/>
          </w:rPr>
        </w:r>
        <w:r w:rsidR="00FB1216" w:rsidRPr="00FB1216">
          <w:rPr>
            <w:b w:val="0"/>
            <w:webHidden/>
          </w:rPr>
          <w:fldChar w:fldCharType="separate"/>
        </w:r>
        <w:r w:rsidR="00F54CC0">
          <w:rPr>
            <w:b w:val="0"/>
            <w:webHidden/>
          </w:rPr>
          <w:t>19</w:t>
        </w:r>
        <w:r w:rsidR="00FB1216" w:rsidRPr="00FB1216">
          <w:rPr>
            <w:b w:val="0"/>
            <w:webHidden/>
          </w:rPr>
          <w:fldChar w:fldCharType="end"/>
        </w:r>
      </w:hyperlink>
    </w:p>
    <w:p w:rsidR="00FB1216" w:rsidRPr="00FB1216" w:rsidRDefault="00B032A6">
      <w:pPr>
        <w:pStyle w:val="TableofFigures"/>
        <w:rPr>
          <w:rFonts w:asciiTheme="minorHAnsi" w:eastAsiaTheme="minorEastAsia" w:hAnsiTheme="minorHAnsi" w:cstheme="minorBidi"/>
          <w:b w:val="0"/>
          <w:sz w:val="22"/>
          <w:szCs w:val="22"/>
        </w:rPr>
      </w:pPr>
      <w:hyperlink w:anchor="_Toc44412066" w:history="1">
        <w:r w:rsidR="00FB1216" w:rsidRPr="00FB1216">
          <w:rPr>
            <w:rStyle w:val="Hyperlink"/>
            <w:b w:val="0"/>
          </w:rPr>
          <w:t>Table 6</w:t>
        </w:r>
        <w:r w:rsidR="00FB1216" w:rsidRPr="00FB1216">
          <w:rPr>
            <w:rStyle w:val="Hyperlink"/>
            <w:b w:val="0"/>
          </w:rPr>
          <w:noBreakHyphen/>
          <w:t xml:space="preserve">3 </w:t>
        </w:r>
        <w:r w:rsidR="00FB1216">
          <w:rPr>
            <w:rStyle w:val="Hyperlink"/>
            <w:b w:val="0"/>
          </w:rPr>
          <w:tab/>
        </w:r>
        <w:r w:rsidR="00FB1216" w:rsidRPr="00FB1216">
          <w:rPr>
            <w:rStyle w:val="Hyperlink"/>
            <w:b w:val="0"/>
          </w:rPr>
          <w:t>Load-Serving Entity Energy Expenses and Uplift Costs for the Sensitivity Scenarios</w:t>
        </w:r>
        <w:r w:rsidR="00FB1216">
          <w:rPr>
            <w:rStyle w:val="Hyperlink"/>
            <w:b w:val="0"/>
          </w:rPr>
          <w:br/>
        </w:r>
        <w:r w:rsidR="00FB1216" w:rsidRPr="00FB1216">
          <w:rPr>
            <w:rStyle w:val="Hyperlink"/>
            <w:b w:val="0"/>
          </w:rPr>
          <w:t>($ Million)</w:t>
        </w:r>
        <w:r w:rsidR="00FB1216" w:rsidRPr="00FB1216">
          <w:rPr>
            <w:b w:val="0"/>
            <w:webHidden/>
          </w:rPr>
          <w:tab/>
        </w:r>
        <w:r w:rsidR="00FB1216" w:rsidRPr="00FB1216">
          <w:rPr>
            <w:b w:val="0"/>
            <w:webHidden/>
          </w:rPr>
          <w:fldChar w:fldCharType="begin"/>
        </w:r>
        <w:r w:rsidR="00FB1216" w:rsidRPr="00FB1216">
          <w:rPr>
            <w:b w:val="0"/>
            <w:webHidden/>
          </w:rPr>
          <w:instrText xml:space="preserve"> PAGEREF _Toc44412066 \h </w:instrText>
        </w:r>
        <w:r w:rsidR="00FB1216" w:rsidRPr="00FB1216">
          <w:rPr>
            <w:b w:val="0"/>
            <w:webHidden/>
          </w:rPr>
        </w:r>
        <w:r w:rsidR="00FB1216" w:rsidRPr="00FB1216">
          <w:rPr>
            <w:b w:val="0"/>
            <w:webHidden/>
          </w:rPr>
          <w:fldChar w:fldCharType="separate"/>
        </w:r>
        <w:r w:rsidR="00F54CC0">
          <w:rPr>
            <w:b w:val="0"/>
            <w:webHidden/>
          </w:rPr>
          <w:t>20</w:t>
        </w:r>
        <w:r w:rsidR="00FB1216" w:rsidRPr="00FB1216">
          <w:rPr>
            <w:b w:val="0"/>
            <w:webHidden/>
          </w:rPr>
          <w:fldChar w:fldCharType="end"/>
        </w:r>
      </w:hyperlink>
    </w:p>
    <w:p w:rsidR="00FB1216" w:rsidRPr="00FB1216" w:rsidRDefault="00B032A6">
      <w:pPr>
        <w:pStyle w:val="TableofFigures"/>
        <w:rPr>
          <w:rFonts w:asciiTheme="minorHAnsi" w:eastAsiaTheme="minorEastAsia" w:hAnsiTheme="minorHAnsi" w:cstheme="minorBidi"/>
          <w:b w:val="0"/>
          <w:sz w:val="22"/>
          <w:szCs w:val="22"/>
        </w:rPr>
      </w:pPr>
      <w:hyperlink w:anchor="_Toc44412067" w:history="1">
        <w:r w:rsidR="00FB1216" w:rsidRPr="00FB1216">
          <w:rPr>
            <w:rStyle w:val="Hyperlink"/>
            <w:b w:val="0"/>
          </w:rPr>
          <w:t>Table 6</w:t>
        </w:r>
        <w:r w:rsidR="00FB1216" w:rsidRPr="00FB1216">
          <w:rPr>
            <w:rStyle w:val="Hyperlink"/>
            <w:b w:val="0"/>
          </w:rPr>
          <w:noBreakHyphen/>
          <w:t xml:space="preserve">4 </w:t>
        </w:r>
        <w:r w:rsidR="00FB1216">
          <w:rPr>
            <w:rStyle w:val="Hyperlink"/>
            <w:b w:val="0"/>
          </w:rPr>
          <w:tab/>
        </w:r>
        <w:r w:rsidR="00FB1216" w:rsidRPr="00FB1216">
          <w:rPr>
            <w:rStyle w:val="Hyperlink"/>
            <w:b w:val="0"/>
          </w:rPr>
          <w:t>Summary of Ancillary Services Analysis Observations</w:t>
        </w:r>
        <w:r w:rsidR="00FB1216" w:rsidRPr="00FB1216">
          <w:rPr>
            <w:b w:val="0"/>
            <w:webHidden/>
          </w:rPr>
          <w:tab/>
        </w:r>
        <w:r w:rsidR="00FB1216" w:rsidRPr="00FB1216">
          <w:rPr>
            <w:b w:val="0"/>
            <w:webHidden/>
          </w:rPr>
          <w:fldChar w:fldCharType="begin"/>
        </w:r>
        <w:r w:rsidR="00FB1216" w:rsidRPr="00FB1216">
          <w:rPr>
            <w:b w:val="0"/>
            <w:webHidden/>
          </w:rPr>
          <w:instrText xml:space="preserve"> PAGEREF _Toc44412067 \h </w:instrText>
        </w:r>
        <w:r w:rsidR="00FB1216" w:rsidRPr="00FB1216">
          <w:rPr>
            <w:b w:val="0"/>
            <w:webHidden/>
          </w:rPr>
        </w:r>
        <w:r w:rsidR="00FB1216" w:rsidRPr="00FB1216">
          <w:rPr>
            <w:b w:val="0"/>
            <w:webHidden/>
          </w:rPr>
          <w:fldChar w:fldCharType="separate"/>
        </w:r>
        <w:r w:rsidR="00F54CC0">
          <w:rPr>
            <w:b w:val="0"/>
            <w:webHidden/>
          </w:rPr>
          <w:t>25</w:t>
        </w:r>
        <w:r w:rsidR="00FB1216" w:rsidRPr="00FB1216">
          <w:rPr>
            <w:b w:val="0"/>
            <w:webHidden/>
          </w:rPr>
          <w:fldChar w:fldCharType="end"/>
        </w:r>
      </w:hyperlink>
    </w:p>
    <w:p w:rsidR="00FB1216" w:rsidRPr="00FB1216" w:rsidRDefault="00B032A6">
      <w:pPr>
        <w:pStyle w:val="TableofFigures"/>
        <w:rPr>
          <w:rFonts w:asciiTheme="minorHAnsi" w:eastAsiaTheme="minorEastAsia" w:hAnsiTheme="minorHAnsi" w:cstheme="minorBidi"/>
          <w:b w:val="0"/>
          <w:sz w:val="22"/>
          <w:szCs w:val="22"/>
        </w:rPr>
      </w:pPr>
      <w:hyperlink w:anchor="_Toc44412068" w:history="1">
        <w:r w:rsidR="00FB1216" w:rsidRPr="00FB1216">
          <w:rPr>
            <w:rStyle w:val="Hyperlink"/>
            <w:b w:val="0"/>
          </w:rPr>
          <w:t>Table 6</w:t>
        </w:r>
        <w:r w:rsidR="00FB1216" w:rsidRPr="00FB1216">
          <w:rPr>
            <w:rStyle w:val="Hyperlink"/>
            <w:b w:val="0"/>
          </w:rPr>
          <w:noBreakHyphen/>
          <w:t xml:space="preserve">5 </w:t>
        </w:r>
        <w:r w:rsidR="00FB1216">
          <w:rPr>
            <w:rStyle w:val="Hyperlink"/>
            <w:b w:val="0"/>
          </w:rPr>
          <w:tab/>
        </w:r>
        <w:r w:rsidR="00FB1216" w:rsidRPr="00FB1216">
          <w:rPr>
            <w:rStyle w:val="Hyperlink"/>
            <w:b w:val="0"/>
          </w:rPr>
          <w:t>Summary of Megawatt Injection Levels (MW) for Offshore Wind by Interconnection Point</w:t>
        </w:r>
        <w:r w:rsidR="00FB1216">
          <w:rPr>
            <w:rStyle w:val="Hyperlink"/>
            <w:b w:val="0"/>
          </w:rPr>
          <w:br/>
        </w:r>
        <w:r w:rsidR="00FB1216" w:rsidRPr="00FB1216">
          <w:rPr>
            <w:rStyle w:val="Hyperlink"/>
            <w:b w:val="0"/>
          </w:rPr>
          <w:t>and Associated Transmission Infrastructure</w:t>
        </w:r>
        <w:r w:rsidR="00FB1216" w:rsidRPr="00FB1216">
          <w:rPr>
            <w:b w:val="0"/>
            <w:webHidden/>
          </w:rPr>
          <w:tab/>
        </w:r>
        <w:r w:rsidR="00FB1216" w:rsidRPr="00FB1216">
          <w:rPr>
            <w:b w:val="0"/>
            <w:webHidden/>
          </w:rPr>
          <w:fldChar w:fldCharType="begin"/>
        </w:r>
        <w:r w:rsidR="00FB1216" w:rsidRPr="00FB1216">
          <w:rPr>
            <w:b w:val="0"/>
            <w:webHidden/>
          </w:rPr>
          <w:instrText xml:space="preserve"> PAGEREF _Toc44412068 \h </w:instrText>
        </w:r>
        <w:r w:rsidR="00FB1216" w:rsidRPr="00FB1216">
          <w:rPr>
            <w:b w:val="0"/>
            <w:webHidden/>
          </w:rPr>
        </w:r>
        <w:r w:rsidR="00FB1216" w:rsidRPr="00FB1216">
          <w:rPr>
            <w:b w:val="0"/>
            <w:webHidden/>
          </w:rPr>
          <w:fldChar w:fldCharType="separate"/>
        </w:r>
        <w:r w:rsidR="00F54CC0">
          <w:rPr>
            <w:b w:val="0"/>
            <w:webHidden/>
          </w:rPr>
          <w:t>35</w:t>
        </w:r>
        <w:r w:rsidR="00FB1216" w:rsidRPr="00FB1216">
          <w:rPr>
            <w:b w:val="0"/>
            <w:webHidden/>
          </w:rPr>
          <w:fldChar w:fldCharType="end"/>
        </w:r>
      </w:hyperlink>
    </w:p>
    <w:p w:rsidR="00CD7DBD" w:rsidRPr="005628EB" w:rsidRDefault="00CD7DBD" w:rsidP="000A40A4">
      <w:pPr>
        <w:spacing w:after="120" w:line="240" w:lineRule="auto"/>
        <w:sectPr w:rsidR="00CD7DBD" w:rsidRPr="005628EB" w:rsidSect="00532809">
          <w:pgSz w:w="12240" w:h="15840" w:code="1"/>
          <w:pgMar w:top="1440" w:right="1440" w:bottom="1440" w:left="1440" w:header="720" w:footer="720" w:gutter="0"/>
          <w:pgNumType w:fmt="lowerRoman"/>
          <w:cols w:space="720"/>
          <w:docGrid w:linePitch="360"/>
        </w:sectPr>
      </w:pPr>
      <w:r w:rsidRPr="00FB1216">
        <w:rPr>
          <w:rFonts w:asciiTheme="minorHAnsi" w:hAnsiTheme="minorHAnsi"/>
          <w:szCs w:val="20"/>
        </w:rPr>
        <w:fldChar w:fldCharType="end"/>
      </w:r>
    </w:p>
    <w:p w:rsidR="00DC665E" w:rsidRDefault="00DC665E">
      <w:pPr>
        <w:sectPr w:rsidR="00DC665E" w:rsidSect="00532809">
          <w:headerReference w:type="default" r:id="rId22"/>
          <w:footerReference w:type="default" r:id="rId23"/>
          <w:pgSz w:w="12240" w:h="15840" w:code="1"/>
          <w:pgMar w:top="1440" w:right="1440" w:bottom="1440" w:left="1440" w:header="720" w:footer="720" w:gutter="0"/>
          <w:pgNumType w:fmt="lowerRoman"/>
          <w:cols w:space="720"/>
          <w:docGrid w:linePitch="360"/>
        </w:sectPr>
      </w:pPr>
    </w:p>
    <w:p w:rsidR="00607262" w:rsidRPr="00607262" w:rsidRDefault="00BF1EA7">
      <w:pPr>
        <w:pStyle w:val="Heading1"/>
      </w:pPr>
      <w:bookmarkStart w:id="16" w:name="_Toc418682041"/>
      <w:r>
        <w:lastRenderedPageBreak/>
        <w:br/>
      </w:r>
      <w:bookmarkStart w:id="17" w:name="_Toc44412034"/>
      <w:r w:rsidR="00607262" w:rsidRPr="00607262">
        <w:t>Executive Summary</w:t>
      </w:r>
      <w:bookmarkEnd w:id="16"/>
      <w:bookmarkEnd w:id="17"/>
      <w:r w:rsidR="00E318ED">
        <w:t xml:space="preserve"> </w:t>
      </w:r>
    </w:p>
    <w:p w:rsidR="00375A8D" w:rsidRDefault="00FB2753" w:rsidP="00C61CC4">
      <w:r w:rsidRPr="00442D47">
        <w:t xml:space="preserve">This report documents </w:t>
      </w:r>
      <w:r w:rsidR="00544F6F">
        <w:t xml:space="preserve">the </w:t>
      </w:r>
      <w:r w:rsidR="00544F6F" w:rsidRPr="00544F6F">
        <w:rPr>
          <w:i/>
        </w:rPr>
        <w:t xml:space="preserve">Offshore Wind Integration </w:t>
      </w:r>
      <w:r w:rsidR="009C2D9C">
        <w:t>s</w:t>
      </w:r>
      <w:r w:rsidR="00217E28" w:rsidRPr="009C2D9C">
        <w:t xml:space="preserve">cenarios </w:t>
      </w:r>
      <w:r w:rsidR="00AA22CE">
        <w:t xml:space="preserve">of </w:t>
      </w:r>
      <w:r w:rsidRPr="00442D47">
        <w:t xml:space="preserve">the </w:t>
      </w:r>
      <w:r w:rsidR="00AA22CE">
        <w:t>201</w:t>
      </w:r>
      <w:r w:rsidR="00544F6F">
        <w:t>9</w:t>
      </w:r>
      <w:r w:rsidR="00AA22CE">
        <w:t xml:space="preserve"> </w:t>
      </w:r>
      <w:r w:rsidRPr="00442D47">
        <w:t xml:space="preserve">ISO New England </w:t>
      </w:r>
      <w:r w:rsidR="00AA22CE">
        <w:t>(</w:t>
      </w:r>
      <w:r w:rsidR="00342DDE">
        <w:t xml:space="preserve">the </w:t>
      </w:r>
      <w:r w:rsidR="00AA22CE">
        <w:t>ISO</w:t>
      </w:r>
      <w:r w:rsidR="00342DDE">
        <w:t xml:space="preserve"> or ISO-NE</w:t>
      </w:r>
      <w:r w:rsidR="00AA22CE">
        <w:t xml:space="preserve">) </w:t>
      </w:r>
      <w:r w:rsidRPr="00AA22CE">
        <w:t xml:space="preserve">Economic </w:t>
      </w:r>
      <w:r w:rsidR="00AA22CE">
        <w:t xml:space="preserve">Study conducted </w:t>
      </w:r>
      <w:r w:rsidR="00D178CD">
        <w:t>for the ISO’s stakeholders following a</w:t>
      </w:r>
      <w:r w:rsidR="00AA22CE">
        <w:t xml:space="preserve"> request </w:t>
      </w:r>
      <w:r w:rsidR="00D178CD">
        <w:t>by</w:t>
      </w:r>
      <w:r w:rsidR="00AA22CE">
        <w:t xml:space="preserve"> </w:t>
      </w:r>
      <w:r w:rsidR="00ED31EA">
        <w:t>the New England States Committee on Electricity (</w:t>
      </w:r>
      <w:r w:rsidR="00544F6F">
        <w:t>NESCOE</w:t>
      </w:r>
      <w:r w:rsidR="00ED31EA">
        <w:t>)</w:t>
      </w:r>
      <w:r w:rsidR="00217E28">
        <w:t xml:space="preserve">. </w:t>
      </w:r>
      <w:r w:rsidR="00AA22CE">
        <w:t xml:space="preserve">The </w:t>
      </w:r>
      <w:r w:rsidR="009235B9">
        <w:t>NESCOE 2019 Economic Study</w:t>
      </w:r>
      <w:r w:rsidR="00982C99">
        <w:t xml:space="preserve"> </w:t>
      </w:r>
      <w:r w:rsidR="00544F6F">
        <w:t>examined transmission</w:t>
      </w:r>
      <w:r w:rsidR="00342DDE">
        <w:t xml:space="preserve"> </w:t>
      </w:r>
      <w:r w:rsidR="00544F6F">
        <w:t xml:space="preserve">system and wholesale market impacts </w:t>
      </w:r>
      <w:r w:rsidR="00ED31EA">
        <w:t xml:space="preserve">associated with </w:t>
      </w:r>
      <w:r w:rsidR="00544F6F">
        <w:t>t</w:t>
      </w:r>
      <w:r w:rsidR="00ED31EA">
        <w:t>he</w:t>
      </w:r>
      <w:r w:rsidR="00544F6F">
        <w:t xml:space="preserve"> increasing penetration of incremental offshore wind </w:t>
      </w:r>
      <w:r w:rsidR="00023487">
        <w:t xml:space="preserve">(OSW) </w:t>
      </w:r>
      <w:r w:rsidR="00544F6F">
        <w:t>resources</w:t>
      </w:r>
      <w:r w:rsidR="00BF1EA7">
        <w:t xml:space="preserve">. </w:t>
      </w:r>
      <w:r w:rsidR="00544F6F">
        <w:t xml:space="preserve">The study </w:t>
      </w:r>
      <w:r w:rsidR="0091630B">
        <w:t xml:space="preserve">included </w:t>
      </w:r>
      <w:r w:rsidR="00544F6F">
        <w:t xml:space="preserve">offshore wind projects under development </w:t>
      </w:r>
      <w:r w:rsidR="0091630B">
        <w:t xml:space="preserve">at the time of the NESCOE request, </w:t>
      </w:r>
      <w:r w:rsidR="00544F6F">
        <w:t xml:space="preserve">including Vineyard Wind (800 </w:t>
      </w:r>
      <w:r w:rsidR="00ED31EA">
        <w:t>megawatts</w:t>
      </w:r>
      <w:r w:rsidR="005C4BF3">
        <w:t xml:space="preserve"> [</w:t>
      </w:r>
      <w:r w:rsidR="00544F6F">
        <w:t>MW</w:t>
      </w:r>
      <w:r w:rsidR="005C4BF3">
        <w:t>]</w:t>
      </w:r>
      <w:r w:rsidR="00544F6F">
        <w:t xml:space="preserve">) and Revolution Wind (200 MW), and considered </w:t>
      </w:r>
      <w:r w:rsidR="00484C2A">
        <w:t xml:space="preserve">an additional </w:t>
      </w:r>
      <w:r w:rsidR="00544F6F">
        <w:t xml:space="preserve">7,000 MW </w:t>
      </w:r>
      <w:r w:rsidR="00484C2A">
        <w:t>of offshore wind strategically placed in southern New England.</w:t>
      </w:r>
      <w:r w:rsidR="00576B9F" w:rsidRPr="00576B9F">
        <w:t xml:space="preserve"> </w:t>
      </w:r>
      <w:r w:rsidR="00375A8D">
        <w:t xml:space="preserve">This study also provided </w:t>
      </w:r>
      <w:r w:rsidR="007039B2">
        <w:t xml:space="preserve">alternatives for </w:t>
      </w:r>
      <w:r w:rsidR="00375A8D" w:rsidRPr="009235B9">
        <w:t>transmission system expansion</w:t>
      </w:r>
      <w:r w:rsidR="007039B2">
        <w:t xml:space="preserve"> </w:t>
      </w:r>
      <w:r w:rsidR="00375A8D" w:rsidRPr="009235B9">
        <w:t>for specific offsho</w:t>
      </w:r>
      <w:r w:rsidR="00375A8D">
        <w:t xml:space="preserve">re wind interconnection points, </w:t>
      </w:r>
      <w:r w:rsidR="00375A8D" w:rsidRPr="009235B9">
        <w:t xml:space="preserve">but </w:t>
      </w:r>
      <w:r w:rsidR="00375A8D">
        <w:t xml:space="preserve">it </w:t>
      </w:r>
      <w:r w:rsidR="00375A8D" w:rsidRPr="009235B9">
        <w:t>do</w:t>
      </w:r>
      <w:r w:rsidR="00375A8D">
        <w:t>es</w:t>
      </w:r>
      <w:r w:rsidR="00375A8D" w:rsidRPr="009235B9">
        <w:t xml:space="preserve"> not include detailed plans associated with any of the scenarios</w:t>
      </w:r>
      <w:r w:rsidR="00375A8D">
        <w:t xml:space="preserve"> examined</w:t>
      </w:r>
      <w:r w:rsidR="00375A8D" w:rsidRPr="00C74B0B">
        <w:t>.</w:t>
      </w:r>
    </w:p>
    <w:p w:rsidR="00E7778D" w:rsidRPr="00D24022" w:rsidRDefault="00E57FF9" w:rsidP="00D6308C">
      <w:pPr>
        <w:rPr>
          <w:szCs w:val="20"/>
        </w:rPr>
      </w:pPr>
      <w:r w:rsidRPr="00053241">
        <w:rPr>
          <w:szCs w:val="20"/>
        </w:rPr>
        <w:t xml:space="preserve">Results </w:t>
      </w:r>
      <w:r w:rsidR="00053241">
        <w:rPr>
          <w:szCs w:val="20"/>
        </w:rPr>
        <w:t xml:space="preserve">of the production cost analyses </w:t>
      </w:r>
      <w:r w:rsidRPr="00053241">
        <w:rPr>
          <w:szCs w:val="20"/>
        </w:rPr>
        <w:t>indicate that</w:t>
      </w:r>
      <w:r w:rsidR="00576B9F" w:rsidRPr="007039B2">
        <w:rPr>
          <w:szCs w:val="20"/>
        </w:rPr>
        <w:t>,</w:t>
      </w:r>
      <w:r w:rsidRPr="007039B2">
        <w:rPr>
          <w:szCs w:val="20"/>
        </w:rPr>
        <w:t xml:space="preserve"> for judiciously chosen interconnection points and configurations, </w:t>
      </w:r>
      <w:r w:rsidR="0063062F" w:rsidRPr="007039B2">
        <w:rPr>
          <w:szCs w:val="20"/>
        </w:rPr>
        <w:t xml:space="preserve">high levels </w:t>
      </w:r>
      <w:r w:rsidR="00576B9F" w:rsidRPr="007039B2">
        <w:rPr>
          <w:szCs w:val="20"/>
        </w:rPr>
        <w:t xml:space="preserve">of </w:t>
      </w:r>
      <w:r w:rsidR="0063062F" w:rsidRPr="007039B2">
        <w:rPr>
          <w:szCs w:val="20"/>
        </w:rPr>
        <w:t xml:space="preserve">offshore wind </w:t>
      </w:r>
      <w:r w:rsidR="00AC72E1" w:rsidRPr="007039B2">
        <w:rPr>
          <w:szCs w:val="20"/>
        </w:rPr>
        <w:t xml:space="preserve">in southern New England </w:t>
      </w:r>
      <w:r w:rsidR="0063062F" w:rsidRPr="007039B2">
        <w:rPr>
          <w:szCs w:val="20"/>
        </w:rPr>
        <w:t>do not cause significant transmission</w:t>
      </w:r>
      <w:r w:rsidR="00BE5538" w:rsidRPr="007039B2">
        <w:rPr>
          <w:szCs w:val="20"/>
        </w:rPr>
        <w:t>-</w:t>
      </w:r>
      <w:r w:rsidR="0063062F" w:rsidRPr="007039B2">
        <w:rPr>
          <w:szCs w:val="20"/>
        </w:rPr>
        <w:t>interface congestio</w:t>
      </w:r>
      <w:r w:rsidR="0063062F" w:rsidRPr="00EC74FC">
        <w:rPr>
          <w:szCs w:val="20"/>
        </w:rPr>
        <w:t>n</w:t>
      </w:r>
      <w:r w:rsidR="00BF1EA7" w:rsidRPr="00EC74FC">
        <w:rPr>
          <w:szCs w:val="20"/>
        </w:rPr>
        <w:t xml:space="preserve">. </w:t>
      </w:r>
      <w:r w:rsidR="00053241" w:rsidRPr="002910BA">
        <w:rPr>
          <w:szCs w:val="20"/>
        </w:rPr>
        <w:t>When 6,000 MW or less of offshore wind is</w:t>
      </w:r>
      <w:r w:rsidR="00053241">
        <w:rPr>
          <w:szCs w:val="20"/>
        </w:rPr>
        <w:t xml:space="preserve"> added to southern New England, less than 2% of renewable energy is spilled. </w:t>
      </w:r>
      <w:r w:rsidR="00650E69">
        <w:rPr>
          <w:szCs w:val="20"/>
        </w:rPr>
        <w:t>T</w:t>
      </w:r>
      <w:r w:rsidR="00650E69" w:rsidRPr="002910BA">
        <w:rPr>
          <w:szCs w:val="20"/>
        </w:rPr>
        <w:t xml:space="preserve">he curtailment of offshore wind resources attributed to oversupply (i.e., spillage) occurs when loads are lower, not from transmission congestion. </w:t>
      </w:r>
      <w:r w:rsidR="00792DA5" w:rsidRPr="00053241">
        <w:rPr>
          <w:szCs w:val="20"/>
        </w:rPr>
        <w:t>O</w:t>
      </w:r>
      <w:r w:rsidR="00AC72E1" w:rsidRPr="00D24022">
        <w:rPr>
          <w:szCs w:val="20"/>
        </w:rPr>
        <w:t xml:space="preserve">ffshore wind depresses </w:t>
      </w:r>
      <w:r w:rsidR="00576B9F">
        <w:rPr>
          <w:szCs w:val="20"/>
        </w:rPr>
        <w:t xml:space="preserve">the </w:t>
      </w:r>
      <w:r w:rsidR="00AC72E1" w:rsidRPr="00576B9F">
        <w:rPr>
          <w:szCs w:val="20"/>
        </w:rPr>
        <w:t xml:space="preserve">use of </w:t>
      </w:r>
      <w:r w:rsidR="00053241">
        <w:rPr>
          <w:szCs w:val="20"/>
        </w:rPr>
        <w:t xml:space="preserve">traditional generating resources </w:t>
      </w:r>
      <w:r w:rsidR="00AC72E1" w:rsidRPr="00576B9F">
        <w:rPr>
          <w:szCs w:val="20"/>
        </w:rPr>
        <w:t>and imports</w:t>
      </w:r>
      <w:r w:rsidR="00792DA5" w:rsidRPr="00D24022">
        <w:rPr>
          <w:szCs w:val="20"/>
        </w:rPr>
        <w:t>, and</w:t>
      </w:r>
      <w:r w:rsidR="00AC72E1" w:rsidRPr="00D24022">
        <w:rPr>
          <w:szCs w:val="20"/>
        </w:rPr>
        <w:t xml:space="preserve"> emissions decrease</w:t>
      </w:r>
      <w:r w:rsidR="00792DA5" w:rsidRPr="00D24022">
        <w:rPr>
          <w:szCs w:val="20"/>
        </w:rPr>
        <w:t xml:space="preserve"> for the New England control area</w:t>
      </w:r>
      <w:r w:rsidR="00AC72E1" w:rsidRPr="00D24022">
        <w:rPr>
          <w:szCs w:val="20"/>
        </w:rPr>
        <w:t xml:space="preserve">. </w:t>
      </w:r>
      <w:r w:rsidR="009355A4" w:rsidRPr="00D24022">
        <w:rPr>
          <w:szCs w:val="20"/>
        </w:rPr>
        <w:t>In the 8,000 MW scenarios</w:t>
      </w:r>
      <w:r w:rsidR="00576B9F">
        <w:rPr>
          <w:szCs w:val="20"/>
        </w:rPr>
        <w:t>,</w:t>
      </w:r>
      <w:r w:rsidR="009355A4" w:rsidRPr="00576B9F">
        <w:rPr>
          <w:szCs w:val="20"/>
        </w:rPr>
        <w:t xml:space="preserve"> </w:t>
      </w:r>
      <w:r w:rsidR="00146B1B">
        <w:rPr>
          <w:szCs w:val="20"/>
        </w:rPr>
        <w:t xml:space="preserve">the system uses </w:t>
      </w:r>
      <w:r w:rsidR="009355A4" w:rsidRPr="00576B9F">
        <w:rPr>
          <w:szCs w:val="20"/>
        </w:rPr>
        <w:t xml:space="preserve">as much as 86.1% </w:t>
      </w:r>
      <w:r w:rsidR="009355A4" w:rsidRPr="00D24022">
        <w:rPr>
          <w:szCs w:val="20"/>
        </w:rPr>
        <w:t>of available offshore wind energy</w:t>
      </w:r>
      <w:r w:rsidR="00146B1B">
        <w:rPr>
          <w:szCs w:val="20"/>
        </w:rPr>
        <w:t>,</w:t>
      </w:r>
      <w:r w:rsidR="009355A4" w:rsidRPr="00D24022">
        <w:rPr>
          <w:szCs w:val="20"/>
        </w:rPr>
        <w:t xml:space="preserve"> </w:t>
      </w:r>
      <w:r w:rsidR="00053241">
        <w:rPr>
          <w:szCs w:val="20"/>
        </w:rPr>
        <w:t xml:space="preserve">and carbon </w:t>
      </w:r>
      <w:r w:rsidR="00053241" w:rsidRPr="007039B2">
        <w:rPr>
          <w:szCs w:val="20"/>
        </w:rPr>
        <w:t>dioxide (CO</w:t>
      </w:r>
      <w:r w:rsidR="00053241" w:rsidRPr="007039B2">
        <w:rPr>
          <w:szCs w:val="20"/>
          <w:vertAlign w:val="subscript"/>
        </w:rPr>
        <w:t>2</w:t>
      </w:r>
      <w:r w:rsidR="00053241" w:rsidRPr="007039B2">
        <w:rPr>
          <w:szCs w:val="20"/>
        </w:rPr>
        <w:t>) emission</w:t>
      </w:r>
      <w:r w:rsidR="00053241">
        <w:rPr>
          <w:szCs w:val="20"/>
        </w:rPr>
        <w:t xml:space="preserve"> rates fall approximately 50%</w:t>
      </w:r>
      <w:r w:rsidR="009355A4" w:rsidRPr="00D24022">
        <w:rPr>
          <w:szCs w:val="20"/>
        </w:rPr>
        <w:t>.</w:t>
      </w:r>
    </w:p>
    <w:p w:rsidR="007039B2" w:rsidRDefault="00F84DE1" w:rsidP="00BE5538">
      <w:r w:rsidRPr="007039B2">
        <w:t xml:space="preserve">Results </w:t>
      </w:r>
      <w:r w:rsidR="005233EB">
        <w:t xml:space="preserve">of the transmission analyses </w:t>
      </w:r>
      <w:r w:rsidRPr="005233EB">
        <w:t xml:space="preserve">indicate that with the </w:t>
      </w:r>
      <w:r w:rsidR="005233EB">
        <w:t xml:space="preserve">specific interconnection </w:t>
      </w:r>
      <w:r w:rsidRPr="005233EB">
        <w:t>configurations identified</w:t>
      </w:r>
      <w:r w:rsidRPr="007039B2">
        <w:t xml:space="preserve"> in this study</w:t>
      </w:r>
      <w:r w:rsidR="00FE13D2" w:rsidRPr="007039B2">
        <w:t xml:space="preserve"> a</w:t>
      </w:r>
      <w:r w:rsidR="00FE13D2" w:rsidRPr="00FE13D2">
        <w:t>nd the proximity to major load centers</w:t>
      </w:r>
      <w:r w:rsidRPr="00F84DE1">
        <w:t xml:space="preserve">, approximately </w:t>
      </w:r>
      <w:r w:rsidR="0091630B">
        <w:t>5,8</w:t>
      </w:r>
      <w:r w:rsidR="0091630B" w:rsidRPr="00F84DE1">
        <w:t xml:space="preserve">00 MW </w:t>
      </w:r>
      <w:r w:rsidRPr="00F84DE1">
        <w:t xml:space="preserve">of offshore wind can be interconnected </w:t>
      </w:r>
      <w:r w:rsidR="0091630B">
        <w:t>to points along the southern shores of Massachusetts, Rhode Island</w:t>
      </w:r>
      <w:r w:rsidR="00BE5538">
        <w:t>,</w:t>
      </w:r>
      <w:r w:rsidR="0091630B">
        <w:t xml:space="preserve"> and Connecticut </w:t>
      </w:r>
      <w:r w:rsidRPr="00F84DE1">
        <w:t>without significant upgrades to the onshore transmission network</w:t>
      </w:r>
      <w:r w:rsidR="00BF1EA7">
        <w:t>.</w:t>
      </w:r>
      <w:r w:rsidR="00BE5538">
        <w:rPr>
          <w:rStyle w:val="FootnoteReference"/>
        </w:rPr>
        <w:footnoteReference w:id="2"/>
      </w:r>
      <w:r w:rsidR="00BF1EA7">
        <w:t xml:space="preserve"> </w:t>
      </w:r>
      <w:r w:rsidR="0091630B">
        <w:t xml:space="preserve">The study identified alternatives that could be considered to bring the interconnected total (above the assumed base of 1,000 MW) to the full </w:t>
      </w:r>
      <w:r w:rsidR="00857A79">
        <w:t xml:space="preserve">additional </w:t>
      </w:r>
      <w:r w:rsidR="0091630B">
        <w:t xml:space="preserve">7,000 MW requested by NESCOE. Once </w:t>
      </w:r>
      <w:r w:rsidR="00146B1B">
        <w:t xml:space="preserve">all </w:t>
      </w:r>
      <w:r w:rsidR="0091630B">
        <w:t>the 5,800 MW of “low-hanging-fruit” interconnection capability on the southern shore was used, two alternative approaches to additional offshore wind interconnection were compared. One approach continued to interconne</w:t>
      </w:r>
      <w:r w:rsidR="0091630B" w:rsidRPr="000D4787">
        <w:t xml:space="preserve">ct </w:t>
      </w:r>
      <w:r w:rsidR="007D5B09" w:rsidRPr="000D4787">
        <w:t xml:space="preserve">megawatts </w:t>
      </w:r>
      <w:r w:rsidR="0091630B" w:rsidRPr="000D4787">
        <w:t>to t</w:t>
      </w:r>
      <w:r w:rsidR="0091630B">
        <w:t xml:space="preserve">he southern shore points. Significant upgrades to the existing onshore transmission system were required for these injections. The alternative approach considered using </w:t>
      </w:r>
      <w:r w:rsidR="00AB2BE3">
        <w:t>h</w:t>
      </w:r>
      <w:r w:rsidR="0091630B">
        <w:t>igh</w:t>
      </w:r>
      <w:r w:rsidR="00AB2BE3">
        <w:t>-v</w:t>
      </w:r>
      <w:r w:rsidR="0091630B">
        <w:t xml:space="preserve">oltage </w:t>
      </w:r>
      <w:r w:rsidR="00AB2BE3">
        <w:t>d</w:t>
      </w:r>
      <w:r w:rsidR="0091630B">
        <w:t>irect</w:t>
      </w:r>
      <w:r w:rsidR="00AB2BE3">
        <w:t>-c</w:t>
      </w:r>
      <w:r w:rsidR="0091630B">
        <w:t xml:space="preserve">urrent (HVDC) submarine cables to travel further distances in the ocean to connect offshore collection stations directly to load centers such as Boston. This approach involved more expensive offshore transmission infrastructure but avoided significant upgrades to the existing onshore grid. </w:t>
      </w:r>
    </w:p>
    <w:p w:rsidR="005D7D1A" w:rsidRDefault="0091630B" w:rsidP="00BE5538">
      <w:r>
        <w:t>The overall levels of investment in these alternatives appear comparable</w:t>
      </w:r>
      <w:r w:rsidR="00686415">
        <w:t>,</w:t>
      </w:r>
      <w:r>
        <w:t xml:space="preserve"> and both alternatives should be considered for injections of offshore wind beyond the 5,800 MW of interconnection capability identified on the southern shore</w:t>
      </w:r>
      <w:r w:rsidR="00BF1EA7">
        <w:t>.</w:t>
      </w:r>
      <w:r w:rsidR="005233EB">
        <w:t xml:space="preserve"> Under each approach, estimates of the overall transmission component could be $</w:t>
      </w:r>
      <w:r w:rsidR="00146B1B">
        <w:t>1 </w:t>
      </w:r>
      <w:r w:rsidR="005233EB">
        <w:t>billion or more for each 1,200 MW addition. However, actual costs are highly dependent on the specific circumstances of each project, especially for the onshore AC expansion, which will be location specific.</w:t>
      </w:r>
      <w:r w:rsidR="00BF1EA7">
        <w:t xml:space="preserve"> </w:t>
      </w:r>
      <w:r>
        <w:t xml:space="preserve">  </w:t>
      </w:r>
      <w:r w:rsidR="00E7778D">
        <w:t xml:space="preserve"> </w:t>
      </w:r>
    </w:p>
    <w:p w:rsidR="00002E84" w:rsidRDefault="00002E84" w:rsidP="00C61CC4"/>
    <w:p w:rsidR="00053241" w:rsidRDefault="00053241" w:rsidP="00D7634C">
      <w:pPr>
        <w:pStyle w:val="Heading1"/>
      </w:pPr>
      <w:r>
        <w:lastRenderedPageBreak/>
        <w:br/>
      </w:r>
      <w:bookmarkStart w:id="18" w:name="_Toc44412035"/>
      <w:r>
        <w:t>Background</w:t>
      </w:r>
      <w:bookmarkEnd w:id="18"/>
    </w:p>
    <w:p w:rsidR="00D7634C" w:rsidRDefault="00053241" w:rsidP="00053241">
      <w:r w:rsidRPr="00B5661F">
        <w:t xml:space="preserve">The 2019 NESCOE Economic Study was one of three </w:t>
      </w:r>
      <w:r>
        <w:t>e</w:t>
      </w:r>
      <w:r w:rsidRPr="00B5661F">
        <w:t xml:space="preserve">conomic </w:t>
      </w:r>
      <w:r>
        <w:t>s</w:t>
      </w:r>
      <w:r w:rsidRPr="00B5661F">
        <w:t xml:space="preserve">tudies submitted </w:t>
      </w:r>
      <w:r>
        <w:t xml:space="preserve">to the ISO </w:t>
      </w:r>
      <w:r w:rsidRPr="00B5661F">
        <w:t>in 2019</w:t>
      </w:r>
      <w:r>
        <w:t xml:space="preserve">. </w:t>
      </w:r>
      <w:r w:rsidRPr="00B5661F">
        <w:t xml:space="preserve">The other two </w:t>
      </w:r>
      <w:r>
        <w:t>e</w:t>
      </w:r>
      <w:r w:rsidRPr="00B5661F">
        <w:t xml:space="preserve">conomic </w:t>
      </w:r>
      <w:r>
        <w:t>s</w:t>
      </w:r>
      <w:r w:rsidRPr="00B5661F">
        <w:t>tudy requests were from RENEW and Anbaric</w:t>
      </w:r>
      <w:r>
        <w:t>, and separate reports will be issued accordingly</w:t>
      </w:r>
      <w:r w:rsidRPr="00466D29">
        <w:t>.</w:t>
      </w:r>
      <w:r w:rsidRPr="00466D29">
        <w:rPr>
          <w:rStyle w:val="FootnoteReference"/>
        </w:rPr>
        <w:footnoteReference w:id="3"/>
      </w:r>
      <w:r>
        <w:t xml:space="preserve"> </w:t>
      </w:r>
    </w:p>
    <w:p w:rsidR="00053241" w:rsidRDefault="00053241" w:rsidP="00053241">
      <w:r w:rsidRPr="00D13707">
        <w:t>As a part of the regional system planning effort</w:t>
      </w:r>
      <w:r>
        <w:t xml:space="preserve"> and </w:t>
      </w:r>
      <w:r w:rsidRPr="00D13707">
        <w:t xml:space="preserve">as specified in Attachment K of its </w:t>
      </w:r>
      <w:r w:rsidRPr="000A4048">
        <w:rPr>
          <w:i/>
        </w:rPr>
        <w:t>Open-Access Transmission Tariff</w:t>
      </w:r>
      <w:r w:rsidRPr="00D13707">
        <w:t xml:space="preserve"> (OATT)</w:t>
      </w:r>
      <w:r>
        <w:t>,</w:t>
      </w:r>
      <w:r w:rsidRPr="00375A8D">
        <w:t xml:space="preserve"> </w:t>
      </w:r>
      <w:r>
        <w:t xml:space="preserve">the </w:t>
      </w:r>
      <w:r w:rsidRPr="00D13707">
        <w:t xml:space="preserve">ISO </w:t>
      </w:r>
      <w:r>
        <w:t xml:space="preserve">may </w:t>
      </w:r>
      <w:r w:rsidRPr="00D13707">
        <w:t>conduct economic planning studies each year.</w:t>
      </w:r>
      <w:r>
        <w:rPr>
          <w:rStyle w:val="FootnoteReference"/>
        </w:rPr>
        <w:footnoteReference w:id="4"/>
      </w:r>
      <w:r w:rsidRPr="00D13707">
        <w:t xml:space="preserve"> The economic studies provide information on system performance, such as estimated production costs, load-serving entity (LSE) energy </w:t>
      </w:r>
      <w:r w:rsidRPr="004A2DCA">
        <w:t>expenses, transmission congestion, and environmental emission levels.</w:t>
      </w:r>
      <w:r w:rsidRPr="004A2DCA">
        <w:rPr>
          <w:rStyle w:val="FootnoteReference"/>
        </w:rPr>
        <w:footnoteReference w:id="5"/>
      </w:r>
      <w:r>
        <w:t xml:space="preserve"> </w:t>
      </w:r>
      <w:r w:rsidRPr="00C74B0B">
        <w:t>Scenario analyses</w:t>
      </w:r>
      <w:r>
        <w:t xml:space="preserve"> also</w:t>
      </w:r>
      <w:r w:rsidRPr="00C74B0B">
        <w:t xml:space="preserve"> inform stakeholders about different future </w:t>
      </w:r>
      <w:r w:rsidRPr="002B2179">
        <w:t xml:space="preserve">systems. These hypothetical systems should not be regarded as </w:t>
      </w:r>
      <w:r w:rsidRPr="0040073E">
        <w:t xml:space="preserve">physically realizable </w:t>
      </w:r>
      <w:r>
        <w:t xml:space="preserve">interconnection </w:t>
      </w:r>
      <w:r w:rsidRPr="0040073E">
        <w:t xml:space="preserve">plans or </w:t>
      </w:r>
      <w:r w:rsidRPr="002B2179">
        <w:t>the ISO’s vision of realistic future development, projections, and preferences.</w:t>
      </w:r>
      <w:r>
        <w:t xml:space="preserve"> </w:t>
      </w:r>
    </w:p>
    <w:p w:rsidR="00053241" w:rsidRDefault="00053241" w:rsidP="00053241">
      <w:r>
        <w:t>The role of the Planning Advisory Committee (PAC) in the economic study process is to discuss, identify, and otherwise assist the ISO by advising on the proposed studies.</w:t>
      </w:r>
      <w:r>
        <w:rPr>
          <w:rStyle w:val="FootnoteReference"/>
        </w:rPr>
        <w:footnoteReference w:id="6"/>
      </w:r>
      <w:r>
        <w:t xml:space="preserve"> </w:t>
      </w:r>
      <w:r w:rsidR="00B226ED" w:rsidRPr="006D4074">
        <w:t>For this study, t</w:t>
      </w:r>
      <w:r w:rsidRPr="006D4074">
        <w:t>he scop</w:t>
      </w:r>
      <w:r w:rsidRPr="00DC34C4">
        <w:t>e of work</w:t>
      </w:r>
      <w:r w:rsidR="005C4BF3">
        <w:t xml:space="preserve"> and</w:t>
      </w:r>
      <w:r w:rsidRPr="00DC34C4">
        <w:t xml:space="preserve"> assumptions</w:t>
      </w:r>
      <w:r w:rsidR="00B226ED">
        <w:t xml:space="preserve"> were </w:t>
      </w:r>
      <w:r w:rsidR="005C4BF3">
        <w:t>driven by stakeholders</w:t>
      </w:r>
      <w:r w:rsidR="00B226ED">
        <w:t xml:space="preserve"> and the study proponent, NESCOE. R</w:t>
      </w:r>
      <w:r w:rsidRPr="00DC34C4">
        <w:t xml:space="preserve">esults </w:t>
      </w:r>
      <w:r w:rsidR="005C4BF3">
        <w:t>were discussed during</w:t>
      </w:r>
      <w:r w:rsidR="00B226ED">
        <w:t xml:space="preserve"> </w:t>
      </w:r>
      <w:r>
        <w:t xml:space="preserve">PAC </w:t>
      </w:r>
      <w:r w:rsidRPr="002E3103">
        <w:t>meetings held from April 201</w:t>
      </w:r>
      <w:r>
        <w:t>9</w:t>
      </w:r>
      <w:r w:rsidRPr="002E3103">
        <w:t xml:space="preserve"> through </w:t>
      </w:r>
      <w:r>
        <w:t>June 2020</w:t>
      </w:r>
      <w:r w:rsidR="00B226ED">
        <w:t xml:space="preserve"> and summarized in this report</w:t>
      </w:r>
      <w:r w:rsidRPr="002E3103">
        <w:t xml:space="preserve">. </w:t>
      </w:r>
      <w:r w:rsidRPr="00B82E49">
        <w:t xml:space="preserve">The ISO encourages interested parties to compare the </w:t>
      </w:r>
      <w:r w:rsidR="00650E69">
        <w:t xml:space="preserve">assumptions and </w:t>
      </w:r>
      <w:r w:rsidRPr="00B82E49">
        <w:t>results for the different scenarios</w:t>
      </w:r>
      <w:r w:rsidRPr="002E3103">
        <w:t xml:space="preserve"> and to reach their own conclusions about the possible outcomes.</w:t>
      </w:r>
    </w:p>
    <w:p w:rsidR="00053241" w:rsidRDefault="00053241" w:rsidP="00053241">
      <w:pPr>
        <w:rPr>
          <w:szCs w:val="20"/>
        </w:rPr>
      </w:pPr>
      <w:r w:rsidRPr="00576B9F">
        <w:rPr>
          <w:szCs w:val="20"/>
        </w:rPr>
        <w:t xml:space="preserve">The ISO’s production cost study results for the NESCOE Economic Study for scenarios up to 6,000 MW of offshore wind interconnections were presented to </w:t>
      </w:r>
      <w:r>
        <w:rPr>
          <w:szCs w:val="20"/>
        </w:rPr>
        <w:t xml:space="preserve">the </w:t>
      </w:r>
      <w:r w:rsidRPr="00576B9F">
        <w:rPr>
          <w:szCs w:val="20"/>
        </w:rPr>
        <w:t xml:space="preserve">PAC on </w:t>
      </w:r>
      <w:r w:rsidRPr="00BE5538">
        <w:rPr>
          <w:szCs w:val="20"/>
        </w:rPr>
        <w:t>December 19, 2019,</w:t>
      </w:r>
      <w:r w:rsidRPr="00576B9F">
        <w:rPr>
          <w:szCs w:val="20"/>
        </w:rPr>
        <w:t xml:space="preserve"> with a follow-up on </w:t>
      </w:r>
      <w:r w:rsidRPr="00BE5538">
        <w:rPr>
          <w:szCs w:val="20"/>
        </w:rPr>
        <w:t>January 23, 2020</w:t>
      </w:r>
      <w:r w:rsidRPr="00D24022">
        <w:rPr>
          <w:szCs w:val="20"/>
        </w:rPr>
        <w:t>.</w:t>
      </w:r>
      <w:bookmarkStart w:id="19" w:name="_Ref43214196"/>
      <w:r w:rsidRPr="00D24022">
        <w:rPr>
          <w:rStyle w:val="FootnoteReference"/>
          <w:sz w:val="20"/>
          <w:szCs w:val="20"/>
        </w:rPr>
        <w:footnoteReference w:id="7"/>
      </w:r>
      <w:bookmarkEnd w:id="19"/>
      <w:r w:rsidRPr="009C02EB">
        <w:rPr>
          <w:szCs w:val="20"/>
        </w:rPr>
        <w:t xml:space="preserve"> Pr</w:t>
      </w:r>
      <w:r w:rsidRPr="00576B9F">
        <w:rPr>
          <w:szCs w:val="20"/>
        </w:rPr>
        <w:t>oduction cost results for 8,000 MW of offshore wind interconnections were presented to</w:t>
      </w:r>
      <w:r>
        <w:rPr>
          <w:szCs w:val="20"/>
        </w:rPr>
        <w:t xml:space="preserve"> </w:t>
      </w:r>
      <w:r>
        <w:rPr>
          <w:szCs w:val="20"/>
        </w:rPr>
        <w:lastRenderedPageBreak/>
        <w:t>the</w:t>
      </w:r>
      <w:r w:rsidRPr="00576B9F">
        <w:rPr>
          <w:szCs w:val="20"/>
        </w:rPr>
        <w:t xml:space="preserve"> PAC on </w:t>
      </w:r>
      <w:r w:rsidRPr="00BE5538">
        <w:rPr>
          <w:szCs w:val="20"/>
        </w:rPr>
        <w:t>February 20, 2020</w:t>
      </w:r>
      <w:r w:rsidRPr="00D24022">
        <w:rPr>
          <w:szCs w:val="20"/>
        </w:rPr>
        <w:t>, with follow-up o</w:t>
      </w:r>
      <w:r w:rsidRPr="00576B9F">
        <w:rPr>
          <w:szCs w:val="20"/>
        </w:rPr>
        <w:t xml:space="preserve">n </w:t>
      </w:r>
      <w:r w:rsidRPr="00EC74FC">
        <w:rPr>
          <w:szCs w:val="20"/>
        </w:rPr>
        <w:t>April 23, 2020</w:t>
      </w:r>
      <w:r w:rsidRPr="005B1275">
        <w:rPr>
          <w:szCs w:val="20"/>
        </w:rPr>
        <w:t>.</w:t>
      </w:r>
      <w:bookmarkStart w:id="20" w:name="_Ref43215677"/>
      <w:r w:rsidRPr="005B1275">
        <w:rPr>
          <w:rStyle w:val="FootnoteReference"/>
        </w:rPr>
        <w:footnoteReference w:id="8"/>
      </w:r>
      <w:bookmarkEnd w:id="20"/>
      <w:r w:rsidRPr="005B1275">
        <w:rPr>
          <w:szCs w:val="20"/>
        </w:rPr>
        <w:t xml:space="preserve"> Both ancillary services and marginal emissions analyses </w:t>
      </w:r>
      <w:r w:rsidR="00C82B12">
        <w:rPr>
          <w:szCs w:val="20"/>
        </w:rPr>
        <w:t xml:space="preserve">(MEAs) </w:t>
      </w:r>
      <w:r w:rsidRPr="005B1275">
        <w:rPr>
          <w:szCs w:val="20"/>
        </w:rPr>
        <w:t xml:space="preserve">were presented on May 20, </w:t>
      </w:r>
      <w:r w:rsidRPr="00053241">
        <w:rPr>
          <w:szCs w:val="20"/>
        </w:rPr>
        <w:t>2020</w:t>
      </w:r>
      <w:r w:rsidRPr="00D7634C">
        <w:rPr>
          <w:szCs w:val="20"/>
        </w:rPr>
        <w:t>.</w:t>
      </w:r>
      <w:bookmarkStart w:id="21" w:name="_Ref43215754"/>
      <w:r w:rsidRPr="00D7634C">
        <w:rPr>
          <w:rStyle w:val="FootnoteReference"/>
        </w:rPr>
        <w:footnoteReference w:id="9"/>
      </w:r>
      <w:bookmarkEnd w:id="21"/>
      <w:r w:rsidR="005233EB" w:rsidRPr="00D7634C">
        <w:rPr>
          <w:szCs w:val="20"/>
        </w:rPr>
        <w:t xml:space="preserve"> </w:t>
      </w:r>
      <w:r w:rsidRPr="00E712DA">
        <w:t>A detailed discussion of transmission interconnection issues for the NESCOE Economic Study was provided to PAC members on April 2</w:t>
      </w:r>
      <w:r w:rsidRPr="003E4526">
        <w:t xml:space="preserve">3, 2020, </w:t>
      </w:r>
      <w:r w:rsidR="003E4526" w:rsidRPr="003E4526">
        <w:t>May </w:t>
      </w:r>
      <w:r w:rsidRPr="003E4526">
        <w:t>20, 2020</w:t>
      </w:r>
      <w:r w:rsidRPr="003E4526">
        <w:rPr>
          <w:rStyle w:val="Hyperlink"/>
        </w:rPr>
        <w:t>,</w:t>
      </w:r>
      <w:r w:rsidRPr="003E4526">
        <w:t xml:space="preserve"> and June 17, 2020.</w:t>
      </w:r>
      <w:r w:rsidRPr="003E4526">
        <w:rPr>
          <w:rStyle w:val="FootnoteReference"/>
        </w:rPr>
        <w:footnoteReference w:id="10"/>
      </w:r>
    </w:p>
    <w:p w:rsidR="00053241" w:rsidRPr="005B4D9E" w:rsidRDefault="00053241" w:rsidP="00053241">
      <w:r w:rsidRPr="009C02EB">
        <w:t>The report includes hyperlinks throughout to PAC presentations and other materials that contain more</w:t>
      </w:r>
      <w:r>
        <w:t xml:space="preserve"> detailed</w:t>
      </w:r>
      <w:r w:rsidRPr="00513625">
        <w:t xml:space="preserve"> information. </w:t>
      </w:r>
      <w:r>
        <w:t>Some of these links are for materials containing Critical Energy Infrastructure Information (CEII).</w:t>
      </w:r>
      <w:r>
        <w:rPr>
          <w:rStyle w:val="FootnoteReference"/>
        </w:rPr>
        <w:footnoteReference w:id="11"/>
      </w:r>
      <w:r>
        <w:t xml:space="preserve"> </w:t>
      </w:r>
      <w:r w:rsidRPr="00513625">
        <w:t xml:space="preserve">These links </w:t>
      </w:r>
      <w:r>
        <w:t xml:space="preserve">are </w:t>
      </w:r>
      <w:r w:rsidRPr="00910EF9">
        <w:t>up to date as of the publication of the report.</w:t>
      </w:r>
    </w:p>
    <w:p w:rsidR="0066269A" w:rsidRDefault="00E95645">
      <w:pPr>
        <w:pStyle w:val="Heading1"/>
      </w:pPr>
      <w:r>
        <w:lastRenderedPageBreak/>
        <w:br/>
      </w:r>
      <w:bookmarkStart w:id="22" w:name="_Toc44412036"/>
      <w:r w:rsidR="003B7B71">
        <w:t xml:space="preserve">Purpose of the </w:t>
      </w:r>
      <w:r w:rsidR="003C7345">
        <w:t>201</w:t>
      </w:r>
      <w:r w:rsidR="006F597A">
        <w:t>9</w:t>
      </w:r>
      <w:r w:rsidR="003C7345">
        <w:t xml:space="preserve"> </w:t>
      </w:r>
      <w:r w:rsidR="007145E4">
        <w:t xml:space="preserve">NESCOE </w:t>
      </w:r>
      <w:r w:rsidR="003B7B71">
        <w:t>Economic Study</w:t>
      </w:r>
      <w:r w:rsidR="00C61CC4">
        <w:br/>
      </w:r>
      <w:r w:rsidR="005F0CB1">
        <w:t>and Metrics</w:t>
      </w:r>
      <w:r w:rsidR="007A2BF4">
        <w:t xml:space="preserve"> Analyzed</w:t>
      </w:r>
      <w:bookmarkEnd w:id="22"/>
    </w:p>
    <w:p w:rsidR="00294EC5" w:rsidRDefault="00C814FD" w:rsidP="00C61CC4">
      <w:r>
        <w:t xml:space="preserve">In </w:t>
      </w:r>
      <w:r w:rsidR="006F597A">
        <w:t xml:space="preserve">April </w:t>
      </w:r>
      <w:r w:rsidRPr="00492526">
        <w:t>201</w:t>
      </w:r>
      <w:r w:rsidR="006F597A">
        <w:t>9</w:t>
      </w:r>
      <w:r w:rsidRPr="00492526">
        <w:t xml:space="preserve">, </w:t>
      </w:r>
      <w:r w:rsidR="006F597A">
        <w:t>NESCOE</w:t>
      </w:r>
      <w:r w:rsidR="002E09FB">
        <w:t xml:space="preserve"> </w:t>
      </w:r>
      <w:r w:rsidRPr="00492526">
        <w:t xml:space="preserve">submitted </w:t>
      </w:r>
      <w:r w:rsidR="00852887">
        <w:t xml:space="preserve">a </w:t>
      </w:r>
      <w:r w:rsidR="00D342CC">
        <w:t xml:space="preserve">request </w:t>
      </w:r>
      <w:r w:rsidR="00190EC1">
        <w:t xml:space="preserve">for a </w:t>
      </w:r>
      <w:r>
        <w:t>s</w:t>
      </w:r>
      <w:r w:rsidR="00294EC5">
        <w:t xml:space="preserve">cenario </w:t>
      </w:r>
      <w:r>
        <w:t>a</w:t>
      </w:r>
      <w:r w:rsidR="00294EC5">
        <w:t xml:space="preserve">nalysis </w:t>
      </w:r>
      <w:r w:rsidR="00E95645">
        <w:t xml:space="preserve">on offshore wind integration </w:t>
      </w:r>
      <w:r>
        <w:t xml:space="preserve">that would </w:t>
      </w:r>
      <w:r w:rsidR="00852887">
        <w:t xml:space="preserve">provide </w:t>
      </w:r>
      <w:r w:rsidR="00190EC1">
        <w:t>inform</w:t>
      </w:r>
      <w:r w:rsidR="00852887">
        <w:t xml:space="preserve">ation </w:t>
      </w:r>
      <w:r w:rsidR="00F17B67">
        <w:t xml:space="preserve">and data </w:t>
      </w:r>
      <w:r w:rsidR="00852887">
        <w:t>on the following topics</w:t>
      </w:r>
      <w:r w:rsidR="00294EC5">
        <w:t>:</w:t>
      </w:r>
      <w:r w:rsidR="005F0CB1">
        <w:rPr>
          <w:rStyle w:val="FootnoteReference"/>
        </w:rPr>
        <w:footnoteReference w:id="12"/>
      </w:r>
    </w:p>
    <w:p w:rsidR="00917BCB" w:rsidRPr="00917BCB" w:rsidRDefault="00917BCB" w:rsidP="00762275">
      <w:pPr>
        <w:pStyle w:val="ListParagraph"/>
        <w:numPr>
          <w:ilvl w:val="0"/>
          <w:numId w:val="5"/>
        </w:numPr>
      </w:pPr>
      <w:r w:rsidRPr="00917BCB">
        <w:t xml:space="preserve">Scenario </w:t>
      </w:r>
      <w:r w:rsidR="00E95645">
        <w:t>a</w:t>
      </w:r>
      <w:r w:rsidRPr="00917BCB">
        <w:t>nalysis</w:t>
      </w:r>
    </w:p>
    <w:p w:rsidR="00917BCB" w:rsidRPr="00917BCB" w:rsidRDefault="00917BCB" w:rsidP="00762275">
      <w:pPr>
        <w:pStyle w:val="ListParagraph"/>
        <w:numPr>
          <w:ilvl w:val="1"/>
          <w:numId w:val="5"/>
        </w:numPr>
      </w:pPr>
      <w:r w:rsidRPr="00917BCB">
        <w:t>Increasing levels of incremental offshore wind resources</w:t>
      </w:r>
    </w:p>
    <w:p w:rsidR="00917BCB" w:rsidRPr="00917BCB" w:rsidRDefault="00917BCB" w:rsidP="00762275">
      <w:pPr>
        <w:pStyle w:val="ListParagraph"/>
        <w:numPr>
          <w:ilvl w:val="0"/>
          <w:numId w:val="5"/>
        </w:numPr>
      </w:pPr>
      <w:r w:rsidRPr="00917BCB">
        <w:t xml:space="preserve">Transmission </w:t>
      </w:r>
      <w:r w:rsidR="00E95645">
        <w:t>a</w:t>
      </w:r>
      <w:r w:rsidRPr="00917BCB">
        <w:t>nalysis</w:t>
      </w:r>
    </w:p>
    <w:p w:rsidR="00917BCB" w:rsidRPr="00917BCB" w:rsidRDefault="00917BCB" w:rsidP="00762275">
      <w:pPr>
        <w:pStyle w:val="ListParagraph"/>
        <w:numPr>
          <w:ilvl w:val="1"/>
          <w:numId w:val="5"/>
        </w:numPr>
      </w:pPr>
      <w:r w:rsidRPr="00917BCB">
        <w:t>High-</w:t>
      </w:r>
      <w:r w:rsidR="00E95645">
        <w:t>l</w:t>
      </w:r>
      <w:r w:rsidRPr="00917BCB">
        <w:t xml:space="preserve">evel </w:t>
      </w:r>
      <w:r w:rsidR="00E95645">
        <w:t>c</w:t>
      </w:r>
      <w:r w:rsidRPr="00917BCB">
        <w:t xml:space="preserve">onceptual </w:t>
      </w:r>
      <w:r w:rsidR="00E95645">
        <w:t>t</w:t>
      </w:r>
      <w:r w:rsidRPr="00917BCB">
        <w:t xml:space="preserve">ransmission </w:t>
      </w:r>
      <w:r w:rsidR="00E95645">
        <w:t>o</w:t>
      </w:r>
      <w:r w:rsidRPr="00917BCB">
        <w:t>verlays</w:t>
      </w:r>
    </w:p>
    <w:p w:rsidR="00917BCB" w:rsidRPr="00917BCB" w:rsidRDefault="00917BCB" w:rsidP="00762275">
      <w:pPr>
        <w:pStyle w:val="ListParagraph"/>
        <w:numPr>
          <w:ilvl w:val="1"/>
          <w:numId w:val="5"/>
        </w:numPr>
      </w:pPr>
      <w:r w:rsidRPr="00917BCB">
        <w:t xml:space="preserve">Transmission </w:t>
      </w:r>
      <w:r w:rsidR="00E95645">
        <w:t>u</w:t>
      </w:r>
      <w:r w:rsidRPr="00917BCB">
        <w:t xml:space="preserve">pgrade </w:t>
      </w:r>
      <w:r w:rsidR="00E95645">
        <w:t>c</w:t>
      </w:r>
      <w:r w:rsidR="00BA1ACA">
        <w:t xml:space="preserve">oncepts, </w:t>
      </w:r>
      <w:r w:rsidR="00E95645">
        <w:t>a</w:t>
      </w:r>
      <w:r w:rsidR="00BA1ACA">
        <w:t>lternatives</w:t>
      </w:r>
      <w:r w:rsidR="00E95645">
        <w:t>,</w:t>
      </w:r>
      <w:r w:rsidR="00BA1ACA">
        <w:t xml:space="preserve"> and </w:t>
      </w:r>
      <w:r w:rsidR="00E95645" w:rsidRPr="00CF080D">
        <w:t>t</w:t>
      </w:r>
      <w:r w:rsidR="00BA1ACA" w:rsidRPr="00CF080D">
        <w:t>rade-</w:t>
      </w:r>
      <w:r w:rsidR="00E95645" w:rsidRPr="00CF080D">
        <w:t>o</w:t>
      </w:r>
      <w:r w:rsidR="00BA1ACA" w:rsidRPr="00CF080D">
        <w:t>ffs</w:t>
      </w:r>
      <w:r w:rsidR="00BA1ACA">
        <w:t xml:space="preserve"> </w:t>
      </w:r>
    </w:p>
    <w:p w:rsidR="00917BCB" w:rsidRPr="00917BCB" w:rsidRDefault="00917BCB" w:rsidP="00762275">
      <w:pPr>
        <w:pStyle w:val="ListParagraph"/>
        <w:numPr>
          <w:ilvl w:val="1"/>
          <w:numId w:val="5"/>
        </w:numPr>
      </w:pPr>
      <w:r w:rsidRPr="00917BCB">
        <w:t xml:space="preserve">Various </w:t>
      </w:r>
      <w:r w:rsidR="00E95645">
        <w:t>p</w:t>
      </w:r>
      <w:r w:rsidRPr="00917BCB">
        <w:t xml:space="preserve">oints of  </w:t>
      </w:r>
      <w:r w:rsidR="00E95645">
        <w:t>i</w:t>
      </w:r>
      <w:r w:rsidRPr="00917BCB">
        <w:t>nterconnection</w:t>
      </w:r>
    </w:p>
    <w:p w:rsidR="00857A79" w:rsidRDefault="00857A79" w:rsidP="00762275">
      <w:pPr>
        <w:pStyle w:val="ListParagraph"/>
        <w:numPr>
          <w:ilvl w:val="0"/>
          <w:numId w:val="5"/>
        </w:numPr>
      </w:pPr>
      <w:r>
        <w:t>Additional Analysis</w:t>
      </w:r>
    </w:p>
    <w:p w:rsidR="00857A79" w:rsidRDefault="00857A79" w:rsidP="00762275">
      <w:pPr>
        <w:pStyle w:val="ListParagraph"/>
        <w:numPr>
          <w:ilvl w:val="1"/>
          <w:numId w:val="5"/>
        </w:numPr>
      </w:pPr>
      <w:r w:rsidRPr="00870AB5">
        <w:t xml:space="preserve">Ancillary </w:t>
      </w:r>
      <w:r>
        <w:t>s</w:t>
      </w:r>
      <w:r w:rsidRPr="00870AB5">
        <w:t xml:space="preserve">ervices </w:t>
      </w:r>
      <w:r>
        <w:t>a</w:t>
      </w:r>
      <w:r w:rsidRPr="00870AB5">
        <w:t>nalysis</w:t>
      </w:r>
      <w:r w:rsidRPr="00870AB5" w:rsidDel="00870AB5">
        <w:t xml:space="preserve"> </w:t>
      </w:r>
    </w:p>
    <w:p w:rsidR="00857A79" w:rsidRDefault="00857A79" w:rsidP="00762275">
      <w:pPr>
        <w:pStyle w:val="ListParagraph"/>
        <w:numPr>
          <w:ilvl w:val="1"/>
          <w:numId w:val="5"/>
        </w:numPr>
        <w:spacing w:after="240"/>
      </w:pPr>
      <w:r w:rsidRPr="00917BCB">
        <w:t>Emissions</w:t>
      </w:r>
      <w:r>
        <w:t xml:space="preserve"> effects</w:t>
      </w:r>
    </w:p>
    <w:p w:rsidR="0026318A" w:rsidRDefault="00AD7884" w:rsidP="0026318A">
      <w:pPr>
        <w:spacing w:after="0"/>
      </w:pPr>
      <w:r>
        <w:t>The NESCOE 2019 Economic Study request</w:t>
      </w:r>
      <w:r w:rsidR="000821C8">
        <w:t>ed</w:t>
      </w:r>
      <w:r w:rsidR="00412361">
        <w:t xml:space="preserve"> </w:t>
      </w:r>
      <w:r>
        <w:t>the ISO to consider the interconnection of as much as 8,000</w:t>
      </w:r>
      <w:r w:rsidR="000D4787">
        <w:t> </w:t>
      </w:r>
      <w:r>
        <w:t>MW (nameplate) of new offshore wind resources by 2030.</w:t>
      </w:r>
      <w:r w:rsidR="00650E69">
        <w:rPr>
          <w:rStyle w:val="FootnoteReference"/>
        </w:rPr>
        <w:footnoteReference w:id="13"/>
      </w:r>
      <w:r>
        <w:t xml:space="preserve"> The transmission analysis request sought to </w:t>
      </w:r>
      <w:r w:rsidR="007E2DA8">
        <w:t xml:space="preserve">provide interested stakeholders with information </w:t>
      </w:r>
      <w:r w:rsidR="000D4787">
        <w:t xml:space="preserve">on several </w:t>
      </w:r>
      <w:r>
        <w:t xml:space="preserve">transmission configurations </w:t>
      </w:r>
      <w:r w:rsidR="007E2DA8">
        <w:t xml:space="preserve">available </w:t>
      </w:r>
      <w:r>
        <w:t>to integrate various levels of additional offshore wind resources</w:t>
      </w:r>
      <w:r w:rsidR="007E2DA8">
        <w:t>,</w:t>
      </w:r>
      <w:r>
        <w:t xml:space="preserve"> at different points of interconnection into southern New England</w:t>
      </w:r>
      <w:r w:rsidR="000D4787">
        <w:t>,</w:t>
      </w:r>
      <w:r>
        <w:t xml:space="preserve"> and </w:t>
      </w:r>
      <w:r w:rsidR="000D4787">
        <w:t xml:space="preserve">to </w:t>
      </w:r>
      <w:r>
        <w:t xml:space="preserve">estimate transmission upgrade costs associated with these conceptual configurations. </w:t>
      </w:r>
      <w:r w:rsidR="007E2DA8">
        <w:t>In addition, NESCOE requested that the study consider wholesale market impacts and power sector air emissions for each scenario studi</w:t>
      </w:r>
      <w:r w:rsidR="007E2DA8" w:rsidRPr="0026318A">
        <w:t xml:space="preserve">ed. </w:t>
      </w:r>
    </w:p>
    <w:p w:rsidR="0026318A" w:rsidRDefault="0026318A" w:rsidP="0026318A">
      <w:pPr>
        <w:spacing w:after="0"/>
      </w:pPr>
    </w:p>
    <w:p w:rsidR="00AD7884" w:rsidRDefault="001454A3" w:rsidP="0026318A">
      <w:pPr>
        <w:spacing w:after="0"/>
      </w:pPr>
      <w:r w:rsidRPr="0026318A">
        <w:t xml:space="preserve">NESCOE sought to provide </w:t>
      </w:r>
      <w:r w:rsidR="007E2DA8" w:rsidRPr="0026318A">
        <w:t xml:space="preserve">New England </w:t>
      </w:r>
      <w:r w:rsidR="00AD7884" w:rsidRPr="0026318A">
        <w:t>state</w:t>
      </w:r>
      <w:r w:rsidR="007E2DA8" w:rsidRPr="0026318A">
        <w:t xml:space="preserve"> </w:t>
      </w:r>
      <w:r w:rsidR="00650E69">
        <w:t xml:space="preserve">officials, </w:t>
      </w:r>
      <w:r w:rsidR="007E2DA8" w:rsidRPr="0026318A">
        <w:t xml:space="preserve">regulators, </w:t>
      </w:r>
      <w:r w:rsidR="00AD7884" w:rsidRPr="0026318A">
        <w:t xml:space="preserve">stakeholders, </w:t>
      </w:r>
      <w:r w:rsidR="007E2DA8" w:rsidRPr="0026318A">
        <w:t xml:space="preserve">and </w:t>
      </w:r>
      <w:r w:rsidR="00AD7884" w:rsidRPr="0026318A">
        <w:t>offshore wind developers</w:t>
      </w:r>
      <w:r w:rsidR="007E2DA8" w:rsidRPr="0026318A">
        <w:t xml:space="preserve"> a</w:t>
      </w:r>
      <w:r w:rsidR="00AD7884" w:rsidRPr="0026318A">
        <w:t xml:space="preserve"> range of</w:t>
      </w:r>
      <w:r w:rsidR="007E2DA8" w:rsidRPr="0026318A">
        <w:t xml:space="preserve"> potential</w:t>
      </w:r>
      <w:r w:rsidR="00AD7884" w:rsidRPr="0026318A">
        <w:t xml:space="preserve"> transmission design</w:t>
      </w:r>
      <w:r w:rsidR="007E2DA8" w:rsidRPr="0026318A">
        <w:t>s to</w:t>
      </w:r>
      <w:r w:rsidR="00AD7884" w:rsidRPr="0026318A">
        <w:t xml:space="preserve"> </w:t>
      </w:r>
      <w:r w:rsidR="007E2DA8" w:rsidRPr="0026318A">
        <w:t>consider</w:t>
      </w:r>
      <w:r w:rsidRPr="0026318A">
        <w:t>,</w:t>
      </w:r>
      <w:r w:rsidR="007E2DA8" w:rsidRPr="0026318A">
        <w:t xml:space="preserve"> as well as </w:t>
      </w:r>
      <w:r w:rsidRPr="0026318A">
        <w:t>associated market needs.</w:t>
      </w:r>
      <w:r>
        <w:t xml:space="preserve"> NESCOE considered information in this regard to be </w:t>
      </w:r>
      <w:r w:rsidR="00650E69">
        <w:t xml:space="preserve">informative </w:t>
      </w:r>
      <w:r w:rsidR="00C252FA">
        <w:t xml:space="preserve">for </w:t>
      </w:r>
      <w:r w:rsidR="00650E69">
        <w:t>develop</w:t>
      </w:r>
      <w:r w:rsidR="00C252FA">
        <w:t>ing</w:t>
      </w:r>
      <w:r w:rsidR="00650E69">
        <w:t xml:space="preserve"> or implement</w:t>
      </w:r>
      <w:r w:rsidR="00C252FA">
        <w:t>ing</w:t>
      </w:r>
      <w:r w:rsidR="00650E69">
        <w:t xml:space="preserve"> </w:t>
      </w:r>
      <w:r w:rsidR="007E2DA8">
        <w:t xml:space="preserve">state </w:t>
      </w:r>
      <w:r w:rsidR="00AD7884">
        <w:t xml:space="preserve">policies </w:t>
      </w:r>
      <w:r w:rsidR="0026318A">
        <w:t xml:space="preserve">aimed at </w:t>
      </w:r>
      <w:r w:rsidR="00AD7884">
        <w:t>maximiz</w:t>
      </w:r>
      <w:r w:rsidR="0026318A">
        <w:t>ing</w:t>
      </w:r>
      <w:r w:rsidR="00AD7884">
        <w:t xml:space="preserve"> ratepayer benefits</w:t>
      </w:r>
      <w:r>
        <w:t xml:space="preserve"> </w:t>
      </w:r>
      <w:r w:rsidR="0026318A">
        <w:t xml:space="preserve">as </w:t>
      </w:r>
      <w:r>
        <w:t xml:space="preserve">the New England power grid </w:t>
      </w:r>
      <w:r w:rsidR="0026318A">
        <w:t xml:space="preserve">continues to evolve </w:t>
      </w:r>
      <w:r>
        <w:t>to incorporate offshore wind</w:t>
      </w:r>
      <w:r w:rsidR="00AD7884">
        <w:t xml:space="preserve">.  </w:t>
      </w:r>
    </w:p>
    <w:p w:rsidR="0066269A" w:rsidRDefault="00E95645">
      <w:pPr>
        <w:pStyle w:val="Heading1"/>
      </w:pPr>
      <w:r>
        <w:lastRenderedPageBreak/>
        <w:br/>
      </w:r>
      <w:bookmarkStart w:id="23" w:name="_Toc44412037"/>
      <w:r w:rsidR="0066269A">
        <w:t>Scenarios</w:t>
      </w:r>
      <w:bookmarkEnd w:id="23"/>
      <w:r w:rsidR="004F440C">
        <w:t xml:space="preserve"> </w:t>
      </w:r>
    </w:p>
    <w:p w:rsidR="00860A8C" w:rsidRDefault="00982965" w:rsidP="00F66813">
      <w:r>
        <w:t>The scenarios assume</w:t>
      </w:r>
      <w:r w:rsidR="00860D3B">
        <w:t>d</w:t>
      </w:r>
      <w:r w:rsidR="00A47F3D">
        <w:t xml:space="preserve"> considerable development of </w:t>
      </w:r>
      <w:r w:rsidR="00326C78">
        <w:t xml:space="preserve">offshore wind resources in varying increments between 1,000 MW to 8,000 MW </w:t>
      </w:r>
      <w:r w:rsidR="009E2F2E">
        <w:t xml:space="preserve">(nameplate) </w:t>
      </w:r>
      <w:r w:rsidR="00326C78">
        <w:t>interconnecting to southern New England</w:t>
      </w:r>
      <w:r w:rsidR="00A47F3D" w:rsidRPr="00F40B35">
        <w:t>.</w:t>
      </w:r>
      <w:r w:rsidR="00326C78">
        <w:rPr>
          <w:rStyle w:val="FootnoteReference"/>
        </w:rPr>
        <w:footnoteReference w:id="14"/>
      </w:r>
      <w:r w:rsidR="00191A77">
        <w:t xml:space="preserve"> </w:t>
      </w:r>
      <w:r w:rsidR="00366EEB">
        <w:t>In addition to the 1,000 MW offshore wind projects under contract</w:t>
      </w:r>
      <w:r w:rsidR="00841F20">
        <w:t xml:space="preserve"> (</w:t>
      </w:r>
      <w:r w:rsidR="004C5719">
        <w:t>Reference</w:t>
      </w:r>
      <w:r w:rsidR="00841F20">
        <w:t xml:space="preserve"> Case)</w:t>
      </w:r>
      <w:r w:rsidR="00366EEB">
        <w:t xml:space="preserve">, </w:t>
      </w:r>
      <w:r w:rsidR="00163AAE">
        <w:t xml:space="preserve">the </w:t>
      </w:r>
      <w:r w:rsidR="00841F20">
        <w:t>six</w:t>
      </w:r>
      <w:r w:rsidR="00366EEB">
        <w:t xml:space="preserve"> scenarios </w:t>
      </w:r>
      <w:r w:rsidR="00841F20">
        <w:t xml:space="preserve">were </w:t>
      </w:r>
      <w:r w:rsidR="00366EEB">
        <w:t>studied</w:t>
      </w:r>
      <w:r w:rsidR="00841F20">
        <w:t xml:space="preserve"> and</w:t>
      </w:r>
      <w:r w:rsidR="00366EEB">
        <w:t xml:space="preserve"> included up to </w:t>
      </w:r>
      <w:r w:rsidR="001927FF">
        <w:t xml:space="preserve">an additional </w:t>
      </w:r>
      <w:r w:rsidR="00366EEB">
        <w:t>7,000 MW of offshore wind (nameplate) interconnected by 2030</w:t>
      </w:r>
      <w:r w:rsidR="00BF1EA7">
        <w:t xml:space="preserve">. </w:t>
      </w:r>
      <w:r w:rsidR="006224B6" w:rsidRPr="00D24022">
        <w:fldChar w:fldCharType="begin"/>
      </w:r>
      <w:r w:rsidR="006224B6" w:rsidRPr="009C02EB">
        <w:instrText xml:space="preserve"> REF _Ref42520347 \h </w:instrText>
      </w:r>
      <w:r w:rsidR="006224B6" w:rsidRPr="009E7A62">
        <w:instrText xml:space="preserve"> \* MERGEFORMAT </w:instrText>
      </w:r>
      <w:r w:rsidR="006224B6" w:rsidRPr="00D24022">
        <w:fldChar w:fldCharType="separate"/>
      </w:r>
      <w:r w:rsidR="001F5E1A" w:rsidRPr="006224B6">
        <w:t xml:space="preserve">Table </w:t>
      </w:r>
      <w:r w:rsidR="001F5E1A">
        <w:rPr>
          <w:noProof/>
        </w:rPr>
        <w:t>4</w:t>
      </w:r>
      <w:r w:rsidR="001F5E1A">
        <w:rPr>
          <w:noProof/>
        </w:rPr>
        <w:noBreakHyphen/>
        <w:t>1</w:t>
      </w:r>
      <w:r w:rsidR="006224B6" w:rsidRPr="00D24022">
        <w:fldChar w:fldCharType="end"/>
      </w:r>
      <w:r w:rsidR="006224B6">
        <w:t xml:space="preserve"> summarizes t</w:t>
      </w:r>
      <w:r w:rsidR="009235B9">
        <w:t>he simulated scenarios for the 2019 NESCOE Economic Study</w:t>
      </w:r>
      <w:r w:rsidR="00163AAE">
        <w:t>.</w:t>
      </w:r>
    </w:p>
    <w:p w:rsidR="00163AAE" w:rsidRPr="00E712DA" w:rsidRDefault="006224B6" w:rsidP="001662BA">
      <w:pPr>
        <w:pStyle w:val="Caption"/>
        <w:jc w:val="center"/>
        <w:rPr>
          <w:color w:val="FF0000"/>
        </w:rPr>
      </w:pPr>
      <w:bookmarkStart w:id="24" w:name="_Ref42520347"/>
      <w:bookmarkStart w:id="25" w:name="_Toc44412060"/>
      <w:r w:rsidRPr="006224B6">
        <w:t xml:space="preserve">Table </w:t>
      </w:r>
      <w:fldSimple w:instr=" STYLEREF 1 \s ">
        <w:r w:rsidR="00E62212">
          <w:rPr>
            <w:noProof/>
          </w:rPr>
          <w:t>4</w:t>
        </w:r>
      </w:fldSimple>
      <w:r w:rsidR="00E62212">
        <w:noBreakHyphen/>
      </w:r>
      <w:fldSimple w:instr=" SEQ Table \* ARABIC \s 1 ">
        <w:r w:rsidR="00E62212">
          <w:rPr>
            <w:noProof/>
          </w:rPr>
          <w:t>1</w:t>
        </w:r>
      </w:fldSimple>
      <w:bookmarkEnd w:id="24"/>
      <w:r w:rsidRPr="001662BA">
        <w:rPr>
          <w:color w:val="FF0000"/>
        </w:rPr>
        <w:br/>
      </w:r>
      <w:r w:rsidR="009235B9" w:rsidRPr="00CE1B10">
        <w:t>Offshore Wind Integration Scenarios for the NESCOE 2019 Economic Study</w:t>
      </w:r>
      <w:bookmarkEnd w:id="25"/>
    </w:p>
    <w:tbl>
      <w:tblPr>
        <w:tblW w:w="917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600" w:firstRow="0" w:lastRow="0" w:firstColumn="0" w:lastColumn="0" w:noHBand="1" w:noVBand="1"/>
      </w:tblPr>
      <w:tblGrid>
        <w:gridCol w:w="1385"/>
        <w:gridCol w:w="1495"/>
        <w:gridCol w:w="1495"/>
        <w:gridCol w:w="1495"/>
        <w:gridCol w:w="1170"/>
        <w:gridCol w:w="1170"/>
        <w:gridCol w:w="969"/>
      </w:tblGrid>
      <w:tr w:rsidR="006224B6" w:rsidRPr="009C02EB" w:rsidTr="001662BA">
        <w:trPr>
          <w:trHeight w:val="929"/>
          <w:jc w:val="center"/>
        </w:trPr>
        <w:tc>
          <w:tcPr>
            <w:tcW w:w="1385" w:type="dxa"/>
            <w:shd w:val="clear" w:color="auto" w:fill="1795D2" w:themeFill="accent1"/>
            <w:tcMar>
              <w:top w:w="6" w:type="dxa"/>
              <w:left w:w="6" w:type="dxa"/>
              <w:bottom w:w="0" w:type="dxa"/>
              <w:right w:w="6" w:type="dxa"/>
            </w:tcMar>
            <w:vAlign w:val="center"/>
            <w:hideMark/>
          </w:tcPr>
          <w:p w:rsidR="009C2D9C" w:rsidRPr="00386645" w:rsidRDefault="00196639" w:rsidP="009E7A62">
            <w:pPr>
              <w:spacing w:after="0" w:line="240" w:lineRule="auto"/>
              <w:jc w:val="center"/>
              <w:rPr>
                <w:rFonts w:asciiTheme="majorHAnsi" w:hAnsiTheme="majorHAnsi"/>
                <w:b/>
                <w:bCs/>
                <w:color w:val="FFFFFF" w:themeColor="background1"/>
                <w:sz w:val="18"/>
                <w:szCs w:val="18"/>
              </w:rPr>
            </w:pPr>
            <w:r w:rsidRPr="001662BA">
              <w:rPr>
                <w:rFonts w:asciiTheme="majorHAnsi" w:hAnsiTheme="majorHAnsi"/>
                <w:b/>
                <w:bCs/>
                <w:color w:val="FFFFFF" w:themeColor="background1"/>
                <w:sz w:val="18"/>
                <w:szCs w:val="18"/>
              </w:rPr>
              <w:t>NESCOE</w:t>
            </w:r>
            <w:r w:rsidRPr="001662BA">
              <w:rPr>
                <w:rFonts w:asciiTheme="majorHAnsi" w:hAnsiTheme="majorHAnsi"/>
                <w:b/>
                <w:bCs/>
                <w:color w:val="FFFFFF" w:themeColor="background1"/>
                <w:sz w:val="18"/>
                <w:szCs w:val="18"/>
              </w:rPr>
              <w:br/>
              <w:t>Year 2030</w:t>
            </w:r>
            <w:r w:rsidR="009C2D9C" w:rsidRPr="001662BA">
              <w:rPr>
                <w:rFonts w:asciiTheme="majorHAnsi" w:hAnsiTheme="majorHAnsi"/>
                <w:b/>
                <w:bCs/>
                <w:color w:val="FFFFFF" w:themeColor="background1"/>
                <w:sz w:val="18"/>
                <w:szCs w:val="18"/>
              </w:rPr>
              <w:t xml:space="preserve"> Scenarios</w:t>
            </w:r>
            <w:r w:rsidR="006224B6" w:rsidRPr="001662BA">
              <w:rPr>
                <w:rFonts w:asciiTheme="majorHAnsi" w:hAnsiTheme="majorHAnsi"/>
                <w:b/>
                <w:bCs/>
                <w:color w:val="FFFFFF" w:themeColor="background1"/>
                <w:sz w:val="18"/>
                <w:szCs w:val="18"/>
                <w:vertAlign w:val="superscript"/>
              </w:rPr>
              <w:t>(</w:t>
            </w:r>
            <w:r w:rsidR="001662BA" w:rsidRPr="001662BA">
              <w:rPr>
                <w:rFonts w:asciiTheme="majorHAnsi" w:hAnsiTheme="majorHAnsi"/>
                <w:b/>
                <w:bCs/>
                <w:color w:val="FFFFFF" w:themeColor="background1"/>
                <w:sz w:val="18"/>
                <w:szCs w:val="18"/>
                <w:vertAlign w:val="superscript"/>
              </w:rPr>
              <w:t>a)</w:t>
            </w:r>
          </w:p>
        </w:tc>
        <w:tc>
          <w:tcPr>
            <w:tcW w:w="1495" w:type="dxa"/>
            <w:shd w:val="clear" w:color="auto" w:fill="1795D2" w:themeFill="accent1"/>
            <w:vAlign w:val="center"/>
          </w:tcPr>
          <w:p w:rsidR="00196639" w:rsidRPr="00386645" w:rsidRDefault="00196639" w:rsidP="00D24022">
            <w:pPr>
              <w:spacing w:after="0" w:line="240" w:lineRule="auto"/>
              <w:jc w:val="center"/>
              <w:rPr>
                <w:rFonts w:asciiTheme="majorHAnsi" w:hAnsiTheme="majorHAnsi"/>
                <w:b/>
                <w:bCs/>
                <w:color w:val="FFFFFF" w:themeColor="background1"/>
                <w:sz w:val="18"/>
                <w:szCs w:val="18"/>
              </w:rPr>
            </w:pPr>
            <w:r w:rsidRPr="00386645">
              <w:rPr>
                <w:rFonts w:asciiTheme="majorHAnsi" w:hAnsiTheme="majorHAnsi"/>
                <w:b/>
                <w:bCs/>
                <w:color w:val="FFFFFF" w:themeColor="background1"/>
                <w:sz w:val="18"/>
                <w:szCs w:val="18"/>
              </w:rPr>
              <w:t>Of</w:t>
            </w:r>
            <w:r w:rsidRPr="001662BA">
              <w:rPr>
                <w:rFonts w:asciiTheme="majorHAnsi" w:hAnsiTheme="majorHAnsi"/>
                <w:b/>
                <w:bCs/>
                <w:color w:val="FFFFFF" w:themeColor="background1"/>
                <w:sz w:val="18"/>
                <w:szCs w:val="18"/>
              </w:rPr>
              <w:t>f</w:t>
            </w:r>
            <w:r w:rsidR="006224B6" w:rsidRPr="001662BA">
              <w:rPr>
                <w:rFonts w:asciiTheme="majorHAnsi" w:hAnsiTheme="majorHAnsi"/>
                <w:b/>
                <w:bCs/>
                <w:color w:val="FFFFFF" w:themeColor="background1"/>
                <w:sz w:val="18"/>
                <w:szCs w:val="18"/>
              </w:rPr>
              <w:t>s</w:t>
            </w:r>
            <w:r w:rsidRPr="00386645">
              <w:rPr>
                <w:rFonts w:asciiTheme="majorHAnsi" w:hAnsiTheme="majorHAnsi"/>
                <w:b/>
                <w:bCs/>
                <w:color w:val="FFFFFF" w:themeColor="background1"/>
                <w:sz w:val="18"/>
                <w:szCs w:val="18"/>
              </w:rPr>
              <w:t>hore Wind Additions (Nameplate)</w:t>
            </w:r>
          </w:p>
        </w:tc>
        <w:tc>
          <w:tcPr>
            <w:tcW w:w="1495" w:type="dxa"/>
            <w:shd w:val="clear" w:color="auto" w:fill="1795D2" w:themeFill="accent1"/>
            <w:vAlign w:val="center"/>
          </w:tcPr>
          <w:p w:rsidR="00196639" w:rsidRPr="00386645" w:rsidRDefault="00196639" w:rsidP="00D24022">
            <w:pPr>
              <w:spacing w:after="0" w:line="240" w:lineRule="auto"/>
              <w:jc w:val="center"/>
              <w:rPr>
                <w:rFonts w:asciiTheme="majorHAnsi" w:hAnsiTheme="majorHAnsi"/>
                <w:b/>
                <w:bCs/>
                <w:color w:val="FFFFFF" w:themeColor="background1"/>
                <w:sz w:val="18"/>
                <w:szCs w:val="18"/>
              </w:rPr>
            </w:pPr>
            <w:r w:rsidRPr="00386645">
              <w:rPr>
                <w:rFonts w:asciiTheme="majorHAnsi" w:hAnsiTheme="majorHAnsi"/>
                <w:b/>
                <w:bCs/>
                <w:color w:val="FFFFFF" w:themeColor="background1"/>
                <w:sz w:val="18"/>
                <w:szCs w:val="18"/>
              </w:rPr>
              <w:t>RFP</w:t>
            </w:r>
            <w:r w:rsidR="005B6AE8">
              <w:rPr>
                <w:rFonts w:asciiTheme="majorHAnsi" w:hAnsiTheme="majorHAnsi"/>
                <w:b/>
                <w:bCs/>
                <w:color w:val="FFFFFF" w:themeColor="background1"/>
                <w:sz w:val="18"/>
                <w:szCs w:val="18"/>
              </w:rPr>
              <w:t>-</w:t>
            </w:r>
            <w:r w:rsidRPr="00386645">
              <w:rPr>
                <w:rFonts w:asciiTheme="majorHAnsi" w:hAnsiTheme="majorHAnsi"/>
                <w:b/>
                <w:bCs/>
                <w:color w:val="FFFFFF" w:themeColor="background1"/>
                <w:sz w:val="18"/>
                <w:szCs w:val="18"/>
              </w:rPr>
              <w:t>Committed Generation</w:t>
            </w:r>
          </w:p>
        </w:tc>
        <w:tc>
          <w:tcPr>
            <w:tcW w:w="1495" w:type="dxa"/>
            <w:shd w:val="clear" w:color="auto" w:fill="1795D2" w:themeFill="accent1"/>
            <w:tcMar>
              <w:top w:w="6" w:type="dxa"/>
              <w:left w:w="6" w:type="dxa"/>
              <w:bottom w:w="0" w:type="dxa"/>
              <w:right w:w="6" w:type="dxa"/>
            </w:tcMar>
            <w:vAlign w:val="center"/>
            <w:hideMark/>
          </w:tcPr>
          <w:p w:rsidR="00196639" w:rsidRPr="00386645" w:rsidRDefault="00196639" w:rsidP="00EA5080">
            <w:pPr>
              <w:spacing w:after="0" w:line="240" w:lineRule="auto"/>
              <w:jc w:val="center"/>
              <w:rPr>
                <w:rFonts w:asciiTheme="majorHAnsi" w:hAnsiTheme="majorHAnsi"/>
                <w:color w:val="FFFFFF" w:themeColor="background1"/>
                <w:sz w:val="18"/>
                <w:szCs w:val="18"/>
              </w:rPr>
            </w:pPr>
            <w:r w:rsidRPr="00386645">
              <w:rPr>
                <w:rFonts w:asciiTheme="majorHAnsi" w:hAnsiTheme="majorHAnsi"/>
                <w:b/>
                <w:bCs/>
                <w:color w:val="FFFFFF" w:themeColor="background1"/>
                <w:sz w:val="18"/>
                <w:szCs w:val="18"/>
              </w:rPr>
              <w:t>Retirements</w:t>
            </w:r>
          </w:p>
        </w:tc>
        <w:tc>
          <w:tcPr>
            <w:tcW w:w="1170" w:type="dxa"/>
            <w:shd w:val="clear" w:color="auto" w:fill="1795D2" w:themeFill="accent1"/>
            <w:tcMar>
              <w:top w:w="6" w:type="dxa"/>
              <w:left w:w="6" w:type="dxa"/>
              <w:bottom w:w="0" w:type="dxa"/>
              <w:right w:w="6" w:type="dxa"/>
            </w:tcMar>
            <w:vAlign w:val="center"/>
            <w:hideMark/>
          </w:tcPr>
          <w:p w:rsidR="00196639" w:rsidRPr="00386645" w:rsidRDefault="00196639" w:rsidP="00386645">
            <w:pPr>
              <w:spacing w:after="0" w:line="240" w:lineRule="auto"/>
              <w:jc w:val="center"/>
              <w:rPr>
                <w:rFonts w:asciiTheme="majorHAnsi" w:hAnsiTheme="majorHAnsi"/>
                <w:color w:val="FFFFFF" w:themeColor="background1"/>
                <w:sz w:val="18"/>
                <w:szCs w:val="18"/>
              </w:rPr>
            </w:pPr>
            <w:r w:rsidRPr="00386645">
              <w:rPr>
                <w:rFonts w:asciiTheme="majorHAnsi" w:hAnsiTheme="majorHAnsi"/>
                <w:b/>
                <w:bCs/>
                <w:color w:val="FFFFFF" w:themeColor="background1"/>
                <w:sz w:val="18"/>
                <w:szCs w:val="18"/>
              </w:rPr>
              <w:t>Demand from Heat Pumps</w:t>
            </w:r>
          </w:p>
        </w:tc>
        <w:tc>
          <w:tcPr>
            <w:tcW w:w="1170" w:type="dxa"/>
            <w:shd w:val="clear" w:color="auto" w:fill="1795D2" w:themeFill="accent1"/>
            <w:tcMar>
              <w:top w:w="6" w:type="dxa"/>
              <w:left w:w="6" w:type="dxa"/>
              <w:bottom w:w="0" w:type="dxa"/>
              <w:right w:w="6" w:type="dxa"/>
            </w:tcMar>
            <w:vAlign w:val="center"/>
            <w:hideMark/>
          </w:tcPr>
          <w:p w:rsidR="00196639" w:rsidRPr="00386645" w:rsidRDefault="00196639" w:rsidP="00386645">
            <w:pPr>
              <w:spacing w:after="0" w:line="240" w:lineRule="auto"/>
              <w:jc w:val="center"/>
              <w:rPr>
                <w:rFonts w:asciiTheme="majorHAnsi" w:hAnsiTheme="majorHAnsi"/>
                <w:color w:val="FFFFFF" w:themeColor="background1"/>
                <w:sz w:val="18"/>
                <w:szCs w:val="18"/>
              </w:rPr>
            </w:pPr>
            <w:r w:rsidRPr="00386645">
              <w:rPr>
                <w:rFonts w:asciiTheme="majorHAnsi" w:hAnsiTheme="majorHAnsi"/>
                <w:b/>
                <w:bCs/>
                <w:color w:val="FFFFFF" w:themeColor="background1"/>
                <w:sz w:val="18"/>
                <w:szCs w:val="18"/>
              </w:rPr>
              <w:t>Demand from Electric Vehicles</w:t>
            </w:r>
          </w:p>
        </w:tc>
        <w:tc>
          <w:tcPr>
            <w:tcW w:w="969" w:type="dxa"/>
            <w:shd w:val="clear" w:color="auto" w:fill="1795D2" w:themeFill="accent1"/>
            <w:tcMar>
              <w:top w:w="6" w:type="dxa"/>
              <w:left w:w="6" w:type="dxa"/>
              <w:bottom w:w="0" w:type="dxa"/>
              <w:right w:w="6" w:type="dxa"/>
            </w:tcMar>
            <w:vAlign w:val="center"/>
            <w:hideMark/>
          </w:tcPr>
          <w:p w:rsidR="00196639" w:rsidRPr="00386645" w:rsidRDefault="00196639" w:rsidP="00386645">
            <w:pPr>
              <w:spacing w:after="0" w:line="240" w:lineRule="auto"/>
              <w:jc w:val="center"/>
              <w:rPr>
                <w:rFonts w:asciiTheme="majorHAnsi" w:hAnsiTheme="majorHAnsi"/>
                <w:color w:val="FFFFFF" w:themeColor="background1"/>
                <w:sz w:val="18"/>
                <w:szCs w:val="18"/>
              </w:rPr>
            </w:pPr>
            <w:r w:rsidRPr="00386645">
              <w:rPr>
                <w:rFonts w:asciiTheme="majorHAnsi" w:hAnsiTheme="majorHAnsi"/>
                <w:b/>
                <w:bCs/>
                <w:color w:val="FFFFFF" w:themeColor="background1"/>
                <w:sz w:val="18"/>
                <w:szCs w:val="18"/>
              </w:rPr>
              <w:t>Battery Storage Additions</w:t>
            </w:r>
          </w:p>
        </w:tc>
      </w:tr>
      <w:tr w:rsidR="00841F20" w:rsidRPr="009C02EB" w:rsidTr="00C252FA">
        <w:trPr>
          <w:trHeight w:val="376"/>
          <w:jc w:val="center"/>
        </w:trPr>
        <w:tc>
          <w:tcPr>
            <w:tcW w:w="1385" w:type="dxa"/>
            <w:shd w:val="clear" w:color="auto" w:fill="auto"/>
            <w:tcMar>
              <w:top w:w="6" w:type="dxa"/>
              <w:left w:w="6" w:type="dxa"/>
              <w:bottom w:w="0" w:type="dxa"/>
              <w:right w:w="6" w:type="dxa"/>
            </w:tcMar>
            <w:vAlign w:val="center"/>
          </w:tcPr>
          <w:p w:rsidR="00841F20" w:rsidRPr="00E712DA" w:rsidRDefault="004C5719" w:rsidP="00D24022">
            <w:pPr>
              <w:spacing w:after="0" w:line="240" w:lineRule="auto"/>
              <w:jc w:val="center"/>
              <w:rPr>
                <w:rFonts w:asciiTheme="majorHAnsi" w:hAnsiTheme="majorHAnsi"/>
                <w:b/>
                <w:bCs/>
                <w:sz w:val="18"/>
                <w:szCs w:val="18"/>
              </w:rPr>
            </w:pPr>
            <w:r w:rsidRPr="00E712DA">
              <w:rPr>
                <w:rFonts w:asciiTheme="majorHAnsi" w:hAnsiTheme="majorHAnsi"/>
                <w:b/>
                <w:bCs/>
                <w:sz w:val="18"/>
                <w:szCs w:val="18"/>
              </w:rPr>
              <w:t>Reference</w:t>
            </w:r>
            <w:r w:rsidR="00841F20" w:rsidRPr="00E712DA">
              <w:rPr>
                <w:rFonts w:asciiTheme="majorHAnsi" w:hAnsiTheme="majorHAnsi"/>
                <w:b/>
                <w:bCs/>
                <w:sz w:val="18"/>
                <w:szCs w:val="18"/>
              </w:rPr>
              <w:t xml:space="preserve"> Case</w:t>
            </w:r>
          </w:p>
        </w:tc>
        <w:tc>
          <w:tcPr>
            <w:tcW w:w="1495" w:type="dxa"/>
            <w:vAlign w:val="center"/>
          </w:tcPr>
          <w:p w:rsidR="00841F20" w:rsidRPr="00E712DA" w:rsidRDefault="00841F20" w:rsidP="00EA5080">
            <w:pPr>
              <w:spacing w:after="0" w:line="240" w:lineRule="auto"/>
              <w:jc w:val="center"/>
              <w:rPr>
                <w:rFonts w:asciiTheme="majorHAnsi" w:hAnsiTheme="majorHAnsi"/>
                <w:sz w:val="18"/>
                <w:szCs w:val="18"/>
              </w:rPr>
            </w:pPr>
            <w:r w:rsidRPr="00E712DA">
              <w:rPr>
                <w:rFonts w:asciiTheme="majorHAnsi" w:hAnsiTheme="majorHAnsi"/>
                <w:sz w:val="18"/>
                <w:szCs w:val="18"/>
              </w:rPr>
              <w:t>0 MW</w:t>
            </w:r>
          </w:p>
        </w:tc>
        <w:tc>
          <w:tcPr>
            <w:tcW w:w="1495" w:type="dxa"/>
            <w:vMerge w:val="restart"/>
            <w:vAlign w:val="center"/>
          </w:tcPr>
          <w:p w:rsidR="00841F20" w:rsidRPr="00E712DA" w:rsidRDefault="00841F20" w:rsidP="00386645">
            <w:pPr>
              <w:spacing w:after="0" w:line="240" w:lineRule="auto"/>
              <w:jc w:val="center"/>
              <w:rPr>
                <w:rFonts w:asciiTheme="majorHAnsi" w:hAnsiTheme="majorHAnsi"/>
                <w:sz w:val="18"/>
                <w:szCs w:val="18"/>
              </w:rPr>
            </w:pPr>
            <w:r w:rsidRPr="00E712DA">
              <w:rPr>
                <w:rFonts w:asciiTheme="majorHAnsi" w:hAnsiTheme="majorHAnsi"/>
                <w:sz w:val="18"/>
                <w:szCs w:val="18"/>
              </w:rPr>
              <w:t>NECEC (1,090 MW of firm imp</w:t>
            </w:r>
            <w:r w:rsidRPr="009E7A62">
              <w:rPr>
                <w:rFonts w:asciiTheme="majorHAnsi" w:hAnsiTheme="majorHAnsi"/>
                <w:sz w:val="18"/>
                <w:szCs w:val="18"/>
              </w:rPr>
              <w:t>ort)</w:t>
            </w:r>
            <w:r w:rsidR="006224B6" w:rsidRPr="009E7A62">
              <w:rPr>
                <w:rFonts w:asciiTheme="majorHAnsi" w:hAnsiTheme="majorHAnsi"/>
                <w:sz w:val="18"/>
                <w:szCs w:val="18"/>
                <w:vertAlign w:val="superscript"/>
              </w:rPr>
              <w:t>(b)</w:t>
            </w:r>
          </w:p>
          <w:p w:rsidR="00841F20" w:rsidRPr="00E712DA" w:rsidRDefault="00841F20" w:rsidP="00E712DA">
            <w:pPr>
              <w:spacing w:after="0" w:line="240" w:lineRule="auto"/>
              <w:jc w:val="center"/>
              <w:rPr>
                <w:rFonts w:asciiTheme="majorHAnsi" w:hAnsiTheme="majorHAnsi"/>
                <w:sz w:val="18"/>
                <w:szCs w:val="18"/>
              </w:rPr>
            </w:pPr>
            <w:r w:rsidRPr="00E712DA">
              <w:rPr>
                <w:rFonts w:asciiTheme="majorHAnsi" w:hAnsiTheme="majorHAnsi"/>
                <w:sz w:val="18"/>
                <w:szCs w:val="18"/>
              </w:rPr>
              <w:br/>
              <w:t>1,000 MW of off-shore wind (nameplate</w:t>
            </w:r>
            <w:r w:rsidRPr="0026318A">
              <w:rPr>
                <w:rFonts w:asciiTheme="majorHAnsi" w:hAnsiTheme="majorHAnsi"/>
                <w:sz w:val="18"/>
                <w:szCs w:val="18"/>
              </w:rPr>
              <w:t>)</w:t>
            </w:r>
            <w:r w:rsidR="006224B6" w:rsidRPr="0026318A">
              <w:rPr>
                <w:rFonts w:asciiTheme="majorHAnsi" w:hAnsiTheme="majorHAnsi"/>
                <w:sz w:val="18"/>
                <w:szCs w:val="18"/>
                <w:vertAlign w:val="superscript"/>
              </w:rPr>
              <w:t>(c)</w:t>
            </w:r>
          </w:p>
        </w:tc>
        <w:tc>
          <w:tcPr>
            <w:tcW w:w="1495" w:type="dxa"/>
            <w:vMerge w:val="restart"/>
            <w:shd w:val="clear" w:color="auto" w:fill="auto"/>
            <w:tcMar>
              <w:top w:w="6" w:type="dxa"/>
              <w:left w:w="6" w:type="dxa"/>
              <w:bottom w:w="0" w:type="dxa"/>
              <w:right w:w="6" w:type="dxa"/>
            </w:tcMar>
            <w:vAlign w:val="center"/>
          </w:tcPr>
          <w:p w:rsidR="00841F20" w:rsidRPr="00E712DA" w:rsidRDefault="00841F20" w:rsidP="009E7A62">
            <w:pPr>
              <w:spacing w:after="0" w:line="240" w:lineRule="auto"/>
              <w:jc w:val="center"/>
              <w:rPr>
                <w:rFonts w:asciiTheme="majorHAnsi" w:hAnsiTheme="majorHAnsi"/>
                <w:sz w:val="18"/>
                <w:szCs w:val="18"/>
              </w:rPr>
            </w:pPr>
            <w:r w:rsidRPr="009E7A62">
              <w:rPr>
                <w:rFonts w:asciiTheme="majorHAnsi" w:hAnsiTheme="majorHAnsi"/>
                <w:sz w:val="18"/>
                <w:szCs w:val="18"/>
              </w:rPr>
              <w:t>FCA 13 and</w:t>
            </w:r>
            <w:r w:rsidR="005B6AE8">
              <w:rPr>
                <w:rFonts w:asciiTheme="majorHAnsi" w:hAnsiTheme="majorHAnsi"/>
                <w:sz w:val="18"/>
                <w:szCs w:val="18"/>
              </w:rPr>
              <w:br/>
            </w:r>
            <w:r w:rsidRPr="009E7A62">
              <w:rPr>
                <w:rFonts w:asciiTheme="majorHAnsi" w:hAnsiTheme="majorHAnsi"/>
                <w:sz w:val="18"/>
                <w:szCs w:val="18"/>
              </w:rPr>
              <w:t>Mystic 8</w:t>
            </w:r>
            <w:r w:rsidR="009C2D9C" w:rsidRPr="009E7A62">
              <w:rPr>
                <w:rFonts w:asciiTheme="majorHAnsi" w:hAnsiTheme="majorHAnsi"/>
                <w:sz w:val="18"/>
                <w:szCs w:val="18"/>
              </w:rPr>
              <w:t xml:space="preserve"> </w:t>
            </w:r>
            <w:r w:rsidR="005B6AE8">
              <w:rPr>
                <w:rFonts w:asciiTheme="majorHAnsi" w:hAnsiTheme="majorHAnsi"/>
                <w:sz w:val="18"/>
                <w:szCs w:val="18"/>
              </w:rPr>
              <w:t>and</w:t>
            </w:r>
            <w:r w:rsidR="009C2D9C" w:rsidRPr="009E7A62">
              <w:rPr>
                <w:rFonts w:asciiTheme="majorHAnsi" w:hAnsiTheme="majorHAnsi"/>
                <w:sz w:val="18"/>
                <w:szCs w:val="18"/>
              </w:rPr>
              <w:t xml:space="preserve"> </w:t>
            </w:r>
            <w:r w:rsidRPr="009E7A62">
              <w:rPr>
                <w:rFonts w:asciiTheme="majorHAnsi" w:hAnsiTheme="majorHAnsi"/>
                <w:sz w:val="18"/>
                <w:szCs w:val="18"/>
              </w:rPr>
              <w:t>9</w:t>
            </w:r>
            <w:r w:rsidR="00650E69" w:rsidRPr="00C252FA">
              <w:rPr>
                <w:rFonts w:asciiTheme="majorHAnsi" w:hAnsiTheme="majorHAnsi"/>
                <w:sz w:val="18"/>
                <w:szCs w:val="18"/>
                <w:vertAlign w:val="superscript"/>
              </w:rPr>
              <w:t>(d)</w:t>
            </w:r>
          </w:p>
        </w:tc>
        <w:tc>
          <w:tcPr>
            <w:tcW w:w="1170" w:type="dxa"/>
            <w:vMerge w:val="restart"/>
            <w:shd w:val="clear" w:color="auto" w:fill="auto"/>
            <w:tcMar>
              <w:top w:w="6" w:type="dxa"/>
              <w:left w:w="6" w:type="dxa"/>
              <w:bottom w:w="0" w:type="dxa"/>
              <w:right w:w="6" w:type="dxa"/>
            </w:tcMar>
            <w:vAlign w:val="center"/>
          </w:tcPr>
          <w:p w:rsidR="00841F20" w:rsidRPr="00E712DA" w:rsidRDefault="00841F20" w:rsidP="00E712DA">
            <w:pPr>
              <w:spacing w:after="0" w:line="240" w:lineRule="auto"/>
              <w:jc w:val="center"/>
              <w:rPr>
                <w:rFonts w:asciiTheme="majorHAnsi" w:hAnsiTheme="majorHAnsi"/>
                <w:sz w:val="18"/>
                <w:szCs w:val="18"/>
              </w:rPr>
            </w:pPr>
            <w:r w:rsidRPr="00E712DA">
              <w:rPr>
                <w:rFonts w:asciiTheme="majorHAnsi" w:hAnsiTheme="majorHAnsi"/>
                <w:sz w:val="18"/>
                <w:szCs w:val="18"/>
              </w:rPr>
              <w:t>None</w:t>
            </w:r>
          </w:p>
        </w:tc>
        <w:tc>
          <w:tcPr>
            <w:tcW w:w="1170" w:type="dxa"/>
            <w:vMerge w:val="restart"/>
            <w:shd w:val="clear" w:color="auto" w:fill="auto"/>
            <w:tcMar>
              <w:top w:w="6" w:type="dxa"/>
              <w:left w:w="6" w:type="dxa"/>
              <w:bottom w:w="0" w:type="dxa"/>
              <w:right w:w="6" w:type="dxa"/>
            </w:tcMar>
            <w:vAlign w:val="center"/>
          </w:tcPr>
          <w:p w:rsidR="00841F20" w:rsidRPr="00E712DA" w:rsidRDefault="00841F20" w:rsidP="00E712DA">
            <w:pPr>
              <w:spacing w:after="0" w:line="240" w:lineRule="auto"/>
              <w:jc w:val="center"/>
              <w:rPr>
                <w:rFonts w:asciiTheme="majorHAnsi" w:hAnsiTheme="majorHAnsi"/>
                <w:sz w:val="18"/>
                <w:szCs w:val="18"/>
              </w:rPr>
            </w:pPr>
            <w:r w:rsidRPr="00E712DA">
              <w:rPr>
                <w:rFonts w:asciiTheme="majorHAnsi" w:hAnsiTheme="majorHAnsi"/>
                <w:sz w:val="18"/>
                <w:szCs w:val="18"/>
              </w:rPr>
              <w:t>None</w:t>
            </w:r>
          </w:p>
        </w:tc>
        <w:tc>
          <w:tcPr>
            <w:tcW w:w="969" w:type="dxa"/>
            <w:vMerge w:val="restart"/>
            <w:shd w:val="clear" w:color="auto" w:fill="auto"/>
            <w:tcMar>
              <w:top w:w="6" w:type="dxa"/>
              <w:left w:w="6" w:type="dxa"/>
              <w:bottom w:w="0" w:type="dxa"/>
              <w:right w:w="6" w:type="dxa"/>
            </w:tcMar>
            <w:vAlign w:val="center"/>
          </w:tcPr>
          <w:p w:rsidR="00841F20" w:rsidRPr="00E712DA" w:rsidRDefault="00841F20" w:rsidP="00E712DA">
            <w:pPr>
              <w:spacing w:after="0" w:line="240" w:lineRule="auto"/>
              <w:jc w:val="center"/>
              <w:rPr>
                <w:rFonts w:asciiTheme="majorHAnsi" w:hAnsiTheme="majorHAnsi"/>
                <w:sz w:val="18"/>
                <w:szCs w:val="18"/>
              </w:rPr>
            </w:pPr>
            <w:r w:rsidRPr="00E712DA">
              <w:rPr>
                <w:rFonts w:asciiTheme="majorHAnsi" w:hAnsiTheme="majorHAnsi"/>
                <w:sz w:val="18"/>
                <w:szCs w:val="18"/>
              </w:rPr>
              <w:t>None</w:t>
            </w:r>
          </w:p>
        </w:tc>
      </w:tr>
      <w:tr w:rsidR="00841F20" w:rsidRPr="009C02EB" w:rsidTr="00E712DA">
        <w:trPr>
          <w:trHeight w:val="301"/>
          <w:jc w:val="center"/>
        </w:trPr>
        <w:tc>
          <w:tcPr>
            <w:tcW w:w="1385" w:type="dxa"/>
            <w:shd w:val="clear" w:color="auto" w:fill="CCEAF9" w:themeFill="accent1" w:themeFillTint="33"/>
            <w:tcMar>
              <w:top w:w="6" w:type="dxa"/>
              <w:left w:w="6" w:type="dxa"/>
              <w:bottom w:w="0" w:type="dxa"/>
              <w:right w:w="6" w:type="dxa"/>
            </w:tcMar>
            <w:vAlign w:val="center"/>
            <w:hideMark/>
          </w:tcPr>
          <w:p w:rsidR="00841F20" w:rsidRPr="00E712DA" w:rsidRDefault="00841F20" w:rsidP="00D24022">
            <w:pPr>
              <w:spacing w:after="0" w:line="240" w:lineRule="auto"/>
              <w:jc w:val="center"/>
              <w:rPr>
                <w:rFonts w:asciiTheme="majorHAnsi" w:hAnsiTheme="majorHAnsi"/>
                <w:sz w:val="18"/>
                <w:szCs w:val="18"/>
              </w:rPr>
            </w:pPr>
            <w:r w:rsidRPr="00E712DA">
              <w:rPr>
                <w:rFonts w:asciiTheme="majorHAnsi" w:hAnsiTheme="majorHAnsi"/>
                <w:b/>
                <w:bCs/>
                <w:sz w:val="18"/>
                <w:szCs w:val="18"/>
              </w:rPr>
              <w:t>NESCOE_2000</w:t>
            </w:r>
          </w:p>
        </w:tc>
        <w:tc>
          <w:tcPr>
            <w:tcW w:w="1495" w:type="dxa"/>
            <w:shd w:val="clear" w:color="auto" w:fill="CCEAF9" w:themeFill="accent1" w:themeFillTint="33"/>
            <w:vAlign w:val="bottom"/>
          </w:tcPr>
          <w:p w:rsidR="00841F20" w:rsidRPr="00E712DA" w:rsidRDefault="00841F20" w:rsidP="00EA5080">
            <w:pPr>
              <w:spacing w:after="0" w:line="240" w:lineRule="auto"/>
              <w:jc w:val="center"/>
              <w:rPr>
                <w:rFonts w:asciiTheme="majorHAnsi" w:hAnsiTheme="majorHAnsi"/>
                <w:sz w:val="18"/>
                <w:szCs w:val="18"/>
              </w:rPr>
            </w:pPr>
            <w:r w:rsidRPr="00E712DA">
              <w:rPr>
                <w:rFonts w:asciiTheme="majorHAnsi" w:hAnsiTheme="majorHAnsi"/>
                <w:sz w:val="18"/>
                <w:szCs w:val="18"/>
              </w:rPr>
              <w:t>1,000 MW</w:t>
            </w:r>
          </w:p>
        </w:tc>
        <w:tc>
          <w:tcPr>
            <w:tcW w:w="1495" w:type="dxa"/>
            <w:vMerge/>
            <w:vAlign w:val="center"/>
          </w:tcPr>
          <w:p w:rsidR="00841F20" w:rsidRPr="00E712DA" w:rsidRDefault="00841F20" w:rsidP="00E712DA">
            <w:pPr>
              <w:spacing w:after="0" w:line="240" w:lineRule="auto"/>
              <w:jc w:val="center"/>
              <w:rPr>
                <w:rFonts w:asciiTheme="majorHAnsi" w:hAnsiTheme="majorHAnsi"/>
                <w:sz w:val="18"/>
                <w:szCs w:val="18"/>
              </w:rPr>
            </w:pPr>
          </w:p>
        </w:tc>
        <w:tc>
          <w:tcPr>
            <w:tcW w:w="1495" w:type="dxa"/>
            <w:vMerge/>
            <w:shd w:val="clear" w:color="auto" w:fill="auto"/>
            <w:tcMar>
              <w:top w:w="6" w:type="dxa"/>
              <w:left w:w="6" w:type="dxa"/>
              <w:bottom w:w="0" w:type="dxa"/>
              <w:right w:w="6" w:type="dxa"/>
            </w:tcMar>
            <w:vAlign w:val="center"/>
            <w:hideMark/>
          </w:tcPr>
          <w:p w:rsidR="00841F20" w:rsidRPr="00E712DA" w:rsidRDefault="00841F20" w:rsidP="00E712DA">
            <w:pPr>
              <w:spacing w:after="0" w:line="240" w:lineRule="auto"/>
              <w:jc w:val="center"/>
              <w:rPr>
                <w:rFonts w:asciiTheme="majorHAnsi" w:hAnsiTheme="majorHAnsi"/>
                <w:sz w:val="18"/>
                <w:szCs w:val="18"/>
              </w:rPr>
            </w:pPr>
          </w:p>
        </w:tc>
        <w:tc>
          <w:tcPr>
            <w:tcW w:w="1170" w:type="dxa"/>
            <w:vMerge/>
            <w:shd w:val="clear" w:color="auto" w:fill="auto"/>
            <w:tcMar>
              <w:top w:w="6" w:type="dxa"/>
              <w:left w:w="6" w:type="dxa"/>
              <w:bottom w:w="0" w:type="dxa"/>
              <w:right w:w="6" w:type="dxa"/>
            </w:tcMar>
            <w:vAlign w:val="center"/>
            <w:hideMark/>
          </w:tcPr>
          <w:p w:rsidR="00841F20" w:rsidRPr="00E712DA" w:rsidRDefault="00841F20" w:rsidP="00E712DA">
            <w:pPr>
              <w:spacing w:after="0" w:line="240" w:lineRule="auto"/>
              <w:jc w:val="center"/>
              <w:rPr>
                <w:rFonts w:asciiTheme="majorHAnsi" w:hAnsiTheme="majorHAnsi"/>
                <w:sz w:val="18"/>
                <w:szCs w:val="18"/>
              </w:rPr>
            </w:pPr>
          </w:p>
        </w:tc>
        <w:tc>
          <w:tcPr>
            <w:tcW w:w="1170" w:type="dxa"/>
            <w:vMerge/>
            <w:shd w:val="clear" w:color="auto" w:fill="auto"/>
            <w:tcMar>
              <w:top w:w="6" w:type="dxa"/>
              <w:left w:w="6" w:type="dxa"/>
              <w:bottom w:w="0" w:type="dxa"/>
              <w:right w:w="6" w:type="dxa"/>
            </w:tcMar>
            <w:vAlign w:val="center"/>
            <w:hideMark/>
          </w:tcPr>
          <w:p w:rsidR="00841F20" w:rsidRPr="00E712DA" w:rsidRDefault="00841F20" w:rsidP="00E712DA">
            <w:pPr>
              <w:spacing w:after="0" w:line="240" w:lineRule="auto"/>
              <w:jc w:val="center"/>
              <w:rPr>
                <w:rFonts w:asciiTheme="majorHAnsi" w:hAnsiTheme="majorHAnsi"/>
                <w:sz w:val="18"/>
                <w:szCs w:val="18"/>
              </w:rPr>
            </w:pPr>
          </w:p>
        </w:tc>
        <w:tc>
          <w:tcPr>
            <w:tcW w:w="969" w:type="dxa"/>
            <w:vMerge/>
            <w:shd w:val="clear" w:color="auto" w:fill="auto"/>
            <w:tcMar>
              <w:top w:w="6" w:type="dxa"/>
              <w:left w:w="6" w:type="dxa"/>
              <w:bottom w:w="0" w:type="dxa"/>
              <w:right w:w="6" w:type="dxa"/>
            </w:tcMar>
            <w:vAlign w:val="center"/>
            <w:hideMark/>
          </w:tcPr>
          <w:p w:rsidR="00841F20" w:rsidRPr="00E712DA" w:rsidRDefault="00841F20" w:rsidP="00E712DA">
            <w:pPr>
              <w:spacing w:after="0" w:line="240" w:lineRule="auto"/>
              <w:jc w:val="center"/>
              <w:rPr>
                <w:rFonts w:asciiTheme="majorHAnsi" w:hAnsiTheme="majorHAnsi"/>
                <w:sz w:val="18"/>
                <w:szCs w:val="18"/>
              </w:rPr>
            </w:pPr>
          </w:p>
        </w:tc>
      </w:tr>
      <w:tr w:rsidR="00841F20" w:rsidRPr="009C02EB" w:rsidTr="00E712DA">
        <w:trPr>
          <w:trHeight w:val="301"/>
          <w:jc w:val="center"/>
        </w:trPr>
        <w:tc>
          <w:tcPr>
            <w:tcW w:w="1385" w:type="dxa"/>
            <w:shd w:val="clear" w:color="auto" w:fill="auto"/>
            <w:tcMar>
              <w:top w:w="6" w:type="dxa"/>
              <w:left w:w="6" w:type="dxa"/>
              <w:bottom w:w="0" w:type="dxa"/>
              <w:right w:w="6" w:type="dxa"/>
            </w:tcMar>
            <w:vAlign w:val="center"/>
            <w:hideMark/>
          </w:tcPr>
          <w:p w:rsidR="00841F20" w:rsidRPr="00E712DA" w:rsidRDefault="00841F20" w:rsidP="00D24022">
            <w:pPr>
              <w:spacing w:after="0" w:line="240" w:lineRule="auto"/>
              <w:jc w:val="center"/>
              <w:rPr>
                <w:rFonts w:asciiTheme="majorHAnsi" w:hAnsiTheme="majorHAnsi"/>
                <w:sz w:val="18"/>
                <w:szCs w:val="18"/>
              </w:rPr>
            </w:pPr>
            <w:r w:rsidRPr="00E712DA">
              <w:rPr>
                <w:rFonts w:asciiTheme="majorHAnsi" w:hAnsiTheme="majorHAnsi"/>
                <w:b/>
                <w:bCs/>
                <w:sz w:val="18"/>
                <w:szCs w:val="18"/>
              </w:rPr>
              <w:t>NESCOE_3000</w:t>
            </w:r>
          </w:p>
        </w:tc>
        <w:tc>
          <w:tcPr>
            <w:tcW w:w="1495" w:type="dxa"/>
            <w:vAlign w:val="bottom"/>
          </w:tcPr>
          <w:p w:rsidR="00841F20" w:rsidRPr="00E712DA" w:rsidRDefault="00841F20" w:rsidP="00EA5080">
            <w:pPr>
              <w:spacing w:after="0" w:line="240" w:lineRule="auto"/>
              <w:jc w:val="center"/>
              <w:rPr>
                <w:rFonts w:asciiTheme="majorHAnsi" w:hAnsiTheme="majorHAnsi"/>
                <w:sz w:val="18"/>
                <w:szCs w:val="18"/>
              </w:rPr>
            </w:pPr>
            <w:r w:rsidRPr="00E712DA">
              <w:rPr>
                <w:rFonts w:asciiTheme="majorHAnsi" w:hAnsiTheme="majorHAnsi"/>
                <w:sz w:val="18"/>
                <w:szCs w:val="18"/>
              </w:rPr>
              <w:t>2,000 MW</w:t>
            </w:r>
          </w:p>
        </w:tc>
        <w:tc>
          <w:tcPr>
            <w:tcW w:w="1495" w:type="dxa"/>
            <w:vMerge/>
            <w:vAlign w:val="center"/>
          </w:tcPr>
          <w:p w:rsidR="00841F20" w:rsidRPr="00E712DA" w:rsidRDefault="00841F20" w:rsidP="00E712DA">
            <w:pPr>
              <w:spacing w:after="0" w:line="240" w:lineRule="auto"/>
              <w:jc w:val="center"/>
              <w:rPr>
                <w:rFonts w:asciiTheme="majorHAnsi" w:hAnsiTheme="majorHAnsi"/>
                <w:sz w:val="18"/>
                <w:szCs w:val="18"/>
              </w:rPr>
            </w:pPr>
          </w:p>
        </w:tc>
        <w:tc>
          <w:tcPr>
            <w:tcW w:w="1495" w:type="dxa"/>
            <w:vMerge/>
            <w:vAlign w:val="center"/>
            <w:hideMark/>
          </w:tcPr>
          <w:p w:rsidR="00841F20" w:rsidRPr="00E712DA" w:rsidRDefault="00841F20" w:rsidP="00E712DA">
            <w:pPr>
              <w:spacing w:after="0" w:line="240" w:lineRule="auto"/>
              <w:jc w:val="center"/>
              <w:rPr>
                <w:rFonts w:asciiTheme="majorHAnsi" w:hAnsiTheme="majorHAnsi"/>
                <w:sz w:val="18"/>
                <w:szCs w:val="18"/>
              </w:rPr>
            </w:pPr>
          </w:p>
        </w:tc>
        <w:tc>
          <w:tcPr>
            <w:tcW w:w="1170" w:type="dxa"/>
            <w:vMerge/>
            <w:vAlign w:val="center"/>
            <w:hideMark/>
          </w:tcPr>
          <w:p w:rsidR="00841F20" w:rsidRPr="00E712DA" w:rsidRDefault="00841F20" w:rsidP="00E712DA">
            <w:pPr>
              <w:spacing w:after="0" w:line="240" w:lineRule="auto"/>
              <w:jc w:val="center"/>
              <w:rPr>
                <w:rFonts w:asciiTheme="majorHAnsi" w:hAnsiTheme="majorHAnsi"/>
                <w:sz w:val="18"/>
                <w:szCs w:val="18"/>
              </w:rPr>
            </w:pPr>
          </w:p>
        </w:tc>
        <w:tc>
          <w:tcPr>
            <w:tcW w:w="1170" w:type="dxa"/>
            <w:vMerge/>
            <w:shd w:val="clear" w:color="auto" w:fill="auto"/>
            <w:vAlign w:val="center"/>
            <w:hideMark/>
          </w:tcPr>
          <w:p w:rsidR="00841F20" w:rsidRPr="00E712DA" w:rsidRDefault="00841F20" w:rsidP="00E712DA">
            <w:pPr>
              <w:spacing w:after="0" w:line="240" w:lineRule="auto"/>
              <w:jc w:val="center"/>
              <w:rPr>
                <w:rFonts w:asciiTheme="majorHAnsi" w:hAnsiTheme="majorHAnsi"/>
                <w:sz w:val="18"/>
                <w:szCs w:val="18"/>
              </w:rPr>
            </w:pPr>
          </w:p>
        </w:tc>
        <w:tc>
          <w:tcPr>
            <w:tcW w:w="969" w:type="dxa"/>
            <w:vMerge/>
            <w:shd w:val="clear" w:color="auto" w:fill="auto"/>
            <w:vAlign w:val="center"/>
            <w:hideMark/>
          </w:tcPr>
          <w:p w:rsidR="00841F20" w:rsidRPr="00E712DA" w:rsidRDefault="00841F20" w:rsidP="00E712DA">
            <w:pPr>
              <w:spacing w:after="0" w:line="240" w:lineRule="auto"/>
              <w:jc w:val="center"/>
              <w:rPr>
                <w:rFonts w:asciiTheme="majorHAnsi" w:hAnsiTheme="majorHAnsi"/>
                <w:sz w:val="18"/>
                <w:szCs w:val="18"/>
              </w:rPr>
            </w:pPr>
          </w:p>
        </w:tc>
      </w:tr>
      <w:tr w:rsidR="00841F20" w:rsidRPr="009C02EB" w:rsidTr="00E712DA">
        <w:trPr>
          <w:trHeight w:val="333"/>
          <w:jc w:val="center"/>
        </w:trPr>
        <w:tc>
          <w:tcPr>
            <w:tcW w:w="1385" w:type="dxa"/>
            <w:shd w:val="clear" w:color="auto" w:fill="CCEAF9" w:themeFill="accent1" w:themeFillTint="33"/>
            <w:tcMar>
              <w:top w:w="6" w:type="dxa"/>
              <w:left w:w="6" w:type="dxa"/>
              <w:bottom w:w="0" w:type="dxa"/>
              <w:right w:w="6" w:type="dxa"/>
            </w:tcMar>
            <w:vAlign w:val="center"/>
          </w:tcPr>
          <w:p w:rsidR="00841F20" w:rsidRPr="00E712DA" w:rsidRDefault="00841F20" w:rsidP="00D24022">
            <w:pPr>
              <w:spacing w:after="0" w:line="240" w:lineRule="auto"/>
              <w:jc w:val="center"/>
              <w:rPr>
                <w:rFonts w:asciiTheme="majorHAnsi" w:hAnsiTheme="majorHAnsi"/>
                <w:b/>
                <w:bCs/>
                <w:sz w:val="18"/>
                <w:szCs w:val="18"/>
              </w:rPr>
            </w:pPr>
            <w:r w:rsidRPr="00E712DA">
              <w:rPr>
                <w:rFonts w:asciiTheme="majorHAnsi" w:hAnsiTheme="majorHAnsi"/>
                <w:b/>
                <w:bCs/>
                <w:sz w:val="18"/>
                <w:szCs w:val="18"/>
              </w:rPr>
              <w:t>NESCOE_3000</w:t>
            </w:r>
          </w:p>
        </w:tc>
        <w:tc>
          <w:tcPr>
            <w:tcW w:w="1495" w:type="dxa"/>
            <w:shd w:val="clear" w:color="auto" w:fill="CCEAF9" w:themeFill="accent1" w:themeFillTint="33"/>
            <w:vAlign w:val="bottom"/>
          </w:tcPr>
          <w:p w:rsidR="00841F20" w:rsidRPr="00E712DA" w:rsidRDefault="00841F20" w:rsidP="00EA5080">
            <w:pPr>
              <w:spacing w:after="0" w:line="240" w:lineRule="auto"/>
              <w:jc w:val="center"/>
              <w:rPr>
                <w:rFonts w:asciiTheme="majorHAnsi" w:hAnsiTheme="majorHAnsi"/>
                <w:sz w:val="18"/>
                <w:szCs w:val="18"/>
              </w:rPr>
            </w:pPr>
            <w:r w:rsidRPr="00E712DA">
              <w:rPr>
                <w:rFonts w:asciiTheme="majorHAnsi" w:hAnsiTheme="majorHAnsi"/>
                <w:sz w:val="18"/>
                <w:szCs w:val="18"/>
              </w:rPr>
              <w:t>3,000 MW</w:t>
            </w:r>
          </w:p>
        </w:tc>
        <w:tc>
          <w:tcPr>
            <w:tcW w:w="1495" w:type="dxa"/>
            <w:vMerge/>
            <w:vAlign w:val="center"/>
          </w:tcPr>
          <w:p w:rsidR="00841F20" w:rsidRPr="00E712DA" w:rsidRDefault="00841F20" w:rsidP="00E712DA">
            <w:pPr>
              <w:spacing w:after="0" w:line="240" w:lineRule="auto"/>
              <w:jc w:val="center"/>
              <w:rPr>
                <w:rFonts w:asciiTheme="majorHAnsi" w:hAnsiTheme="majorHAnsi"/>
                <w:sz w:val="18"/>
                <w:szCs w:val="18"/>
              </w:rPr>
            </w:pPr>
          </w:p>
        </w:tc>
        <w:tc>
          <w:tcPr>
            <w:tcW w:w="1495" w:type="dxa"/>
            <w:vMerge/>
            <w:vAlign w:val="center"/>
          </w:tcPr>
          <w:p w:rsidR="00841F20" w:rsidRPr="00E712DA" w:rsidRDefault="00841F20" w:rsidP="00E712DA">
            <w:pPr>
              <w:spacing w:after="0" w:line="240" w:lineRule="auto"/>
              <w:jc w:val="center"/>
              <w:rPr>
                <w:rFonts w:asciiTheme="majorHAnsi" w:hAnsiTheme="majorHAnsi"/>
                <w:sz w:val="18"/>
                <w:szCs w:val="18"/>
              </w:rPr>
            </w:pPr>
          </w:p>
        </w:tc>
        <w:tc>
          <w:tcPr>
            <w:tcW w:w="1170" w:type="dxa"/>
            <w:vMerge/>
            <w:vAlign w:val="center"/>
          </w:tcPr>
          <w:p w:rsidR="00841F20" w:rsidRPr="00E712DA" w:rsidRDefault="00841F20" w:rsidP="00E712DA">
            <w:pPr>
              <w:spacing w:after="0" w:line="240" w:lineRule="auto"/>
              <w:jc w:val="center"/>
              <w:rPr>
                <w:rFonts w:asciiTheme="majorHAnsi" w:hAnsiTheme="majorHAnsi"/>
                <w:sz w:val="18"/>
                <w:szCs w:val="18"/>
              </w:rPr>
            </w:pPr>
          </w:p>
        </w:tc>
        <w:tc>
          <w:tcPr>
            <w:tcW w:w="1170" w:type="dxa"/>
            <w:vMerge/>
            <w:shd w:val="clear" w:color="auto" w:fill="auto"/>
            <w:vAlign w:val="center"/>
          </w:tcPr>
          <w:p w:rsidR="00841F20" w:rsidRPr="00E712DA" w:rsidRDefault="00841F20" w:rsidP="00E712DA">
            <w:pPr>
              <w:spacing w:after="0" w:line="240" w:lineRule="auto"/>
              <w:jc w:val="center"/>
              <w:rPr>
                <w:rFonts w:asciiTheme="majorHAnsi" w:hAnsiTheme="majorHAnsi"/>
                <w:sz w:val="18"/>
                <w:szCs w:val="18"/>
              </w:rPr>
            </w:pPr>
          </w:p>
        </w:tc>
        <w:tc>
          <w:tcPr>
            <w:tcW w:w="969" w:type="dxa"/>
            <w:vMerge/>
            <w:shd w:val="clear" w:color="auto" w:fill="auto"/>
            <w:vAlign w:val="center"/>
          </w:tcPr>
          <w:p w:rsidR="00841F20" w:rsidRPr="00E712DA" w:rsidRDefault="00841F20" w:rsidP="00E712DA">
            <w:pPr>
              <w:spacing w:after="0" w:line="240" w:lineRule="auto"/>
              <w:jc w:val="center"/>
              <w:rPr>
                <w:rFonts w:asciiTheme="majorHAnsi" w:hAnsiTheme="majorHAnsi"/>
                <w:sz w:val="18"/>
                <w:szCs w:val="18"/>
              </w:rPr>
            </w:pPr>
          </w:p>
        </w:tc>
      </w:tr>
      <w:tr w:rsidR="00841F20" w:rsidRPr="009C02EB" w:rsidTr="00E712DA">
        <w:trPr>
          <w:trHeight w:val="333"/>
          <w:jc w:val="center"/>
        </w:trPr>
        <w:tc>
          <w:tcPr>
            <w:tcW w:w="1385" w:type="dxa"/>
            <w:shd w:val="clear" w:color="auto" w:fill="auto"/>
            <w:tcMar>
              <w:top w:w="6" w:type="dxa"/>
              <w:left w:w="6" w:type="dxa"/>
              <w:bottom w:w="0" w:type="dxa"/>
              <w:right w:w="6" w:type="dxa"/>
            </w:tcMar>
            <w:vAlign w:val="center"/>
            <w:hideMark/>
          </w:tcPr>
          <w:p w:rsidR="00841F20" w:rsidRPr="00E712DA" w:rsidRDefault="00841F20" w:rsidP="00D24022">
            <w:pPr>
              <w:spacing w:after="0" w:line="240" w:lineRule="auto"/>
              <w:jc w:val="center"/>
              <w:rPr>
                <w:rFonts w:asciiTheme="majorHAnsi" w:hAnsiTheme="majorHAnsi"/>
                <w:sz w:val="18"/>
                <w:szCs w:val="18"/>
              </w:rPr>
            </w:pPr>
            <w:r w:rsidRPr="00E712DA">
              <w:rPr>
                <w:rFonts w:asciiTheme="majorHAnsi" w:hAnsiTheme="majorHAnsi"/>
                <w:b/>
                <w:bCs/>
                <w:sz w:val="18"/>
                <w:szCs w:val="18"/>
              </w:rPr>
              <w:t>NESCOE_5000</w:t>
            </w:r>
          </w:p>
        </w:tc>
        <w:tc>
          <w:tcPr>
            <w:tcW w:w="1495" w:type="dxa"/>
            <w:vAlign w:val="bottom"/>
          </w:tcPr>
          <w:p w:rsidR="00841F20" w:rsidRPr="00E712DA" w:rsidRDefault="00841F20" w:rsidP="00EA5080">
            <w:pPr>
              <w:spacing w:after="0" w:line="240" w:lineRule="auto"/>
              <w:jc w:val="center"/>
              <w:rPr>
                <w:rFonts w:asciiTheme="majorHAnsi" w:hAnsiTheme="majorHAnsi"/>
                <w:sz w:val="18"/>
                <w:szCs w:val="18"/>
              </w:rPr>
            </w:pPr>
            <w:r w:rsidRPr="00E712DA">
              <w:rPr>
                <w:rFonts w:asciiTheme="majorHAnsi" w:hAnsiTheme="majorHAnsi"/>
                <w:sz w:val="18"/>
                <w:szCs w:val="18"/>
              </w:rPr>
              <w:t>4,000 MW</w:t>
            </w:r>
          </w:p>
        </w:tc>
        <w:tc>
          <w:tcPr>
            <w:tcW w:w="1495" w:type="dxa"/>
            <w:vMerge/>
            <w:vAlign w:val="center"/>
          </w:tcPr>
          <w:p w:rsidR="00841F20" w:rsidRPr="00E712DA" w:rsidRDefault="00841F20" w:rsidP="00E712DA">
            <w:pPr>
              <w:spacing w:after="0" w:line="240" w:lineRule="auto"/>
              <w:jc w:val="center"/>
              <w:rPr>
                <w:rFonts w:asciiTheme="majorHAnsi" w:hAnsiTheme="majorHAnsi"/>
                <w:sz w:val="18"/>
                <w:szCs w:val="18"/>
              </w:rPr>
            </w:pPr>
          </w:p>
        </w:tc>
        <w:tc>
          <w:tcPr>
            <w:tcW w:w="1495" w:type="dxa"/>
            <w:vMerge/>
            <w:vAlign w:val="center"/>
            <w:hideMark/>
          </w:tcPr>
          <w:p w:rsidR="00841F20" w:rsidRPr="00E712DA" w:rsidRDefault="00841F20" w:rsidP="00E712DA">
            <w:pPr>
              <w:spacing w:after="0" w:line="240" w:lineRule="auto"/>
              <w:jc w:val="center"/>
              <w:rPr>
                <w:rFonts w:asciiTheme="majorHAnsi" w:hAnsiTheme="majorHAnsi"/>
                <w:sz w:val="18"/>
                <w:szCs w:val="18"/>
              </w:rPr>
            </w:pPr>
          </w:p>
        </w:tc>
        <w:tc>
          <w:tcPr>
            <w:tcW w:w="1170" w:type="dxa"/>
            <w:vMerge/>
            <w:vAlign w:val="center"/>
            <w:hideMark/>
          </w:tcPr>
          <w:p w:rsidR="00841F20" w:rsidRPr="00E712DA" w:rsidRDefault="00841F20" w:rsidP="00E712DA">
            <w:pPr>
              <w:spacing w:after="0" w:line="240" w:lineRule="auto"/>
              <w:jc w:val="center"/>
              <w:rPr>
                <w:rFonts w:asciiTheme="majorHAnsi" w:hAnsiTheme="majorHAnsi"/>
                <w:sz w:val="18"/>
                <w:szCs w:val="18"/>
              </w:rPr>
            </w:pPr>
          </w:p>
        </w:tc>
        <w:tc>
          <w:tcPr>
            <w:tcW w:w="1170" w:type="dxa"/>
            <w:vMerge/>
            <w:shd w:val="clear" w:color="auto" w:fill="auto"/>
            <w:vAlign w:val="center"/>
            <w:hideMark/>
          </w:tcPr>
          <w:p w:rsidR="00841F20" w:rsidRPr="00E712DA" w:rsidRDefault="00841F20" w:rsidP="00E712DA">
            <w:pPr>
              <w:spacing w:after="0" w:line="240" w:lineRule="auto"/>
              <w:jc w:val="center"/>
              <w:rPr>
                <w:rFonts w:asciiTheme="majorHAnsi" w:hAnsiTheme="majorHAnsi"/>
                <w:sz w:val="18"/>
                <w:szCs w:val="18"/>
              </w:rPr>
            </w:pPr>
          </w:p>
        </w:tc>
        <w:tc>
          <w:tcPr>
            <w:tcW w:w="969" w:type="dxa"/>
            <w:vMerge/>
            <w:shd w:val="clear" w:color="auto" w:fill="auto"/>
            <w:vAlign w:val="center"/>
            <w:hideMark/>
          </w:tcPr>
          <w:p w:rsidR="00841F20" w:rsidRPr="00E712DA" w:rsidRDefault="00841F20" w:rsidP="00E712DA">
            <w:pPr>
              <w:spacing w:after="0" w:line="240" w:lineRule="auto"/>
              <w:jc w:val="center"/>
              <w:rPr>
                <w:rFonts w:asciiTheme="majorHAnsi" w:hAnsiTheme="majorHAnsi"/>
                <w:sz w:val="18"/>
                <w:szCs w:val="18"/>
              </w:rPr>
            </w:pPr>
          </w:p>
        </w:tc>
      </w:tr>
      <w:tr w:rsidR="00841F20" w:rsidRPr="009C02EB" w:rsidTr="00E712DA">
        <w:trPr>
          <w:trHeight w:val="352"/>
          <w:jc w:val="center"/>
        </w:trPr>
        <w:tc>
          <w:tcPr>
            <w:tcW w:w="1385" w:type="dxa"/>
            <w:shd w:val="clear" w:color="auto" w:fill="CCEAF9" w:themeFill="accent1" w:themeFillTint="33"/>
            <w:tcMar>
              <w:top w:w="6" w:type="dxa"/>
              <w:left w:w="6" w:type="dxa"/>
              <w:bottom w:w="0" w:type="dxa"/>
              <w:right w:w="6" w:type="dxa"/>
            </w:tcMar>
            <w:vAlign w:val="center"/>
            <w:hideMark/>
          </w:tcPr>
          <w:p w:rsidR="00841F20" w:rsidRPr="00E712DA" w:rsidRDefault="00841F20" w:rsidP="00D24022">
            <w:pPr>
              <w:spacing w:after="0" w:line="240" w:lineRule="auto"/>
              <w:jc w:val="center"/>
              <w:rPr>
                <w:rFonts w:asciiTheme="majorHAnsi" w:hAnsiTheme="majorHAnsi"/>
                <w:sz w:val="18"/>
                <w:szCs w:val="18"/>
              </w:rPr>
            </w:pPr>
            <w:r w:rsidRPr="00E712DA">
              <w:rPr>
                <w:rFonts w:asciiTheme="majorHAnsi" w:hAnsiTheme="majorHAnsi"/>
                <w:b/>
                <w:bCs/>
                <w:sz w:val="18"/>
                <w:szCs w:val="18"/>
              </w:rPr>
              <w:t>NESCOE_6000</w:t>
            </w:r>
          </w:p>
        </w:tc>
        <w:tc>
          <w:tcPr>
            <w:tcW w:w="1495" w:type="dxa"/>
            <w:shd w:val="clear" w:color="auto" w:fill="CCEAF9" w:themeFill="accent1" w:themeFillTint="33"/>
            <w:vAlign w:val="bottom"/>
          </w:tcPr>
          <w:p w:rsidR="00841F20" w:rsidRPr="00E712DA" w:rsidRDefault="00841F20" w:rsidP="00EA5080">
            <w:pPr>
              <w:spacing w:after="0" w:line="240" w:lineRule="auto"/>
              <w:jc w:val="center"/>
              <w:rPr>
                <w:rFonts w:asciiTheme="majorHAnsi" w:hAnsiTheme="majorHAnsi"/>
                <w:sz w:val="18"/>
                <w:szCs w:val="18"/>
              </w:rPr>
            </w:pPr>
            <w:r w:rsidRPr="00E712DA">
              <w:rPr>
                <w:rFonts w:asciiTheme="majorHAnsi" w:hAnsiTheme="majorHAnsi"/>
                <w:sz w:val="18"/>
                <w:szCs w:val="18"/>
              </w:rPr>
              <w:t>5,000 MW</w:t>
            </w:r>
          </w:p>
        </w:tc>
        <w:tc>
          <w:tcPr>
            <w:tcW w:w="1495" w:type="dxa"/>
            <w:vMerge/>
            <w:vAlign w:val="center"/>
          </w:tcPr>
          <w:p w:rsidR="00841F20" w:rsidRPr="00E712DA" w:rsidRDefault="00841F20" w:rsidP="00E712DA">
            <w:pPr>
              <w:spacing w:after="0" w:line="240" w:lineRule="auto"/>
              <w:jc w:val="center"/>
              <w:rPr>
                <w:rFonts w:asciiTheme="majorHAnsi" w:hAnsiTheme="majorHAnsi"/>
                <w:sz w:val="18"/>
                <w:szCs w:val="18"/>
              </w:rPr>
            </w:pPr>
          </w:p>
        </w:tc>
        <w:tc>
          <w:tcPr>
            <w:tcW w:w="1495" w:type="dxa"/>
            <w:vMerge/>
            <w:vAlign w:val="center"/>
            <w:hideMark/>
          </w:tcPr>
          <w:p w:rsidR="00841F20" w:rsidRPr="00E712DA" w:rsidRDefault="00841F20" w:rsidP="00E712DA">
            <w:pPr>
              <w:spacing w:after="0" w:line="240" w:lineRule="auto"/>
              <w:jc w:val="center"/>
              <w:rPr>
                <w:rFonts w:asciiTheme="majorHAnsi" w:hAnsiTheme="majorHAnsi"/>
                <w:sz w:val="18"/>
                <w:szCs w:val="18"/>
              </w:rPr>
            </w:pPr>
          </w:p>
        </w:tc>
        <w:tc>
          <w:tcPr>
            <w:tcW w:w="1170" w:type="dxa"/>
            <w:vMerge/>
            <w:shd w:val="clear" w:color="auto" w:fill="auto"/>
            <w:tcMar>
              <w:top w:w="6" w:type="dxa"/>
              <w:left w:w="6" w:type="dxa"/>
              <w:bottom w:w="0" w:type="dxa"/>
              <w:right w:w="6" w:type="dxa"/>
            </w:tcMar>
            <w:vAlign w:val="center"/>
          </w:tcPr>
          <w:p w:rsidR="00841F20" w:rsidRPr="00E712DA" w:rsidRDefault="00841F20" w:rsidP="00E712DA">
            <w:pPr>
              <w:spacing w:after="0" w:line="240" w:lineRule="auto"/>
              <w:jc w:val="center"/>
              <w:rPr>
                <w:rFonts w:asciiTheme="majorHAnsi" w:hAnsiTheme="majorHAnsi"/>
                <w:sz w:val="18"/>
                <w:szCs w:val="18"/>
              </w:rPr>
            </w:pPr>
          </w:p>
        </w:tc>
        <w:tc>
          <w:tcPr>
            <w:tcW w:w="1170" w:type="dxa"/>
            <w:vMerge/>
            <w:shd w:val="clear" w:color="auto" w:fill="auto"/>
            <w:vAlign w:val="center"/>
            <w:hideMark/>
          </w:tcPr>
          <w:p w:rsidR="00841F20" w:rsidRPr="00E712DA" w:rsidRDefault="00841F20" w:rsidP="00E712DA">
            <w:pPr>
              <w:spacing w:after="0" w:line="240" w:lineRule="auto"/>
              <w:jc w:val="center"/>
              <w:rPr>
                <w:rFonts w:asciiTheme="majorHAnsi" w:hAnsiTheme="majorHAnsi"/>
                <w:sz w:val="18"/>
                <w:szCs w:val="18"/>
              </w:rPr>
            </w:pPr>
          </w:p>
        </w:tc>
        <w:tc>
          <w:tcPr>
            <w:tcW w:w="969" w:type="dxa"/>
            <w:vMerge/>
            <w:shd w:val="clear" w:color="auto" w:fill="auto"/>
            <w:vAlign w:val="center"/>
            <w:hideMark/>
          </w:tcPr>
          <w:p w:rsidR="00841F20" w:rsidRPr="00E712DA" w:rsidRDefault="00841F20" w:rsidP="00E712DA">
            <w:pPr>
              <w:spacing w:after="0" w:line="240" w:lineRule="auto"/>
              <w:jc w:val="center"/>
              <w:rPr>
                <w:rFonts w:asciiTheme="majorHAnsi" w:hAnsiTheme="majorHAnsi"/>
                <w:sz w:val="18"/>
                <w:szCs w:val="18"/>
              </w:rPr>
            </w:pPr>
          </w:p>
        </w:tc>
      </w:tr>
      <w:tr w:rsidR="00841F20" w:rsidRPr="009C02EB" w:rsidTr="0051440E">
        <w:trPr>
          <w:trHeight w:val="314"/>
          <w:jc w:val="center"/>
        </w:trPr>
        <w:tc>
          <w:tcPr>
            <w:tcW w:w="1385" w:type="dxa"/>
            <w:shd w:val="clear" w:color="auto" w:fill="auto"/>
            <w:tcMar>
              <w:top w:w="6" w:type="dxa"/>
              <w:left w:w="6" w:type="dxa"/>
              <w:bottom w:w="0" w:type="dxa"/>
              <w:right w:w="6" w:type="dxa"/>
            </w:tcMar>
            <w:vAlign w:val="center"/>
            <w:hideMark/>
          </w:tcPr>
          <w:p w:rsidR="00841F20" w:rsidRPr="0051440E" w:rsidRDefault="00841F20" w:rsidP="00D24022">
            <w:pPr>
              <w:spacing w:after="0" w:line="240" w:lineRule="auto"/>
              <w:jc w:val="center"/>
              <w:rPr>
                <w:rFonts w:asciiTheme="majorHAnsi" w:hAnsiTheme="majorHAnsi"/>
                <w:sz w:val="18"/>
                <w:szCs w:val="18"/>
              </w:rPr>
            </w:pPr>
            <w:r w:rsidRPr="0051440E">
              <w:rPr>
                <w:rFonts w:asciiTheme="majorHAnsi" w:hAnsiTheme="majorHAnsi"/>
                <w:b/>
                <w:bCs/>
                <w:sz w:val="18"/>
                <w:szCs w:val="18"/>
              </w:rPr>
              <w:t>NESCOE_8000</w:t>
            </w:r>
          </w:p>
        </w:tc>
        <w:tc>
          <w:tcPr>
            <w:tcW w:w="1495" w:type="dxa"/>
            <w:vAlign w:val="center"/>
          </w:tcPr>
          <w:p w:rsidR="00841F20" w:rsidRPr="0051440E" w:rsidRDefault="00841F20" w:rsidP="00EA5080">
            <w:pPr>
              <w:spacing w:after="0" w:line="240" w:lineRule="auto"/>
              <w:jc w:val="center"/>
              <w:rPr>
                <w:rFonts w:asciiTheme="majorHAnsi" w:hAnsiTheme="majorHAnsi"/>
                <w:sz w:val="18"/>
                <w:szCs w:val="18"/>
              </w:rPr>
            </w:pPr>
            <w:r w:rsidRPr="0051440E">
              <w:rPr>
                <w:rFonts w:asciiTheme="majorHAnsi" w:hAnsiTheme="majorHAnsi"/>
                <w:sz w:val="18"/>
                <w:szCs w:val="18"/>
              </w:rPr>
              <w:t>7,000 MW</w:t>
            </w:r>
          </w:p>
        </w:tc>
        <w:tc>
          <w:tcPr>
            <w:tcW w:w="1495" w:type="dxa"/>
            <w:vMerge/>
            <w:vAlign w:val="center"/>
          </w:tcPr>
          <w:p w:rsidR="00841F20" w:rsidRPr="0051440E" w:rsidRDefault="00841F20" w:rsidP="0051440E">
            <w:pPr>
              <w:spacing w:after="0" w:line="240" w:lineRule="auto"/>
              <w:jc w:val="center"/>
              <w:rPr>
                <w:rFonts w:asciiTheme="majorHAnsi" w:hAnsiTheme="majorHAnsi"/>
                <w:sz w:val="18"/>
                <w:szCs w:val="18"/>
              </w:rPr>
            </w:pPr>
          </w:p>
        </w:tc>
        <w:tc>
          <w:tcPr>
            <w:tcW w:w="1495" w:type="dxa"/>
            <w:vMerge/>
            <w:vAlign w:val="center"/>
            <w:hideMark/>
          </w:tcPr>
          <w:p w:rsidR="00841F20" w:rsidRPr="0051440E" w:rsidRDefault="00841F20" w:rsidP="0051440E">
            <w:pPr>
              <w:spacing w:after="0" w:line="240" w:lineRule="auto"/>
              <w:jc w:val="center"/>
              <w:rPr>
                <w:rFonts w:asciiTheme="majorHAnsi" w:hAnsiTheme="majorHAnsi"/>
                <w:sz w:val="18"/>
                <w:szCs w:val="18"/>
              </w:rPr>
            </w:pPr>
          </w:p>
        </w:tc>
        <w:tc>
          <w:tcPr>
            <w:tcW w:w="1170" w:type="dxa"/>
            <w:shd w:val="clear" w:color="auto" w:fill="auto"/>
            <w:vAlign w:val="center"/>
            <w:hideMark/>
          </w:tcPr>
          <w:p w:rsidR="00841F20" w:rsidRPr="0051440E" w:rsidRDefault="00841F20" w:rsidP="0051440E">
            <w:pPr>
              <w:spacing w:after="0" w:line="240" w:lineRule="auto"/>
              <w:jc w:val="center"/>
              <w:rPr>
                <w:rFonts w:asciiTheme="majorHAnsi" w:hAnsiTheme="majorHAnsi"/>
                <w:sz w:val="18"/>
                <w:szCs w:val="18"/>
              </w:rPr>
            </w:pPr>
            <w:r w:rsidRPr="0051440E">
              <w:rPr>
                <w:rFonts w:asciiTheme="majorHAnsi" w:hAnsiTheme="majorHAnsi"/>
                <w:sz w:val="18"/>
                <w:szCs w:val="18"/>
              </w:rPr>
              <w:t>2,050 MW</w:t>
            </w:r>
          </w:p>
        </w:tc>
        <w:tc>
          <w:tcPr>
            <w:tcW w:w="1170" w:type="dxa"/>
            <w:shd w:val="clear" w:color="auto" w:fill="auto"/>
            <w:vAlign w:val="center"/>
            <w:hideMark/>
          </w:tcPr>
          <w:p w:rsidR="00841F20" w:rsidRPr="0051440E" w:rsidRDefault="00841F20">
            <w:pPr>
              <w:pStyle w:val="Default"/>
              <w:jc w:val="center"/>
              <w:rPr>
                <w:rFonts w:asciiTheme="majorHAnsi" w:hAnsiTheme="majorHAnsi"/>
                <w:color w:val="auto"/>
                <w:sz w:val="18"/>
                <w:szCs w:val="18"/>
              </w:rPr>
            </w:pPr>
            <w:r w:rsidRPr="0051440E">
              <w:rPr>
                <w:rFonts w:asciiTheme="majorHAnsi" w:hAnsiTheme="majorHAnsi"/>
                <w:color w:val="auto"/>
                <w:sz w:val="18"/>
                <w:szCs w:val="18"/>
              </w:rPr>
              <w:t>550,000 vehicles</w:t>
            </w:r>
          </w:p>
        </w:tc>
        <w:tc>
          <w:tcPr>
            <w:tcW w:w="969" w:type="dxa"/>
            <w:shd w:val="clear" w:color="auto" w:fill="auto"/>
            <w:vAlign w:val="center"/>
            <w:hideMark/>
          </w:tcPr>
          <w:p w:rsidR="00841F20" w:rsidRPr="0051440E" w:rsidRDefault="00841F20" w:rsidP="00D24022">
            <w:pPr>
              <w:spacing w:after="0" w:line="240" w:lineRule="auto"/>
              <w:jc w:val="center"/>
              <w:rPr>
                <w:rFonts w:asciiTheme="majorHAnsi" w:hAnsiTheme="majorHAnsi"/>
                <w:sz w:val="18"/>
                <w:szCs w:val="18"/>
              </w:rPr>
            </w:pPr>
            <w:r w:rsidRPr="0051440E">
              <w:rPr>
                <w:rFonts w:asciiTheme="majorHAnsi" w:hAnsiTheme="majorHAnsi"/>
                <w:sz w:val="18"/>
                <w:szCs w:val="18"/>
              </w:rPr>
              <w:t>2</w:t>
            </w:r>
            <w:r w:rsidR="006224B6">
              <w:rPr>
                <w:rFonts w:asciiTheme="majorHAnsi" w:hAnsiTheme="majorHAnsi"/>
                <w:sz w:val="18"/>
                <w:szCs w:val="18"/>
              </w:rPr>
              <w:t>,</w:t>
            </w:r>
            <w:r w:rsidRPr="0051440E">
              <w:rPr>
                <w:rFonts w:asciiTheme="majorHAnsi" w:hAnsiTheme="majorHAnsi"/>
                <w:sz w:val="18"/>
                <w:szCs w:val="18"/>
              </w:rPr>
              <w:t>000 MW</w:t>
            </w:r>
          </w:p>
        </w:tc>
      </w:tr>
    </w:tbl>
    <w:p w:rsidR="005B6AE8" w:rsidRPr="005B6AE8" w:rsidRDefault="006224B6" w:rsidP="00483372">
      <w:pPr>
        <w:spacing w:before="120" w:after="80" w:line="240" w:lineRule="auto"/>
        <w:ind w:left="86" w:right="86"/>
        <w:rPr>
          <w:rFonts w:asciiTheme="majorHAnsi" w:hAnsiTheme="majorHAnsi"/>
          <w:sz w:val="16"/>
          <w:szCs w:val="16"/>
        </w:rPr>
      </w:pPr>
      <w:r w:rsidRPr="00650E69">
        <w:rPr>
          <w:rFonts w:asciiTheme="majorHAnsi" w:hAnsiTheme="majorHAnsi"/>
          <w:sz w:val="16"/>
          <w:szCs w:val="16"/>
        </w:rPr>
        <w:t>(a)</w:t>
      </w:r>
      <w:r w:rsidR="00B1177C" w:rsidRPr="00650E69">
        <w:rPr>
          <w:rFonts w:asciiTheme="majorHAnsi" w:hAnsiTheme="majorHAnsi"/>
          <w:sz w:val="16"/>
          <w:szCs w:val="16"/>
        </w:rPr>
        <w:t xml:space="preserve"> For all scenarios, the</w:t>
      </w:r>
      <w:r w:rsidR="009321FB" w:rsidRPr="00650E69">
        <w:rPr>
          <w:rFonts w:asciiTheme="majorHAnsi" w:hAnsiTheme="majorHAnsi"/>
          <w:sz w:val="16"/>
          <w:szCs w:val="16"/>
        </w:rPr>
        <w:t xml:space="preserve"> </w:t>
      </w:r>
      <w:r w:rsidRPr="00650E69">
        <w:rPr>
          <w:rFonts w:asciiTheme="majorHAnsi" w:hAnsiTheme="majorHAnsi"/>
          <w:sz w:val="16"/>
          <w:szCs w:val="16"/>
        </w:rPr>
        <w:t xml:space="preserve">ISO’s </w:t>
      </w:r>
      <w:r w:rsidR="009321FB" w:rsidRPr="00650E69">
        <w:rPr>
          <w:rFonts w:asciiTheme="majorHAnsi" w:hAnsiTheme="majorHAnsi"/>
          <w:i/>
          <w:sz w:val="16"/>
          <w:szCs w:val="16"/>
        </w:rPr>
        <w:t>2019 Forecast Report of Capacity, Energy, Loads, and Transmission</w:t>
      </w:r>
      <w:r w:rsidR="009321FB" w:rsidRPr="00650E69">
        <w:rPr>
          <w:rFonts w:asciiTheme="majorHAnsi" w:hAnsiTheme="majorHAnsi"/>
          <w:sz w:val="16"/>
          <w:szCs w:val="16"/>
        </w:rPr>
        <w:t xml:space="preserve"> (</w:t>
      </w:r>
      <w:r w:rsidR="00D13443" w:rsidRPr="00650E69">
        <w:rPr>
          <w:rFonts w:asciiTheme="majorHAnsi" w:hAnsiTheme="majorHAnsi"/>
          <w:sz w:val="16"/>
          <w:szCs w:val="16"/>
        </w:rPr>
        <w:t>CELT Report</w:t>
      </w:r>
      <w:r w:rsidR="009321FB" w:rsidRPr="00650E69">
        <w:rPr>
          <w:rFonts w:asciiTheme="majorHAnsi" w:hAnsiTheme="majorHAnsi"/>
          <w:sz w:val="16"/>
          <w:szCs w:val="16"/>
        </w:rPr>
        <w:t>)</w:t>
      </w:r>
      <w:r w:rsidR="00B1177C" w:rsidRPr="00650E69">
        <w:rPr>
          <w:rFonts w:asciiTheme="majorHAnsi" w:hAnsiTheme="majorHAnsi"/>
          <w:sz w:val="16"/>
          <w:szCs w:val="16"/>
        </w:rPr>
        <w:t xml:space="preserve"> </w:t>
      </w:r>
      <w:r w:rsidR="00D13443" w:rsidRPr="00650E69">
        <w:rPr>
          <w:rFonts w:asciiTheme="majorHAnsi" w:hAnsiTheme="majorHAnsi"/>
          <w:sz w:val="16"/>
          <w:szCs w:val="16"/>
        </w:rPr>
        <w:t>(</w:t>
      </w:r>
      <w:hyperlink r:id="rId24" w:history="1">
        <w:r w:rsidR="00D13443" w:rsidRPr="00650E69">
          <w:rPr>
            <w:rStyle w:val="Hyperlink"/>
            <w:rFonts w:asciiTheme="majorHAnsi" w:hAnsiTheme="majorHAnsi"/>
            <w:sz w:val="16"/>
            <w:szCs w:val="16"/>
          </w:rPr>
          <w:t>https://www.iso-ne.com/static-assets/documents/2019/04/2019_celt_report.xls</w:t>
        </w:r>
      </w:hyperlink>
      <w:r w:rsidR="00D13443" w:rsidRPr="00650E69">
        <w:rPr>
          <w:rFonts w:asciiTheme="majorHAnsi" w:hAnsiTheme="majorHAnsi"/>
          <w:sz w:val="16"/>
          <w:szCs w:val="16"/>
        </w:rPr>
        <w:t xml:space="preserve">) </w:t>
      </w:r>
      <w:r w:rsidR="00B1177C" w:rsidRPr="00650E69">
        <w:rPr>
          <w:rFonts w:asciiTheme="majorHAnsi" w:hAnsiTheme="majorHAnsi"/>
          <w:sz w:val="16"/>
          <w:szCs w:val="16"/>
        </w:rPr>
        <w:t>was the source for</w:t>
      </w:r>
      <w:r w:rsidRPr="00650E69">
        <w:rPr>
          <w:rFonts w:asciiTheme="majorHAnsi" w:hAnsiTheme="majorHAnsi"/>
          <w:sz w:val="16"/>
          <w:szCs w:val="16"/>
        </w:rPr>
        <w:t xml:space="preserve"> data on </w:t>
      </w:r>
      <w:r w:rsidR="00B1177C" w:rsidRPr="00650E69">
        <w:rPr>
          <w:rFonts w:asciiTheme="majorHAnsi" w:hAnsiTheme="majorHAnsi"/>
          <w:sz w:val="16"/>
          <w:szCs w:val="16"/>
        </w:rPr>
        <w:t>gross demand, energy efficiency</w:t>
      </w:r>
      <w:r w:rsidR="009321FB" w:rsidRPr="00650E69">
        <w:rPr>
          <w:rFonts w:asciiTheme="majorHAnsi" w:hAnsiTheme="majorHAnsi"/>
          <w:sz w:val="16"/>
          <w:szCs w:val="16"/>
        </w:rPr>
        <w:t xml:space="preserve"> (EE)</w:t>
      </w:r>
      <w:r w:rsidR="00C47E42" w:rsidRPr="00650E69">
        <w:rPr>
          <w:rFonts w:asciiTheme="majorHAnsi" w:hAnsiTheme="majorHAnsi"/>
          <w:sz w:val="16"/>
          <w:szCs w:val="16"/>
        </w:rPr>
        <w:t>,</w:t>
      </w:r>
      <w:r w:rsidR="00B1177C" w:rsidRPr="00650E69">
        <w:rPr>
          <w:rFonts w:asciiTheme="majorHAnsi" w:hAnsiTheme="majorHAnsi"/>
          <w:sz w:val="16"/>
          <w:szCs w:val="16"/>
        </w:rPr>
        <w:t xml:space="preserve"> </w:t>
      </w:r>
      <w:r w:rsidRPr="00650E69">
        <w:rPr>
          <w:rFonts w:asciiTheme="majorHAnsi" w:hAnsiTheme="majorHAnsi"/>
          <w:sz w:val="16"/>
          <w:szCs w:val="16"/>
        </w:rPr>
        <w:t xml:space="preserve">and </w:t>
      </w:r>
      <w:r w:rsidR="009321FB" w:rsidRPr="00CE1B10">
        <w:rPr>
          <w:rFonts w:asciiTheme="majorHAnsi" w:hAnsiTheme="majorHAnsi"/>
          <w:sz w:val="16"/>
          <w:szCs w:val="16"/>
        </w:rPr>
        <w:t>b</w:t>
      </w:r>
      <w:r w:rsidR="00B1177C" w:rsidRPr="00CE1B10">
        <w:rPr>
          <w:rFonts w:asciiTheme="majorHAnsi" w:hAnsiTheme="majorHAnsi"/>
          <w:sz w:val="16"/>
          <w:szCs w:val="16"/>
        </w:rPr>
        <w:t>eh</w:t>
      </w:r>
      <w:r w:rsidR="009321FB" w:rsidRPr="00CE1B10">
        <w:rPr>
          <w:rFonts w:asciiTheme="majorHAnsi" w:hAnsiTheme="majorHAnsi"/>
          <w:sz w:val="16"/>
          <w:szCs w:val="16"/>
        </w:rPr>
        <w:t>ind-the-m</w:t>
      </w:r>
      <w:r w:rsidR="00B1177C" w:rsidRPr="00CE1B10">
        <w:rPr>
          <w:rFonts w:asciiTheme="majorHAnsi" w:hAnsiTheme="majorHAnsi"/>
          <w:sz w:val="16"/>
          <w:szCs w:val="16"/>
        </w:rPr>
        <w:t xml:space="preserve">eter </w:t>
      </w:r>
      <w:r w:rsidR="009321FB" w:rsidRPr="00CE1B10">
        <w:rPr>
          <w:rFonts w:asciiTheme="majorHAnsi" w:hAnsiTheme="majorHAnsi"/>
          <w:sz w:val="16"/>
          <w:szCs w:val="16"/>
        </w:rPr>
        <w:t>photovoltaic</w:t>
      </w:r>
      <w:r w:rsidR="005B6AE8" w:rsidRPr="00CE1B10">
        <w:rPr>
          <w:rFonts w:asciiTheme="majorHAnsi" w:hAnsiTheme="majorHAnsi"/>
          <w:sz w:val="16"/>
          <w:szCs w:val="16"/>
        </w:rPr>
        <w:t>s</w:t>
      </w:r>
      <w:r w:rsidR="009321FB" w:rsidRPr="00CE1B10">
        <w:rPr>
          <w:rFonts w:asciiTheme="majorHAnsi" w:hAnsiTheme="majorHAnsi"/>
          <w:sz w:val="16"/>
          <w:szCs w:val="16"/>
        </w:rPr>
        <w:t xml:space="preserve"> (BTM PV)</w:t>
      </w:r>
      <w:r w:rsidR="005B6AE8" w:rsidRPr="00CE1B10">
        <w:rPr>
          <w:rFonts w:asciiTheme="majorHAnsi" w:hAnsiTheme="majorHAnsi"/>
          <w:sz w:val="16"/>
          <w:szCs w:val="16"/>
        </w:rPr>
        <w:t xml:space="preserve"> (April 30, 2019)</w:t>
      </w:r>
      <w:r w:rsidR="00483372" w:rsidRPr="00CE1B10">
        <w:rPr>
          <w:rFonts w:asciiTheme="majorHAnsi" w:hAnsiTheme="majorHAnsi"/>
          <w:sz w:val="16"/>
          <w:szCs w:val="16"/>
        </w:rPr>
        <w:t>,</w:t>
      </w:r>
      <w:hyperlink r:id="rId25" w:history="1">
        <w:r w:rsidR="005B6AE8" w:rsidRPr="00CE1B10">
          <w:rPr>
            <w:rStyle w:val="Hyperlink"/>
          </w:rPr>
          <w:t xml:space="preserve"> </w:t>
        </w:r>
        <w:r w:rsidR="005B6AE8" w:rsidRPr="00CE1B10">
          <w:rPr>
            <w:rStyle w:val="Hyperlink"/>
            <w:rFonts w:asciiTheme="majorHAnsi" w:hAnsiTheme="majorHAnsi"/>
            <w:sz w:val="16"/>
            <w:szCs w:val="16"/>
          </w:rPr>
          <w:t>https://www.iso-ne.com/static-assets/documents/2019/04/2019_celt_report.xls</w:t>
        </w:r>
      </w:hyperlink>
      <w:r w:rsidR="00BF1EA7" w:rsidRPr="00CE1B10">
        <w:rPr>
          <w:rFonts w:asciiTheme="majorHAnsi" w:hAnsiTheme="majorHAnsi"/>
          <w:sz w:val="16"/>
          <w:szCs w:val="16"/>
        </w:rPr>
        <w:t xml:space="preserve">. </w:t>
      </w:r>
      <w:r w:rsidR="00C47E42" w:rsidRPr="00650E69">
        <w:rPr>
          <w:rFonts w:asciiTheme="majorHAnsi" w:hAnsiTheme="majorHAnsi"/>
          <w:sz w:val="16"/>
          <w:szCs w:val="16"/>
        </w:rPr>
        <w:t xml:space="preserve">Supply-side </w:t>
      </w:r>
      <w:r w:rsidR="00026B6B" w:rsidRPr="00650E69">
        <w:rPr>
          <w:rFonts w:asciiTheme="majorHAnsi" w:hAnsiTheme="majorHAnsi"/>
          <w:sz w:val="16"/>
          <w:szCs w:val="16"/>
        </w:rPr>
        <w:t>resource</w:t>
      </w:r>
      <w:r w:rsidR="005B6AE8" w:rsidRPr="00650E69">
        <w:rPr>
          <w:rFonts w:asciiTheme="majorHAnsi" w:hAnsiTheme="majorHAnsi"/>
          <w:sz w:val="16"/>
          <w:szCs w:val="16"/>
        </w:rPr>
        <w:t xml:space="preserve"> capacity</w:t>
      </w:r>
      <w:r w:rsidR="00026B6B" w:rsidRPr="00650E69">
        <w:rPr>
          <w:rFonts w:asciiTheme="majorHAnsi" w:hAnsiTheme="majorHAnsi"/>
          <w:sz w:val="16"/>
          <w:szCs w:val="16"/>
        </w:rPr>
        <w:t xml:space="preserve"> </w:t>
      </w:r>
      <w:r w:rsidR="00C47E42" w:rsidRPr="00650E69">
        <w:rPr>
          <w:rFonts w:asciiTheme="majorHAnsi" w:hAnsiTheme="majorHAnsi"/>
          <w:sz w:val="16"/>
          <w:szCs w:val="16"/>
        </w:rPr>
        <w:t>(</w:t>
      </w:r>
      <w:r w:rsidR="005B6AE8" w:rsidRPr="00650E69">
        <w:rPr>
          <w:rFonts w:asciiTheme="majorHAnsi" w:hAnsiTheme="majorHAnsi"/>
          <w:sz w:val="16"/>
          <w:szCs w:val="16"/>
        </w:rPr>
        <w:t xml:space="preserve">for </w:t>
      </w:r>
      <w:r w:rsidR="00C47E42" w:rsidRPr="00650E69">
        <w:rPr>
          <w:rFonts w:asciiTheme="majorHAnsi" w:hAnsiTheme="majorHAnsi"/>
          <w:sz w:val="16"/>
          <w:szCs w:val="16"/>
        </w:rPr>
        <w:t>new and existin</w:t>
      </w:r>
      <w:r w:rsidR="009321FB" w:rsidRPr="00650E69">
        <w:rPr>
          <w:rFonts w:asciiTheme="majorHAnsi" w:hAnsiTheme="majorHAnsi"/>
          <w:sz w:val="16"/>
          <w:szCs w:val="16"/>
        </w:rPr>
        <w:t xml:space="preserve">g generation </w:t>
      </w:r>
      <w:r w:rsidR="00C47E42" w:rsidRPr="00650E69">
        <w:rPr>
          <w:rFonts w:asciiTheme="majorHAnsi" w:hAnsiTheme="majorHAnsi"/>
          <w:sz w:val="16"/>
          <w:szCs w:val="16"/>
        </w:rPr>
        <w:t>and</w:t>
      </w:r>
      <w:r w:rsidR="009321FB" w:rsidRPr="00650E69">
        <w:rPr>
          <w:rFonts w:asciiTheme="majorHAnsi" w:hAnsiTheme="majorHAnsi"/>
          <w:sz w:val="16"/>
          <w:szCs w:val="16"/>
        </w:rPr>
        <w:t xml:space="preserve"> demand)</w:t>
      </w:r>
      <w:r w:rsidR="00C47E42" w:rsidRPr="00650E69">
        <w:rPr>
          <w:rFonts w:asciiTheme="majorHAnsi" w:hAnsiTheme="majorHAnsi"/>
          <w:sz w:val="16"/>
          <w:szCs w:val="16"/>
        </w:rPr>
        <w:t xml:space="preserve"> w</w:t>
      </w:r>
      <w:r w:rsidR="005B6AE8" w:rsidRPr="00650E69">
        <w:rPr>
          <w:rFonts w:asciiTheme="majorHAnsi" w:hAnsiTheme="majorHAnsi"/>
          <w:sz w:val="16"/>
          <w:szCs w:val="16"/>
        </w:rPr>
        <w:t>as</w:t>
      </w:r>
      <w:r w:rsidR="00C47E42" w:rsidRPr="00650E69">
        <w:rPr>
          <w:rFonts w:asciiTheme="majorHAnsi" w:hAnsiTheme="majorHAnsi"/>
          <w:sz w:val="16"/>
          <w:szCs w:val="16"/>
        </w:rPr>
        <w:t xml:space="preserve"> based on the </w:t>
      </w:r>
      <w:r w:rsidR="00483372" w:rsidRPr="00650E69">
        <w:rPr>
          <w:rFonts w:asciiTheme="majorHAnsi" w:hAnsiTheme="majorHAnsi"/>
          <w:sz w:val="16"/>
          <w:szCs w:val="16"/>
        </w:rPr>
        <w:t>results of the thirteenth Forward Capacity Auction (FCA 13)</w:t>
      </w:r>
      <w:r w:rsidR="00C47E42" w:rsidRPr="00650E69">
        <w:rPr>
          <w:rFonts w:asciiTheme="majorHAnsi" w:hAnsiTheme="majorHAnsi"/>
          <w:sz w:val="16"/>
          <w:szCs w:val="16"/>
        </w:rPr>
        <w:t xml:space="preserve"> </w:t>
      </w:r>
      <w:r w:rsidR="009321FB" w:rsidRPr="00650E69">
        <w:rPr>
          <w:rFonts w:asciiTheme="majorHAnsi" w:hAnsiTheme="majorHAnsi"/>
          <w:sz w:val="16"/>
          <w:szCs w:val="16"/>
        </w:rPr>
        <w:t>for Capacity Commitment Period 2022-2023</w:t>
      </w:r>
      <w:r w:rsidR="005B6AE8" w:rsidRPr="00650E69">
        <w:rPr>
          <w:rFonts w:asciiTheme="majorHAnsi" w:hAnsiTheme="majorHAnsi"/>
          <w:sz w:val="16"/>
          <w:szCs w:val="16"/>
        </w:rPr>
        <w:t xml:space="preserve">; see ISO New England Inc., Docket No. ER19-___-000, FERC filing (February 28, </w:t>
      </w:r>
      <w:r w:rsidR="005B6AE8" w:rsidRPr="00CE1B10">
        <w:rPr>
          <w:rFonts w:asciiTheme="majorHAnsi" w:hAnsiTheme="majorHAnsi"/>
          <w:sz w:val="16"/>
          <w:szCs w:val="16"/>
        </w:rPr>
        <w:t>2019)</w:t>
      </w:r>
      <w:r w:rsidR="005B6AE8" w:rsidRPr="00AD22C8">
        <w:rPr>
          <w:rFonts w:asciiTheme="majorHAnsi" w:hAnsiTheme="majorHAnsi"/>
          <w:sz w:val="16"/>
          <w:szCs w:val="16"/>
        </w:rPr>
        <w:t xml:space="preserve">, </w:t>
      </w:r>
      <w:hyperlink r:id="rId26" w:history="1">
        <w:r w:rsidR="005B6AE8" w:rsidRPr="00AD22C8">
          <w:rPr>
            <w:rStyle w:val="Hyperlink"/>
            <w:rFonts w:asciiTheme="majorHAnsi" w:hAnsiTheme="majorHAnsi"/>
            <w:sz w:val="16"/>
            <w:szCs w:val="16"/>
          </w:rPr>
          <w:t>https://www.iso-ne.com/static-assets/documents/2019/02/fca_13_results_filing.pdf</w:t>
        </w:r>
      </w:hyperlink>
      <w:r w:rsidR="005B6AE8" w:rsidRPr="00AD22C8">
        <w:rPr>
          <w:rFonts w:asciiTheme="majorHAnsi" w:hAnsiTheme="majorHAnsi"/>
          <w:sz w:val="16"/>
          <w:szCs w:val="16"/>
        </w:rPr>
        <w:t>.</w:t>
      </w:r>
    </w:p>
    <w:p w:rsidR="00366EEB" w:rsidRDefault="005B6AE8" w:rsidP="00650E69">
      <w:pPr>
        <w:spacing w:after="80" w:line="240" w:lineRule="auto"/>
        <w:ind w:left="86" w:right="86"/>
        <w:rPr>
          <w:rFonts w:asciiTheme="majorHAnsi" w:hAnsiTheme="majorHAnsi"/>
          <w:sz w:val="16"/>
          <w:szCs w:val="16"/>
        </w:rPr>
      </w:pPr>
      <w:r w:rsidRPr="005B6AE8">
        <w:rPr>
          <w:rFonts w:asciiTheme="majorHAnsi" w:hAnsiTheme="majorHAnsi"/>
          <w:sz w:val="16"/>
          <w:szCs w:val="16"/>
        </w:rPr>
        <w:t>(</w:t>
      </w:r>
      <w:r>
        <w:rPr>
          <w:rFonts w:asciiTheme="majorHAnsi" w:hAnsiTheme="majorHAnsi"/>
          <w:sz w:val="16"/>
          <w:szCs w:val="16"/>
        </w:rPr>
        <w:t>b</w:t>
      </w:r>
      <w:r w:rsidRPr="005B6AE8">
        <w:rPr>
          <w:rFonts w:asciiTheme="majorHAnsi" w:hAnsiTheme="majorHAnsi"/>
          <w:sz w:val="16"/>
          <w:szCs w:val="16"/>
        </w:rPr>
        <w:t>)</w:t>
      </w:r>
      <w:r>
        <w:rPr>
          <w:rFonts w:asciiTheme="majorHAnsi" w:hAnsiTheme="majorHAnsi"/>
          <w:sz w:val="16"/>
          <w:szCs w:val="16"/>
        </w:rPr>
        <w:t xml:space="preserve"> </w:t>
      </w:r>
      <w:r w:rsidRPr="005B6AE8">
        <w:rPr>
          <w:rFonts w:asciiTheme="majorHAnsi" w:hAnsiTheme="majorHAnsi"/>
          <w:sz w:val="16"/>
          <w:szCs w:val="16"/>
        </w:rPr>
        <w:t>NECEC refers to New England Clean Energy Connect.</w:t>
      </w:r>
    </w:p>
    <w:p w:rsidR="005B6AE8" w:rsidRDefault="005B6AE8" w:rsidP="00AD22C8">
      <w:pPr>
        <w:spacing w:after="80" w:line="240" w:lineRule="auto"/>
        <w:ind w:left="86"/>
        <w:rPr>
          <w:rFonts w:asciiTheme="majorHAnsi" w:hAnsiTheme="majorHAnsi" w:cstheme="majorHAnsi"/>
          <w:sz w:val="16"/>
        </w:rPr>
      </w:pPr>
      <w:r w:rsidRPr="00E712DA">
        <w:rPr>
          <w:rFonts w:asciiTheme="majorHAnsi" w:hAnsiTheme="majorHAnsi" w:cstheme="majorHAnsi"/>
          <w:sz w:val="16"/>
          <w:szCs w:val="16"/>
        </w:rPr>
        <w:t>(c</w:t>
      </w:r>
      <w:r w:rsidR="006224B6" w:rsidRPr="00E712DA">
        <w:rPr>
          <w:rFonts w:asciiTheme="majorHAnsi" w:hAnsiTheme="majorHAnsi" w:cstheme="majorHAnsi"/>
          <w:sz w:val="16"/>
          <w:szCs w:val="16"/>
        </w:rPr>
        <w:t>)</w:t>
      </w:r>
      <w:r w:rsidRPr="00E712DA">
        <w:rPr>
          <w:rFonts w:asciiTheme="majorHAnsi" w:hAnsiTheme="majorHAnsi" w:cstheme="majorHAnsi"/>
        </w:rPr>
        <w:t xml:space="preserve"> </w:t>
      </w:r>
      <w:r w:rsidRPr="00E712DA">
        <w:rPr>
          <w:rFonts w:asciiTheme="majorHAnsi" w:hAnsiTheme="majorHAnsi" w:cstheme="majorHAnsi"/>
          <w:sz w:val="16"/>
        </w:rPr>
        <w:t>RFP</w:t>
      </w:r>
      <w:r w:rsidR="00483372" w:rsidRPr="00E712DA">
        <w:rPr>
          <w:rFonts w:asciiTheme="majorHAnsi" w:hAnsiTheme="majorHAnsi" w:cstheme="majorHAnsi"/>
          <w:sz w:val="16"/>
        </w:rPr>
        <w:t>-</w:t>
      </w:r>
      <w:r w:rsidRPr="00E712DA">
        <w:rPr>
          <w:rFonts w:asciiTheme="majorHAnsi" w:hAnsiTheme="majorHAnsi" w:cstheme="majorHAnsi"/>
          <w:sz w:val="16"/>
        </w:rPr>
        <w:t>commitment offshore wind projects include Vineyard Wind (800 MW) and Revolution Wind (200 MW).</w:t>
      </w:r>
    </w:p>
    <w:p w:rsidR="00650E69" w:rsidRPr="00E712DA" w:rsidRDefault="00650E69" w:rsidP="00650E69">
      <w:pPr>
        <w:spacing w:line="240" w:lineRule="auto"/>
        <w:ind w:left="86"/>
        <w:rPr>
          <w:rFonts w:asciiTheme="majorHAnsi" w:hAnsiTheme="majorHAnsi" w:cstheme="majorHAnsi"/>
          <w:sz w:val="16"/>
        </w:rPr>
      </w:pPr>
      <w:r w:rsidRPr="00AD22C8">
        <w:rPr>
          <w:rFonts w:asciiTheme="majorHAnsi" w:hAnsiTheme="majorHAnsi" w:cstheme="majorHAnsi"/>
          <w:sz w:val="16"/>
        </w:rPr>
        <w:t xml:space="preserve">(d) </w:t>
      </w:r>
      <w:r w:rsidR="00AD22C8">
        <w:rPr>
          <w:rFonts w:asciiTheme="majorHAnsi" w:hAnsiTheme="majorHAnsi" w:cstheme="majorHAnsi"/>
          <w:sz w:val="16"/>
        </w:rPr>
        <w:t xml:space="preserve">Included in the 2030 resource mix are </w:t>
      </w:r>
      <w:r w:rsidR="00AD22C8" w:rsidRPr="00AD22C8">
        <w:rPr>
          <w:rFonts w:asciiTheme="majorHAnsi" w:hAnsiTheme="majorHAnsi" w:cstheme="majorHAnsi"/>
          <w:sz w:val="16"/>
        </w:rPr>
        <w:t>452 MW of coal and 5,298 MW</w:t>
      </w:r>
      <w:r w:rsidR="00AD22C8" w:rsidRPr="00AD22C8" w:rsidDel="00AD22C8">
        <w:rPr>
          <w:rFonts w:asciiTheme="majorHAnsi" w:hAnsiTheme="majorHAnsi" w:cstheme="majorHAnsi"/>
          <w:sz w:val="16"/>
        </w:rPr>
        <w:t xml:space="preserve"> </w:t>
      </w:r>
      <w:r w:rsidRPr="00AD22C8">
        <w:rPr>
          <w:rFonts w:asciiTheme="majorHAnsi" w:hAnsiTheme="majorHAnsi" w:cstheme="majorHAnsi"/>
          <w:sz w:val="16"/>
        </w:rPr>
        <w:t>of oil-fired resources.</w:t>
      </w:r>
    </w:p>
    <w:p w:rsidR="00ED3967" w:rsidRDefault="004C5719" w:rsidP="00080481">
      <w:r>
        <w:t xml:space="preserve">The transmission </w:t>
      </w:r>
      <w:r w:rsidR="002A5852">
        <w:t xml:space="preserve">interconnection </w:t>
      </w:r>
      <w:r>
        <w:t xml:space="preserve">assessment considered </w:t>
      </w:r>
      <w:r w:rsidR="00BA1ACA">
        <w:t xml:space="preserve">a total of 8,000 MW of offshore wind, which corresponds to the base 1,000 MW and the incremental 7,000 MW requested </w:t>
      </w:r>
      <w:r w:rsidR="00BA1ACA" w:rsidRPr="00483372">
        <w:t>by NESCOE.</w:t>
      </w:r>
      <w:r w:rsidR="002A5852" w:rsidRPr="00CF080D">
        <w:t xml:space="preserve"> </w:t>
      </w:r>
      <w:r w:rsidR="009B39DE" w:rsidRPr="00CF080D">
        <w:t>The primary location</w:t>
      </w:r>
      <w:r w:rsidR="00E84288" w:rsidRPr="00CF080D">
        <w:t>s</w:t>
      </w:r>
      <w:r w:rsidR="009B39DE" w:rsidRPr="00CF080D">
        <w:t xml:space="preserve"> of new offshore wind resources</w:t>
      </w:r>
      <w:r w:rsidR="004C0C16" w:rsidRPr="00CF080D">
        <w:t xml:space="preserve"> </w:t>
      </w:r>
      <w:r w:rsidR="009B39DE" w:rsidRPr="00CF080D">
        <w:t xml:space="preserve">were in </w:t>
      </w:r>
      <w:r w:rsidR="00F54B74" w:rsidRPr="00CF080D">
        <w:t xml:space="preserve">US </w:t>
      </w:r>
      <w:r w:rsidR="00EB24C9" w:rsidRPr="00CF080D">
        <w:t>Bureau of Ocean Energy Management (BOEM) lease areas</w:t>
      </w:r>
      <w:r w:rsidR="00E84288" w:rsidRPr="00CF080D">
        <w:t>, off the shores of</w:t>
      </w:r>
      <w:r w:rsidR="00EB24C9" w:rsidRPr="00CF080D">
        <w:t xml:space="preserve"> </w:t>
      </w:r>
      <w:r w:rsidR="009B39DE" w:rsidRPr="00CF080D">
        <w:t>Massachu</w:t>
      </w:r>
      <w:r w:rsidR="00E84288" w:rsidRPr="00CF080D">
        <w:t xml:space="preserve">setts and Rhode Island, and in </w:t>
      </w:r>
      <w:r w:rsidR="009B39DE" w:rsidRPr="00CF080D">
        <w:t>Wind Energy Areas (WEA</w:t>
      </w:r>
      <w:r w:rsidR="008B19BD" w:rsidRPr="00CF080D">
        <w:t>s</w:t>
      </w:r>
      <w:r w:rsidR="009B39DE" w:rsidRPr="00CF080D">
        <w:t xml:space="preserve">) on the </w:t>
      </w:r>
      <w:r w:rsidR="008B19BD" w:rsidRPr="00CF080D">
        <w:t>O</w:t>
      </w:r>
      <w:r w:rsidR="009B39DE" w:rsidRPr="00CF080D">
        <w:t xml:space="preserve">uter </w:t>
      </w:r>
      <w:r w:rsidR="009B39DE" w:rsidRPr="00483372">
        <w:lastRenderedPageBreak/>
        <w:t>Contin</w:t>
      </w:r>
      <w:r w:rsidR="009B39DE" w:rsidRPr="00CF080D">
        <w:t>ental Shelf</w:t>
      </w:r>
      <w:r w:rsidR="008B19BD" w:rsidRPr="00CF080D">
        <w:t xml:space="preserve"> (s</w:t>
      </w:r>
      <w:r w:rsidR="00D66C8F" w:rsidRPr="00CF080D">
        <w:t xml:space="preserve">ee </w:t>
      </w:r>
      <w:r w:rsidR="009E7A62">
        <w:fldChar w:fldCharType="begin"/>
      </w:r>
      <w:r w:rsidR="009E7A62">
        <w:instrText xml:space="preserve"> REF _Ref42523723 \h </w:instrText>
      </w:r>
      <w:r w:rsidR="009E7A62">
        <w:fldChar w:fldCharType="separate"/>
      </w:r>
      <w:r w:rsidR="001F5E1A" w:rsidRPr="00E712DA">
        <w:t xml:space="preserve">Figure </w:t>
      </w:r>
      <w:r w:rsidR="001F5E1A">
        <w:rPr>
          <w:noProof/>
        </w:rPr>
        <w:t>4</w:t>
      </w:r>
      <w:r w:rsidR="001F5E1A" w:rsidRPr="00E712DA">
        <w:noBreakHyphen/>
      </w:r>
      <w:r w:rsidR="001F5E1A">
        <w:rPr>
          <w:noProof/>
        </w:rPr>
        <w:t>1</w:t>
      </w:r>
      <w:r w:rsidR="009E7A62">
        <w:fldChar w:fldCharType="end"/>
      </w:r>
      <w:r w:rsidR="008B19BD" w:rsidRPr="00CF080D">
        <w:t>)</w:t>
      </w:r>
      <w:r w:rsidR="00BF1EA7" w:rsidRPr="00CF080D">
        <w:t>.</w:t>
      </w:r>
      <w:r w:rsidR="008B19BD" w:rsidRPr="00CF080D">
        <w:rPr>
          <w:rStyle w:val="FootnoteReference"/>
        </w:rPr>
        <w:footnoteReference w:id="15"/>
      </w:r>
      <w:r w:rsidR="008B19BD" w:rsidRPr="00CF080D">
        <w:t xml:space="preserve"> </w:t>
      </w:r>
      <w:r w:rsidR="002A5852" w:rsidRPr="00CF080D">
        <w:t>T</w:t>
      </w:r>
      <w:r w:rsidR="002A5852">
        <w:t>he ISO contemplated</w:t>
      </w:r>
      <w:r w:rsidR="00E84288">
        <w:t xml:space="preserve"> onshore</w:t>
      </w:r>
      <w:r w:rsidR="002A5852">
        <w:t xml:space="preserve"> interconnection points </w:t>
      </w:r>
      <w:r w:rsidR="0051440E">
        <w:t>for</w:t>
      </w:r>
      <w:r w:rsidR="009B39DE">
        <w:t xml:space="preserve"> offshore wind </w:t>
      </w:r>
      <w:r w:rsidR="002A5852">
        <w:t xml:space="preserve">based on the </w:t>
      </w:r>
      <w:r w:rsidR="0051440E">
        <w:t xml:space="preserve">results of </w:t>
      </w:r>
      <w:r w:rsidR="002A5852">
        <w:t xml:space="preserve">several interconnection </w:t>
      </w:r>
      <w:r w:rsidR="002A5852" w:rsidRPr="009C02EB">
        <w:t xml:space="preserve">studies </w:t>
      </w:r>
      <w:r w:rsidR="0051440E">
        <w:t xml:space="preserve">conducted </w:t>
      </w:r>
      <w:r w:rsidR="002A5852" w:rsidRPr="009C02EB">
        <w:t>for</w:t>
      </w:r>
      <w:r w:rsidR="00D01C55" w:rsidRPr="009C02EB">
        <w:t xml:space="preserve"> projects in the ISO</w:t>
      </w:r>
      <w:r w:rsidR="004C0C16" w:rsidRPr="009C02EB">
        <w:t xml:space="preserve"> Interconnection Request Queue</w:t>
      </w:r>
      <w:r w:rsidR="00D01C55" w:rsidRPr="009C02EB">
        <w:t>.</w:t>
      </w:r>
      <w:r w:rsidR="00D01C55" w:rsidRPr="009C02EB">
        <w:rPr>
          <w:rStyle w:val="FootnoteReference"/>
        </w:rPr>
        <w:footnoteReference w:id="16"/>
      </w:r>
      <w:r w:rsidR="00D01C55" w:rsidRPr="009C02EB">
        <w:t xml:space="preserve"> </w:t>
      </w:r>
      <w:r w:rsidR="009C2D9C" w:rsidRPr="009C02EB">
        <w:t>T</w:t>
      </w:r>
      <w:r w:rsidR="002A5852" w:rsidRPr="009C02EB">
        <w:t>he ISO identified the approximate</w:t>
      </w:r>
      <w:r w:rsidR="002A5852">
        <w:t xml:space="preserve"> </w:t>
      </w:r>
      <w:r w:rsidR="004C0C16">
        <w:t>megawatt</w:t>
      </w:r>
      <w:r w:rsidR="002A5852">
        <w:t xml:space="preserve"> quantities that could interconnect without major transmission upgrades</w:t>
      </w:r>
      <w:r w:rsidR="00BF1EA7">
        <w:t xml:space="preserve">. </w:t>
      </w:r>
      <w:r w:rsidR="009C2D9C">
        <w:t>Proposed locations are anticipated to u</w:t>
      </w:r>
      <w:r w:rsidR="002D0951">
        <w:t>se</w:t>
      </w:r>
      <w:r w:rsidR="009C2D9C">
        <w:t xml:space="preserve"> AC cable connections from the wind farm lease areas to coastal 345 kV substations</w:t>
      </w:r>
      <w:r w:rsidR="00BF1EA7">
        <w:t xml:space="preserve">. </w:t>
      </w:r>
      <w:r w:rsidR="009C2D9C">
        <w:t>I</w:t>
      </w:r>
      <w:r w:rsidR="00ED3967">
        <w:t xml:space="preserve">nterconnection points </w:t>
      </w:r>
      <w:r w:rsidR="009C2D9C">
        <w:t xml:space="preserve">include </w:t>
      </w:r>
      <w:r>
        <w:t>the following locations</w:t>
      </w:r>
      <w:r w:rsidR="00ED3967">
        <w:t>:</w:t>
      </w:r>
    </w:p>
    <w:p w:rsidR="00244700" w:rsidRDefault="00244700" w:rsidP="00244700">
      <w:pPr>
        <w:pStyle w:val="ListParagraph"/>
        <w:numPr>
          <w:ilvl w:val="0"/>
          <w:numId w:val="10"/>
        </w:numPr>
      </w:pPr>
      <w:r>
        <w:t>Cape Cod (</w:t>
      </w:r>
      <w:r w:rsidRPr="00ED3967">
        <w:t>Bourne/</w:t>
      </w:r>
      <w:r w:rsidR="006450FA">
        <w:t>Barnstable</w:t>
      </w:r>
      <w:r>
        <w:t>)</w:t>
      </w:r>
      <w:r w:rsidRPr="00ED3967">
        <w:t xml:space="preserve"> (MA): 2,400 MW</w:t>
      </w:r>
    </w:p>
    <w:p w:rsidR="00244700" w:rsidRPr="00ED3967" w:rsidRDefault="00244700" w:rsidP="00244700">
      <w:pPr>
        <w:pStyle w:val="ListParagraph"/>
        <w:numPr>
          <w:ilvl w:val="0"/>
          <w:numId w:val="10"/>
        </w:numPr>
      </w:pPr>
      <w:r w:rsidRPr="00ED3967">
        <w:t>Brayton Point (MA): 1,600 MW</w:t>
      </w:r>
    </w:p>
    <w:p w:rsidR="00244700" w:rsidRDefault="00244700" w:rsidP="00244700">
      <w:pPr>
        <w:pStyle w:val="ListParagraph"/>
        <w:numPr>
          <w:ilvl w:val="0"/>
          <w:numId w:val="10"/>
        </w:numPr>
      </w:pPr>
      <w:r w:rsidRPr="00ED3967">
        <w:t>Montville (CT): 800 MW</w:t>
      </w:r>
    </w:p>
    <w:p w:rsidR="00244700" w:rsidRPr="00CF080D" w:rsidRDefault="00244700" w:rsidP="009E7A62">
      <w:pPr>
        <w:pStyle w:val="ListParagraph"/>
        <w:numPr>
          <w:ilvl w:val="0"/>
          <w:numId w:val="10"/>
        </w:numPr>
        <w:spacing w:after="240"/>
        <w:ind w:left="763"/>
      </w:pPr>
      <w:r w:rsidRPr="00CF080D">
        <w:t>Kent County/Davisville (RI): 1,000 MW</w:t>
      </w:r>
    </w:p>
    <w:p w:rsidR="00ED3967" w:rsidRDefault="006450FA" w:rsidP="00C61CC4">
      <w:r>
        <w:t>In addition, the ISO identified an initial scenario to use HVDC submarine transmission to connect from an offshore collection substation directly to Boston, Massachusetts</w:t>
      </w:r>
      <w:r w:rsidR="00483372">
        <w:t>, s</w:t>
      </w:r>
      <w:r>
        <w:t xml:space="preserve">pecifically, the </w:t>
      </w:r>
      <w:r w:rsidR="00244700" w:rsidRPr="00ED3967">
        <w:t xml:space="preserve">Mystic </w:t>
      </w:r>
      <w:r>
        <w:t xml:space="preserve">substation at </w:t>
      </w:r>
      <w:r w:rsidR="00244700" w:rsidRPr="00ED3967">
        <w:t>1,</w:t>
      </w:r>
      <w:r w:rsidR="0051440E" w:rsidRPr="00ED3967">
        <w:t>200</w:t>
      </w:r>
      <w:r w:rsidR="0051440E">
        <w:t> </w:t>
      </w:r>
      <w:r w:rsidR="00244700" w:rsidRPr="00ED3967">
        <w:t>MW</w:t>
      </w:r>
      <w:r>
        <w:t>.</w:t>
      </w:r>
      <w:r w:rsidR="002D0951" w:rsidRPr="002D0951">
        <w:t xml:space="preserve"> </w:t>
      </w:r>
      <w:r w:rsidR="002D0951">
        <w:t>This scenario assume</w:t>
      </w:r>
      <w:r w:rsidR="0051440E">
        <w:t>d</w:t>
      </w:r>
      <w:r w:rsidR="002D0951">
        <w:t xml:space="preserve"> </w:t>
      </w:r>
      <w:r w:rsidR="00757339">
        <w:t xml:space="preserve">the retirement of </w:t>
      </w:r>
      <w:r w:rsidR="002D0951">
        <w:t>Mystic 8 and 9 resources.</w:t>
      </w:r>
    </w:p>
    <w:p w:rsidR="00D6308C" w:rsidRDefault="00D6308C" w:rsidP="00D6308C">
      <w:pPr>
        <w:spacing w:after="0" w:line="240" w:lineRule="auto"/>
        <w:jc w:val="center"/>
      </w:pPr>
      <w:r w:rsidRPr="00D6308C">
        <w:rPr>
          <w:noProof/>
        </w:rPr>
        <w:lastRenderedPageBreak/>
        <w:drawing>
          <wp:inline distT="0" distB="0" distL="0" distR="0" wp14:anchorId="7F7AD13D" wp14:editId="25BA01A2">
            <wp:extent cx="5378450" cy="4010025"/>
            <wp:effectExtent l="19050" t="19050" r="1270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8450" cy="4010025"/>
                    </a:xfrm>
                    <a:prstGeom prst="rect">
                      <a:avLst/>
                    </a:prstGeom>
                    <a:noFill/>
                    <a:ln w="3175">
                      <a:solidFill>
                        <a:srgbClr val="000000"/>
                      </a:solidFill>
                    </a:ln>
                  </pic:spPr>
                </pic:pic>
              </a:graphicData>
            </a:graphic>
          </wp:inline>
        </w:drawing>
      </w:r>
    </w:p>
    <w:p w:rsidR="001A68A0" w:rsidRPr="001A68A0" w:rsidRDefault="008B19BD" w:rsidP="00D939AB">
      <w:pPr>
        <w:pStyle w:val="Caption"/>
        <w:spacing w:before="120" w:after="240"/>
        <w:ind w:left="450" w:right="450"/>
      </w:pPr>
      <w:bookmarkStart w:id="26" w:name="_Ref42523723"/>
      <w:bookmarkStart w:id="27" w:name="_Ref42523717"/>
      <w:bookmarkStart w:id="28" w:name="_Toc43224476"/>
      <w:r w:rsidRPr="00E712DA">
        <w:t xml:space="preserve">Figure </w:t>
      </w:r>
      <w:fldSimple w:instr=" STYLEREF 1 \s ">
        <w:r w:rsidR="001F5E1A">
          <w:rPr>
            <w:noProof/>
          </w:rPr>
          <w:t>4</w:t>
        </w:r>
      </w:fldSimple>
      <w:r w:rsidR="00C5246A" w:rsidRPr="00E712DA">
        <w:noBreakHyphen/>
      </w:r>
      <w:fldSimple w:instr=" SEQ Figure \* ARABIC \s 1 ">
        <w:r w:rsidR="001F5E1A">
          <w:rPr>
            <w:noProof/>
          </w:rPr>
          <w:t>1</w:t>
        </w:r>
      </w:fldSimple>
      <w:bookmarkEnd w:id="26"/>
      <w:r w:rsidRPr="00E712DA">
        <w:t>: US Bureau of Ocean Energy Managemen</w:t>
      </w:r>
      <w:r w:rsidRPr="00D939AB">
        <w:t xml:space="preserve">t </w:t>
      </w:r>
      <w:r w:rsidR="00CF080D">
        <w:t>l</w:t>
      </w:r>
      <w:r w:rsidRPr="00D939AB">
        <w:t xml:space="preserve">ease </w:t>
      </w:r>
      <w:r w:rsidR="00CF080D">
        <w:t>a</w:t>
      </w:r>
      <w:r w:rsidRPr="00D939AB">
        <w:t>r</w:t>
      </w:r>
      <w:r w:rsidRPr="00E712DA">
        <w:t>eas</w:t>
      </w:r>
      <w:r w:rsidR="00CF080D" w:rsidRPr="00E712DA">
        <w:t xml:space="preserve"> showing the l</w:t>
      </w:r>
      <w:bookmarkEnd w:id="27"/>
      <w:r w:rsidR="001A68A0" w:rsidRPr="00CF080D">
        <w:t xml:space="preserve">ocation of offshore wind sites and </w:t>
      </w:r>
      <w:r w:rsidR="001D5AD5" w:rsidRPr="00CF080D">
        <w:t>i</w:t>
      </w:r>
      <w:r w:rsidR="001A68A0" w:rsidRPr="00CF080D">
        <w:t>nterconnection points used for</w:t>
      </w:r>
      <w:r w:rsidR="00CF080D" w:rsidRPr="00E712DA">
        <w:t xml:space="preserve"> the</w:t>
      </w:r>
      <w:r w:rsidR="001A68A0" w:rsidRPr="00CF080D">
        <w:t xml:space="preserve"> preliminary results</w:t>
      </w:r>
      <w:r w:rsidR="001D5AD5" w:rsidRPr="00CF080D">
        <w:t>.</w:t>
      </w:r>
      <w:bookmarkEnd w:id="28"/>
    </w:p>
    <w:p w:rsidR="00935718" w:rsidRDefault="001927FF" w:rsidP="00935718">
      <w:r w:rsidRPr="00135F16">
        <w:t xml:space="preserve">For </w:t>
      </w:r>
      <w:r>
        <w:t xml:space="preserve">production cost </w:t>
      </w:r>
      <w:r w:rsidRPr="00135F16">
        <w:t xml:space="preserve">scenarios with 8,000 MW of offshore wind additions, </w:t>
      </w:r>
      <w:r>
        <w:t xml:space="preserve">four </w:t>
      </w:r>
      <w:r w:rsidRPr="00135F16">
        <w:t xml:space="preserve">sensitivities were performed </w:t>
      </w:r>
      <w:r w:rsidRPr="00E712DA">
        <w:t xml:space="preserve">varying </w:t>
      </w:r>
      <w:r w:rsidRPr="00135F16">
        <w:t xml:space="preserve">the amount of offshore wind </w:t>
      </w:r>
      <w:r w:rsidR="0038192C" w:rsidRPr="00135F16">
        <w:t>additions</w:t>
      </w:r>
      <w:r w:rsidRPr="00135F16">
        <w:t xml:space="preserve"> to </w:t>
      </w:r>
      <w:r>
        <w:t xml:space="preserve">the </w:t>
      </w:r>
      <w:r w:rsidRPr="00135F16">
        <w:t xml:space="preserve">five </w:t>
      </w:r>
      <w:r>
        <w:t>aforementioned</w:t>
      </w:r>
      <w:r w:rsidRPr="00135F16">
        <w:t xml:space="preserve"> interconnection points</w:t>
      </w:r>
      <w:r w:rsidR="004C0C16">
        <w:t>,</w:t>
      </w:r>
      <w:r w:rsidR="00C563AC">
        <w:t xml:space="preserve"> as described in</w:t>
      </w:r>
      <w:r w:rsidR="00D13443">
        <w:t xml:space="preserve"> </w:t>
      </w:r>
      <w:r w:rsidR="00D13443">
        <w:fldChar w:fldCharType="begin"/>
      </w:r>
      <w:r w:rsidR="00D13443">
        <w:instrText xml:space="preserve"> REF _Ref43225274 \h </w:instrText>
      </w:r>
      <w:r w:rsidR="00D13443">
        <w:fldChar w:fldCharType="separate"/>
      </w:r>
      <w:r w:rsidR="00D13443" w:rsidRPr="00E712DA">
        <w:t xml:space="preserve">Table </w:t>
      </w:r>
      <w:r w:rsidR="00D13443">
        <w:rPr>
          <w:noProof/>
        </w:rPr>
        <w:t>4</w:t>
      </w:r>
      <w:r w:rsidR="00D13443" w:rsidRPr="00E712DA">
        <w:noBreakHyphen/>
      </w:r>
      <w:r w:rsidR="00D13443">
        <w:rPr>
          <w:noProof/>
        </w:rPr>
        <w:t>2</w:t>
      </w:r>
      <w:r w:rsidR="00D13443">
        <w:fldChar w:fldCharType="end"/>
      </w:r>
      <w:r w:rsidR="00FF7C50">
        <w:t>.</w:t>
      </w:r>
    </w:p>
    <w:p w:rsidR="00B1286A" w:rsidRDefault="00B1286A" w:rsidP="00C808EF">
      <w:pPr>
        <w:pStyle w:val="Caption"/>
        <w:jc w:val="center"/>
      </w:pPr>
      <w:bookmarkStart w:id="29" w:name="_Ref43225274"/>
      <w:bookmarkStart w:id="30" w:name="_Toc44412061"/>
      <w:r w:rsidRPr="00E712DA">
        <w:t xml:space="preserve">Table </w:t>
      </w:r>
      <w:fldSimple w:instr=" STYLEREF 1 \s ">
        <w:r w:rsidR="00E62212">
          <w:rPr>
            <w:noProof/>
          </w:rPr>
          <w:t>4</w:t>
        </w:r>
      </w:fldSimple>
      <w:r w:rsidR="00E62212">
        <w:noBreakHyphen/>
      </w:r>
      <w:fldSimple w:instr=" SEQ Table \* ARABIC \s 1 ">
        <w:r w:rsidR="00E62212">
          <w:rPr>
            <w:noProof/>
          </w:rPr>
          <w:t>2</w:t>
        </w:r>
      </w:fldSimple>
      <w:bookmarkEnd w:id="29"/>
      <w:r w:rsidRPr="00E712DA">
        <w:br/>
      </w:r>
      <w:r w:rsidRPr="001E1A83">
        <w:t>Interconnection Sensitivities to the 8,000 MW Offshore Wind Additions Scenario</w:t>
      </w:r>
      <w:r w:rsidR="00C808EF" w:rsidRPr="00757339">
        <w:t xml:space="preserve"> (MW)</w:t>
      </w:r>
      <w:bookmarkEnd w:id="30"/>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62"/>
        <w:gridCol w:w="1286"/>
        <w:gridCol w:w="1286"/>
        <w:gridCol w:w="1286"/>
        <w:gridCol w:w="1286"/>
        <w:gridCol w:w="1286"/>
        <w:gridCol w:w="1462"/>
      </w:tblGrid>
      <w:tr w:rsidR="008933A1" w:rsidTr="008933A1">
        <w:tc>
          <w:tcPr>
            <w:tcW w:w="1462" w:type="dxa"/>
            <w:vMerge w:val="restart"/>
            <w:shd w:val="clear" w:color="auto" w:fill="1795D2" w:themeFill="accent1"/>
            <w:vAlign w:val="center"/>
          </w:tcPr>
          <w:p w:rsidR="008933A1" w:rsidRPr="00C92782" w:rsidRDefault="008933A1" w:rsidP="00E712DA">
            <w:pPr>
              <w:spacing w:before="40" w:after="40" w:line="240" w:lineRule="auto"/>
              <w:jc w:val="center"/>
              <w:rPr>
                <w:rFonts w:asciiTheme="majorHAnsi" w:hAnsiTheme="majorHAnsi"/>
                <w:b/>
                <w:bCs/>
                <w:sz w:val="18"/>
                <w:szCs w:val="18"/>
              </w:rPr>
            </w:pPr>
            <w:r w:rsidRPr="00386645">
              <w:rPr>
                <w:rFonts w:asciiTheme="majorHAnsi" w:hAnsiTheme="majorHAnsi"/>
                <w:b/>
                <w:bCs/>
                <w:color w:val="FFFFFF" w:themeColor="background1"/>
                <w:sz w:val="18"/>
                <w:szCs w:val="18"/>
              </w:rPr>
              <w:t>Sensitivity</w:t>
            </w:r>
          </w:p>
        </w:tc>
        <w:tc>
          <w:tcPr>
            <w:tcW w:w="7892" w:type="dxa"/>
            <w:gridSpan w:val="6"/>
            <w:shd w:val="clear" w:color="auto" w:fill="1795D2" w:themeFill="accent1"/>
            <w:vAlign w:val="center"/>
          </w:tcPr>
          <w:p w:rsidR="008933A1" w:rsidRPr="00C92782" w:rsidRDefault="008933A1" w:rsidP="00E712DA">
            <w:pPr>
              <w:spacing w:before="40" w:after="40" w:line="240" w:lineRule="auto"/>
              <w:jc w:val="center"/>
              <w:rPr>
                <w:rFonts w:asciiTheme="majorHAnsi" w:hAnsiTheme="majorHAnsi"/>
                <w:sz w:val="18"/>
                <w:szCs w:val="18"/>
              </w:rPr>
            </w:pPr>
            <w:r w:rsidRPr="00386645">
              <w:rPr>
                <w:rFonts w:asciiTheme="majorHAnsi" w:hAnsiTheme="majorHAnsi"/>
                <w:b/>
                <w:bCs/>
                <w:color w:val="FFFFFF" w:themeColor="background1"/>
                <w:sz w:val="18"/>
                <w:szCs w:val="18"/>
              </w:rPr>
              <w:t>Interconnection Points (MW</w:t>
            </w:r>
            <w:r w:rsidRPr="008933A1">
              <w:rPr>
                <w:rFonts w:asciiTheme="majorHAnsi" w:hAnsiTheme="majorHAnsi"/>
                <w:b/>
                <w:bCs/>
                <w:color w:val="FFFFFF" w:themeColor="background1"/>
                <w:sz w:val="18"/>
                <w:szCs w:val="18"/>
              </w:rPr>
              <w:t>)</w:t>
            </w:r>
          </w:p>
        </w:tc>
      </w:tr>
      <w:tr w:rsidR="008933A1" w:rsidTr="008933A1">
        <w:tc>
          <w:tcPr>
            <w:tcW w:w="1462" w:type="dxa"/>
            <w:vMerge/>
            <w:shd w:val="clear" w:color="auto" w:fill="1795D2" w:themeFill="accent1"/>
            <w:vAlign w:val="center"/>
          </w:tcPr>
          <w:p w:rsidR="008933A1" w:rsidRPr="00C92782" w:rsidRDefault="008933A1" w:rsidP="00E712DA">
            <w:pPr>
              <w:spacing w:before="40" w:after="40" w:line="240" w:lineRule="auto"/>
              <w:jc w:val="center"/>
              <w:rPr>
                <w:rFonts w:asciiTheme="majorHAnsi" w:hAnsiTheme="majorHAnsi"/>
                <w:b/>
                <w:bCs/>
                <w:sz w:val="18"/>
                <w:szCs w:val="18"/>
              </w:rPr>
            </w:pPr>
          </w:p>
        </w:tc>
        <w:tc>
          <w:tcPr>
            <w:tcW w:w="1286" w:type="dxa"/>
            <w:shd w:val="clear" w:color="auto" w:fill="1795D2" w:themeFill="accent1"/>
            <w:vAlign w:val="center"/>
          </w:tcPr>
          <w:p w:rsidR="008933A1" w:rsidRPr="00386645" w:rsidRDefault="008933A1" w:rsidP="00E712DA">
            <w:pPr>
              <w:spacing w:before="40" w:after="40" w:line="240" w:lineRule="auto"/>
              <w:jc w:val="center"/>
              <w:rPr>
                <w:rFonts w:asciiTheme="majorHAnsi" w:hAnsiTheme="majorHAnsi"/>
                <w:b/>
                <w:bCs/>
                <w:color w:val="FFFFFF" w:themeColor="background1"/>
                <w:sz w:val="18"/>
                <w:szCs w:val="18"/>
              </w:rPr>
            </w:pPr>
            <w:r w:rsidRPr="00386645">
              <w:rPr>
                <w:rFonts w:asciiTheme="majorHAnsi" w:hAnsiTheme="majorHAnsi"/>
                <w:b/>
                <w:bCs/>
                <w:color w:val="FFFFFF" w:themeColor="background1"/>
                <w:sz w:val="18"/>
                <w:szCs w:val="18"/>
              </w:rPr>
              <w:t>Montville</w:t>
            </w:r>
          </w:p>
          <w:p w:rsidR="008933A1" w:rsidRDefault="008933A1" w:rsidP="00E712DA">
            <w:pPr>
              <w:spacing w:before="40" w:after="40" w:line="240" w:lineRule="auto"/>
              <w:jc w:val="center"/>
            </w:pPr>
            <w:r w:rsidRPr="00386645">
              <w:rPr>
                <w:rFonts w:asciiTheme="majorHAnsi" w:hAnsiTheme="majorHAnsi"/>
                <w:b/>
                <w:bCs/>
                <w:color w:val="FFFFFF" w:themeColor="background1"/>
                <w:sz w:val="18"/>
                <w:szCs w:val="18"/>
              </w:rPr>
              <w:t>(CT)</w:t>
            </w:r>
          </w:p>
        </w:tc>
        <w:tc>
          <w:tcPr>
            <w:tcW w:w="1286" w:type="dxa"/>
            <w:shd w:val="clear" w:color="auto" w:fill="1795D2" w:themeFill="accent1"/>
            <w:vAlign w:val="center"/>
          </w:tcPr>
          <w:p w:rsidR="008933A1" w:rsidRPr="00386645" w:rsidRDefault="008933A1" w:rsidP="00E712DA">
            <w:pPr>
              <w:spacing w:before="40" w:after="40" w:line="240" w:lineRule="auto"/>
              <w:jc w:val="center"/>
              <w:rPr>
                <w:rFonts w:asciiTheme="majorHAnsi" w:hAnsiTheme="majorHAnsi"/>
                <w:b/>
                <w:bCs/>
                <w:color w:val="FFFFFF" w:themeColor="background1"/>
                <w:sz w:val="18"/>
                <w:szCs w:val="18"/>
              </w:rPr>
            </w:pPr>
            <w:r w:rsidRPr="00386645">
              <w:rPr>
                <w:rFonts w:asciiTheme="majorHAnsi" w:hAnsiTheme="majorHAnsi"/>
                <w:b/>
                <w:bCs/>
                <w:color w:val="FFFFFF" w:themeColor="background1"/>
                <w:sz w:val="18"/>
                <w:szCs w:val="18"/>
              </w:rPr>
              <w:t>Kent County</w:t>
            </w:r>
          </w:p>
          <w:p w:rsidR="008933A1" w:rsidRDefault="008933A1" w:rsidP="00E712DA">
            <w:pPr>
              <w:spacing w:before="40" w:after="40" w:line="240" w:lineRule="auto"/>
              <w:jc w:val="center"/>
            </w:pPr>
            <w:r w:rsidRPr="00386645">
              <w:rPr>
                <w:rFonts w:asciiTheme="majorHAnsi" w:hAnsiTheme="majorHAnsi"/>
                <w:b/>
                <w:bCs/>
                <w:color w:val="FFFFFF" w:themeColor="background1"/>
                <w:sz w:val="18"/>
                <w:szCs w:val="18"/>
              </w:rPr>
              <w:t>(RI)</w:t>
            </w:r>
          </w:p>
        </w:tc>
        <w:tc>
          <w:tcPr>
            <w:tcW w:w="1286" w:type="dxa"/>
            <w:shd w:val="clear" w:color="auto" w:fill="1795D2" w:themeFill="accent1"/>
            <w:vAlign w:val="center"/>
          </w:tcPr>
          <w:p w:rsidR="008933A1" w:rsidRDefault="008933A1" w:rsidP="00E712DA">
            <w:pPr>
              <w:spacing w:before="40" w:after="40" w:line="240" w:lineRule="auto"/>
              <w:jc w:val="center"/>
            </w:pPr>
            <w:r w:rsidRPr="00386645">
              <w:rPr>
                <w:rFonts w:asciiTheme="majorHAnsi" w:hAnsiTheme="majorHAnsi"/>
                <w:b/>
                <w:bCs/>
                <w:color w:val="FFFFFF" w:themeColor="background1"/>
                <w:sz w:val="18"/>
                <w:szCs w:val="18"/>
              </w:rPr>
              <w:t>Brayton Point (SEMA)</w:t>
            </w:r>
            <w:r w:rsidRPr="00386645">
              <w:rPr>
                <w:rFonts w:asciiTheme="majorHAnsi" w:hAnsiTheme="majorHAnsi"/>
                <w:b/>
                <w:bCs/>
                <w:color w:val="FFFFFF" w:themeColor="background1"/>
                <w:sz w:val="18"/>
                <w:szCs w:val="18"/>
                <w:vertAlign w:val="superscript"/>
              </w:rPr>
              <w:t>(a)</w:t>
            </w:r>
          </w:p>
        </w:tc>
        <w:tc>
          <w:tcPr>
            <w:tcW w:w="1286" w:type="dxa"/>
            <w:shd w:val="clear" w:color="auto" w:fill="1795D2" w:themeFill="accent1"/>
            <w:vAlign w:val="center"/>
          </w:tcPr>
          <w:p w:rsidR="008933A1" w:rsidRDefault="008933A1" w:rsidP="00E712DA">
            <w:pPr>
              <w:spacing w:before="40" w:after="40" w:line="240" w:lineRule="auto"/>
              <w:jc w:val="center"/>
            </w:pPr>
            <w:r w:rsidRPr="00386645">
              <w:rPr>
                <w:rFonts w:asciiTheme="majorHAnsi" w:hAnsiTheme="majorHAnsi"/>
                <w:b/>
                <w:bCs/>
                <w:color w:val="FFFFFF" w:themeColor="background1"/>
                <w:sz w:val="18"/>
                <w:szCs w:val="18"/>
              </w:rPr>
              <w:t>Barnstable (SEMA)</w:t>
            </w:r>
            <w:r w:rsidRPr="00386645">
              <w:rPr>
                <w:rFonts w:asciiTheme="majorHAnsi" w:hAnsiTheme="majorHAnsi"/>
                <w:b/>
                <w:bCs/>
                <w:color w:val="FFFFFF" w:themeColor="background1"/>
                <w:sz w:val="18"/>
                <w:szCs w:val="18"/>
                <w:vertAlign w:val="superscript"/>
              </w:rPr>
              <w:t>(a)</w:t>
            </w:r>
          </w:p>
        </w:tc>
        <w:tc>
          <w:tcPr>
            <w:tcW w:w="1286" w:type="dxa"/>
            <w:shd w:val="clear" w:color="auto" w:fill="1795D2" w:themeFill="accent1"/>
            <w:vAlign w:val="center"/>
          </w:tcPr>
          <w:p w:rsidR="008933A1" w:rsidRPr="00386645" w:rsidRDefault="008933A1" w:rsidP="00E712DA">
            <w:pPr>
              <w:spacing w:before="40" w:after="40" w:line="240" w:lineRule="auto"/>
              <w:jc w:val="center"/>
              <w:rPr>
                <w:rFonts w:asciiTheme="majorHAnsi" w:hAnsiTheme="majorHAnsi"/>
                <w:color w:val="FFFFFF" w:themeColor="background1"/>
                <w:sz w:val="18"/>
                <w:szCs w:val="18"/>
              </w:rPr>
            </w:pPr>
            <w:r w:rsidRPr="00386645">
              <w:rPr>
                <w:rFonts w:asciiTheme="majorHAnsi" w:hAnsiTheme="majorHAnsi"/>
                <w:b/>
                <w:bCs/>
                <w:color w:val="FFFFFF" w:themeColor="background1"/>
                <w:sz w:val="18"/>
                <w:szCs w:val="18"/>
              </w:rPr>
              <w:t>Mystic</w:t>
            </w:r>
          </w:p>
          <w:p w:rsidR="008933A1" w:rsidRDefault="008933A1" w:rsidP="00E712DA">
            <w:pPr>
              <w:spacing w:before="40" w:after="40" w:line="240" w:lineRule="auto"/>
              <w:jc w:val="center"/>
            </w:pPr>
            <w:r w:rsidRPr="00386645">
              <w:rPr>
                <w:rFonts w:asciiTheme="majorHAnsi" w:hAnsiTheme="majorHAnsi"/>
                <w:b/>
                <w:bCs/>
                <w:color w:val="FFFFFF" w:themeColor="background1"/>
                <w:sz w:val="18"/>
                <w:szCs w:val="18"/>
              </w:rPr>
              <w:t>(Boston)</w:t>
            </w:r>
          </w:p>
        </w:tc>
        <w:tc>
          <w:tcPr>
            <w:tcW w:w="1462" w:type="dxa"/>
            <w:shd w:val="clear" w:color="auto" w:fill="1795D2" w:themeFill="accent1"/>
            <w:vAlign w:val="center"/>
          </w:tcPr>
          <w:p w:rsidR="008933A1" w:rsidRPr="00C92782" w:rsidRDefault="008933A1" w:rsidP="00E712DA">
            <w:pPr>
              <w:spacing w:before="40" w:after="40" w:line="240" w:lineRule="auto"/>
              <w:jc w:val="center"/>
              <w:rPr>
                <w:rFonts w:asciiTheme="majorHAnsi" w:hAnsiTheme="majorHAnsi"/>
                <w:sz w:val="18"/>
                <w:szCs w:val="18"/>
              </w:rPr>
            </w:pPr>
            <w:r w:rsidRPr="00386645">
              <w:rPr>
                <w:rFonts w:asciiTheme="majorHAnsi" w:hAnsiTheme="majorHAnsi"/>
                <w:b/>
                <w:bCs/>
                <w:color w:val="FFFFFF" w:themeColor="background1"/>
                <w:sz w:val="18"/>
                <w:szCs w:val="18"/>
              </w:rPr>
              <w:t>Total</w:t>
            </w:r>
          </w:p>
        </w:tc>
      </w:tr>
      <w:tr w:rsidR="008933A1" w:rsidTr="00CE1B10">
        <w:tc>
          <w:tcPr>
            <w:tcW w:w="1462" w:type="dxa"/>
            <w:vAlign w:val="center"/>
          </w:tcPr>
          <w:p w:rsidR="008933A1" w:rsidRPr="00C92782" w:rsidRDefault="008933A1" w:rsidP="00E712DA">
            <w:pPr>
              <w:spacing w:before="40" w:after="40" w:line="240" w:lineRule="auto"/>
              <w:jc w:val="center"/>
              <w:rPr>
                <w:rFonts w:asciiTheme="majorHAnsi" w:hAnsiTheme="majorHAnsi"/>
                <w:b/>
                <w:bCs/>
                <w:sz w:val="18"/>
                <w:szCs w:val="18"/>
              </w:rPr>
            </w:pPr>
            <w:r w:rsidRPr="00386645">
              <w:rPr>
                <w:rFonts w:asciiTheme="majorHAnsi" w:hAnsiTheme="majorHAnsi"/>
                <w:b/>
                <w:bCs/>
                <w:sz w:val="18"/>
                <w:szCs w:val="18"/>
              </w:rPr>
              <w:t>8000_1</w:t>
            </w:r>
          </w:p>
        </w:tc>
        <w:tc>
          <w:tcPr>
            <w:tcW w:w="1286" w:type="dxa"/>
            <w:vAlign w:val="center"/>
          </w:tcPr>
          <w:p w:rsidR="008933A1" w:rsidRDefault="008933A1" w:rsidP="00E712DA">
            <w:pPr>
              <w:spacing w:before="40" w:after="40" w:line="240" w:lineRule="auto"/>
              <w:jc w:val="center"/>
            </w:pPr>
            <w:r w:rsidRPr="00386645">
              <w:rPr>
                <w:rFonts w:asciiTheme="majorHAnsi" w:hAnsiTheme="majorHAnsi"/>
                <w:sz w:val="18"/>
                <w:szCs w:val="18"/>
              </w:rPr>
              <w:t>800</w:t>
            </w:r>
          </w:p>
        </w:tc>
        <w:tc>
          <w:tcPr>
            <w:tcW w:w="1286" w:type="dxa"/>
            <w:vAlign w:val="center"/>
          </w:tcPr>
          <w:p w:rsidR="008933A1" w:rsidRDefault="008933A1" w:rsidP="00E712DA">
            <w:pPr>
              <w:spacing w:before="40" w:after="40" w:line="240" w:lineRule="auto"/>
              <w:jc w:val="center"/>
            </w:pPr>
            <w:r w:rsidRPr="00386645">
              <w:rPr>
                <w:rFonts w:asciiTheme="majorHAnsi" w:hAnsiTheme="majorHAnsi"/>
                <w:sz w:val="18"/>
                <w:szCs w:val="18"/>
              </w:rPr>
              <w:t>1,000</w:t>
            </w:r>
          </w:p>
        </w:tc>
        <w:tc>
          <w:tcPr>
            <w:tcW w:w="1286" w:type="dxa"/>
            <w:vAlign w:val="center"/>
          </w:tcPr>
          <w:p w:rsidR="008933A1" w:rsidRDefault="008933A1" w:rsidP="00E712DA">
            <w:pPr>
              <w:spacing w:before="40" w:after="40" w:line="240" w:lineRule="auto"/>
              <w:jc w:val="center"/>
            </w:pPr>
            <w:r w:rsidRPr="00386645">
              <w:rPr>
                <w:rFonts w:asciiTheme="majorHAnsi" w:hAnsiTheme="majorHAnsi"/>
                <w:sz w:val="18"/>
                <w:szCs w:val="18"/>
              </w:rPr>
              <w:t>1,600</w:t>
            </w:r>
          </w:p>
        </w:tc>
        <w:tc>
          <w:tcPr>
            <w:tcW w:w="1286" w:type="dxa"/>
            <w:vAlign w:val="center"/>
          </w:tcPr>
          <w:p w:rsidR="008933A1" w:rsidRDefault="008933A1" w:rsidP="00E712DA">
            <w:pPr>
              <w:spacing w:before="40" w:after="40" w:line="240" w:lineRule="auto"/>
              <w:jc w:val="center"/>
            </w:pPr>
            <w:r w:rsidRPr="00386645">
              <w:rPr>
                <w:rFonts w:asciiTheme="majorHAnsi" w:hAnsiTheme="majorHAnsi"/>
                <w:sz w:val="18"/>
                <w:szCs w:val="18"/>
              </w:rPr>
              <w:t>2,400</w:t>
            </w:r>
          </w:p>
        </w:tc>
        <w:tc>
          <w:tcPr>
            <w:tcW w:w="1286" w:type="dxa"/>
            <w:shd w:val="clear" w:color="auto" w:fill="77BD2A" w:themeFill="accent3"/>
            <w:vAlign w:val="center"/>
          </w:tcPr>
          <w:p w:rsidR="008933A1" w:rsidRDefault="008933A1" w:rsidP="00E712DA">
            <w:pPr>
              <w:spacing w:before="40" w:after="40" w:line="240" w:lineRule="auto"/>
              <w:jc w:val="center"/>
            </w:pPr>
            <w:r w:rsidRPr="00386645">
              <w:rPr>
                <w:rFonts w:asciiTheme="majorHAnsi" w:hAnsiTheme="majorHAnsi"/>
                <w:sz w:val="18"/>
                <w:szCs w:val="18"/>
              </w:rPr>
              <w:t>2,200</w:t>
            </w:r>
          </w:p>
        </w:tc>
        <w:tc>
          <w:tcPr>
            <w:tcW w:w="1462" w:type="dxa"/>
            <w:vAlign w:val="center"/>
          </w:tcPr>
          <w:p w:rsidR="008933A1" w:rsidRPr="00C92782" w:rsidRDefault="008933A1" w:rsidP="00E712DA">
            <w:pPr>
              <w:spacing w:before="40" w:after="40" w:line="240" w:lineRule="auto"/>
              <w:jc w:val="center"/>
              <w:rPr>
                <w:rFonts w:asciiTheme="majorHAnsi" w:hAnsiTheme="majorHAnsi"/>
                <w:sz w:val="18"/>
                <w:szCs w:val="18"/>
              </w:rPr>
            </w:pPr>
            <w:r w:rsidRPr="00386645">
              <w:rPr>
                <w:rFonts w:asciiTheme="majorHAnsi" w:hAnsiTheme="majorHAnsi"/>
                <w:sz w:val="18"/>
                <w:szCs w:val="18"/>
              </w:rPr>
              <w:t>8,000</w:t>
            </w:r>
          </w:p>
        </w:tc>
      </w:tr>
      <w:tr w:rsidR="008933A1" w:rsidTr="00CE1B10">
        <w:tc>
          <w:tcPr>
            <w:tcW w:w="1462" w:type="dxa"/>
            <w:shd w:val="clear" w:color="auto" w:fill="CCEAF9" w:themeFill="accent1" w:themeFillTint="33"/>
            <w:vAlign w:val="center"/>
          </w:tcPr>
          <w:p w:rsidR="008933A1" w:rsidRPr="00C92782" w:rsidRDefault="008933A1" w:rsidP="00E712DA">
            <w:pPr>
              <w:spacing w:before="40" w:after="40" w:line="240" w:lineRule="auto"/>
              <w:jc w:val="center"/>
              <w:rPr>
                <w:rFonts w:asciiTheme="majorHAnsi" w:hAnsiTheme="majorHAnsi"/>
                <w:b/>
                <w:bCs/>
                <w:sz w:val="18"/>
                <w:szCs w:val="18"/>
              </w:rPr>
            </w:pPr>
            <w:r w:rsidRPr="00386645">
              <w:rPr>
                <w:rFonts w:asciiTheme="majorHAnsi" w:hAnsiTheme="majorHAnsi"/>
                <w:b/>
                <w:bCs/>
                <w:sz w:val="18"/>
                <w:szCs w:val="18"/>
              </w:rPr>
              <w:t>8000_2</w:t>
            </w:r>
          </w:p>
        </w:tc>
        <w:tc>
          <w:tcPr>
            <w:tcW w:w="1286" w:type="dxa"/>
            <w:shd w:val="clear" w:color="auto" w:fill="CCEAF9" w:themeFill="accent1" w:themeFillTint="33"/>
            <w:vAlign w:val="center"/>
          </w:tcPr>
          <w:p w:rsidR="008933A1" w:rsidRDefault="008933A1" w:rsidP="00E712DA">
            <w:pPr>
              <w:spacing w:before="40" w:after="40" w:line="240" w:lineRule="auto"/>
              <w:jc w:val="center"/>
            </w:pPr>
            <w:r w:rsidRPr="00386645">
              <w:rPr>
                <w:rFonts w:asciiTheme="majorHAnsi" w:hAnsiTheme="majorHAnsi"/>
                <w:sz w:val="18"/>
                <w:szCs w:val="18"/>
              </w:rPr>
              <w:t>800</w:t>
            </w:r>
          </w:p>
        </w:tc>
        <w:tc>
          <w:tcPr>
            <w:tcW w:w="1286" w:type="dxa"/>
            <w:shd w:val="clear" w:color="auto" w:fill="CCEAF9" w:themeFill="accent1" w:themeFillTint="33"/>
            <w:vAlign w:val="center"/>
          </w:tcPr>
          <w:p w:rsidR="008933A1" w:rsidRDefault="008933A1" w:rsidP="00E712DA">
            <w:pPr>
              <w:spacing w:before="40" w:after="40" w:line="240" w:lineRule="auto"/>
              <w:jc w:val="center"/>
            </w:pPr>
            <w:r w:rsidRPr="00386645">
              <w:rPr>
                <w:rFonts w:asciiTheme="majorHAnsi" w:hAnsiTheme="majorHAnsi"/>
                <w:sz w:val="18"/>
                <w:szCs w:val="18"/>
              </w:rPr>
              <w:t>1,000</w:t>
            </w:r>
          </w:p>
        </w:tc>
        <w:tc>
          <w:tcPr>
            <w:tcW w:w="1286" w:type="dxa"/>
            <w:shd w:val="clear" w:color="auto" w:fill="CCEAF9" w:themeFill="accent1" w:themeFillTint="33"/>
            <w:vAlign w:val="center"/>
          </w:tcPr>
          <w:p w:rsidR="008933A1" w:rsidRDefault="008933A1" w:rsidP="00E712DA">
            <w:pPr>
              <w:spacing w:before="40" w:after="40" w:line="240" w:lineRule="auto"/>
              <w:jc w:val="center"/>
            </w:pPr>
            <w:r w:rsidRPr="00386645">
              <w:rPr>
                <w:rFonts w:asciiTheme="majorHAnsi" w:hAnsiTheme="majorHAnsi"/>
                <w:sz w:val="18"/>
                <w:szCs w:val="18"/>
              </w:rPr>
              <w:t>1,600</w:t>
            </w:r>
          </w:p>
        </w:tc>
        <w:tc>
          <w:tcPr>
            <w:tcW w:w="1286" w:type="dxa"/>
            <w:shd w:val="clear" w:color="auto" w:fill="77BD2A" w:themeFill="accent3"/>
            <w:vAlign w:val="center"/>
          </w:tcPr>
          <w:p w:rsidR="008933A1" w:rsidRDefault="008933A1" w:rsidP="00E712DA">
            <w:pPr>
              <w:spacing w:before="40" w:after="40" w:line="240" w:lineRule="auto"/>
              <w:jc w:val="center"/>
            </w:pPr>
            <w:r w:rsidRPr="00386645">
              <w:rPr>
                <w:rFonts w:asciiTheme="majorHAnsi" w:hAnsiTheme="majorHAnsi"/>
                <w:sz w:val="18"/>
                <w:szCs w:val="18"/>
              </w:rPr>
              <w:t>3,400</w:t>
            </w:r>
          </w:p>
        </w:tc>
        <w:tc>
          <w:tcPr>
            <w:tcW w:w="1286" w:type="dxa"/>
            <w:shd w:val="clear" w:color="auto" w:fill="CCEAF9" w:themeFill="accent1" w:themeFillTint="33"/>
            <w:vAlign w:val="center"/>
          </w:tcPr>
          <w:p w:rsidR="008933A1" w:rsidRDefault="008933A1" w:rsidP="00E712DA">
            <w:pPr>
              <w:spacing w:before="40" w:after="40" w:line="240" w:lineRule="auto"/>
              <w:jc w:val="center"/>
            </w:pPr>
            <w:r w:rsidRPr="00386645">
              <w:rPr>
                <w:rFonts w:asciiTheme="majorHAnsi" w:hAnsiTheme="majorHAnsi"/>
                <w:sz w:val="18"/>
                <w:szCs w:val="18"/>
              </w:rPr>
              <w:t>1,200</w:t>
            </w:r>
          </w:p>
        </w:tc>
        <w:tc>
          <w:tcPr>
            <w:tcW w:w="1462" w:type="dxa"/>
            <w:shd w:val="clear" w:color="auto" w:fill="CCEAF9" w:themeFill="accent1" w:themeFillTint="33"/>
            <w:vAlign w:val="center"/>
          </w:tcPr>
          <w:p w:rsidR="008933A1" w:rsidRPr="00C92782" w:rsidRDefault="008933A1" w:rsidP="00E712DA">
            <w:pPr>
              <w:spacing w:before="40" w:after="40" w:line="240" w:lineRule="auto"/>
              <w:jc w:val="center"/>
              <w:rPr>
                <w:rFonts w:asciiTheme="majorHAnsi" w:hAnsiTheme="majorHAnsi"/>
                <w:sz w:val="18"/>
                <w:szCs w:val="18"/>
              </w:rPr>
            </w:pPr>
            <w:r w:rsidRPr="00386645">
              <w:rPr>
                <w:rFonts w:asciiTheme="majorHAnsi" w:hAnsiTheme="majorHAnsi"/>
                <w:sz w:val="18"/>
                <w:szCs w:val="18"/>
              </w:rPr>
              <w:t>8,000</w:t>
            </w:r>
          </w:p>
        </w:tc>
      </w:tr>
      <w:tr w:rsidR="008933A1" w:rsidTr="00CE1B10">
        <w:tc>
          <w:tcPr>
            <w:tcW w:w="1462" w:type="dxa"/>
            <w:vAlign w:val="center"/>
          </w:tcPr>
          <w:p w:rsidR="008933A1" w:rsidRPr="00C92782" w:rsidRDefault="008933A1" w:rsidP="00E712DA">
            <w:pPr>
              <w:spacing w:before="40" w:after="40" w:line="240" w:lineRule="auto"/>
              <w:jc w:val="center"/>
              <w:rPr>
                <w:rFonts w:asciiTheme="majorHAnsi" w:hAnsiTheme="majorHAnsi"/>
                <w:b/>
                <w:bCs/>
                <w:sz w:val="18"/>
                <w:szCs w:val="18"/>
              </w:rPr>
            </w:pPr>
            <w:r w:rsidRPr="00386645">
              <w:rPr>
                <w:rFonts w:asciiTheme="majorHAnsi" w:hAnsiTheme="majorHAnsi"/>
                <w:b/>
                <w:bCs/>
                <w:sz w:val="18"/>
                <w:szCs w:val="18"/>
              </w:rPr>
              <w:t>8000_3</w:t>
            </w:r>
          </w:p>
        </w:tc>
        <w:tc>
          <w:tcPr>
            <w:tcW w:w="1286" w:type="dxa"/>
            <w:vAlign w:val="center"/>
          </w:tcPr>
          <w:p w:rsidR="008933A1" w:rsidRDefault="008933A1" w:rsidP="00E712DA">
            <w:pPr>
              <w:spacing w:before="40" w:after="40" w:line="240" w:lineRule="auto"/>
              <w:jc w:val="center"/>
            </w:pPr>
            <w:r w:rsidRPr="00386645">
              <w:rPr>
                <w:rFonts w:asciiTheme="majorHAnsi" w:hAnsiTheme="majorHAnsi"/>
                <w:sz w:val="18"/>
                <w:szCs w:val="18"/>
              </w:rPr>
              <w:t>800</w:t>
            </w:r>
          </w:p>
        </w:tc>
        <w:tc>
          <w:tcPr>
            <w:tcW w:w="1286" w:type="dxa"/>
            <w:vAlign w:val="center"/>
          </w:tcPr>
          <w:p w:rsidR="008933A1" w:rsidRDefault="008933A1" w:rsidP="00E712DA">
            <w:pPr>
              <w:spacing w:before="40" w:after="40" w:line="240" w:lineRule="auto"/>
              <w:jc w:val="center"/>
            </w:pPr>
            <w:r w:rsidRPr="00386645">
              <w:rPr>
                <w:rFonts w:asciiTheme="majorHAnsi" w:hAnsiTheme="majorHAnsi"/>
                <w:sz w:val="18"/>
                <w:szCs w:val="18"/>
              </w:rPr>
              <w:t>1,000</w:t>
            </w:r>
          </w:p>
        </w:tc>
        <w:tc>
          <w:tcPr>
            <w:tcW w:w="1286" w:type="dxa"/>
            <w:shd w:val="clear" w:color="auto" w:fill="77BD2A" w:themeFill="accent3"/>
            <w:vAlign w:val="center"/>
          </w:tcPr>
          <w:p w:rsidR="008933A1" w:rsidRDefault="008933A1" w:rsidP="00E712DA">
            <w:pPr>
              <w:spacing w:before="40" w:after="40" w:line="240" w:lineRule="auto"/>
              <w:jc w:val="center"/>
            </w:pPr>
            <w:r w:rsidRPr="00386645">
              <w:rPr>
                <w:rFonts w:asciiTheme="majorHAnsi" w:hAnsiTheme="majorHAnsi"/>
                <w:sz w:val="18"/>
                <w:szCs w:val="18"/>
              </w:rPr>
              <w:t>2,600</w:t>
            </w:r>
          </w:p>
        </w:tc>
        <w:tc>
          <w:tcPr>
            <w:tcW w:w="1286" w:type="dxa"/>
            <w:vAlign w:val="center"/>
          </w:tcPr>
          <w:p w:rsidR="008933A1" w:rsidRDefault="008933A1" w:rsidP="00E712DA">
            <w:pPr>
              <w:spacing w:before="40" w:after="40" w:line="240" w:lineRule="auto"/>
              <w:jc w:val="center"/>
            </w:pPr>
            <w:r w:rsidRPr="00386645">
              <w:rPr>
                <w:rFonts w:asciiTheme="majorHAnsi" w:hAnsiTheme="majorHAnsi"/>
                <w:sz w:val="18"/>
                <w:szCs w:val="18"/>
              </w:rPr>
              <w:t>2,400</w:t>
            </w:r>
          </w:p>
        </w:tc>
        <w:tc>
          <w:tcPr>
            <w:tcW w:w="1286" w:type="dxa"/>
            <w:vAlign w:val="center"/>
          </w:tcPr>
          <w:p w:rsidR="008933A1" w:rsidRDefault="008933A1" w:rsidP="00E712DA">
            <w:pPr>
              <w:spacing w:before="40" w:after="40" w:line="240" w:lineRule="auto"/>
              <w:jc w:val="center"/>
            </w:pPr>
            <w:r w:rsidRPr="00386645">
              <w:rPr>
                <w:rFonts w:asciiTheme="majorHAnsi" w:hAnsiTheme="majorHAnsi"/>
                <w:sz w:val="18"/>
                <w:szCs w:val="18"/>
              </w:rPr>
              <w:t>1,200</w:t>
            </w:r>
          </w:p>
        </w:tc>
        <w:tc>
          <w:tcPr>
            <w:tcW w:w="1462" w:type="dxa"/>
            <w:vAlign w:val="center"/>
          </w:tcPr>
          <w:p w:rsidR="008933A1" w:rsidRPr="00C92782" w:rsidRDefault="008933A1" w:rsidP="00E712DA">
            <w:pPr>
              <w:spacing w:before="40" w:after="40" w:line="240" w:lineRule="auto"/>
              <w:jc w:val="center"/>
              <w:rPr>
                <w:rFonts w:asciiTheme="majorHAnsi" w:hAnsiTheme="majorHAnsi"/>
                <w:sz w:val="18"/>
                <w:szCs w:val="18"/>
              </w:rPr>
            </w:pPr>
            <w:r w:rsidRPr="00386645">
              <w:rPr>
                <w:rFonts w:asciiTheme="majorHAnsi" w:hAnsiTheme="majorHAnsi"/>
                <w:sz w:val="18"/>
                <w:szCs w:val="18"/>
              </w:rPr>
              <w:t>8,000</w:t>
            </w:r>
          </w:p>
        </w:tc>
      </w:tr>
      <w:tr w:rsidR="008933A1" w:rsidTr="00CE1B10">
        <w:tc>
          <w:tcPr>
            <w:tcW w:w="1462" w:type="dxa"/>
            <w:shd w:val="clear" w:color="auto" w:fill="CCEAF9" w:themeFill="accent1" w:themeFillTint="33"/>
            <w:vAlign w:val="center"/>
          </w:tcPr>
          <w:p w:rsidR="008933A1" w:rsidRPr="00C92782" w:rsidRDefault="008933A1" w:rsidP="00E712DA">
            <w:pPr>
              <w:spacing w:before="40" w:after="40" w:line="240" w:lineRule="auto"/>
              <w:jc w:val="center"/>
              <w:rPr>
                <w:rFonts w:asciiTheme="majorHAnsi" w:hAnsiTheme="majorHAnsi"/>
                <w:b/>
                <w:bCs/>
                <w:sz w:val="18"/>
                <w:szCs w:val="18"/>
              </w:rPr>
            </w:pPr>
            <w:r w:rsidRPr="00386645">
              <w:rPr>
                <w:rFonts w:asciiTheme="majorHAnsi" w:hAnsiTheme="majorHAnsi"/>
                <w:b/>
                <w:bCs/>
                <w:sz w:val="18"/>
                <w:szCs w:val="18"/>
              </w:rPr>
              <w:t>8000_4</w:t>
            </w:r>
          </w:p>
        </w:tc>
        <w:tc>
          <w:tcPr>
            <w:tcW w:w="1286" w:type="dxa"/>
            <w:shd w:val="clear" w:color="auto" w:fill="77BD2A" w:themeFill="accent3"/>
            <w:vAlign w:val="center"/>
          </w:tcPr>
          <w:p w:rsidR="008933A1" w:rsidRDefault="008933A1" w:rsidP="00E712DA">
            <w:pPr>
              <w:spacing w:before="40" w:after="40" w:line="240" w:lineRule="auto"/>
              <w:jc w:val="center"/>
            </w:pPr>
            <w:r w:rsidRPr="00386645">
              <w:rPr>
                <w:rFonts w:asciiTheme="majorHAnsi" w:hAnsiTheme="majorHAnsi"/>
                <w:sz w:val="18"/>
                <w:szCs w:val="18"/>
              </w:rPr>
              <w:t>1,300</w:t>
            </w:r>
          </w:p>
        </w:tc>
        <w:tc>
          <w:tcPr>
            <w:tcW w:w="1286" w:type="dxa"/>
            <w:shd w:val="clear" w:color="auto" w:fill="77BD2A" w:themeFill="accent3"/>
            <w:vAlign w:val="center"/>
          </w:tcPr>
          <w:p w:rsidR="008933A1" w:rsidRDefault="008933A1" w:rsidP="00E712DA">
            <w:pPr>
              <w:spacing w:before="40" w:after="40" w:line="240" w:lineRule="auto"/>
              <w:jc w:val="center"/>
            </w:pPr>
            <w:r w:rsidRPr="00386645">
              <w:rPr>
                <w:rFonts w:asciiTheme="majorHAnsi" w:hAnsiTheme="majorHAnsi"/>
                <w:sz w:val="18"/>
                <w:szCs w:val="18"/>
              </w:rPr>
              <w:t>1,500</w:t>
            </w:r>
          </w:p>
        </w:tc>
        <w:tc>
          <w:tcPr>
            <w:tcW w:w="1286" w:type="dxa"/>
            <w:shd w:val="clear" w:color="auto" w:fill="CCEAF9" w:themeFill="accent1" w:themeFillTint="33"/>
            <w:vAlign w:val="center"/>
          </w:tcPr>
          <w:p w:rsidR="008933A1" w:rsidRDefault="008933A1" w:rsidP="00E712DA">
            <w:pPr>
              <w:spacing w:before="40" w:after="40" w:line="240" w:lineRule="auto"/>
              <w:jc w:val="center"/>
            </w:pPr>
            <w:r w:rsidRPr="00386645">
              <w:rPr>
                <w:rFonts w:asciiTheme="majorHAnsi" w:hAnsiTheme="majorHAnsi"/>
                <w:sz w:val="18"/>
                <w:szCs w:val="18"/>
              </w:rPr>
              <w:t>1,600</w:t>
            </w:r>
          </w:p>
        </w:tc>
        <w:tc>
          <w:tcPr>
            <w:tcW w:w="1286" w:type="dxa"/>
            <w:shd w:val="clear" w:color="auto" w:fill="CCEAF9" w:themeFill="accent1" w:themeFillTint="33"/>
            <w:vAlign w:val="center"/>
          </w:tcPr>
          <w:p w:rsidR="008933A1" w:rsidRDefault="008933A1" w:rsidP="00E712DA">
            <w:pPr>
              <w:spacing w:before="40" w:after="40" w:line="240" w:lineRule="auto"/>
              <w:jc w:val="center"/>
            </w:pPr>
            <w:r w:rsidRPr="00386645">
              <w:rPr>
                <w:rFonts w:asciiTheme="majorHAnsi" w:hAnsiTheme="majorHAnsi"/>
                <w:sz w:val="18"/>
                <w:szCs w:val="18"/>
              </w:rPr>
              <w:t>2,400</w:t>
            </w:r>
          </w:p>
        </w:tc>
        <w:tc>
          <w:tcPr>
            <w:tcW w:w="1286" w:type="dxa"/>
            <w:shd w:val="clear" w:color="auto" w:fill="CCEAF9" w:themeFill="accent1" w:themeFillTint="33"/>
            <w:vAlign w:val="center"/>
          </w:tcPr>
          <w:p w:rsidR="008933A1" w:rsidRDefault="008933A1" w:rsidP="00E712DA">
            <w:pPr>
              <w:spacing w:before="40" w:after="40" w:line="240" w:lineRule="auto"/>
              <w:jc w:val="center"/>
            </w:pPr>
            <w:r w:rsidRPr="00386645">
              <w:rPr>
                <w:rFonts w:asciiTheme="majorHAnsi" w:hAnsiTheme="majorHAnsi"/>
                <w:sz w:val="18"/>
                <w:szCs w:val="18"/>
              </w:rPr>
              <w:t>1,200</w:t>
            </w:r>
          </w:p>
        </w:tc>
        <w:tc>
          <w:tcPr>
            <w:tcW w:w="1462" w:type="dxa"/>
            <w:shd w:val="clear" w:color="auto" w:fill="CCEAF9" w:themeFill="accent1" w:themeFillTint="33"/>
            <w:vAlign w:val="center"/>
          </w:tcPr>
          <w:p w:rsidR="008933A1" w:rsidRPr="00C92782" w:rsidRDefault="008933A1" w:rsidP="00E712DA">
            <w:pPr>
              <w:spacing w:before="40" w:after="40" w:line="240" w:lineRule="auto"/>
              <w:jc w:val="center"/>
              <w:rPr>
                <w:rFonts w:asciiTheme="majorHAnsi" w:hAnsiTheme="majorHAnsi"/>
                <w:sz w:val="18"/>
                <w:szCs w:val="18"/>
              </w:rPr>
            </w:pPr>
            <w:r w:rsidRPr="00386645">
              <w:rPr>
                <w:rFonts w:asciiTheme="majorHAnsi" w:hAnsiTheme="majorHAnsi"/>
                <w:sz w:val="18"/>
                <w:szCs w:val="18"/>
              </w:rPr>
              <w:t>8,000</w:t>
            </w:r>
          </w:p>
        </w:tc>
      </w:tr>
    </w:tbl>
    <w:p w:rsidR="00C808EF" w:rsidRPr="00D939AB" w:rsidRDefault="00D939AB" w:rsidP="00D939AB">
      <w:pPr>
        <w:spacing w:before="120" w:line="240" w:lineRule="auto"/>
        <w:rPr>
          <w:rFonts w:asciiTheme="majorHAnsi" w:hAnsiTheme="majorHAnsi" w:cstheme="majorHAnsi"/>
          <w:sz w:val="18"/>
          <w:szCs w:val="18"/>
        </w:rPr>
      </w:pPr>
      <w:r w:rsidRPr="00D939AB">
        <w:rPr>
          <w:rFonts w:asciiTheme="majorHAnsi" w:hAnsiTheme="majorHAnsi" w:cstheme="majorHAnsi"/>
          <w:sz w:val="18"/>
          <w:szCs w:val="18"/>
        </w:rPr>
        <w:t xml:space="preserve">(a) </w:t>
      </w:r>
      <w:r w:rsidR="00C808EF" w:rsidRPr="00D939AB">
        <w:rPr>
          <w:rFonts w:asciiTheme="majorHAnsi" w:hAnsiTheme="majorHAnsi" w:cstheme="majorHAnsi"/>
          <w:sz w:val="18"/>
          <w:szCs w:val="18"/>
        </w:rPr>
        <w:t>SEMA refers to Southeastern Massachusetts</w:t>
      </w:r>
      <w:r w:rsidR="00CF080D" w:rsidRPr="00D939AB">
        <w:rPr>
          <w:rFonts w:asciiTheme="majorHAnsi" w:hAnsiTheme="majorHAnsi" w:cstheme="majorHAnsi"/>
          <w:sz w:val="18"/>
          <w:szCs w:val="18"/>
        </w:rPr>
        <w:t>.</w:t>
      </w:r>
      <w:r w:rsidR="00C808EF" w:rsidRPr="00D939AB">
        <w:rPr>
          <w:rFonts w:asciiTheme="majorHAnsi" w:hAnsiTheme="majorHAnsi" w:cstheme="majorHAnsi"/>
          <w:sz w:val="18"/>
          <w:szCs w:val="18"/>
        </w:rPr>
        <w:t xml:space="preserve"> </w:t>
      </w:r>
    </w:p>
    <w:p w:rsidR="0066269A" w:rsidRPr="004C0C16" w:rsidRDefault="004C0C16" w:rsidP="004C0C16">
      <w:pPr>
        <w:pStyle w:val="Heading1"/>
      </w:pPr>
      <w:r w:rsidRPr="004C0C16">
        <w:lastRenderedPageBreak/>
        <w:br/>
      </w:r>
      <w:bookmarkStart w:id="31" w:name="_Toc44412038"/>
      <w:r w:rsidR="009E28C2" w:rsidRPr="004C0C16">
        <w:t>Methodology</w:t>
      </w:r>
      <w:r w:rsidR="000613FD" w:rsidRPr="004C0C16">
        <w:t xml:space="preserve"> </w:t>
      </w:r>
      <w:r w:rsidR="00FF76B8" w:rsidRPr="004C0C16">
        <w:t>and Assumptions</w:t>
      </w:r>
      <w:bookmarkEnd w:id="31"/>
      <w:r w:rsidR="00015ECB" w:rsidRPr="004C0C16">
        <w:t xml:space="preserve"> </w:t>
      </w:r>
    </w:p>
    <w:p w:rsidR="00901753" w:rsidRDefault="00901753" w:rsidP="00901753">
      <w:r>
        <w:t>Study results are driven by assumptions</w:t>
      </w:r>
      <w:r w:rsidR="004D09B8">
        <w:t>, and s</w:t>
      </w:r>
      <w:r w:rsidR="004D09B8" w:rsidRPr="001111C9">
        <w:t>ome assumptions have a greater impact on the study results than others (i.e., threshold p</w:t>
      </w:r>
      <w:r w:rsidR="004D09B8">
        <w:t>rices for various resource types)</w:t>
      </w:r>
      <w:r>
        <w:t xml:space="preserve">. </w:t>
      </w:r>
      <w:r w:rsidR="00D61DF6">
        <w:t xml:space="preserve">To gain efficiencies, </w:t>
      </w:r>
      <w:r w:rsidR="00D24022">
        <w:t xml:space="preserve">the </w:t>
      </w:r>
      <w:r w:rsidR="00D61DF6">
        <w:t xml:space="preserve">assumptions </w:t>
      </w:r>
      <w:r w:rsidR="00466D29">
        <w:t xml:space="preserve">for all three economic studies submitted in 2019 </w:t>
      </w:r>
      <w:r w:rsidR="00D61DF6">
        <w:t xml:space="preserve">were determined in concert. </w:t>
      </w:r>
      <w:r w:rsidR="00D24022">
        <w:t xml:space="preserve">At the </w:t>
      </w:r>
      <w:r w:rsidR="004301A0" w:rsidRPr="004301A0">
        <w:t>May 21, 2019</w:t>
      </w:r>
      <w:r w:rsidR="00D24022" w:rsidRPr="004301A0">
        <w:rPr>
          <w:rStyle w:val="Hyperlink"/>
        </w:rPr>
        <w:t>,</w:t>
      </w:r>
      <w:r w:rsidRPr="004301A0">
        <w:t xml:space="preserve"> and </w:t>
      </w:r>
      <w:r w:rsidR="004301A0" w:rsidRPr="004301A0">
        <w:t>August 8, 201</w:t>
      </w:r>
      <w:r w:rsidR="004301A0" w:rsidRPr="0061012A">
        <w:t>9</w:t>
      </w:r>
      <w:r w:rsidR="00D24022" w:rsidRPr="00E712DA">
        <w:rPr>
          <w:rStyle w:val="Hyperlink"/>
          <w:color w:val="auto"/>
          <w:u w:val="none"/>
        </w:rPr>
        <w:t>, PAC meetings</w:t>
      </w:r>
      <w:r w:rsidR="00C55A92" w:rsidRPr="00E712DA">
        <w:rPr>
          <w:rStyle w:val="Hyperlink"/>
          <w:color w:val="auto"/>
          <w:u w:val="none"/>
        </w:rPr>
        <w:t>,</w:t>
      </w:r>
      <w:r w:rsidR="00D24022" w:rsidRPr="00E712DA">
        <w:rPr>
          <w:rStyle w:val="Hyperlink"/>
          <w:color w:val="auto"/>
          <w:u w:val="none"/>
        </w:rPr>
        <w:t xml:space="preserve"> the ISO reviewed in detail the</w:t>
      </w:r>
      <w:r w:rsidR="00C55A92" w:rsidRPr="00E712DA">
        <w:rPr>
          <w:rStyle w:val="Hyperlink"/>
          <w:color w:val="auto"/>
          <w:u w:val="none"/>
        </w:rPr>
        <w:t xml:space="preserve"> assumptions associated with the 2019 NESCOE Economic Study</w:t>
      </w:r>
      <w:r w:rsidRPr="00E712DA">
        <w:t>.</w:t>
      </w:r>
      <w:r w:rsidR="00D24022" w:rsidRPr="00E712DA">
        <w:rPr>
          <w:rStyle w:val="FootnoteReference"/>
        </w:rPr>
        <w:footnoteReference w:id="17"/>
      </w:r>
      <w:r w:rsidRPr="00E712DA">
        <w:t xml:space="preserve"> </w:t>
      </w:r>
      <w:r w:rsidRPr="001111C9">
        <w:t xml:space="preserve">A status update was given on </w:t>
      </w:r>
      <w:r w:rsidR="004301A0" w:rsidRPr="004301A0">
        <w:t>November 20, 2019</w:t>
      </w:r>
      <w:r w:rsidRPr="001111C9">
        <w:t>.</w:t>
      </w:r>
      <w:r w:rsidR="00D24022" w:rsidRPr="001111C9">
        <w:rPr>
          <w:rStyle w:val="FootnoteReference"/>
        </w:rPr>
        <w:footnoteReference w:id="18"/>
      </w:r>
      <w:r w:rsidRPr="001111C9">
        <w:t xml:space="preserve"> </w:t>
      </w:r>
      <w:r w:rsidR="009B39DE">
        <w:t xml:space="preserve">This section </w:t>
      </w:r>
      <w:r w:rsidR="0038192C">
        <w:t>highlights</w:t>
      </w:r>
      <w:r w:rsidR="009B39DE">
        <w:t xml:space="preserve"> the importance of certain assumptions and how modeling was performed for the 2019 NESCOE Economic Study.</w:t>
      </w:r>
    </w:p>
    <w:p w:rsidR="00C55A92" w:rsidRDefault="00C55A92" w:rsidP="0061012A">
      <w:pPr>
        <w:pStyle w:val="Heading2"/>
      </w:pPr>
      <w:bookmarkStart w:id="32" w:name="_Toc44412039"/>
      <w:r>
        <w:t>Modeling Tools and Methodology</w:t>
      </w:r>
      <w:bookmarkEnd w:id="32"/>
    </w:p>
    <w:p w:rsidR="00E23572" w:rsidRDefault="00147DA2" w:rsidP="00740FBD">
      <w:r>
        <w:t xml:space="preserve">The analyses were conducted using </w:t>
      </w:r>
      <w:r w:rsidR="00740FBD">
        <w:t>ABB’s</w:t>
      </w:r>
      <w:r>
        <w:t xml:space="preserve"> </w:t>
      </w:r>
      <w:r w:rsidRPr="00357388">
        <w:t>Grid</w:t>
      </w:r>
      <w:r w:rsidR="002C0C8F">
        <w:t>V</w:t>
      </w:r>
      <w:r w:rsidRPr="00357388">
        <w:t xml:space="preserve">iew </w:t>
      </w:r>
      <w:r w:rsidR="008B7B57">
        <w:t>economic</w:t>
      </w:r>
      <w:r w:rsidR="00C55A92">
        <w:t>-</w:t>
      </w:r>
      <w:r w:rsidR="008B7B57">
        <w:t xml:space="preserve">dispatch program. </w:t>
      </w:r>
      <w:r w:rsidR="00C55A92">
        <w:t xml:space="preserve">The </w:t>
      </w:r>
      <w:r w:rsidR="00740FBD">
        <w:t>program</w:t>
      </w:r>
      <w:r w:rsidR="00C55A92">
        <w:t xml:space="preserve"> is</w:t>
      </w:r>
      <w:r w:rsidR="00740FBD">
        <w:t xml:space="preserve"> </w:t>
      </w:r>
      <w:r w:rsidR="00740FBD" w:rsidRPr="001A11D5">
        <w:t xml:space="preserve">a </w:t>
      </w:r>
      <w:r w:rsidR="00F73B39">
        <w:t xml:space="preserve">complex </w:t>
      </w:r>
      <w:r w:rsidR="00740FBD" w:rsidRPr="00E5063C">
        <w:t>simulation tool</w:t>
      </w:r>
      <w:r w:rsidR="00740FBD">
        <w:t xml:space="preserve"> that</w:t>
      </w:r>
      <w:r w:rsidR="00740FBD" w:rsidRPr="00A60F9F">
        <w:t xml:space="preserve"> </w:t>
      </w:r>
      <w:r w:rsidR="00740FBD">
        <w:t xml:space="preserve">calculates least-cost </w:t>
      </w:r>
      <w:r w:rsidR="00740FBD" w:rsidRPr="00F43291">
        <w:t>transmission</w:t>
      </w:r>
      <w:r w:rsidR="00740FBD" w:rsidRPr="00241D31">
        <w:t>-</w:t>
      </w:r>
      <w:r w:rsidR="00740FBD" w:rsidRPr="00F43291">
        <w:t>security</w:t>
      </w:r>
      <w:r w:rsidR="00740FBD">
        <w:t>-</w:t>
      </w:r>
      <w:r w:rsidR="00740FBD" w:rsidRPr="00241D31">
        <w:t>c</w:t>
      </w:r>
      <w:r w:rsidR="00740FBD" w:rsidRPr="00F43291">
        <w:t>onstrain</w:t>
      </w:r>
      <w:r w:rsidR="00740FBD" w:rsidRPr="00241D31">
        <w:t xml:space="preserve">ed </w:t>
      </w:r>
      <w:r w:rsidR="00740FBD" w:rsidRPr="00F43291">
        <w:t>unit</w:t>
      </w:r>
      <w:r w:rsidR="00740FBD">
        <w:t xml:space="preserve"> commitment and economic dispatch under differing sets of assumptions and </w:t>
      </w:r>
      <w:r w:rsidR="00740FBD" w:rsidRPr="00147DA2">
        <w:t>minimize</w:t>
      </w:r>
      <w:r w:rsidR="00740FBD">
        <w:t>s</w:t>
      </w:r>
      <w:r w:rsidR="00740FBD" w:rsidRPr="00147DA2">
        <w:t xml:space="preserve"> production costs </w:t>
      </w:r>
      <w:r w:rsidR="00740FBD">
        <w:t xml:space="preserve">for a </w:t>
      </w:r>
      <w:r w:rsidR="00740FBD" w:rsidRPr="00147DA2">
        <w:t>given set of unit characteristics</w:t>
      </w:r>
      <w:r w:rsidR="00BF1EA7" w:rsidRPr="001C20B1">
        <w:t xml:space="preserve">. </w:t>
      </w:r>
      <w:r w:rsidR="00E23572" w:rsidRPr="002D5261">
        <w:t>The program explicitly models a full network</w:t>
      </w:r>
      <w:r w:rsidR="00E76344">
        <w:t xml:space="preserve">, </w:t>
      </w:r>
      <w:r w:rsidR="00E23572" w:rsidRPr="002D5261">
        <w:t xml:space="preserve">and </w:t>
      </w:r>
      <w:r w:rsidR="005F0CB1" w:rsidRPr="00080481">
        <w:t xml:space="preserve">New England was modeled as a constrained single area for </w:t>
      </w:r>
      <w:r w:rsidR="005F0CB1" w:rsidRPr="002D5261">
        <w:t>unit commitment</w:t>
      </w:r>
      <w:r w:rsidR="00F73B39" w:rsidRPr="002D5261">
        <w:t>.</w:t>
      </w:r>
    </w:p>
    <w:p w:rsidR="00860A8C" w:rsidRDefault="00860A8C" w:rsidP="00740FBD">
      <w:r w:rsidRPr="002B1E0C">
        <w:t xml:space="preserve">The as-planned transmission system was used for estimating the system’s transfer limits for internal and external interfaces. The 2030 </w:t>
      </w:r>
      <w:r w:rsidR="00C55A92" w:rsidRPr="002B1E0C">
        <w:t xml:space="preserve">transfer capabilities </w:t>
      </w:r>
      <w:r w:rsidR="00C55A92">
        <w:t xml:space="preserve">for </w:t>
      </w:r>
      <w:r w:rsidRPr="002B1E0C">
        <w:t>internal and external transmission</w:t>
      </w:r>
      <w:r w:rsidR="00C55A92">
        <w:t xml:space="preserve"> </w:t>
      </w:r>
      <w:r w:rsidRPr="002B1E0C">
        <w:t>interface</w:t>
      </w:r>
      <w:r w:rsidR="00C55A92">
        <w:t>s</w:t>
      </w:r>
      <w:r w:rsidRPr="002B1E0C">
        <w:t xml:space="preserve"> were based on the values </w:t>
      </w:r>
      <w:r w:rsidRPr="009235B9">
        <w:t>established for 2025 for</w:t>
      </w:r>
      <w:r w:rsidRPr="002B1E0C">
        <w:t xml:space="preserve"> </w:t>
      </w:r>
      <w:r w:rsidR="000F2E7D">
        <w:t xml:space="preserve">Forward Capacity Market </w:t>
      </w:r>
      <w:r w:rsidR="00F5108A">
        <w:t xml:space="preserve">(FCM) </w:t>
      </w:r>
      <w:r w:rsidR="000F2E7D">
        <w:t xml:space="preserve">and </w:t>
      </w:r>
      <w:r w:rsidRPr="002B1E0C">
        <w:t>regional planning studies.</w:t>
      </w:r>
      <w:r w:rsidRPr="001C20B1">
        <w:rPr>
          <w:rStyle w:val="FootnoteReference"/>
        </w:rPr>
        <w:footnoteReference w:id="19"/>
      </w:r>
      <w:r w:rsidR="00EA37C5" w:rsidRPr="0061012A">
        <w:t xml:space="preserve"> Regional resources were economically dispatched in the simulations to respect the assumed “normal” transmission</w:t>
      </w:r>
      <w:r w:rsidR="00EA37C5" w:rsidRPr="00E712DA">
        <w:t xml:space="preserve"> system transfer lim</w:t>
      </w:r>
      <w:r w:rsidR="00EA37C5" w:rsidRPr="001C4DAF">
        <w:t>its.</w:t>
      </w:r>
      <w:r w:rsidR="00EA37C5" w:rsidRPr="001C4DAF">
        <w:rPr>
          <w:rStyle w:val="FootnoteReference"/>
        </w:rPr>
        <w:footnoteReference w:id="20"/>
      </w:r>
    </w:p>
    <w:p w:rsidR="009C02EB" w:rsidRDefault="009C02EB" w:rsidP="001C4DAF">
      <w:pPr>
        <w:pStyle w:val="Heading2"/>
      </w:pPr>
      <w:bookmarkStart w:id="33" w:name="_Ref42689949"/>
      <w:bookmarkStart w:id="34" w:name="_Toc44412040"/>
      <w:r>
        <w:t>Assumptions</w:t>
      </w:r>
      <w:bookmarkEnd w:id="33"/>
      <w:bookmarkEnd w:id="34"/>
    </w:p>
    <w:p w:rsidR="00E306F0" w:rsidRDefault="004D09B8" w:rsidP="00740FBD">
      <w:r w:rsidRPr="001C4DAF">
        <w:t xml:space="preserve">This </w:t>
      </w:r>
      <w:r w:rsidR="0061012A">
        <w:t>section</w:t>
      </w:r>
      <w:r w:rsidRPr="001C4DAF">
        <w:t xml:space="preserve"> summarizes the assumptions made for the following parameters:</w:t>
      </w:r>
    </w:p>
    <w:p w:rsidR="00E76344" w:rsidRDefault="00E76344" w:rsidP="001C4DAF">
      <w:pPr>
        <w:pStyle w:val="ListParagraph"/>
        <w:numPr>
          <w:ilvl w:val="0"/>
          <w:numId w:val="38"/>
        </w:numPr>
      </w:pPr>
      <w:r w:rsidRPr="00E76344">
        <w:t xml:space="preserve">Unconstrained and </w:t>
      </w:r>
      <w:r w:rsidR="004D09B8">
        <w:t>c</w:t>
      </w:r>
      <w:r w:rsidRPr="00E76344">
        <w:t xml:space="preserve">onstrained </w:t>
      </w:r>
      <w:r w:rsidR="004D09B8">
        <w:t>t</w:t>
      </w:r>
      <w:r w:rsidRPr="00E76344">
        <w:t>ransmission</w:t>
      </w:r>
    </w:p>
    <w:p w:rsidR="00E76344" w:rsidRDefault="004D09B8" w:rsidP="001C4DAF">
      <w:pPr>
        <w:pStyle w:val="ListParagraph"/>
        <w:numPr>
          <w:ilvl w:val="0"/>
          <w:numId w:val="38"/>
        </w:numPr>
      </w:pPr>
      <w:r>
        <w:lastRenderedPageBreak/>
        <w:t>I</w:t>
      </w:r>
      <w:r w:rsidR="00E76344">
        <w:t>nter</w:t>
      </w:r>
      <w:r w:rsidR="005E52AC">
        <w:t>changes</w:t>
      </w:r>
      <w:r>
        <w:t xml:space="preserve"> with neighboring systems</w:t>
      </w:r>
    </w:p>
    <w:p w:rsidR="005E52AC" w:rsidRDefault="005E52AC" w:rsidP="001C4DAF">
      <w:pPr>
        <w:pStyle w:val="ListParagraph"/>
        <w:numPr>
          <w:ilvl w:val="0"/>
          <w:numId w:val="38"/>
        </w:numPr>
      </w:pPr>
      <w:r>
        <w:t>Weather</w:t>
      </w:r>
    </w:p>
    <w:p w:rsidR="005E52AC" w:rsidRDefault="005E52AC" w:rsidP="001C4DAF">
      <w:pPr>
        <w:pStyle w:val="ListParagraph"/>
        <w:numPr>
          <w:ilvl w:val="0"/>
          <w:numId w:val="38"/>
        </w:numPr>
      </w:pPr>
      <w:r>
        <w:t>Load</w:t>
      </w:r>
      <w:r w:rsidR="004D09B8">
        <w:t xml:space="preserve"> levels</w:t>
      </w:r>
    </w:p>
    <w:p w:rsidR="005E52AC" w:rsidRDefault="004D09B8" w:rsidP="001C4DAF">
      <w:pPr>
        <w:pStyle w:val="ListParagraph"/>
        <w:numPr>
          <w:ilvl w:val="0"/>
          <w:numId w:val="38"/>
        </w:numPr>
      </w:pPr>
      <w:r>
        <w:t>Regulation, ramping, and reserve capability</w:t>
      </w:r>
    </w:p>
    <w:p w:rsidR="005E52AC" w:rsidRDefault="005E52AC" w:rsidP="001C4DAF">
      <w:pPr>
        <w:pStyle w:val="ListParagraph"/>
        <w:numPr>
          <w:ilvl w:val="0"/>
          <w:numId w:val="38"/>
        </w:numPr>
      </w:pPr>
      <w:r>
        <w:t>Fuel prices</w:t>
      </w:r>
    </w:p>
    <w:p w:rsidR="005E52AC" w:rsidRDefault="005E52AC" w:rsidP="001C4DAF">
      <w:pPr>
        <w:pStyle w:val="ListParagraph"/>
        <w:numPr>
          <w:ilvl w:val="0"/>
          <w:numId w:val="38"/>
        </w:numPr>
      </w:pPr>
      <w:r>
        <w:t>Air</w:t>
      </w:r>
      <w:r w:rsidR="004D09B8">
        <w:t>-</w:t>
      </w:r>
      <w:r>
        <w:t>emission allowances</w:t>
      </w:r>
    </w:p>
    <w:p w:rsidR="005E52AC" w:rsidRDefault="004D09B8" w:rsidP="001C4DAF">
      <w:pPr>
        <w:pStyle w:val="ListParagraph"/>
        <w:numPr>
          <w:ilvl w:val="0"/>
          <w:numId w:val="38"/>
        </w:numPr>
        <w:spacing w:after="240"/>
      </w:pPr>
      <w:r>
        <w:t>Resource t</w:t>
      </w:r>
      <w:r w:rsidR="005E52AC">
        <w:t>hreshold prices</w:t>
      </w:r>
      <w:r>
        <w:t xml:space="preserve"> ($/MWh)</w:t>
      </w:r>
    </w:p>
    <w:p w:rsidR="009C02EB" w:rsidRDefault="009C02EB" w:rsidP="001C4DAF">
      <w:pPr>
        <w:pStyle w:val="Heading3"/>
      </w:pPr>
      <w:bookmarkStart w:id="35" w:name="_Ref42679720"/>
      <w:bookmarkStart w:id="36" w:name="_Toc44412041"/>
      <w:r>
        <w:t>Parameters for Unconstrained and Constrained Transmission Simulations</w:t>
      </w:r>
      <w:bookmarkEnd w:id="35"/>
      <w:bookmarkEnd w:id="36"/>
    </w:p>
    <w:p w:rsidR="00740FBD" w:rsidRDefault="00740FBD" w:rsidP="00740FBD">
      <w:r>
        <w:t>P</w:t>
      </w:r>
      <w:r w:rsidRPr="0050799C">
        <w:t>roduction cost</w:t>
      </w:r>
      <w:r w:rsidR="009D3C5C">
        <w:t>s were</w:t>
      </w:r>
      <w:r w:rsidRPr="0050799C">
        <w:t xml:space="preserve"> simulat</w:t>
      </w:r>
      <w:r w:rsidR="009D3C5C">
        <w:t xml:space="preserve">ed </w:t>
      </w:r>
      <w:r w:rsidRPr="0050799C">
        <w:t xml:space="preserve">under </w:t>
      </w:r>
      <w:r w:rsidR="00E306F0">
        <w:t>u</w:t>
      </w:r>
      <w:r w:rsidRPr="0050799C">
        <w:t xml:space="preserve">nconstrained and </w:t>
      </w:r>
      <w:r w:rsidR="00E306F0">
        <w:t>c</w:t>
      </w:r>
      <w:r w:rsidRPr="0050799C">
        <w:t>onstrained</w:t>
      </w:r>
      <w:r w:rsidR="004D09B8">
        <w:t xml:space="preserve"> conditions</w:t>
      </w:r>
      <w:r w:rsidR="00BF1EA7">
        <w:t xml:space="preserve">. </w:t>
      </w:r>
      <w:r w:rsidR="004803CA">
        <w:t>Under u</w:t>
      </w:r>
      <w:r w:rsidRPr="0050799C">
        <w:t>nconstrained transmission</w:t>
      </w:r>
      <w:r w:rsidR="004803CA">
        <w:t>,</w:t>
      </w:r>
      <w:r w:rsidRPr="0050799C">
        <w:t xml:space="preserve"> </w:t>
      </w:r>
      <w:r>
        <w:t xml:space="preserve">the New England transmission system </w:t>
      </w:r>
      <w:r w:rsidR="00EA37C5">
        <w:t>wa</w:t>
      </w:r>
      <w:r w:rsidR="004803CA">
        <w:t xml:space="preserve">s modeled </w:t>
      </w:r>
      <w:r>
        <w:t>as a single</w:t>
      </w:r>
      <w:r w:rsidRPr="0050799C">
        <w:t>-bus system</w:t>
      </w:r>
      <w:r w:rsidR="004803CA">
        <w:t xml:space="preserve">. Under </w:t>
      </w:r>
      <w:r w:rsidRPr="0050799C">
        <w:t>constrained transmission</w:t>
      </w:r>
      <w:r w:rsidR="007110DD">
        <w:t xml:space="preserve"> scenarios</w:t>
      </w:r>
      <w:r w:rsidR="004803CA">
        <w:t>, the system</w:t>
      </w:r>
      <w:r w:rsidRPr="0050799C">
        <w:t xml:space="preserve"> </w:t>
      </w:r>
      <w:r w:rsidR="00EA37C5">
        <w:t>wa</w:t>
      </w:r>
      <w:r w:rsidRPr="0050799C">
        <w:t>s modeled using the “</w:t>
      </w:r>
      <w:r w:rsidR="00E306F0">
        <w:t>p</w:t>
      </w:r>
      <w:r w:rsidRPr="0050799C">
        <w:t>ipe</w:t>
      </w:r>
      <w:r w:rsidR="001C4DAF">
        <w:t>”</w:t>
      </w:r>
      <w:r w:rsidRPr="0050799C">
        <w:t xml:space="preserve"> and </w:t>
      </w:r>
      <w:r w:rsidR="00E306F0">
        <w:t>Regional System Plan (</w:t>
      </w:r>
      <w:r w:rsidRPr="0050799C">
        <w:t>RSP</w:t>
      </w:r>
      <w:r w:rsidR="00E306F0">
        <w:t>)</w:t>
      </w:r>
      <w:r w:rsidRPr="0050799C">
        <w:t xml:space="preserve"> </w:t>
      </w:r>
      <w:r w:rsidR="001C4DAF">
        <w:t>“</w:t>
      </w:r>
      <w:r w:rsidR="00E306F0">
        <w:t>b</w:t>
      </w:r>
      <w:r w:rsidRPr="0050799C">
        <w:t>ubble” configuration</w:t>
      </w:r>
      <w:r w:rsidR="00E306F0">
        <w:t>,</w:t>
      </w:r>
      <w:r w:rsidR="00E306F0" w:rsidRPr="00E306F0">
        <w:t xml:space="preserve"> with “pipes” representing transmission interfaces </w:t>
      </w:r>
      <w:r w:rsidR="004803CA">
        <w:t xml:space="preserve">that </w:t>
      </w:r>
      <w:r w:rsidR="00E306F0" w:rsidRPr="00E306F0">
        <w:t>connect the “bubbles</w:t>
      </w:r>
      <w:r w:rsidR="004803CA">
        <w:t>,</w:t>
      </w:r>
      <w:r w:rsidR="00E306F0" w:rsidRPr="00E306F0">
        <w:t xml:space="preserve">” </w:t>
      </w:r>
      <w:r w:rsidR="004803CA">
        <w:t xml:space="preserve">which </w:t>
      </w:r>
      <w:r w:rsidR="00E306F0" w:rsidRPr="00E306F0">
        <w:t>represent the various planning areas.</w:t>
      </w:r>
      <w:r w:rsidR="009D3C5C">
        <w:rPr>
          <w:rStyle w:val="FootnoteReference"/>
        </w:rPr>
        <w:footnoteReference w:id="21"/>
      </w:r>
      <w:r w:rsidR="00E306F0" w:rsidRPr="00E306F0">
        <w:t xml:space="preserve"> See </w:t>
      </w:r>
      <w:r w:rsidR="0026318A">
        <w:fldChar w:fldCharType="begin"/>
      </w:r>
      <w:r w:rsidR="0026318A">
        <w:instrText xml:space="preserve"> REF _Ref42588683 \h </w:instrText>
      </w:r>
      <w:r w:rsidR="0026318A">
        <w:fldChar w:fldCharType="separate"/>
      </w:r>
      <w:r w:rsidR="0026318A" w:rsidRPr="001C4DAF">
        <w:t xml:space="preserve">Figure </w:t>
      </w:r>
      <w:r w:rsidR="0026318A">
        <w:rPr>
          <w:noProof/>
        </w:rPr>
        <w:t>5</w:t>
      </w:r>
      <w:r w:rsidR="0026318A" w:rsidRPr="00E712DA">
        <w:noBreakHyphen/>
      </w:r>
      <w:r w:rsidR="0026318A">
        <w:rPr>
          <w:noProof/>
        </w:rPr>
        <w:t>1</w:t>
      </w:r>
      <w:r w:rsidR="0026318A">
        <w:fldChar w:fldCharType="end"/>
      </w:r>
      <w:r w:rsidR="001C4DAF">
        <w:t>.</w:t>
      </w:r>
      <w:r w:rsidR="00BF1EA7">
        <w:t xml:space="preserve"> </w:t>
      </w:r>
    </w:p>
    <w:p w:rsidR="00592864" w:rsidRDefault="00592864" w:rsidP="00592864">
      <w:pPr>
        <w:spacing w:after="0" w:line="240" w:lineRule="auto"/>
        <w:jc w:val="center"/>
      </w:pPr>
      <w:r w:rsidRPr="00592864">
        <w:rPr>
          <w:noProof/>
        </w:rPr>
        <w:drawing>
          <wp:inline distT="0" distB="0" distL="0" distR="0" wp14:anchorId="6BDD609E" wp14:editId="26D07327">
            <wp:extent cx="5616328" cy="2999232"/>
            <wp:effectExtent l="19050" t="19050" r="2286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26527" cy="3004678"/>
                    </a:xfrm>
                    <a:prstGeom prst="rect">
                      <a:avLst/>
                    </a:prstGeom>
                    <a:noFill/>
                    <a:ln w="3175">
                      <a:solidFill>
                        <a:srgbClr val="000000"/>
                      </a:solidFill>
                    </a:ln>
                  </pic:spPr>
                </pic:pic>
              </a:graphicData>
            </a:graphic>
          </wp:inline>
        </w:drawing>
      </w:r>
    </w:p>
    <w:p w:rsidR="00E306F0" w:rsidRDefault="00E306F0" w:rsidP="00E712DA">
      <w:pPr>
        <w:pStyle w:val="Caption"/>
        <w:spacing w:before="120" w:after="80"/>
        <w:ind w:left="270" w:right="270"/>
      </w:pPr>
      <w:bookmarkStart w:id="37" w:name="_Ref42588683"/>
      <w:bookmarkStart w:id="38" w:name="_Toc43224477"/>
      <w:r w:rsidRPr="001C4DAF">
        <w:t xml:space="preserve">Figure </w:t>
      </w:r>
      <w:fldSimple w:instr=" STYLEREF 1 \s ">
        <w:r w:rsidR="001F5E1A">
          <w:rPr>
            <w:noProof/>
          </w:rPr>
          <w:t>5</w:t>
        </w:r>
      </w:fldSimple>
      <w:r w:rsidR="00C5246A" w:rsidRPr="00E712DA">
        <w:noBreakHyphen/>
      </w:r>
      <w:fldSimple w:instr=" SEQ Figure \* ARABIC \s 1 ">
        <w:r w:rsidR="001F5E1A">
          <w:rPr>
            <w:noProof/>
          </w:rPr>
          <w:t>1</w:t>
        </w:r>
      </w:fldSimple>
      <w:bookmarkEnd w:id="37"/>
      <w:r w:rsidRPr="00E712DA">
        <w:t>: Assumed New England system representation for the 2030 study year.</w:t>
      </w:r>
      <w:bookmarkEnd w:id="38"/>
      <w:r w:rsidR="00592864" w:rsidRPr="00592864">
        <w:rPr>
          <w:vertAlign w:val="superscript"/>
        </w:rPr>
        <w:t>(a)</w:t>
      </w:r>
    </w:p>
    <w:p w:rsidR="001C4DAF" w:rsidRPr="00E712DA" w:rsidRDefault="00BB415A" w:rsidP="004826D9">
      <w:pPr>
        <w:spacing w:line="240" w:lineRule="auto"/>
        <w:ind w:left="274" w:right="274"/>
        <w:rPr>
          <w:rFonts w:asciiTheme="minorHAnsi" w:hAnsiTheme="minorHAnsi" w:cstheme="minorHAnsi"/>
          <w:sz w:val="16"/>
          <w:szCs w:val="16"/>
        </w:rPr>
      </w:pPr>
      <w:r w:rsidRPr="004826D9">
        <w:rPr>
          <w:rFonts w:asciiTheme="minorHAnsi" w:hAnsiTheme="minorHAnsi" w:cstheme="minorHAnsi"/>
          <w:b/>
          <w:sz w:val="16"/>
          <w:szCs w:val="16"/>
        </w:rPr>
        <w:t>Note</w:t>
      </w:r>
      <w:r w:rsidR="004826D9">
        <w:rPr>
          <w:rFonts w:asciiTheme="minorHAnsi" w:hAnsiTheme="minorHAnsi" w:cstheme="minorHAnsi"/>
          <w:b/>
          <w:sz w:val="16"/>
          <w:szCs w:val="16"/>
        </w:rPr>
        <w:t>s</w:t>
      </w:r>
      <w:r w:rsidRPr="004826D9">
        <w:rPr>
          <w:rFonts w:asciiTheme="minorHAnsi" w:hAnsiTheme="minorHAnsi" w:cstheme="minorHAnsi"/>
          <w:b/>
          <w:sz w:val="16"/>
          <w:szCs w:val="16"/>
        </w:rPr>
        <w:t xml:space="preserve">: </w:t>
      </w:r>
      <w:r w:rsidR="00342666" w:rsidRPr="004826D9">
        <w:rPr>
          <w:rFonts w:asciiTheme="minorHAnsi" w:hAnsiTheme="minorHAnsi" w:cstheme="minorHAnsi"/>
          <w:sz w:val="16"/>
          <w:szCs w:val="16"/>
        </w:rPr>
        <w:t>B</w:t>
      </w:r>
      <w:r w:rsidR="00342666" w:rsidRPr="00E712DA">
        <w:rPr>
          <w:rFonts w:asciiTheme="minorHAnsi" w:hAnsiTheme="minorHAnsi" w:cstheme="minorHAnsi"/>
          <w:sz w:val="16"/>
          <w:szCs w:val="16"/>
        </w:rPr>
        <w:t>HE</w:t>
      </w:r>
      <w:r w:rsidR="006C4900" w:rsidRPr="00E712DA">
        <w:rPr>
          <w:rFonts w:asciiTheme="minorHAnsi" w:hAnsiTheme="minorHAnsi" w:cstheme="minorHAnsi"/>
          <w:sz w:val="16"/>
          <w:szCs w:val="16"/>
        </w:rPr>
        <w:t xml:space="preserve"> = Northeastern Maine</w:t>
      </w:r>
      <w:r w:rsidR="00342666" w:rsidRPr="00E712DA">
        <w:rPr>
          <w:rFonts w:asciiTheme="minorHAnsi" w:hAnsiTheme="minorHAnsi" w:cstheme="minorHAnsi"/>
          <w:sz w:val="16"/>
          <w:szCs w:val="16"/>
        </w:rPr>
        <w:t>; CMA/NEMA</w:t>
      </w:r>
      <w:r w:rsidR="006C4900" w:rsidRPr="00E712DA">
        <w:rPr>
          <w:rFonts w:asciiTheme="minorHAnsi" w:hAnsiTheme="minorHAnsi" w:cstheme="minorHAnsi"/>
          <w:sz w:val="16"/>
          <w:szCs w:val="16"/>
        </w:rPr>
        <w:t xml:space="preserve"> = Central Massachusetts/Northeast Massachusetts</w:t>
      </w:r>
      <w:r w:rsidR="00342666" w:rsidRPr="00E712DA">
        <w:rPr>
          <w:rFonts w:asciiTheme="minorHAnsi" w:hAnsiTheme="minorHAnsi" w:cstheme="minorHAnsi"/>
          <w:sz w:val="16"/>
          <w:szCs w:val="16"/>
        </w:rPr>
        <w:t xml:space="preserve">; CSC = Cross-Sound Cable; </w:t>
      </w:r>
      <w:r w:rsidR="006C4900" w:rsidRPr="00E712DA">
        <w:rPr>
          <w:rFonts w:asciiTheme="minorHAnsi" w:hAnsiTheme="minorHAnsi" w:cstheme="minorHAnsi"/>
          <w:sz w:val="16"/>
          <w:szCs w:val="16"/>
        </w:rPr>
        <w:t xml:space="preserve">CT = Connecticut; </w:t>
      </w:r>
      <w:r w:rsidR="00342666" w:rsidRPr="00E712DA">
        <w:rPr>
          <w:rFonts w:asciiTheme="minorHAnsi" w:hAnsiTheme="minorHAnsi" w:cstheme="minorHAnsi"/>
          <w:sz w:val="16"/>
          <w:szCs w:val="16"/>
        </w:rPr>
        <w:t>NB = New Brunswi</w:t>
      </w:r>
      <w:r w:rsidR="002D5261" w:rsidRPr="00E712DA">
        <w:rPr>
          <w:rFonts w:asciiTheme="minorHAnsi" w:hAnsiTheme="minorHAnsi" w:cstheme="minorHAnsi"/>
          <w:sz w:val="16"/>
          <w:szCs w:val="16"/>
        </w:rPr>
        <w:t>c</w:t>
      </w:r>
      <w:r w:rsidR="00342666" w:rsidRPr="00E712DA">
        <w:rPr>
          <w:rFonts w:asciiTheme="minorHAnsi" w:hAnsiTheme="minorHAnsi" w:cstheme="minorHAnsi"/>
          <w:sz w:val="16"/>
          <w:szCs w:val="16"/>
        </w:rPr>
        <w:t>k, C</w:t>
      </w:r>
      <w:r w:rsidR="002D5261" w:rsidRPr="00E712DA">
        <w:rPr>
          <w:rFonts w:asciiTheme="minorHAnsi" w:hAnsiTheme="minorHAnsi" w:cstheme="minorHAnsi"/>
          <w:sz w:val="16"/>
          <w:szCs w:val="16"/>
        </w:rPr>
        <w:t>anada</w:t>
      </w:r>
      <w:r w:rsidR="00342666" w:rsidRPr="00E712DA">
        <w:rPr>
          <w:rFonts w:asciiTheme="minorHAnsi" w:hAnsiTheme="minorHAnsi" w:cstheme="minorHAnsi"/>
          <w:sz w:val="16"/>
          <w:szCs w:val="16"/>
        </w:rPr>
        <w:t xml:space="preserve">; NE = New England; </w:t>
      </w:r>
      <w:r w:rsidR="006C4900" w:rsidRPr="00E712DA">
        <w:rPr>
          <w:rFonts w:asciiTheme="minorHAnsi" w:hAnsiTheme="minorHAnsi" w:cstheme="minorHAnsi"/>
          <w:sz w:val="16"/>
          <w:szCs w:val="16"/>
        </w:rPr>
        <w:t xml:space="preserve">NH = New Hampshire; </w:t>
      </w:r>
      <w:r w:rsidR="00342666" w:rsidRPr="00E712DA">
        <w:rPr>
          <w:rFonts w:asciiTheme="minorHAnsi" w:hAnsiTheme="minorHAnsi" w:cstheme="minorHAnsi"/>
          <w:sz w:val="16"/>
          <w:szCs w:val="16"/>
        </w:rPr>
        <w:t>NOR = Norwalk; NY = New York; SEMA/RI = Southeast Massachusetts/Rhode Island; SME</w:t>
      </w:r>
      <w:r w:rsidR="006C4900" w:rsidRPr="00E712DA">
        <w:rPr>
          <w:rFonts w:asciiTheme="minorHAnsi" w:hAnsiTheme="minorHAnsi" w:cstheme="minorHAnsi"/>
          <w:sz w:val="16"/>
          <w:szCs w:val="16"/>
        </w:rPr>
        <w:t xml:space="preserve"> = Southern </w:t>
      </w:r>
      <w:r w:rsidR="006C4900" w:rsidRPr="00736446">
        <w:rPr>
          <w:rFonts w:asciiTheme="minorHAnsi" w:hAnsiTheme="minorHAnsi" w:cstheme="minorHAnsi"/>
          <w:sz w:val="16"/>
          <w:szCs w:val="16"/>
        </w:rPr>
        <w:t>Maine; Southeast Massachusetts</w:t>
      </w:r>
      <w:r w:rsidR="00342666" w:rsidRPr="00736446">
        <w:rPr>
          <w:rFonts w:asciiTheme="minorHAnsi" w:hAnsiTheme="minorHAnsi" w:cstheme="minorHAnsi"/>
          <w:sz w:val="16"/>
          <w:szCs w:val="16"/>
        </w:rPr>
        <w:t>; SWCT</w:t>
      </w:r>
      <w:r w:rsidR="006C4900" w:rsidRPr="00736446">
        <w:rPr>
          <w:rFonts w:asciiTheme="minorHAnsi" w:hAnsiTheme="minorHAnsi" w:cstheme="minorHAnsi"/>
          <w:sz w:val="16"/>
          <w:szCs w:val="16"/>
        </w:rPr>
        <w:t xml:space="preserve"> = Southwest</w:t>
      </w:r>
      <w:r w:rsidR="002D5261" w:rsidRPr="00736446">
        <w:rPr>
          <w:rFonts w:asciiTheme="minorHAnsi" w:hAnsiTheme="minorHAnsi" w:cstheme="minorHAnsi"/>
          <w:sz w:val="16"/>
          <w:szCs w:val="16"/>
        </w:rPr>
        <w:t xml:space="preserve"> </w:t>
      </w:r>
      <w:r w:rsidR="006C4900" w:rsidRPr="00736446">
        <w:rPr>
          <w:rFonts w:asciiTheme="minorHAnsi" w:hAnsiTheme="minorHAnsi" w:cstheme="minorHAnsi"/>
          <w:sz w:val="16"/>
          <w:szCs w:val="16"/>
        </w:rPr>
        <w:t>Massachusetts</w:t>
      </w:r>
      <w:r w:rsidR="00342666" w:rsidRPr="00736446">
        <w:rPr>
          <w:rFonts w:asciiTheme="minorHAnsi" w:hAnsiTheme="minorHAnsi" w:cstheme="minorHAnsi"/>
          <w:sz w:val="16"/>
          <w:szCs w:val="16"/>
        </w:rPr>
        <w:t xml:space="preserve">; OSW = offshore wind; VT = Vermont; WMA = </w:t>
      </w:r>
      <w:r w:rsidR="006C4900" w:rsidRPr="00736446">
        <w:rPr>
          <w:rFonts w:asciiTheme="minorHAnsi" w:hAnsiTheme="minorHAnsi" w:cstheme="minorHAnsi"/>
          <w:sz w:val="16"/>
          <w:szCs w:val="16"/>
        </w:rPr>
        <w:t>W</w:t>
      </w:r>
      <w:r w:rsidR="00342666" w:rsidRPr="00736446">
        <w:rPr>
          <w:rFonts w:asciiTheme="minorHAnsi" w:hAnsiTheme="minorHAnsi" w:cstheme="minorHAnsi"/>
          <w:sz w:val="16"/>
          <w:szCs w:val="16"/>
        </w:rPr>
        <w:t>estern Massachusetts</w:t>
      </w:r>
      <w:r w:rsidR="006C4900" w:rsidRPr="00736446">
        <w:rPr>
          <w:rFonts w:asciiTheme="minorHAnsi" w:hAnsiTheme="minorHAnsi" w:cstheme="minorHAnsi"/>
          <w:sz w:val="16"/>
          <w:szCs w:val="16"/>
        </w:rPr>
        <w:t xml:space="preserve">. </w:t>
      </w:r>
      <w:r w:rsidR="002D5261" w:rsidRPr="00736446">
        <w:rPr>
          <w:rFonts w:asciiTheme="minorHAnsi" w:hAnsiTheme="minorHAnsi" w:cstheme="minorHAnsi"/>
          <w:sz w:val="16"/>
          <w:szCs w:val="16"/>
        </w:rPr>
        <w:t xml:space="preserve">Refer to </w:t>
      </w:r>
      <w:r w:rsidR="006C4900" w:rsidRPr="00736446">
        <w:rPr>
          <w:rFonts w:asciiTheme="minorHAnsi" w:hAnsiTheme="minorHAnsi" w:cstheme="minorHAnsi"/>
          <w:sz w:val="16"/>
          <w:szCs w:val="16"/>
        </w:rPr>
        <w:t xml:space="preserve">the System Planning Subareas map at this </w:t>
      </w:r>
      <w:r w:rsidR="002D5261" w:rsidRPr="00736446">
        <w:rPr>
          <w:rFonts w:asciiTheme="minorHAnsi" w:hAnsiTheme="minorHAnsi" w:cstheme="minorHAnsi"/>
          <w:sz w:val="16"/>
          <w:szCs w:val="16"/>
        </w:rPr>
        <w:t xml:space="preserve">ISO </w:t>
      </w:r>
      <w:r w:rsidR="006C4900" w:rsidRPr="00736446">
        <w:rPr>
          <w:rFonts w:asciiTheme="minorHAnsi" w:hAnsiTheme="minorHAnsi" w:cstheme="minorHAnsi"/>
          <w:sz w:val="16"/>
          <w:szCs w:val="16"/>
        </w:rPr>
        <w:t xml:space="preserve">link: </w:t>
      </w:r>
      <w:hyperlink r:id="rId29" w:history="1">
        <w:r w:rsidR="001C4DAF" w:rsidRPr="00736446">
          <w:rPr>
            <w:rStyle w:val="Hyperlink"/>
            <w:rFonts w:asciiTheme="minorHAnsi" w:hAnsiTheme="minorHAnsi" w:cstheme="minorHAnsi"/>
            <w:sz w:val="16"/>
            <w:szCs w:val="16"/>
          </w:rPr>
          <w:t>https://www.iso-ne.com/about/key-stats/maps-and-diagrams/</w:t>
        </w:r>
      </w:hyperlink>
      <w:r w:rsidR="006C4900" w:rsidRPr="00736446">
        <w:rPr>
          <w:rFonts w:asciiTheme="minorHAnsi" w:hAnsiTheme="minorHAnsi" w:cstheme="minorHAnsi"/>
          <w:sz w:val="16"/>
          <w:szCs w:val="16"/>
        </w:rPr>
        <w:t>.</w:t>
      </w:r>
      <w:r w:rsidR="001C4DAF" w:rsidRPr="00736446">
        <w:rPr>
          <w:rFonts w:eastAsiaTheme="minorEastAsia" w:cstheme="minorBidi"/>
          <w:b/>
          <w:bCs/>
          <w:sz w:val="16"/>
          <w:szCs w:val="16"/>
        </w:rPr>
        <w:t xml:space="preserve"> </w:t>
      </w:r>
      <w:r w:rsidR="00592864" w:rsidRPr="00736446">
        <w:rPr>
          <w:rFonts w:eastAsiaTheme="minorEastAsia" w:cstheme="minorBidi"/>
          <w:bCs/>
          <w:sz w:val="16"/>
          <w:szCs w:val="16"/>
        </w:rPr>
        <w:t xml:space="preserve">(a) </w:t>
      </w:r>
      <w:r w:rsidR="00592864" w:rsidRPr="00736446">
        <w:rPr>
          <w:rFonts w:asciiTheme="minorHAnsi" w:hAnsiTheme="minorHAnsi" w:cstheme="minorHAnsi"/>
          <w:sz w:val="16"/>
          <w:szCs w:val="16"/>
        </w:rPr>
        <w:t>Ratings are a function of unit availabilities, area loads, or both. (b) The Surowiec-South Interface limit is 2,500 MW per NESCOE’s request</w:t>
      </w:r>
      <w:r w:rsidR="00592864" w:rsidRPr="00736446">
        <w:t>.</w:t>
      </w:r>
    </w:p>
    <w:p w:rsidR="009C02EB" w:rsidRDefault="009C02EB" w:rsidP="00C54A0C">
      <w:pPr>
        <w:pStyle w:val="Heading3"/>
      </w:pPr>
      <w:bookmarkStart w:id="39" w:name="_Toc44412042"/>
      <w:r>
        <w:lastRenderedPageBreak/>
        <w:t>Interchanges</w:t>
      </w:r>
      <w:bookmarkEnd w:id="39"/>
    </w:p>
    <w:p w:rsidR="00740FBD" w:rsidRDefault="00F5108A" w:rsidP="00740FBD">
      <w:r w:rsidRPr="00343A52">
        <w:fldChar w:fldCharType="begin"/>
      </w:r>
      <w:r w:rsidRPr="001C20B1">
        <w:instrText xml:space="preserve"> REF _Ref42591006 \h  \* MERGEFORMAT </w:instrText>
      </w:r>
      <w:r w:rsidRPr="00343A52">
        <w:fldChar w:fldCharType="separate"/>
      </w:r>
      <w:r w:rsidR="001F5E1A" w:rsidRPr="00923778">
        <w:t xml:space="preserve">Table </w:t>
      </w:r>
      <w:r w:rsidR="001F5E1A">
        <w:rPr>
          <w:noProof/>
        </w:rPr>
        <w:t>5</w:t>
      </w:r>
      <w:r w:rsidR="001F5E1A" w:rsidRPr="00923778">
        <w:rPr>
          <w:noProof/>
        </w:rPr>
        <w:noBreakHyphen/>
      </w:r>
      <w:r w:rsidR="001F5E1A">
        <w:rPr>
          <w:noProof/>
        </w:rPr>
        <w:t>1</w:t>
      </w:r>
      <w:r w:rsidRPr="00343A52">
        <w:fldChar w:fldCharType="end"/>
      </w:r>
      <w:r w:rsidR="00740FBD">
        <w:t xml:space="preserve"> </w:t>
      </w:r>
      <w:r w:rsidR="00740FBD" w:rsidRPr="003B0588">
        <w:t xml:space="preserve">shows the </w:t>
      </w:r>
      <w:r w:rsidR="00740FBD">
        <w:t xml:space="preserve">assumed </w:t>
      </w:r>
      <w:r w:rsidR="00740FBD" w:rsidRPr="003B0588">
        <w:t xml:space="preserve">2030 external interchanges with neighboring systems, including the new </w:t>
      </w:r>
      <w:r w:rsidR="00740FBD">
        <w:t>tie from Québec (</w:t>
      </w:r>
      <w:r w:rsidR="00FF79C4">
        <w:t xml:space="preserve">i.e., the </w:t>
      </w:r>
      <w:r w:rsidR="00740FBD">
        <w:t>New England Clean Energy Exchange</w:t>
      </w:r>
      <w:r>
        <w:t xml:space="preserve">; </w:t>
      </w:r>
      <w:r w:rsidR="00740FBD">
        <w:t>NECEC)</w:t>
      </w:r>
      <w:r w:rsidR="00BF1EA7">
        <w:t xml:space="preserve">. </w:t>
      </w:r>
      <w:r w:rsidR="00740FBD">
        <w:t xml:space="preserve">The same interface capabilities were </w:t>
      </w:r>
      <w:r w:rsidR="00740FBD" w:rsidRPr="003B0588">
        <w:t xml:space="preserve">assumed for </w:t>
      </w:r>
      <w:r w:rsidR="00740FBD">
        <w:t>all scenarios</w:t>
      </w:r>
      <w:r w:rsidR="00740FBD" w:rsidRPr="00626354">
        <w:t>.</w:t>
      </w:r>
      <w:r w:rsidR="00740FBD">
        <w:t xml:space="preserve"> Based on the historical profiles, the maximum energy</w:t>
      </w:r>
      <w:r>
        <w:t>-</w:t>
      </w:r>
      <w:r w:rsidR="00740FBD">
        <w:t xml:space="preserve">import values </w:t>
      </w:r>
      <w:r w:rsidR="00C837E8">
        <w:t xml:space="preserve">reflected </w:t>
      </w:r>
      <w:r w:rsidR="003F25E9">
        <w:t>F</w:t>
      </w:r>
      <w:r w:rsidR="00C837E8">
        <w:t>CM capacity imports and other energy imports</w:t>
      </w:r>
      <w:r w:rsidR="00740FBD">
        <w:t>, but they never exceeded the import-transfer capability of the ties.</w:t>
      </w:r>
    </w:p>
    <w:p w:rsidR="00740FBD" w:rsidRDefault="004803CA" w:rsidP="00923778">
      <w:pPr>
        <w:pStyle w:val="Caption"/>
        <w:jc w:val="center"/>
      </w:pPr>
      <w:bookmarkStart w:id="40" w:name="_Ref42591006"/>
      <w:bookmarkStart w:id="41" w:name="_Toc44412062"/>
      <w:r w:rsidRPr="00923778">
        <w:t xml:space="preserve">Table </w:t>
      </w:r>
      <w:fldSimple w:instr=" STYLEREF 1 \s ">
        <w:r w:rsidR="00E62212">
          <w:rPr>
            <w:noProof/>
          </w:rPr>
          <w:t>5</w:t>
        </w:r>
      </w:fldSimple>
      <w:r w:rsidR="00E62212">
        <w:noBreakHyphen/>
      </w:r>
      <w:fldSimple w:instr=" SEQ Table \* ARABIC \s 1 ">
        <w:r w:rsidR="00E62212">
          <w:rPr>
            <w:noProof/>
          </w:rPr>
          <w:t>1</w:t>
        </w:r>
      </w:fldSimple>
      <w:bookmarkEnd w:id="40"/>
      <w:r w:rsidRPr="00923778">
        <w:br/>
      </w:r>
      <w:r w:rsidR="00740FBD" w:rsidRPr="00923778">
        <w:t>Interchange with Neighboring Systems</w:t>
      </w:r>
      <w:r w:rsidR="009C02EB" w:rsidRPr="00923778">
        <w:t xml:space="preserve"> (MW)</w:t>
      </w:r>
      <w:bookmarkEnd w:id="41"/>
    </w:p>
    <w:tbl>
      <w:tblPr>
        <w:tblStyle w:val="TableGrid"/>
        <w:tblW w:w="0" w:type="auto"/>
        <w:jc w:val="center"/>
        <w:tblLook w:val="04A0" w:firstRow="1" w:lastRow="0" w:firstColumn="1" w:lastColumn="0" w:noHBand="0" w:noVBand="1"/>
      </w:tblPr>
      <w:tblGrid>
        <w:gridCol w:w="1797"/>
        <w:gridCol w:w="2070"/>
        <w:gridCol w:w="4950"/>
      </w:tblGrid>
      <w:tr w:rsidR="005C44FB" w:rsidRPr="00923778" w:rsidTr="007110DD">
        <w:trPr>
          <w:jc w:val="center"/>
        </w:trPr>
        <w:tc>
          <w:tcPr>
            <w:tcW w:w="1797" w:type="dxa"/>
            <w:tcBorders>
              <w:top w:val="single" w:sz="2" w:space="0" w:color="auto"/>
              <w:left w:val="single" w:sz="2" w:space="0" w:color="auto"/>
              <w:bottom w:val="single" w:sz="2" w:space="0" w:color="auto"/>
              <w:right w:val="single" w:sz="2" w:space="0" w:color="auto"/>
            </w:tcBorders>
            <w:shd w:val="clear" w:color="auto" w:fill="1795D2" w:themeFill="accent1"/>
            <w:vAlign w:val="center"/>
          </w:tcPr>
          <w:p w:rsidR="00E86673" w:rsidRPr="00736446" w:rsidRDefault="005C44FB" w:rsidP="00E712DA">
            <w:pPr>
              <w:keepNext/>
              <w:keepLines/>
              <w:spacing w:before="40" w:after="40" w:line="240" w:lineRule="auto"/>
              <w:jc w:val="center"/>
              <w:rPr>
                <w:rFonts w:asciiTheme="majorHAnsi" w:hAnsiTheme="majorHAnsi" w:cstheme="majorHAnsi"/>
                <w:b/>
                <w:color w:val="FFFFFF" w:themeColor="background1"/>
                <w:sz w:val="18"/>
                <w:szCs w:val="18"/>
              </w:rPr>
            </w:pPr>
            <w:r w:rsidRPr="007110DD">
              <w:rPr>
                <w:rFonts w:asciiTheme="majorHAnsi" w:hAnsiTheme="majorHAnsi" w:cstheme="majorHAnsi"/>
                <w:b/>
                <w:color w:val="FFFFFF" w:themeColor="background1"/>
                <w:sz w:val="18"/>
                <w:szCs w:val="18"/>
              </w:rPr>
              <w:t>Interconnection</w:t>
            </w:r>
          </w:p>
        </w:tc>
        <w:tc>
          <w:tcPr>
            <w:tcW w:w="2070" w:type="dxa"/>
            <w:tcBorders>
              <w:top w:val="single" w:sz="2" w:space="0" w:color="auto"/>
              <w:left w:val="single" w:sz="2" w:space="0" w:color="auto"/>
              <w:bottom w:val="single" w:sz="2" w:space="0" w:color="auto"/>
              <w:right w:val="single" w:sz="2" w:space="0" w:color="auto"/>
            </w:tcBorders>
            <w:shd w:val="clear" w:color="auto" w:fill="1795D2" w:themeFill="accent1"/>
            <w:vAlign w:val="center"/>
          </w:tcPr>
          <w:p w:rsidR="00E86673" w:rsidRPr="00736446" w:rsidRDefault="005C44FB" w:rsidP="00E712DA">
            <w:pPr>
              <w:keepNext/>
              <w:keepLines/>
              <w:spacing w:before="40" w:after="40" w:line="240" w:lineRule="auto"/>
              <w:jc w:val="center"/>
              <w:rPr>
                <w:rFonts w:asciiTheme="majorHAnsi" w:hAnsiTheme="majorHAnsi" w:cstheme="majorHAnsi"/>
                <w:b/>
                <w:color w:val="FFFFFF" w:themeColor="background1"/>
                <w:sz w:val="18"/>
                <w:szCs w:val="18"/>
              </w:rPr>
            </w:pPr>
            <w:r w:rsidRPr="00736446">
              <w:rPr>
                <w:rFonts w:asciiTheme="majorHAnsi" w:hAnsiTheme="majorHAnsi" w:cstheme="majorHAnsi"/>
                <w:b/>
                <w:color w:val="FFFFFF" w:themeColor="background1"/>
                <w:sz w:val="18"/>
                <w:szCs w:val="18"/>
              </w:rPr>
              <w:t>Import Capability (MW)</w:t>
            </w:r>
          </w:p>
        </w:tc>
        <w:tc>
          <w:tcPr>
            <w:tcW w:w="4950" w:type="dxa"/>
            <w:tcBorders>
              <w:top w:val="single" w:sz="2" w:space="0" w:color="auto"/>
              <w:left w:val="single" w:sz="2" w:space="0" w:color="auto"/>
              <w:bottom w:val="single" w:sz="2" w:space="0" w:color="auto"/>
              <w:right w:val="single" w:sz="2" w:space="0" w:color="auto"/>
            </w:tcBorders>
            <w:shd w:val="clear" w:color="auto" w:fill="1795D2" w:themeFill="accent1"/>
            <w:vAlign w:val="center"/>
          </w:tcPr>
          <w:p w:rsidR="00E86673" w:rsidRPr="00736446" w:rsidRDefault="005C44FB" w:rsidP="00E712DA">
            <w:pPr>
              <w:keepNext/>
              <w:keepLines/>
              <w:spacing w:before="40" w:after="40" w:line="240" w:lineRule="auto"/>
              <w:jc w:val="center"/>
              <w:rPr>
                <w:rFonts w:asciiTheme="majorHAnsi" w:hAnsiTheme="majorHAnsi" w:cstheme="majorHAnsi"/>
                <w:b/>
                <w:color w:val="FFFFFF" w:themeColor="background1"/>
                <w:sz w:val="18"/>
                <w:szCs w:val="18"/>
              </w:rPr>
            </w:pPr>
            <w:r w:rsidRPr="00736446">
              <w:rPr>
                <w:rFonts w:asciiTheme="majorHAnsi" w:hAnsiTheme="majorHAnsi" w:cstheme="majorHAnsi"/>
                <w:b/>
                <w:color w:val="FFFFFF" w:themeColor="background1"/>
                <w:sz w:val="18"/>
                <w:szCs w:val="18"/>
              </w:rPr>
              <w:t>Interchange Modeling</w:t>
            </w:r>
          </w:p>
        </w:tc>
      </w:tr>
      <w:tr w:rsidR="00E86673" w:rsidRPr="007110DD" w:rsidTr="007110DD">
        <w:trPr>
          <w:jc w:val="center"/>
        </w:trPr>
        <w:tc>
          <w:tcPr>
            <w:tcW w:w="1797" w:type="dxa"/>
            <w:tcBorders>
              <w:top w:val="single" w:sz="2" w:space="0" w:color="auto"/>
              <w:left w:val="single" w:sz="2" w:space="0" w:color="auto"/>
              <w:bottom w:val="single" w:sz="2" w:space="0" w:color="auto"/>
              <w:right w:val="single" w:sz="2" w:space="0" w:color="auto"/>
            </w:tcBorders>
            <w:vAlign w:val="center"/>
          </w:tcPr>
          <w:p w:rsidR="00E86673" w:rsidRPr="007110DD" w:rsidRDefault="005C44FB" w:rsidP="004826D9">
            <w:pPr>
              <w:keepNext/>
              <w:keepLines/>
              <w:spacing w:before="40" w:after="40" w:line="240" w:lineRule="auto"/>
              <w:rPr>
                <w:rFonts w:asciiTheme="majorHAnsi" w:hAnsiTheme="majorHAnsi" w:cstheme="majorHAnsi"/>
                <w:sz w:val="18"/>
                <w:szCs w:val="18"/>
              </w:rPr>
            </w:pPr>
            <w:r w:rsidRPr="007110DD">
              <w:rPr>
                <w:rFonts w:asciiTheme="majorHAnsi" w:hAnsiTheme="majorHAnsi" w:cstheme="majorHAnsi"/>
                <w:sz w:val="18"/>
                <w:szCs w:val="18"/>
              </w:rPr>
              <w:t>HIghgate</w:t>
            </w:r>
          </w:p>
        </w:tc>
        <w:tc>
          <w:tcPr>
            <w:tcW w:w="2070" w:type="dxa"/>
            <w:tcBorders>
              <w:top w:val="single" w:sz="2" w:space="0" w:color="auto"/>
              <w:left w:val="single" w:sz="2" w:space="0" w:color="auto"/>
              <w:bottom w:val="single" w:sz="2" w:space="0" w:color="auto"/>
              <w:right w:val="single" w:sz="2" w:space="0" w:color="auto"/>
            </w:tcBorders>
            <w:tcMar>
              <w:left w:w="115" w:type="dxa"/>
              <w:right w:w="720" w:type="dxa"/>
            </w:tcMar>
            <w:vAlign w:val="center"/>
          </w:tcPr>
          <w:p w:rsidR="00E86673" w:rsidRPr="007110DD" w:rsidRDefault="00923778" w:rsidP="007110DD">
            <w:pPr>
              <w:keepNext/>
              <w:keepLines/>
              <w:spacing w:before="40" w:after="40" w:line="240" w:lineRule="auto"/>
              <w:jc w:val="right"/>
              <w:rPr>
                <w:rFonts w:asciiTheme="majorHAnsi" w:hAnsiTheme="majorHAnsi" w:cstheme="majorHAnsi"/>
                <w:sz w:val="18"/>
                <w:szCs w:val="18"/>
              </w:rPr>
            </w:pPr>
            <w:r w:rsidRPr="007110DD">
              <w:rPr>
                <w:rFonts w:asciiTheme="majorHAnsi" w:hAnsiTheme="majorHAnsi" w:cstheme="majorHAnsi"/>
                <w:sz w:val="18"/>
                <w:szCs w:val="18"/>
              </w:rPr>
              <w:t>217</w:t>
            </w:r>
            <w:r w:rsidRPr="007110DD">
              <w:rPr>
                <w:rFonts w:asciiTheme="majorHAnsi" w:hAnsiTheme="majorHAnsi" w:cstheme="majorHAnsi"/>
                <w:sz w:val="18"/>
                <w:szCs w:val="18"/>
                <w:vertAlign w:val="superscript"/>
              </w:rPr>
              <w:t>(a)</w:t>
            </w:r>
          </w:p>
        </w:tc>
        <w:tc>
          <w:tcPr>
            <w:tcW w:w="4950" w:type="dxa"/>
            <w:tcBorders>
              <w:top w:val="single" w:sz="2" w:space="0" w:color="auto"/>
              <w:left w:val="single" w:sz="2" w:space="0" w:color="auto"/>
              <w:bottom w:val="single" w:sz="2" w:space="0" w:color="auto"/>
              <w:right w:val="single" w:sz="2" w:space="0" w:color="auto"/>
            </w:tcBorders>
            <w:vAlign w:val="center"/>
          </w:tcPr>
          <w:p w:rsidR="00E86673" w:rsidRPr="007110DD" w:rsidRDefault="00923778" w:rsidP="004826D9">
            <w:pPr>
              <w:keepNext/>
              <w:keepLines/>
              <w:spacing w:before="40" w:after="40" w:line="240" w:lineRule="auto"/>
              <w:rPr>
                <w:rFonts w:asciiTheme="majorHAnsi" w:hAnsiTheme="majorHAnsi" w:cstheme="majorHAnsi"/>
                <w:sz w:val="18"/>
                <w:szCs w:val="18"/>
              </w:rPr>
            </w:pPr>
            <w:r w:rsidRPr="007110DD">
              <w:rPr>
                <w:rFonts w:asciiTheme="majorHAnsi" w:hAnsiTheme="majorHAnsi" w:cstheme="majorHAnsi"/>
                <w:sz w:val="18"/>
                <w:szCs w:val="18"/>
              </w:rPr>
              <w:t>Historical diurnal profile averaged over 2016 through 2018</w:t>
            </w:r>
          </w:p>
        </w:tc>
      </w:tr>
      <w:tr w:rsidR="00923778" w:rsidRPr="007110DD" w:rsidTr="007110DD">
        <w:trPr>
          <w:jc w:val="center"/>
        </w:trPr>
        <w:tc>
          <w:tcPr>
            <w:tcW w:w="1797"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tcPr>
          <w:p w:rsidR="00923778" w:rsidRPr="007110DD" w:rsidRDefault="00923778" w:rsidP="004826D9">
            <w:pPr>
              <w:keepNext/>
              <w:keepLines/>
              <w:spacing w:before="40" w:after="40" w:line="240" w:lineRule="auto"/>
              <w:rPr>
                <w:rFonts w:asciiTheme="majorHAnsi" w:hAnsiTheme="majorHAnsi" w:cstheme="majorHAnsi"/>
                <w:sz w:val="18"/>
                <w:szCs w:val="18"/>
              </w:rPr>
            </w:pPr>
            <w:r w:rsidRPr="007110DD">
              <w:rPr>
                <w:rFonts w:asciiTheme="majorHAnsi" w:hAnsiTheme="majorHAnsi" w:cstheme="majorHAnsi"/>
                <w:sz w:val="18"/>
                <w:szCs w:val="18"/>
              </w:rPr>
              <w:t>Hydro-Québec (HQ) Phase II</w:t>
            </w:r>
          </w:p>
        </w:tc>
        <w:tc>
          <w:tcPr>
            <w:tcW w:w="207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left w:w="115" w:type="dxa"/>
              <w:right w:w="720" w:type="dxa"/>
            </w:tcMar>
            <w:vAlign w:val="center"/>
          </w:tcPr>
          <w:p w:rsidR="00923778" w:rsidRPr="007110DD" w:rsidRDefault="00923778" w:rsidP="007110DD">
            <w:pPr>
              <w:keepNext/>
              <w:keepLines/>
              <w:spacing w:before="40" w:after="40" w:line="240" w:lineRule="auto"/>
              <w:jc w:val="right"/>
              <w:rPr>
                <w:rFonts w:asciiTheme="majorHAnsi" w:hAnsiTheme="majorHAnsi" w:cstheme="majorHAnsi"/>
                <w:sz w:val="18"/>
                <w:szCs w:val="18"/>
              </w:rPr>
            </w:pPr>
            <w:r w:rsidRPr="007110DD">
              <w:rPr>
                <w:rFonts w:asciiTheme="majorHAnsi" w:hAnsiTheme="majorHAnsi" w:cstheme="majorHAnsi"/>
                <w:sz w:val="18"/>
                <w:szCs w:val="18"/>
              </w:rPr>
              <w:t>2,000</w:t>
            </w:r>
            <w:r w:rsidRPr="007110DD">
              <w:rPr>
                <w:rFonts w:asciiTheme="majorHAnsi" w:hAnsiTheme="majorHAnsi" w:cstheme="majorHAnsi"/>
                <w:sz w:val="18"/>
                <w:szCs w:val="18"/>
                <w:vertAlign w:val="superscript"/>
              </w:rPr>
              <w:t>(a)</w:t>
            </w:r>
          </w:p>
        </w:tc>
        <w:tc>
          <w:tcPr>
            <w:tcW w:w="4950"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tcPr>
          <w:p w:rsidR="00923778" w:rsidRPr="007110DD" w:rsidRDefault="00923778" w:rsidP="004826D9">
            <w:pPr>
              <w:keepNext/>
              <w:keepLines/>
              <w:spacing w:before="40" w:after="40" w:line="240" w:lineRule="auto"/>
              <w:rPr>
                <w:rFonts w:asciiTheme="majorHAnsi" w:hAnsiTheme="majorHAnsi" w:cstheme="majorHAnsi"/>
                <w:sz w:val="18"/>
                <w:szCs w:val="18"/>
              </w:rPr>
            </w:pPr>
            <w:r w:rsidRPr="007110DD">
              <w:rPr>
                <w:rFonts w:asciiTheme="majorHAnsi" w:hAnsiTheme="majorHAnsi" w:cstheme="majorHAnsi"/>
                <w:sz w:val="18"/>
                <w:szCs w:val="18"/>
              </w:rPr>
              <w:t>Historical diurnal profile averaged over 2016 through 2018</w:t>
            </w:r>
          </w:p>
        </w:tc>
      </w:tr>
      <w:tr w:rsidR="00923778" w:rsidRPr="007110DD" w:rsidTr="007110DD">
        <w:trPr>
          <w:jc w:val="center"/>
        </w:trPr>
        <w:tc>
          <w:tcPr>
            <w:tcW w:w="1797" w:type="dxa"/>
            <w:tcBorders>
              <w:top w:val="single" w:sz="2" w:space="0" w:color="auto"/>
              <w:left w:val="single" w:sz="2" w:space="0" w:color="auto"/>
              <w:bottom w:val="single" w:sz="2" w:space="0" w:color="auto"/>
              <w:right w:val="single" w:sz="2" w:space="0" w:color="auto"/>
            </w:tcBorders>
            <w:vAlign w:val="center"/>
          </w:tcPr>
          <w:p w:rsidR="00923778" w:rsidRPr="007110DD" w:rsidRDefault="00923778" w:rsidP="00E712DA">
            <w:pPr>
              <w:keepNext/>
              <w:keepLines/>
              <w:spacing w:before="40" w:after="40" w:line="240" w:lineRule="auto"/>
              <w:rPr>
                <w:rFonts w:asciiTheme="majorHAnsi" w:hAnsiTheme="majorHAnsi" w:cstheme="majorHAnsi"/>
                <w:sz w:val="18"/>
                <w:szCs w:val="18"/>
              </w:rPr>
            </w:pPr>
            <w:r w:rsidRPr="007110DD">
              <w:rPr>
                <w:rFonts w:asciiTheme="majorHAnsi" w:hAnsiTheme="majorHAnsi" w:cstheme="majorHAnsi"/>
                <w:sz w:val="18"/>
                <w:szCs w:val="18"/>
              </w:rPr>
              <w:t>HQ-NECEC</w:t>
            </w:r>
          </w:p>
        </w:tc>
        <w:tc>
          <w:tcPr>
            <w:tcW w:w="2070" w:type="dxa"/>
            <w:tcBorders>
              <w:top w:val="single" w:sz="2" w:space="0" w:color="auto"/>
              <w:left w:val="single" w:sz="2" w:space="0" w:color="auto"/>
              <w:bottom w:val="single" w:sz="2" w:space="0" w:color="auto"/>
              <w:right w:val="single" w:sz="2" w:space="0" w:color="auto"/>
            </w:tcBorders>
            <w:tcMar>
              <w:left w:w="115" w:type="dxa"/>
              <w:right w:w="720" w:type="dxa"/>
            </w:tcMar>
            <w:vAlign w:val="center"/>
          </w:tcPr>
          <w:p w:rsidR="00923778" w:rsidRPr="007110DD" w:rsidRDefault="007110DD" w:rsidP="007110DD">
            <w:pPr>
              <w:keepNext/>
              <w:keepLines/>
              <w:spacing w:before="40" w:after="40" w:line="240" w:lineRule="auto"/>
              <w:jc w:val="center"/>
              <w:rPr>
                <w:rFonts w:asciiTheme="majorHAnsi" w:hAnsiTheme="majorHAnsi" w:cstheme="majorHAnsi"/>
                <w:sz w:val="18"/>
                <w:szCs w:val="18"/>
              </w:rPr>
            </w:pPr>
            <w:r>
              <w:rPr>
                <w:rFonts w:asciiTheme="majorHAnsi" w:hAnsiTheme="majorHAnsi" w:cstheme="majorHAnsi"/>
                <w:sz w:val="18"/>
                <w:szCs w:val="18"/>
              </w:rPr>
              <w:t xml:space="preserve">              </w:t>
            </w:r>
            <w:r w:rsidR="00923778" w:rsidRPr="007110DD">
              <w:rPr>
                <w:rFonts w:asciiTheme="majorHAnsi" w:hAnsiTheme="majorHAnsi" w:cstheme="majorHAnsi"/>
                <w:sz w:val="18"/>
                <w:szCs w:val="18"/>
              </w:rPr>
              <w:t>1,200</w:t>
            </w:r>
            <w:r>
              <w:rPr>
                <w:rFonts w:asciiTheme="majorHAnsi" w:hAnsiTheme="majorHAnsi" w:cstheme="majorHAnsi"/>
                <w:sz w:val="18"/>
                <w:szCs w:val="18"/>
              </w:rPr>
              <w:t xml:space="preserve">  </w:t>
            </w:r>
          </w:p>
        </w:tc>
        <w:tc>
          <w:tcPr>
            <w:tcW w:w="4950" w:type="dxa"/>
            <w:tcBorders>
              <w:top w:val="single" w:sz="2" w:space="0" w:color="auto"/>
              <w:left w:val="single" w:sz="2" w:space="0" w:color="auto"/>
              <w:bottom w:val="single" w:sz="2" w:space="0" w:color="auto"/>
              <w:right w:val="single" w:sz="2" w:space="0" w:color="auto"/>
            </w:tcBorders>
            <w:vAlign w:val="center"/>
          </w:tcPr>
          <w:p w:rsidR="00923778" w:rsidRPr="007110DD" w:rsidRDefault="00923778" w:rsidP="00815C84">
            <w:pPr>
              <w:keepNext/>
              <w:keepLines/>
              <w:spacing w:before="40" w:after="40" w:line="240" w:lineRule="auto"/>
              <w:rPr>
                <w:rFonts w:asciiTheme="majorHAnsi" w:hAnsiTheme="majorHAnsi" w:cstheme="majorHAnsi"/>
                <w:sz w:val="18"/>
                <w:szCs w:val="18"/>
              </w:rPr>
            </w:pPr>
            <w:r w:rsidRPr="007110DD">
              <w:rPr>
                <w:rFonts w:asciiTheme="majorHAnsi" w:hAnsiTheme="majorHAnsi" w:cstheme="majorHAnsi"/>
                <w:sz w:val="18"/>
                <w:szCs w:val="18"/>
              </w:rPr>
              <w:t>Assumed firm energy delivery of 1,</w:t>
            </w:r>
            <w:r w:rsidR="00815C84" w:rsidRPr="007110DD">
              <w:rPr>
                <w:rFonts w:asciiTheme="majorHAnsi" w:hAnsiTheme="majorHAnsi" w:cstheme="majorHAnsi"/>
                <w:sz w:val="18"/>
                <w:szCs w:val="18"/>
              </w:rPr>
              <w:t>090 </w:t>
            </w:r>
            <w:r w:rsidRPr="007110DD">
              <w:rPr>
                <w:rFonts w:asciiTheme="majorHAnsi" w:hAnsiTheme="majorHAnsi" w:cstheme="majorHAnsi"/>
                <w:sz w:val="18"/>
                <w:szCs w:val="18"/>
              </w:rPr>
              <w:t>MW across all hours</w:t>
            </w:r>
          </w:p>
        </w:tc>
      </w:tr>
      <w:tr w:rsidR="00923778" w:rsidRPr="007110DD" w:rsidTr="007110DD">
        <w:trPr>
          <w:jc w:val="center"/>
        </w:trPr>
        <w:tc>
          <w:tcPr>
            <w:tcW w:w="1797"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tcPr>
          <w:p w:rsidR="00923778" w:rsidRPr="007110DD" w:rsidRDefault="00923778" w:rsidP="00E712DA">
            <w:pPr>
              <w:keepNext/>
              <w:keepLines/>
              <w:spacing w:before="40" w:after="40" w:line="240" w:lineRule="auto"/>
              <w:rPr>
                <w:rFonts w:asciiTheme="majorHAnsi" w:hAnsiTheme="majorHAnsi" w:cstheme="majorHAnsi"/>
                <w:sz w:val="18"/>
                <w:szCs w:val="18"/>
              </w:rPr>
            </w:pPr>
            <w:r w:rsidRPr="007110DD">
              <w:rPr>
                <w:rFonts w:asciiTheme="majorHAnsi" w:hAnsiTheme="majorHAnsi" w:cstheme="majorHAnsi"/>
                <w:sz w:val="18"/>
                <w:szCs w:val="18"/>
              </w:rPr>
              <w:t>New Brunswick</w:t>
            </w:r>
          </w:p>
        </w:tc>
        <w:tc>
          <w:tcPr>
            <w:tcW w:w="207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left w:w="115" w:type="dxa"/>
              <w:right w:w="720" w:type="dxa"/>
            </w:tcMar>
            <w:vAlign w:val="center"/>
          </w:tcPr>
          <w:p w:rsidR="00923778" w:rsidRPr="007110DD" w:rsidRDefault="00923778" w:rsidP="007110DD">
            <w:pPr>
              <w:keepNext/>
              <w:keepLines/>
              <w:spacing w:before="40" w:after="40" w:line="240" w:lineRule="auto"/>
              <w:jc w:val="right"/>
              <w:rPr>
                <w:rFonts w:asciiTheme="majorHAnsi" w:hAnsiTheme="majorHAnsi" w:cstheme="majorHAnsi"/>
                <w:sz w:val="18"/>
                <w:szCs w:val="18"/>
              </w:rPr>
            </w:pPr>
            <w:r w:rsidRPr="007110DD">
              <w:rPr>
                <w:rFonts w:asciiTheme="majorHAnsi" w:hAnsiTheme="majorHAnsi" w:cstheme="majorHAnsi"/>
                <w:sz w:val="18"/>
                <w:szCs w:val="18"/>
              </w:rPr>
              <w:t>1,000</w:t>
            </w:r>
            <w:r w:rsidRPr="007110DD">
              <w:rPr>
                <w:rFonts w:asciiTheme="majorHAnsi" w:hAnsiTheme="majorHAnsi" w:cstheme="majorHAnsi"/>
                <w:sz w:val="18"/>
                <w:szCs w:val="18"/>
                <w:vertAlign w:val="superscript"/>
              </w:rPr>
              <w:t>(a)</w:t>
            </w:r>
          </w:p>
        </w:tc>
        <w:tc>
          <w:tcPr>
            <w:tcW w:w="4950" w:type="dxa"/>
            <w:tcBorders>
              <w:top w:val="single" w:sz="2" w:space="0" w:color="auto"/>
              <w:left w:val="single" w:sz="2" w:space="0" w:color="auto"/>
              <w:bottom w:val="single" w:sz="2" w:space="0" w:color="auto"/>
              <w:right w:val="single" w:sz="2" w:space="0" w:color="auto"/>
            </w:tcBorders>
            <w:vAlign w:val="center"/>
          </w:tcPr>
          <w:p w:rsidR="00923778" w:rsidRPr="007110DD" w:rsidRDefault="00923778" w:rsidP="00E712DA">
            <w:pPr>
              <w:keepNext/>
              <w:keepLines/>
              <w:spacing w:before="40" w:after="40" w:line="240" w:lineRule="auto"/>
              <w:rPr>
                <w:rFonts w:asciiTheme="majorHAnsi" w:hAnsiTheme="majorHAnsi" w:cstheme="majorHAnsi"/>
                <w:sz w:val="18"/>
                <w:szCs w:val="18"/>
              </w:rPr>
            </w:pPr>
            <w:r w:rsidRPr="007110DD">
              <w:rPr>
                <w:rFonts w:asciiTheme="majorHAnsi" w:hAnsiTheme="majorHAnsi" w:cstheme="majorHAnsi"/>
                <w:sz w:val="18"/>
                <w:szCs w:val="18"/>
              </w:rPr>
              <w:t>Historical diurnal profile averaged over 2016 through 2018</w:t>
            </w:r>
          </w:p>
        </w:tc>
      </w:tr>
      <w:tr w:rsidR="00923778" w:rsidRPr="007110DD" w:rsidTr="007110DD">
        <w:trPr>
          <w:jc w:val="center"/>
        </w:trPr>
        <w:tc>
          <w:tcPr>
            <w:tcW w:w="1797" w:type="dxa"/>
            <w:tcBorders>
              <w:top w:val="single" w:sz="2" w:space="0" w:color="auto"/>
              <w:left w:val="single" w:sz="2" w:space="0" w:color="auto"/>
              <w:bottom w:val="single" w:sz="2" w:space="0" w:color="auto"/>
              <w:right w:val="single" w:sz="2" w:space="0" w:color="auto"/>
            </w:tcBorders>
            <w:vAlign w:val="center"/>
          </w:tcPr>
          <w:p w:rsidR="00923778" w:rsidRPr="007110DD" w:rsidRDefault="00923778" w:rsidP="00E712DA">
            <w:pPr>
              <w:keepNext/>
              <w:keepLines/>
              <w:spacing w:before="40" w:after="40" w:line="240" w:lineRule="auto"/>
              <w:rPr>
                <w:rFonts w:asciiTheme="majorHAnsi" w:hAnsiTheme="majorHAnsi" w:cstheme="majorHAnsi"/>
                <w:sz w:val="18"/>
                <w:szCs w:val="18"/>
              </w:rPr>
            </w:pPr>
            <w:r w:rsidRPr="007110DD">
              <w:rPr>
                <w:rFonts w:asciiTheme="majorHAnsi" w:hAnsiTheme="majorHAnsi" w:cstheme="majorHAnsi"/>
                <w:sz w:val="18"/>
                <w:szCs w:val="18"/>
              </w:rPr>
              <w:t>New York AC</w:t>
            </w:r>
          </w:p>
        </w:tc>
        <w:tc>
          <w:tcPr>
            <w:tcW w:w="2070" w:type="dxa"/>
            <w:tcBorders>
              <w:top w:val="single" w:sz="2" w:space="0" w:color="auto"/>
              <w:left w:val="single" w:sz="2" w:space="0" w:color="auto"/>
              <w:bottom w:val="single" w:sz="2" w:space="0" w:color="auto"/>
              <w:right w:val="single" w:sz="2" w:space="0" w:color="auto"/>
            </w:tcBorders>
            <w:tcMar>
              <w:left w:w="115" w:type="dxa"/>
              <w:right w:w="720" w:type="dxa"/>
            </w:tcMar>
            <w:vAlign w:val="center"/>
          </w:tcPr>
          <w:p w:rsidR="00923778" w:rsidRPr="007110DD" w:rsidRDefault="00923778" w:rsidP="007110DD">
            <w:pPr>
              <w:keepNext/>
              <w:keepLines/>
              <w:spacing w:before="40" w:after="40" w:line="240" w:lineRule="auto"/>
              <w:jc w:val="right"/>
              <w:rPr>
                <w:rFonts w:asciiTheme="majorHAnsi" w:hAnsiTheme="majorHAnsi" w:cstheme="majorHAnsi"/>
                <w:sz w:val="18"/>
                <w:szCs w:val="18"/>
              </w:rPr>
            </w:pPr>
            <w:r w:rsidRPr="007110DD">
              <w:rPr>
                <w:rFonts w:asciiTheme="majorHAnsi" w:hAnsiTheme="majorHAnsi" w:cstheme="majorHAnsi"/>
                <w:sz w:val="18"/>
                <w:szCs w:val="18"/>
              </w:rPr>
              <w:t>1,400</w:t>
            </w:r>
            <w:r w:rsidRPr="007110DD">
              <w:rPr>
                <w:rFonts w:asciiTheme="majorHAnsi" w:hAnsiTheme="majorHAnsi" w:cstheme="majorHAnsi"/>
                <w:sz w:val="18"/>
                <w:szCs w:val="18"/>
                <w:vertAlign w:val="superscript"/>
              </w:rPr>
              <w:t>(a)</w:t>
            </w:r>
          </w:p>
        </w:tc>
        <w:tc>
          <w:tcPr>
            <w:tcW w:w="4950" w:type="dxa"/>
            <w:tcBorders>
              <w:top w:val="single" w:sz="2" w:space="0" w:color="auto"/>
              <w:left w:val="single" w:sz="2" w:space="0" w:color="auto"/>
              <w:bottom w:val="single" w:sz="2" w:space="0" w:color="auto"/>
              <w:right w:val="single" w:sz="2" w:space="0" w:color="auto"/>
            </w:tcBorders>
            <w:vAlign w:val="center"/>
          </w:tcPr>
          <w:p w:rsidR="00923778" w:rsidRPr="007110DD" w:rsidRDefault="00923778" w:rsidP="00E712DA">
            <w:pPr>
              <w:keepNext/>
              <w:keepLines/>
              <w:spacing w:before="40" w:after="40" w:line="240" w:lineRule="auto"/>
              <w:rPr>
                <w:rFonts w:asciiTheme="majorHAnsi" w:hAnsiTheme="majorHAnsi" w:cstheme="majorHAnsi"/>
                <w:sz w:val="18"/>
                <w:szCs w:val="18"/>
              </w:rPr>
            </w:pPr>
            <w:r w:rsidRPr="007110DD">
              <w:rPr>
                <w:rFonts w:asciiTheme="majorHAnsi" w:hAnsiTheme="majorHAnsi" w:cstheme="majorHAnsi"/>
                <w:sz w:val="18"/>
                <w:szCs w:val="18"/>
              </w:rPr>
              <w:t>Assume no interchange</w:t>
            </w:r>
            <w:r w:rsidRPr="007110DD">
              <w:rPr>
                <w:rFonts w:asciiTheme="majorHAnsi" w:hAnsiTheme="majorHAnsi" w:cstheme="majorHAnsi"/>
                <w:sz w:val="18"/>
                <w:szCs w:val="18"/>
                <w:vertAlign w:val="superscript"/>
              </w:rPr>
              <w:t>(b)</w:t>
            </w:r>
          </w:p>
        </w:tc>
      </w:tr>
      <w:tr w:rsidR="00923778" w:rsidRPr="00E712DA" w:rsidTr="007110DD">
        <w:trPr>
          <w:jc w:val="center"/>
        </w:trPr>
        <w:tc>
          <w:tcPr>
            <w:tcW w:w="1797"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tcPr>
          <w:p w:rsidR="00923778" w:rsidRPr="007110DD" w:rsidRDefault="00923778" w:rsidP="004826D9">
            <w:pPr>
              <w:keepNext/>
              <w:keepLines/>
              <w:spacing w:before="40" w:after="40" w:line="240" w:lineRule="auto"/>
              <w:rPr>
                <w:rFonts w:asciiTheme="majorHAnsi" w:hAnsiTheme="majorHAnsi" w:cstheme="majorHAnsi"/>
                <w:sz w:val="18"/>
                <w:szCs w:val="18"/>
              </w:rPr>
            </w:pPr>
            <w:r w:rsidRPr="007110DD">
              <w:rPr>
                <w:rFonts w:asciiTheme="majorHAnsi" w:hAnsiTheme="majorHAnsi" w:cstheme="majorHAnsi"/>
                <w:sz w:val="18"/>
                <w:szCs w:val="18"/>
              </w:rPr>
              <w:t>CSC</w:t>
            </w:r>
          </w:p>
        </w:tc>
        <w:tc>
          <w:tcPr>
            <w:tcW w:w="207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left w:w="115" w:type="dxa"/>
              <w:right w:w="720" w:type="dxa"/>
            </w:tcMar>
            <w:vAlign w:val="center"/>
          </w:tcPr>
          <w:p w:rsidR="00923778" w:rsidRPr="007110DD" w:rsidRDefault="00923778" w:rsidP="007110DD">
            <w:pPr>
              <w:keepNext/>
              <w:keepLines/>
              <w:spacing w:before="40" w:after="40" w:line="240" w:lineRule="auto"/>
              <w:jc w:val="right"/>
              <w:rPr>
                <w:rFonts w:asciiTheme="majorHAnsi" w:hAnsiTheme="majorHAnsi" w:cstheme="majorHAnsi"/>
                <w:sz w:val="18"/>
                <w:szCs w:val="18"/>
              </w:rPr>
            </w:pPr>
            <w:r w:rsidRPr="007110DD">
              <w:rPr>
                <w:rFonts w:asciiTheme="majorHAnsi" w:hAnsiTheme="majorHAnsi" w:cstheme="majorHAnsi"/>
                <w:sz w:val="18"/>
                <w:szCs w:val="18"/>
              </w:rPr>
              <w:t>330</w:t>
            </w:r>
            <w:r w:rsidRPr="007110DD">
              <w:rPr>
                <w:rFonts w:asciiTheme="majorHAnsi" w:hAnsiTheme="majorHAnsi" w:cstheme="majorHAnsi"/>
                <w:sz w:val="18"/>
                <w:szCs w:val="18"/>
                <w:vertAlign w:val="superscript"/>
              </w:rPr>
              <w:t>(a)</w:t>
            </w:r>
          </w:p>
        </w:tc>
        <w:tc>
          <w:tcPr>
            <w:tcW w:w="4950"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tcPr>
          <w:p w:rsidR="00923778" w:rsidRPr="007110DD" w:rsidRDefault="00923778" w:rsidP="004826D9">
            <w:pPr>
              <w:keepNext/>
              <w:keepLines/>
              <w:spacing w:before="40" w:after="40" w:line="240" w:lineRule="auto"/>
              <w:rPr>
                <w:rFonts w:asciiTheme="majorHAnsi" w:hAnsiTheme="majorHAnsi" w:cstheme="majorHAnsi"/>
                <w:sz w:val="18"/>
                <w:szCs w:val="18"/>
              </w:rPr>
            </w:pPr>
            <w:r w:rsidRPr="007110DD">
              <w:rPr>
                <w:rFonts w:asciiTheme="majorHAnsi" w:hAnsiTheme="majorHAnsi" w:cstheme="majorHAnsi"/>
                <w:sz w:val="18"/>
                <w:szCs w:val="18"/>
              </w:rPr>
              <w:t>Assume no interchange</w:t>
            </w:r>
            <w:r w:rsidRPr="007110DD">
              <w:rPr>
                <w:rFonts w:asciiTheme="majorHAnsi" w:hAnsiTheme="majorHAnsi" w:cstheme="majorHAnsi"/>
                <w:sz w:val="18"/>
                <w:szCs w:val="18"/>
                <w:vertAlign w:val="superscript"/>
              </w:rPr>
              <w:t>(b)</w:t>
            </w:r>
          </w:p>
        </w:tc>
      </w:tr>
    </w:tbl>
    <w:p w:rsidR="00740FBD" w:rsidRPr="00E712DA" w:rsidRDefault="00FF79C4" w:rsidP="007110DD">
      <w:pPr>
        <w:keepNext/>
        <w:keepLines/>
        <w:widowControl w:val="0"/>
        <w:spacing w:before="120" w:after="80" w:line="240" w:lineRule="auto"/>
        <w:ind w:left="720" w:hanging="360"/>
        <w:rPr>
          <w:rFonts w:asciiTheme="majorHAnsi" w:hAnsiTheme="majorHAnsi" w:cstheme="majorHAnsi"/>
          <w:sz w:val="16"/>
          <w:szCs w:val="16"/>
        </w:rPr>
      </w:pPr>
      <w:r w:rsidRPr="00E712DA">
        <w:rPr>
          <w:rFonts w:asciiTheme="majorHAnsi" w:hAnsiTheme="majorHAnsi" w:cstheme="majorHAnsi"/>
          <w:sz w:val="16"/>
          <w:szCs w:val="16"/>
        </w:rPr>
        <w:t>(a) These values represent i</w:t>
      </w:r>
      <w:r w:rsidR="00740FBD" w:rsidRPr="00E712DA">
        <w:rPr>
          <w:rFonts w:asciiTheme="majorHAnsi" w:hAnsiTheme="majorHAnsi" w:cstheme="majorHAnsi"/>
          <w:sz w:val="16"/>
          <w:szCs w:val="16"/>
        </w:rPr>
        <w:t>mport capability for energy</w:t>
      </w:r>
    </w:p>
    <w:p w:rsidR="00740FBD" w:rsidRPr="00E712DA" w:rsidRDefault="00FF79C4" w:rsidP="007110DD">
      <w:pPr>
        <w:spacing w:line="240" w:lineRule="auto"/>
        <w:ind w:left="720" w:hanging="360"/>
        <w:rPr>
          <w:rFonts w:asciiTheme="majorHAnsi" w:hAnsiTheme="majorHAnsi" w:cstheme="majorHAnsi"/>
          <w:sz w:val="16"/>
          <w:szCs w:val="16"/>
        </w:rPr>
      </w:pPr>
      <w:r w:rsidRPr="00E712DA">
        <w:rPr>
          <w:rFonts w:asciiTheme="majorHAnsi" w:hAnsiTheme="majorHAnsi" w:cstheme="majorHAnsi"/>
          <w:sz w:val="16"/>
          <w:szCs w:val="16"/>
        </w:rPr>
        <w:t xml:space="preserve">(b) </w:t>
      </w:r>
      <w:r w:rsidR="00740FBD" w:rsidRPr="00E712DA">
        <w:rPr>
          <w:rFonts w:asciiTheme="majorHAnsi" w:hAnsiTheme="majorHAnsi" w:cstheme="majorHAnsi"/>
          <w:sz w:val="16"/>
          <w:szCs w:val="16"/>
        </w:rPr>
        <w:t>Assuming no interchange allows a straight comparison of the region</w:t>
      </w:r>
      <w:r w:rsidRPr="00E712DA">
        <w:rPr>
          <w:rFonts w:asciiTheme="majorHAnsi" w:hAnsiTheme="majorHAnsi" w:cstheme="majorHAnsi"/>
          <w:sz w:val="16"/>
          <w:szCs w:val="16"/>
        </w:rPr>
        <w:t>al</w:t>
      </w:r>
      <w:r w:rsidR="00740FBD" w:rsidRPr="00E712DA">
        <w:rPr>
          <w:rFonts w:asciiTheme="majorHAnsi" w:hAnsiTheme="majorHAnsi" w:cstheme="majorHAnsi"/>
          <w:sz w:val="16"/>
          <w:szCs w:val="16"/>
        </w:rPr>
        <w:t xml:space="preserve"> production cost across all scenarios</w:t>
      </w:r>
      <w:r w:rsidRPr="00E712DA">
        <w:rPr>
          <w:rFonts w:asciiTheme="majorHAnsi" w:hAnsiTheme="majorHAnsi" w:cstheme="majorHAnsi"/>
          <w:sz w:val="16"/>
          <w:szCs w:val="16"/>
        </w:rPr>
        <w:t>.</w:t>
      </w:r>
    </w:p>
    <w:p w:rsidR="00740FBD" w:rsidRPr="002B1E0C" w:rsidRDefault="009C02EB" w:rsidP="004826D9">
      <w:pPr>
        <w:pStyle w:val="Heading3"/>
      </w:pPr>
      <w:bookmarkStart w:id="42" w:name="_Ref43123389"/>
      <w:bookmarkStart w:id="43" w:name="_Toc44412043"/>
      <w:r>
        <w:t>Weather Assumptions</w:t>
      </w:r>
      <w:bookmarkEnd w:id="42"/>
      <w:bookmarkEnd w:id="43"/>
    </w:p>
    <w:p w:rsidR="00BD299D" w:rsidRDefault="00BD299D" w:rsidP="00BD299D">
      <w:r>
        <w:t xml:space="preserve">The Reference Case and production cost scenarios </w:t>
      </w:r>
      <w:r w:rsidR="00B371F4">
        <w:t>(</w:t>
      </w:r>
      <w:r>
        <w:t>up to 6</w:t>
      </w:r>
      <w:r w:rsidR="00CC7371">
        <w:t>,</w:t>
      </w:r>
      <w:r>
        <w:t>000 MW</w:t>
      </w:r>
      <w:r w:rsidR="00B371F4">
        <w:t>)</w:t>
      </w:r>
      <w:r w:rsidR="00C47592">
        <w:t>,</w:t>
      </w:r>
      <w:r w:rsidR="000A1009">
        <w:t xml:space="preserve"> reported in </w:t>
      </w:r>
      <w:r w:rsidR="00C47592">
        <w:t xml:space="preserve">the </w:t>
      </w:r>
      <w:r w:rsidR="004826D9" w:rsidRPr="004826D9">
        <w:t>December 19, 2019</w:t>
      </w:r>
      <w:r w:rsidR="00C47592">
        <w:rPr>
          <w:rStyle w:val="Hyperlink"/>
        </w:rPr>
        <w:t>,</w:t>
      </w:r>
      <w:r w:rsidR="000A0CD8">
        <w:t xml:space="preserve"> </w:t>
      </w:r>
      <w:r w:rsidR="00C47592">
        <w:t xml:space="preserve">PAC presentation, </w:t>
      </w:r>
      <w:r w:rsidR="00B371F4">
        <w:t xml:space="preserve">used </w:t>
      </w:r>
      <w:r>
        <w:t xml:space="preserve">2006 </w:t>
      </w:r>
      <w:r w:rsidR="000A1009">
        <w:t xml:space="preserve">weather to align </w:t>
      </w:r>
      <w:r w:rsidR="000A0CD8">
        <w:t xml:space="preserve">wind, solar, and load </w:t>
      </w:r>
      <w:r>
        <w:t xml:space="preserve">profiles </w:t>
      </w:r>
      <w:r w:rsidRPr="000F2E7D">
        <w:t>(scaled to 2030)</w:t>
      </w:r>
      <w:r w:rsidR="000A0CD8">
        <w:t>.</w:t>
      </w:r>
      <w:r w:rsidR="00C47592">
        <w:rPr>
          <w:rStyle w:val="FootnoteReference"/>
        </w:rPr>
        <w:footnoteReference w:id="22"/>
      </w:r>
      <w:r w:rsidR="000A0CD8">
        <w:t xml:space="preserve"> These </w:t>
      </w:r>
      <w:r w:rsidR="00B371F4">
        <w:t xml:space="preserve">profiles </w:t>
      </w:r>
      <w:r w:rsidR="000A0CD8">
        <w:t xml:space="preserve">were </w:t>
      </w:r>
      <w:r>
        <w:t>similar to those used in the 2016 Economic Stud</w:t>
      </w:r>
      <w:r w:rsidR="00B5295E">
        <w:t>ies</w:t>
      </w:r>
      <w:r>
        <w:t>.</w:t>
      </w:r>
      <w:bookmarkStart w:id="44" w:name="_Ref43473720"/>
      <w:r w:rsidR="00C47592">
        <w:rPr>
          <w:rStyle w:val="FootnoteReference"/>
        </w:rPr>
        <w:footnoteReference w:id="23"/>
      </w:r>
      <w:bookmarkEnd w:id="44"/>
      <w:r>
        <w:t xml:space="preserve"> </w:t>
      </w:r>
      <w:r w:rsidR="00CC7371">
        <w:t>In the January 2020 timeframe, new profiles were available</w:t>
      </w:r>
      <w:r w:rsidR="00BF1EA7">
        <w:t xml:space="preserve">. </w:t>
      </w:r>
      <w:r w:rsidR="00CC7371">
        <w:t>Therefore,</w:t>
      </w:r>
      <w:r>
        <w:t xml:space="preserve"> </w:t>
      </w:r>
      <w:r w:rsidR="00CC7371">
        <w:t>f</w:t>
      </w:r>
      <w:r>
        <w:t xml:space="preserve">or the 8,000 MW scenarios, </w:t>
      </w:r>
      <w:r w:rsidRPr="000F2E7D">
        <w:t xml:space="preserve">2015 </w:t>
      </w:r>
      <w:r w:rsidR="000A0CD8">
        <w:t xml:space="preserve">wind, solar, and load profiles </w:t>
      </w:r>
      <w:r>
        <w:t xml:space="preserve">(scaled to 2030) were </w:t>
      </w:r>
      <w:r w:rsidRPr="000F2E7D">
        <w:t>used</w:t>
      </w:r>
      <w:r w:rsidR="00BF1EA7">
        <w:t xml:space="preserve">. </w:t>
      </w:r>
      <w:r w:rsidR="001612FA">
        <w:t>The use of d</w:t>
      </w:r>
      <w:r w:rsidRPr="00BD299D">
        <w:t>ifferent weather</w:t>
      </w:r>
      <w:r w:rsidR="00C47592">
        <w:t>-</w:t>
      </w:r>
      <w:r w:rsidRPr="00BD299D">
        <w:t>year</w:t>
      </w:r>
      <w:r w:rsidR="000A0CD8">
        <w:t xml:space="preserve"> profiles </w:t>
      </w:r>
      <w:r w:rsidR="001612FA">
        <w:t>can result in different magnitudes for the study metrics, but broad results would be similar.</w:t>
      </w:r>
    </w:p>
    <w:p w:rsidR="009C02EB" w:rsidRDefault="009C02EB" w:rsidP="004826D9">
      <w:pPr>
        <w:pStyle w:val="Heading3"/>
      </w:pPr>
      <w:bookmarkStart w:id="45" w:name="_Toc44412044"/>
      <w:r>
        <w:t>Load Assumptions</w:t>
      </w:r>
      <w:bookmarkEnd w:id="45"/>
    </w:p>
    <w:p w:rsidR="002C490F" w:rsidRDefault="002C490F" w:rsidP="002C490F">
      <w:r>
        <w:t>Energy storage (</w:t>
      </w:r>
      <w:r w:rsidR="0008522E">
        <w:t xml:space="preserve">i.e., </w:t>
      </w:r>
      <w:r>
        <w:t xml:space="preserve">pumped storage and batteries) </w:t>
      </w:r>
      <w:r w:rsidR="001612FA">
        <w:t xml:space="preserve">are used </w:t>
      </w:r>
      <w:r>
        <w:t>to levelize the load</w:t>
      </w:r>
      <w:r w:rsidR="001612FA">
        <w:t xml:space="preserve"> </w:t>
      </w:r>
      <w:r w:rsidR="00AD22C8">
        <w:t xml:space="preserve">net of </w:t>
      </w:r>
      <w:r w:rsidR="001612FA">
        <w:t>dispatchable resources</w:t>
      </w:r>
      <w:r>
        <w:t xml:space="preserve">. Across all scenarios, existing pumped-storage units were dispatched to equalize the daily high and low net loads after accounting for all energy efficiency, active demand resources, all photovoltaic (behind-the-meter </w:t>
      </w:r>
      <w:r w:rsidR="00F25345">
        <w:t>[</w:t>
      </w:r>
      <w:r>
        <w:t>BTM</w:t>
      </w:r>
      <w:r w:rsidR="00F25345">
        <w:t>]</w:t>
      </w:r>
      <w:r>
        <w:t xml:space="preserve"> and non-BTM), </w:t>
      </w:r>
      <w:r w:rsidR="005A49F5">
        <w:t>plug-in hybrid electric vehicles (</w:t>
      </w:r>
      <w:r>
        <w:t>PHEVs</w:t>
      </w:r>
      <w:r w:rsidR="005A49F5">
        <w:t>)</w:t>
      </w:r>
      <w:r>
        <w:t>, wind energy, hydro (excluding pumped storage), existing imports, and new imports. This treatment of pumped storage</w:t>
      </w:r>
      <w:r w:rsidR="00950730">
        <w:t xml:space="preserve"> was</w:t>
      </w:r>
      <w:r>
        <w:t xml:space="preserve"> assumed to have approximately 7</w:t>
      </w:r>
      <w:r w:rsidR="001612FA">
        <w:t>4</w:t>
      </w:r>
      <w:r>
        <w:t>% efficiency</w:t>
      </w:r>
      <w:r w:rsidR="00BF1EA7">
        <w:t>.</w:t>
      </w:r>
      <w:r w:rsidR="00AD5F99">
        <w:t xml:space="preserve"> </w:t>
      </w:r>
      <w:r w:rsidR="00BC63B2">
        <w:t>Battery storage was assumed to have approximately 90% efficiency and</w:t>
      </w:r>
      <w:r w:rsidR="00857A79" w:rsidRPr="00857A79">
        <w:t xml:space="preserve"> w</w:t>
      </w:r>
      <w:r w:rsidR="00857A79">
        <w:t>as</w:t>
      </w:r>
      <w:r w:rsidR="00857A79" w:rsidRPr="00857A79">
        <w:t xml:space="preserve"> </w:t>
      </w:r>
      <w:r w:rsidR="00857A79" w:rsidRPr="00857A79">
        <w:lastRenderedPageBreak/>
        <w:t>spread nearly equally around each RSP bubble</w:t>
      </w:r>
      <w:r w:rsidR="003E4526">
        <w:t>.</w:t>
      </w:r>
      <w:r w:rsidR="00BC63B2">
        <w:t xml:space="preserve"> The </w:t>
      </w:r>
      <w:r w:rsidR="00CC4B55">
        <w:t>batteries were assumed to have enough storage to discharge at full output for four hours</w:t>
      </w:r>
      <w:r w:rsidR="00BC63B2">
        <w:t>.</w:t>
      </w:r>
    </w:p>
    <w:p w:rsidR="009C02EB" w:rsidRDefault="004D09B8" w:rsidP="004826D9">
      <w:pPr>
        <w:pStyle w:val="Heading3"/>
      </w:pPr>
      <w:bookmarkStart w:id="46" w:name="_Ref43131463"/>
      <w:bookmarkStart w:id="47" w:name="_Toc44412045"/>
      <w:r>
        <w:t>Regulation, Ramping, and Reserve Capability</w:t>
      </w:r>
      <w:bookmarkEnd w:id="46"/>
      <w:bookmarkEnd w:id="47"/>
    </w:p>
    <w:p w:rsidR="00381A8C" w:rsidRPr="00AB29CE" w:rsidRDefault="00C64D31" w:rsidP="00AB29CE">
      <w:r>
        <w:t>T</w:t>
      </w:r>
      <w:r w:rsidR="00792DA5" w:rsidRPr="00792DA5">
        <w:t xml:space="preserve">o address </w:t>
      </w:r>
      <w:r>
        <w:t xml:space="preserve">market </w:t>
      </w:r>
      <w:r w:rsidR="0038192C" w:rsidRPr="00792DA5">
        <w:t>challenges</w:t>
      </w:r>
      <w:r w:rsidR="0038192C">
        <w:t>,</w:t>
      </w:r>
      <w:r w:rsidR="00792DA5" w:rsidRPr="00792DA5">
        <w:t xml:space="preserve"> including load following, regulation, operating reserves, and operation during low-load periods</w:t>
      </w:r>
      <w:r w:rsidR="0015418B">
        <w:t xml:space="preserve"> for the 2019 NESCOE Economic Study, the</w:t>
      </w:r>
      <w:r w:rsidR="00381A8C" w:rsidRPr="00792DA5">
        <w:t xml:space="preserve"> ISO used the same study approach </w:t>
      </w:r>
      <w:r w:rsidR="00B65BCF">
        <w:t xml:space="preserve">as </w:t>
      </w:r>
      <w:r w:rsidR="00381A8C" w:rsidRPr="00792DA5">
        <w:t>the 2016 Economic Study Phase II Study</w:t>
      </w:r>
      <w:r w:rsidR="00E83786">
        <w:t xml:space="preserve">, </w:t>
      </w:r>
      <w:r w:rsidR="00381A8C" w:rsidRPr="00792DA5">
        <w:t xml:space="preserve">Dartmouth College’s Electric Power Enterprise Control System </w:t>
      </w:r>
      <w:r>
        <w:t>(EPECS) simulation tool</w:t>
      </w:r>
      <w:r w:rsidR="0015418B">
        <w:t>.</w:t>
      </w:r>
      <w:r>
        <w:rPr>
          <w:rStyle w:val="FootnoteReference"/>
        </w:rPr>
        <w:footnoteReference w:id="24"/>
      </w:r>
      <w:r w:rsidR="00E83786">
        <w:t xml:space="preserve"> </w:t>
      </w:r>
      <w:r w:rsidR="00E95BBA">
        <w:t>EPECS augment</w:t>
      </w:r>
      <w:r w:rsidR="00AB29CE">
        <w:t>s</w:t>
      </w:r>
      <w:r w:rsidR="00E95BBA">
        <w:t xml:space="preserve"> the </w:t>
      </w:r>
      <w:r w:rsidR="00E95BBA" w:rsidRPr="00E95BBA">
        <w:t>GridView</w:t>
      </w:r>
      <w:r w:rsidR="00CC4B55">
        <w:t xml:space="preserve"> model</w:t>
      </w:r>
      <w:r w:rsidR="00E95BBA">
        <w:t>, which uses one-hour time</w:t>
      </w:r>
      <w:r w:rsidR="00B65BCF">
        <w:t>-</w:t>
      </w:r>
      <w:r w:rsidR="00CC4B55">
        <w:t xml:space="preserve">step </w:t>
      </w:r>
      <w:r w:rsidR="00E95BBA">
        <w:t xml:space="preserve">increments, </w:t>
      </w:r>
      <w:r w:rsidR="00E95BBA" w:rsidRPr="00E95BBA">
        <w:t xml:space="preserve">by using a one-minute time increment to provide an </w:t>
      </w:r>
      <w:r w:rsidR="009B39DE">
        <w:t>i</w:t>
      </w:r>
      <w:r w:rsidR="00E95BBA" w:rsidRPr="00E95BBA">
        <w:t xml:space="preserve">ntegrated </w:t>
      </w:r>
      <w:r w:rsidR="007110DD">
        <w:t>platform</w:t>
      </w:r>
      <w:r w:rsidR="00AB29CE">
        <w:t xml:space="preserve"> </w:t>
      </w:r>
      <w:r w:rsidR="00381A8C" w:rsidRPr="00AB29CE">
        <w:t>for assessing</w:t>
      </w:r>
      <w:r w:rsidR="008B0FC7">
        <w:t xml:space="preserve"> </w:t>
      </w:r>
      <w:r w:rsidR="00AB29CE">
        <w:t>simulated operating r</w:t>
      </w:r>
      <w:r w:rsidR="00381A8C" w:rsidRPr="00AB29CE">
        <w:t>eserves</w:t>
      </w:r>
      <w:r w:rsidR="00E07AB1">
        <w:t>,</w:t>
      </w:r>
      <w:r w:rsidR="008B0FC7">
        <w:t xml:space="preserve"> </w:t>
      </w:r>
      <w:r w:rsidR="00AB29CE">
        <w:t>i</w:t>
      </w:r>
      <w:r w:rsidR="00297BB6">
        <w:t>nterface and</w:t>
      </w:r>
      <w:r w:rsidR="00AB29CE">
        <w:t xml:space="preserve"> tie-line p</w:t>
      </w:r>
      <w:r w:rsidR="00381A8C" w:rsidRPr="00AB29CE">
        <w:t>erformance</w:t>
      </w:r>
      <w:r w:rsidR="00E07AB1">
        <w:t xml:space="preserve">, </w:t>
      </w:r>
      <w:r w:rsidR="00AB29CE">
        <w:t>and regulation p</w:t>
      </w:r>
      <w:r w:rsidR="00381A8C" w:rsidRPr="00AB29CE">
        <w:t>erformance</w:t>
      </w:r>
      <w:r w:rsidR="00AB29CE">
        <w:t>.</w:t>
      </w:r>
      <w:r w:rsidR="00297BB6">
        <w:rPr>
          <w:rStyle w:val="FootnoteReference"/>
        </w:rPr>
        <w:footnoteReference w:id="25"/>
      </w:r>
      <w:r w:rsidR="00E83786">
        <w:t xml:space="preserve"> Leveraging the results of </w:t>
      </w:r>
      <w:r w:rsidR="00E07AB1">
        <w:t xml:space="preserve">Phase II of </w:t>
      </w:r>
      <w:r w:rsidR="00E83786">
        <w:t xml:space="preserve">the </w:t>
      </w:r>
      <w:r w:rsidR="00E83786" w:rsidRPr="00792DA5">
        <w:t>2016 Economic Study</w:t>
      </w:r>
      <w:r w:rsidR="00E83786">
        <w:t>, the ISO was able to analyze t</w:t>
      </w:r>
      <w:r w:rsidR="00E83786" w:rsidRPr="0015418B">
        <w:t xml:space="preserve">he </w:t>
      </w:r>
      <w:r w:rsidR="00E83786">
        <w:t>use</w:t>
      </w:r>
      <w:r w:rsidR="00E83786" w:rsidRPr="0015418B">
        <w:t xml:space="preserve"> of regulation, ramping, and reserves capability </w:t>
      </w:r>
      <w:r w:rsidR="00E83786">
        <w:t>needed</w:t>
      </w:r>
      <w:r w:rsidR="00E83786" w:rsidRPr="0015418B">
        <w:t xml:space="preserve"> to maintain the supply</w:t>
      </w:r>
      <w:r w:rsidR="0057594B">
        <w:t>/</w:t>
      </w:r>
      <w:r w:rsidR="00E83786" w:rsidRPr="0015418B">
        <w:t>demand balance of the New England bulk electric power system.</w:t>
      </w:r>
      <w:r w:rsidR="007110DD">
        <w:rPr>
          <w:rStyle w:val="FootnoteReference"/>
        </w:rPr>
        <w:footnoteReference w:id="26"/>
      </w:r>
    </w:p>
    <w:p w:rsidR="00AB6D7B" w:rsidRDefault="009C02EB" w:rsidP="00E07AB1">
      <w:pPr>
        <w:pStyle w:val="Heading3"/>
      </w:pPr>
      <w:bookmarkStart w:id="48" w:name="_Toc44412046"/>
      <w:r>
        <w:t>Fuel</w:t>
      </w:r>
      <w:r w:rsidR="009C23D6">
        <w:t>-</w:t>
      </w:r>
      <w:r>
        <w:t>Price Assum</w:t>
      </w:r>
      <w:r w:rsidR="00B64CF6">
        <w:t>p</w:t>
      </w:r>
      <w:r>
        <w:t>tions</w:t>
      </w:r>
      <w:bookmarkEnd w:id="48"/>
    </w:p>
    <w:p w:rsidR="006819A8" w:rsidRDefault="006819A8" w:rsidP="006819A8">
      <w:r>
        <w:t xml:space="preserve">The assumed fuel prices for coal, oil, and natural gas were based on forecasts from the US Department of Energy (DOE), Energy </w:t>
      </w:r>
      <w:r w:rsidRPr="00632AC8">
        <w:t>Information Administration (EIA)</w:t>
      </w:r>
      <w:r w:rsidR="00857A79">
        <w:t xml:space="preserve"> </w:t>
      </w:r>
      <w:r w:rsidR="00857A79" w:rsidRPr="00E810E3">
        <w:rPr>
          <w:i/>
        </w:rPr>
        <w:t>2019 Annual Energy Outlook</w:t>
      </w:r>
      <w:r w:rsidR="00857A79" w:rsidRPr="00E810E3">
        <w:t xml:space="preserve"> (AEO) for New England.</w:t>
      </w:r>
      <w:r w:rsidR="00857A79" w:rsidRPr="00E810E3">
        <w:rPr>
          <w:rStyle w:val="FootnoteReference"/>
        </w:rPr>
        <w:footnoteReference w:id="27"/>
      </w:r>
    </w:p>
    <w:p w:rsidR="009C02EB" w:rsidRDefault="009C02EB" w:rsidP="00E07AB1">
      <w:pPr>
        <w:pStyle w:val="Heading3"/>
      </w:pPr>
      <w:bookmarkStart w:id="49" w:name="_Toc44412047"/>
      <w:r>
        <w:t xml:space="preserve">Air </w:t>
      </w:r>
      <w:r w:rsidR="007C06FF">
        <w:t>E</w:t>
      </w:r>
      <w:r>
        <w:t xml:space="preserve">mission </w:t>
      </w:r>
      <w:r w:rsidR="007C06FF">
        <w:t>A</w:t>
      </w:r>
      <w:r>
        <w:t xml:space="preserve">llowance </w:t>
      </w:r>
      <w:r w:rsidR="007C06FF">
        <w:t>P</w:t>
      </w:r>
      <w:r>
        <w:t>rices</w:t>
      </w:r>
      <w:bookmarkEnd w:id="49"/>
    </w:p>
    <w:p w:rsidR="007C06FF" w:rsidRDefault="00510D31" w:rsidP="00510D31">
      <w:r>
        <w:t xml:space="preserve">The study used </w:t>
      </w:r>
      <w:r w:rsidR="007C06FF">
        <w:t xml:space="preserve">the following </w:t>
      </w:r>
      <w:r>
        <w:t>allowance</w:t>
      </w:r>
      <w:r w:rsidR="00596B6B">
        <w:t>-</w:t>
      </w:r>
      <w:r>
        <w:t>price</w:t>
      </w:r>
      <w:r w:rsidR="00596B6B">
        <w:t xml:space="preserve"> assumption</w:t>
      </w:r>
      <w:r>
        <w:t>s</w:t>
      </w:r>
      <w:r w:rsidR="00596B6B">
        <w:t xml:space="preserve"> for 2030 </w:t>
      </w:r>
      <w:r>
        <w:t>for nitrogen oxide</w:t>
      </w:r>
      <w:r w:rsidR="00D831AD">
        <w:t xml:space="preserve"> (NO</w:t>
      </w:r>
      <w:r w:rsidR="00D831AD" w:rsidRPr="00E07AB1">
        <w:rPr>
          <w:vertAlign w:val="subscript"/>
        </w:rPr>
        <w:t>X</w:t>
      </w:r>
      <w:r w:rsidR="00D831AD">
        <w:t>)</w:t>
      </w:r>
      <w:r>
        <w:t>, sulfur dioxide</w:t>
      </w:r>
      <w:r w:rsidR="00D831AD">
        <w:t xml:space="preserve"> (SO</w:t>
      </w:r>
      <w:r w:rsidR="00D831AD" w:rsidRPr="00E07AB1">
        <w:rPr>
          <w:vertAlign w:val="subscript"/>
        </w:rPr>
        <w:t>2</w:t>
      </w:r>
      <w:r w:rsidR="00D831AD">
        <w:t>)</w:t>
      </w:r>
      <w:r>
        <w:t>, and carbon dioxide</w:t>
      </w:r>
      <w:r w:rsidR="007C06FF">
        <w:t xml:space="preserve"> </w:t>
      </w:r>
      <w:r w:rsidR="00D831AD">
        <w:t>(CO</w:t>
      </w:r>
      <w:r w:rsidR="00D831AD" w:rsidRPr="00E07AB1">
        <w:rPr>
          <w:vertAlign w:val="subscript"/>
        </w:rPr>
        <w:t>2</w:t>
      </w:r>
      <w:r w:rsidR="00D831AD">
        <w:t xml:space="preserve">) </w:t>
      </w:r>
      <w:r w:rsidR="00596B6B">
        <w:t xml:space="preserve">air </w:t>
      </w:r>
      <w:r w:rsidR="007C06FF">
        <w:t>emission</w:t>
      </w:r>
      <w:r w:rsidR="00596B6B">
        <w:t>s</w:t>
      </w:r>
      <w:r>
        <w:t>, which affect the economic dispatch price for fossil-burning generation units</w:t>
      </w:r>
      <w:r w:rsidR="007C06FF">
        <w:t>:</w:t>
      </w:r>
    </w:p>
    <w:p w:rsidR="007C06FF" w:rsidRDefault="007C06FF" w:rsidP="0018404F">
      <w:pPr>
        <w:pStyle w:val="ListParagraph"/>
        <w:numPr>
          <w:ilvl w:val="0"/>
          <w:numId w:val="33"/>
        </w:numPr>
      </w:pPr>
      <w:r>
        <w:t>Nitrogen oxides</w:t>
      </w:r>
      <w:r w:rsidR="00D831AD">
        <w:t xml:space="preserve">: </w:t>
      </w:r>
      <w:r>
        <w:t>$6.18/short ton</w:t>
      </w:r>
    </w:p>
    <w:p w:rsidR="007C06FF" w:rsidRDefault="007C06FF" w:rsidP="0018404F">
      <w:pPr>
        <w:pStyle w:val="ListParagraph"/>
        <w:numPr>
          <w:ilvl w:val="0"/>
          <w:numId w:val="33"/>
        </w:numPr>
      </w:pPr>
      <w:r>
        <w:t>Sulfur dioxide</w:t>
      </w:r>
      <w:r w:rsidR="00D831AD">
        <w:t xml:space="preserve">: </w:t>
      </w:r>
      <w:r>
        <w:t>$6.18/short ton</w:t>
      </w:r>
    </w:p>
    <w:p w:rsidR="007C06FF" w:rsidRDefault="007C06FF" w:rsidP="00E07AB1">
      <w:pPr>
        <w:pStyle w:val="ListParagraph"/>
        <w:numPr>
          <w:ilvl w:val="0"/>
          <w:numId w:val="33"/>
        </w:numPr>
        <w:spacing w:after="240"/>
      </w:pPr>
      <w:r>
        <w:t>Carbon dioxide</w:t>
      </w:r>
      <w:r w:rsidR="00D831AD">
        <w:t>: $</w:t>
      </w:r>
      <w:r>
        <w:t>24.00/short ton</w:t>
      </w:r>
    </w:p>
    <w:p w:rsidR="00510D31" w:rsidRDefault="00510D31" w:rsidP="00510D31">
      <w:r>
        <w:t xml:space="preserve">These prices are consistent with </w:t>
      </w:r>
      <w:r w:rsidR="00596B6B">
        <w:t xml:space="preserve">those </w:t>
      </w:r>
      <w:r>
        <w:t xml:space="preserve">used for the 2017 Economic Study. </w:t>
      </w:r>
      <w:r w:rsidRPr="00510D31">
        <w:t xml:space="preserve">To </w:t>
      </w:r>
      <w:r w:rsidR="00EC7AF8">
        <w:t>check compliance with</w:t>
      </w:r>
      <w:r w:rsidR="00EC7AF8" w:rsidRPr="00510D31">
        <w:t xml:space="preserve"> </w:t>
      </w:r>
      <w:r w:rsidRPr="00510D31">
        <w:t xml:space="preserve">the Massachusetts </w:t>
      </w:r>
      <w:r w:rsidRPr="0018404F">
        <w:rPr>
          <w:i/>
        </w:rPr>
        <w:t>Global Warming Solutions Act</w:t>
      </w:r>
      <w:r w:rsidRPr="00510D31">
        <w:t xml:space="preserve"> (GWSA)</w:t>
      </w:r>
      <w:r w:rsidR="00D831AD">
        <w:t>,</w:t>
      </w:r>
      <w:r w:rsidRPr="00510D31">
        <w:t xml:space="preserve"> CO</w:t>
      </w:r>
      <w:r w:rsidRPr="00510D31">
        <w:rPr>
          <w:vertAlign w:val="subscript"/>
        </w:rPr>
        <w:t>2</w:t>
      </w:r>
      <w:r w:rsidRPr="00510D31">
        <w:t xml:space="preserve"> emission</w:t>
      </w:r>
      <w:r w:rsidR="00EC7AF8">
        <w:t>s</w:t>
      </w:r>
      <w:r w:rsidRPr="00510D31">
        <w:t xml:space="preserve"> </w:t>
      </w:r>
      <w:r w:rsidR="0070721B">
        <w:t>from</w:t>
      </w:r>
      <w:r w:rsidR="0070721B" w:rsidRPr="00510D31">
        <w:t xml:space="preserve"> </w:t>
      </w:r>
      <w:r w:rsidRPr="00510D31">
        <w:t>affected fossil fuel generators located in Massachusetts</w:t>
      </w:r>
      <w:r w:rsidR="0070721B">
        <w:t xml:space="preserve"> were compared to allowable limits</w:t>
      </w:r>
      <w:r>
        <w:t>.</w:t>
      </w:r>
      <w:r w:rsidR="00D831AD">
        <w:rPr>
          <w:rStyle w:val="FootnoteReference"/>
        </w:rPr>
        <w:footnoteReference w:id="28"/>
      </w:r>
    </w:p>
    <w:p w:rsidR="009C02EB" w:rsidRPr="008C4E62" w:rsidRDefault="009C02EB" w:rsidP="0018404F">
      <w:pPr>
        <w:pStyle w:val="Heading3"/>
      </w:pPr>
      <w:bookmarkStart w:id="50" w:name="_Ref44401152"/>
      <w:bookmarkStart w:id="51" w:name="_Toc44412048"/>
      <w:r w:rsidRPr="008C4E62">
        <w:lastRenderedPageBreak/>
        <w:t xml:space="preserve">Threshold </w:t>
      </w:r>
      <w:r w:rsidR="00D831AD" w:rsidRPr="008C4E62">
        <w:t>P</w:t>
      </w:r>
      <w:r w:rsidRPr="008C4E62">
        <w:t>rices</w:t>
      </w:r>
      <w:bookmarkEnd w:id="50"/>
      <w:bookmarkEnd w:id="51"/>
    </w:p>
    <w:p w:rsidR="001C20B1" w:rsidRDefault="00846966" w:rsidP="00942EE7">
      <w:r w:rsidRPr="00373637">
        <w:t>Threshold prices were</w:t>
      </w:r>
      <w:r w:rsidR="00B26639" w:rsidRPr="00373637">
        <w:t xml:space="preserve"> assigned to certain resource types</w:t>
      </w:r>
      <w:r w:rsidR="00E914E5" w:rsidRPr="00373637">
        <w:t xml:space="preserve"> in this study,</w:t>
      </w:r>
      <w:r w:rsidR="00B26639" w:rsidRPr="00373637">
        <w:t xml:space="preserve"> </w:t>
      </w:r>
      <w:r w:rsidR="00E914E5" w:rsidRPr="00373637">
        <w:t xml:space="preserve">including photovoltaics (PV), onshore wind, and offshore wind, </w:t>
      </w:r>
      <w:r w:rsidR="00B26639" w:rsidRPr="00373637">
        <w:t>to facilitate the analysis of load levels where the amount of $0/</w:t>
      </w:r>
      <w:r w:rsidR="00D831AD" w:rsidRPr="00373637">
        <w:t>megawatt-hour (</w:t>
      </w:r>
      <w:r w:rsidR="00B26639" w:rsidRPr="00373637">
        <w:t>MWh</w:t>
      </w:r>
      <w:r w:rsidR="00D831AD" w:rsidRPr="00373637">
        <w:t>)</w:t>
      </w:r>
      <w:r w:rsidR="00B26639" w:rsidRPr="00373637">
        <w:t xml:space="preserve"> resources exceed</w:t>
      </w:r>
      <w:r w:rsidR="00D831AD" w:rsidRPr="00373637">
        <w:t>ed</w:t>
      </w:r>
      <w:r w:rsidR="00B26639" w:rsidRPr="00373637">
        <w:t xml:space="preserve"> the system </w:t>
      </w:r>
      <w:r w:rsidR="00703947" w:rsidRPr="00373637">
        <w:t>load</w:t>
      </w:r>
      <w:r w:rsidR="006E75A7" w:rsidRPr="00373637">
        <w:t>, which leads to oversupply</w:t>
      </w:r>
      <w:r w:rsidR="00B04ED8" w:rsidRPr="00373637">
        <w:t>.</w:t>
      </w:r>
      <w:r w:rsidR="0052653B" w:rsidRPr="00373637">
        <w:rPr>
          <w:rStyle w:val="FootnoteReference"/>
        </w:rPr>
        <w:footnoteReference w:id="29"/>
      </w:r>
      <w:r w:rsidR="00B04ED8" w:rsidRPr="00373637">
        <w:t xml:space="preserve"> </w:t>
      </w:r>
      <w:r w:rsidR="006E75A7" w:rsidRPr="00373637">
        <w:t>The t</w:t>
      </w:r>
      <w:r w:rsidRPr="00373637">
        <w:t xml:space="preserve">hreshold prices </w:t>
      </w:r>
      <w:r w:rsidR="006E75A7" w:rsidRPr="00373637">
        <w:t xml:space="preserve">govern </w:t>
      </w:r>
      <w:r w:rsidR="00942EE7" w:rsidRPr="00373637">
        <w:t>which type of resources to back</w:t>
      </w:r>
      <w:r w:rsidR="00E914E5" w:rsidRPr="00373637">
        <w:t xml:space="preserve"> </w:t>
      </w:r>
      <w:r w:rsidR="00942EE7" w:rsidRPr="00373637">
        <w:t>down first</w:t>
      </w:r>
      <w:r w:rsidR="00F95844" w:rsidRPr="00373637">
        <w:t xml:space="preserve"> to </w:t>
      </w:r>
      <w:r w:rsidR="007C5119" w:rsidRPr="00373637">
        <w:t>balance supply and demand</w:t>
      </w:r>
      <w:r w:rsidR="006E75A7" w:rsidRPr="00373637">
        <w:t xml:space="preserve"> and inform t</w:t>
      </w:r>
      <w:r w:rsidR="007C5119" w:rsidRPr="00373637">
        <w:t xml:space="preserve">he model </w:t>
      </w:r>
      <w:r w:rsidR="00CA43F7" w:rsidRPr="00373637">
        <w:t xml:space="preserve">about </w:t>
      </w:r>
      <w:r w:rsidR="006E75A7" w:rsidRPr="00373637">
        <w:t>which</w:t>
      </w:r>
      <w:r w:rsidR="00CA43F7" w:rsidRPr="00373637">
        <w:t xml:space="preserve"> </w:t>
      </w:r>
      <w:r w:rsidR="007C5119" w:rsidRPr="00373637">
        <w:t>resources’ output</w:t>
      </w:r>
      <w:r w:rsidR="006E75A7" w:rsidRPr="00373637">
        <w:t xml:space="preserve"> </w:t>
      </w:r>
      <w:r w:rsidR="00CA43F7" w:rsidRPr="00373637">
        <w:t xml:space="preserve">to </w:t>
      </w:r>
      <w:r w:rsidR="006E75A7" w:rsidRPr="00373637">
        <w:t>reduce—or spill</w:t>
      </w:r>
      <w:r w:rsidR="007C5119" w:rsidRPr="00373637">
        <w:t>.</w:t>
      </w:r>
      <w:r w:rsidR="00F95844" w:rsidRPr="00373637">
        <w:t xml:space="preserve"> </w:t>
      </w:r>
      <w:r w:rsidR="00942EE7" w:rsidRPr="00373637">
        <w:t>T</w:t>
      </w:r>
      <w:r w:rsidR="00CA43F7" w:rsidRPr="00373637">
        <w:t xml:space="preserve">hreshold prices </w:t>
      </w:r>
      <w:r w:rsidR="00942EE7" w:rsidRPr="00373637">
        <w:t>are not indicative of “true” cost, expected bidding</w:t>
      </w:r>
      <w:r w:rsidR="00942EE7">
        <w:t xml:space="preserve"> behavior, or the preference for one type of resource over </w:t>
      </w:r>
      <w:r w:rsidR="00703947">
        <w:t>another</w:t>
      </w:r>
      <w:r w:rsidR="00942EE7">
        <w:t xml:space="preserve">. The 2019 NESCOE Economic Study used similar threshold prices as </w:t>
      </w:r>
      <w:r w:rsidR="001C20B1">
        <w:t xml:space="preserve">in </w:t>
      </w:r>
      <w:r w:rsidR="00942EE7">
        <w:t xml:space="preserve">prior </w:t>
      </w:r>
      <w:r w:rsidR="001C20B1">
        <w:t>e</w:t>
      </w:r>
      <w:r w:rsidR="00942EE7">
        <w:t xml:space="preserve">conomic </w:t>
      </w:r>
      <w:r w:rsidR="001C20B1">
        <w:t>s</w:t>
      </w:r>
      <w:r w:rsidR="00942EE7">
        <w:t>tudies (2016</w:t>
      </w:r>
      <w:r w:rsidR="0050799C">
        <w:t xml:space="preserve"> </w:t>
      </w:r>
      <w:r w:rsidR="00942EE7">
        <w:t>and 2017), with two adjustments:</w:t>
      </w:r>
    </w:p>
    <w:p w:rsidR="001C20B1" w:rsidRDefault="00942EE7" w:rsidP="0018404F">
      <w:pPr>
        <w:pStyle w:val="ListParagraph"/>
        <w:numPr>
          <w:ilvl w:val="0"/>
          <w:numId w:val="34"/>
        </w:numPr>
      </w:pPr>
      <w:r>
        <w:t>The behind</w:t>
      </w:r>
      <w:r w:rsidR="00E914E5">
        <w:t>-</w:t>
      </w:r>
      <w:r>
        <w:t>the</w:t>
      </w:r>
      <w:r w:rsidR="00E914E5">
        <w:t>-</w:t>
      </w:r>
      <w:r>
        <w:t>meter PV and utility</w:t>
      </w:r>
      <w:r w:rsidR="00E914E5">
        <w:t>-</w:t>
      </w:r>
      <w:r>
        <w:t>scale PV (F</w:t>
      </w:r>
      <w:r w:rsidR="001C20B1">
        <w:t>CM</w:t>
      </w:r>
      <w:r>
        <w:t xml:space="preserve"> </w:t>
      </w:r>
      <w:r w:rsidR="001C20B1">
        <w:t>and</w:t>
      </w:r>
      <w:r>
        <w:t xml:space="preserve"> energy only) </w:t>
      </w:r>
      <w:r w:rsidR="001C20B1">
        <w:t>we</w:t>
      </w:r>
      <w:r>
        <w:t>re differentiated</w:t>
      </w:r>
      <w:r w:rsidR="001C20B1">
        <w:t>.</w:t>
      </w:r>
    </w:p>
    <w:p w:rsidR="001C20B1" w:rsidRDefault="001C20B1" w:rsidP="0018404F">
      <w:pPr>
        <w:pStyle w:val="ListParagraph"/>
        <w:numPr>
          <w:ilvl w:val="0"/>
          <w:numId w:val="34"/>
        </w:numPr>
        <w:spacing w:after="240"/>
      </w:pPr>
      <w:r>
        <w:t>A</w:t>
      </w:r>
      <w:r w:rsidR="00942EE7">
        <w:t xml:space="preserve"> </w:t>
      </w:r>
      <w:r w:rsidR="00962511">
        <w:t xml:space="preserve">preferential </w:t>
      </w:r>
      <w:r w:rsidR="00942EE7">
        <w:t xml:space="preserve">threshold price was </w:t>
      </w:r>
      <w:r w:rsidR="00962511">
        <w:t xml:space="preserve">applied to energy from the </w:t>
      </w:r>
      <w:r w:rsidR="0050799C">
        <w:t xml:space="preserve">newly proposed </w:t>
      </w:r>
      <w:r w:rsidR="00942EE7">
        <w:t>NECEC tie</w:t>
      </w:r>
      <w:r w:rsidR="00962511">
        <w:t xml:space="preserve"> because of publicly available contract terms</w:t>
      </w:r>
      <w:r w:rsidR="0050799C">
        <w:t>.</w:t>
      </w:r>
      <w:r w:rsidR="00837709">
        <w:rPr>
          <w:rStyle w:val="FootnoteReference"/>
        </w:rPr>
        <w:footnoteReference w:id="30"/>
      </w:r>
    </w:p>
    <w:p w:rsidR="00942EE7" w:rsidRDefault="001C20B1" w:rsidP="00942EE7">
      <w:r>
        <w:t>The u</w:t>
      </w:r>
      <w:r w:rsidR="00942EE7">
        <w:t xml:space="preserve">se of different threshold prices </w:t>
      </w:r>
      <w:r w:rsidR="00901753">
        <w:t xml:space="preserve">other </w:t>
      </w:r>
      <w:r w:rsidR="00942EE7">
        <w:t xml:space="preserve">than indicated </w:t>
      </w:r>
      <w:r w:rsidR="0050799C">
        <w:t xml:space="preserve">in </w:t>
      </w:r>
      <w:r w:rsidRPr="00343A52">
        <w:fldChar w:fldCharType="begin"/>
      </w:r>
      <w:r w:rsidRPr="001C20B1">
        <w:instrText xml:space="preserve"> REF _Ref42603671 \h </w:instrText>
      </w:r>
      <w:r w:rsidRPr="0018404F">
        <w:instrText xml:space="preserve"> \* MERGEFORMAT </w:instrText>
      </w:r>
      <w:r w:rsidRPr="00343A52">
        <w:fldChar w:fldCharType="separate"/>
      </w:r>
      <w:r w:rsidR="001F5E1A" w:rsidRPr="001C20B1">
        <w:t xml:space="preserve">Table </w:t>
      </w:r>
      <w:r w:rsidR="001F5E1A">
        <w:rPr>
          <w:noProof/>
        </w:rPr>
        <w:t>5</w:t>
      </w:r>
      <w:r w:rsidR="001F5E1A">
        <w:rPr>
          <w:noProof/>
        </w:rPr>
        <w:noBreakHyphen/>
        <w:t>2</w:t>
      </w:r>
      <w:r w:rsidRPr="00343A52">
        <w:fldChar w:fldCharType="end"/>
      </w:r>
      <w:r w:rsidR="0050799C">
        <w:t xml:space="preserve"> </w:t>
      </w:r>
      <w:r w:rsidR="00942EE7">
        <w:t>may produce different outcomes</w:t>
      </w:r>
      <w:r w:rsidR="0050799C">
        <w:t>.</w:t>
      </w:r>
      <w:r w:rsidR="00510D31" w:rsidRPr="00510D31">
        <w:t xml:space="preserve"> </w:t>
      </w:r>
    </w:p>
    <w:p w:rsidR="0050799C" w:rsidRDefault="001C20B1" w:rsidP="00E914E5">
      <w:pPr>
        <w:pStyle w:val="Caption"/>
        <w:jc w:val="center"/>
      </w:pPr>
      <w:bookmarkStart w:id="52" w:name="_Ref42603671"/>
      <w:bookmarkStart w:id="53" w:name="_Toc44412063"/>
      <w:r w:rsidRPr="001C20B1">
        <w:t xml:space="preserve">Table </w:t>
      </w:r>
      <w:fldSimple w:instr=" STYLEREF 1 \s ">
        <w:r w:rsidR="00E62212">
          <w:rPr>
            <w:noProof/>
          </w:rPr>
          <w:t>5</w:t>
        </w:r>
      </w:fldSimple>
      <w:r w:rsidR="00E62212">
        <w:noBreakHyphen/>
      </w:r>
      <w:fldSimple w:instr=" SEQ Table \* ARABIC \s 1 ">
        <w:r w:rsidR="00E62212">
          <w:rPr>
            <w:noProof/>
          </w:rPr>
          <w:t>2</w:t>
        </w:r>
      </w:fldSimple>
      <w:bookmarkEnd w:id="52"/>
      <w:r w:rsidRPr="001C20B1">
        <w:br/>
      </w:r>
      <w:r w:rsidR="0050799C" w:rsidRPr="001C20B1">
        <w:t xml:space="preserve">Threshold Prices for the </w:t>
      </w:r>
      <w:r w:rsidR="00E914E5">
        <w:t xml:space="preserve">2019 </w:t>
      </w:r>
      <w:r w:rsidR="0050799C" w:rsidRPr="001C20B1">
        <w:t>NESCOE Economic Study</w:t>
      </w:r>
      <w:r>
        <w:t xml:space="preserve"> ($/MWh)</w:t>
      </w:r>
      <w:bookmarkEnd w:id="53"/>
    </w:p>
    <w:tbl>
      <w:tblPr>
        <w:tblStyle w:val="TableGrid"/>
        <w:tblW w:w="0" w:type="auto"/>
        <w:jc w:val="center"/>
        <w:tblLook w:val="04A0" w:firstRow="1" w:lastRow="0" w:firstColumn="1" w:lastColumn="0" w:noHBand="0" w:noVBand="1"/>
      </w:tblPr>
      <w:tblGrid>
        <w:gridCol w:w="3690"/>
        <w:gridCol w:w="2155"/>
      </w:tblGrid>
      <w:tr w:rsidR="002A1E8B" w:rsidRPr="009F6AAD" w:rsidTr="00E712DA">
        <w:trPr>
          <w:jc w:val="center"/>
        </w:trPr>
        <w:tc>
          <w:tcPr>
            <w:tcW w:w="3690" w:type="dxa"/>
            <w:shd w:val="clear" w:color="auto" w:fill="1795D2" w:themeFill="accent1"/>
            <w:vAlign w:val="center"/>
          </w:tcPr>
          <w:p w:rsidR="002A1E8B" w:rsidRPr="00E712DA" w:rsidRDefault="002A1E8B" w:rsidP="00E712DA">
            <w:pPr>
              <w:keepNext/>
              <w:keepLines/>
              <w:spacing w:before="40" w:after="40" w:line="240" w:lineRule="auto"/>
              <w:jc w:val="center"/>
              <w:rPr>
                <w:rFonts w:asciiTheme="minorHAnsi" w:hAnsiTheme="minorHAnsi" w:cstheme="minorHAnsi"/>
                <w:b/>
                <w:color w:val="FFFFFF" w:themeColor="background1"/>
                <w:sz w:val="18"/>
                <w:szCs w:val="18"/>
              </w:rPr>
            </w:pPr>
            <w:r w:rsidRPr="00E712DA">
              <w:rPr>
                <w:rFonts w:asciiTheme="minorHAnsi" w:hAnsiTheme="minorHAnsi" w:cstheme="minorHAnsi"/>
                <w:b/>
                <w:color w:val="FFFFFF" w:themeColor="background1"/>
                <w:sz w:val="18"/>
                <w:szCs w:val="18"/>
              </w:rPr>
              <w:t>Price-Taking Resource</w:t>
            </w:r>
          </w:p>
        </w:tc>
        <w:tc>
          <w:tcPr>
            <w:tcW w:w="2155" w:type="dxa"/>
            <w:shd w:val="clear" w:color="auto" w:fill="1795D2" w:themeFill="accent1"/>
            <w:vAlign w:val="center"/>
          </w:tcPr>
          <w:p w:rsidR="002A1E8B" w:rsidRPr="00E712DA" w:rsidRDefault="002A1E8B" w:rsidP="00E712DA">
            <w:pPr>
              <w:keepNext/>
              <w:keepLines/>
              <w:spacing w:before="40" w:after="40" w:line="240" w:lineRule="auto"/>
              <w:jc w:val="center"/>
              <w:rPr>
                <w:rFonts w:asciiTheme="minorHAnsi" w:hAnsiTheme="minorHAnsi" w:cstheme="minorHAnsi"/>
                <w:b/>
                <w:color w:val="FFFFFF" w:themeColor="background1"/>
                <w:sz w:val="18"/>
                <w:szCs w:val="18"/>
              </w:rPr>
            </w:pPr>
            <w:r w:rsidRPr="00E712DA">
              <w:rPr>
                <w:rFonts w:asciiTheme="minorHAnsi" w:hAnsiTheme="minorHAnsi" w:cstheme="minorHAnsi"/>
                <w:b/>
                <w:color w:val="FFFFFF" w:themeColor="background1"/>
                <w:sz w:val="18"/>
                <w:szCs w:val="18"/>
              </w:rPr>
              <w:t>Threshold Price ($/MWh)</w:t>
            </w:r>
          </w:p>
        </w:tc>
      </w:tr>
      <w:tr w:rsidR="002A1E8B" w:rsidRPr="009F6AAD" w:rsidTr="00E712DA">
        <w:trPr>
          <w:jc w:val="center"/>
        </w:trPr>
        <w:tc>
          <w:tcPr>
            <w:tcW w:w="3690" w:type="dxa"/>
            <w:vAlign w:val="center"/>
          </w:tcPr>
          <w:p w:rsidR="002A1E8B" w:rsidRPr="00E712DA" w:rsidRDefault="002A1E8B" w:rsidP="00E712DA">
            <w:pPr>
              <w:keepNext/>
              <w:keepLines/>
              <w:spacing w:before="40" w:after="40" w:line="240" w:lineRule="auto"/>
              <w:rPr>
                <w:rFonts w:asciiTheme="minorHAnsi" w:hAnsiTheme="minorHAnsi" w:cstheme="minorHAnsi"/>
                <w:sz w:val="18"/>
                <w:szCs w:val="18"/>
              </w:rPr>
            </w:pPr>
            <w:r w:rsidRPr="00E712DA">
              <w:rPr>
                <w:rFonts w:asciiTheme="minorHAnsi" w:hAnsiTheme="minorHAnsi" w:cstheme="minorHAnsi"/>
                <w:sz w:val="18"/>
                <w:szCs w:val="18"/>
              </w:rPr>
              <w:t>Behind-the-meter PV</w:t>
            </w:r>
          </w:p>
        </w:tc>
        <w:tc>
          <w:tcPr>
            <w:tcW w:w="2155" w:type="dxa"/>
            <w:vAlign w:val="center"/>
          </w:tcPr>
          <w:p w:rsidR="002A1E8B" w:rsidRPr="00E712DA" w:rsidRDefault="002A1E8B" w:rsidP="00E712DA">
            <w:pPr>
              <w:keepNext/>
              <w:keepLines/>
              <w:spacing w:before="40" w:after="40" w:line="240" w:lineRule="auto"/>
              <w:jc w:val="center"/>
              <w:rPr>
                <w:rFonts w:asciiTheme="minorHAnsi" w:hAnsiTheme="minorHAnsi" w:cstheme="minorHAnsi"/>
                <w:sz w:val="18"/>
                <w:szCs w:val="18"/>
              </w:rPr>
            </w:pPr>
            <w:r w:rsidRPr="00E712DA">
              <w:rPr>
                <w:rFonts w:asciiTheme="minorHAnsi" w:hAnsiTheme="minorHAnsi" w:cstheme="minorHAnsi"/>
                <w:sz w:val="18"/>
                <w:szCs w:val="18"/>
              </w:rPr>
              <w:t>1</w:t>
            </w:r>
          </w:p>
        </w:tc>
      </w:tr>
      <w:tr w:rsidR="002A1E8B" w:rsidRPr="009F6AAD" w:rsidTr="00E712DA">
        <w:trPr>
          <w:jc w:val="center"/>
        </w:trPr>
        <w:tc>
          <w:tcPr>
            <w:tcW w:w="3690" w:type="dxa"/>
            <w:shd w:val="clear" w:color="auto" w:fill="CCEAF9" w:themeFill="accent1" w:themeFillTint="33"/>
            <w:vAlign w:val="center"/>
          </w:tcPr>
          <w:p w:rsidR="002A1E8B" w:rsidRPr="00E712DA" w:rsidRDefault="002A1E8B" w:rsidP="00E712DA">
            <w:pPr>
              <w:keepNext/>
              <w:keepLines/>
              <w:spacing w:before="40" w:after="40" w:line="240" w:lineRule="auto"/>
              <w:rPr>
                <w:rFonts w:asciiTheme="minorHAnsi" w:hAnsiTheme="minorHAnsi" w:cstheme="minorHAnsi"/>
                <w:sz w:val="18"/>
                <w:szCs w:val="18"/>
              </w:rPr>
            </w:pPr>
            <w:r w:rsidRPr="00E712DA">
              <w:rPr>
                <w:rFonts w:asciiTheme="minorHAnsi" w:hAnsiTheme="minorHAnsi" w:cstheme="minorHAnsi"/>
                <w:sz w:val="18"/>
                <w:szCs w:val="18"/>
              </w:rPr>
              <w:t>NECEC (1,090 MW)</w:t>
            </w:r>
          </w:p>
        </w:tc>
        <w:tc>
          <w:tcPr>
            <w:tcW w:w="2155" w:type="dxa"/>
            <w:shd w:val="clear" w:color="auto" w:fill="CCEAF9" w:themeFill="accent1" w:themeFillTint="33"/>
            <w:vAlign w:val="center"/>
          </w:tcPr>
          <w:p w:rsidR="002A1E8B" w:rsidRPr="00E712DA" w:rsidRDefault="002A1E8B" w:rsidP="00E712DA">
            <w:pPr>
              <w:keepNext/>
              <w:keepLines/>
              <w:spacing w:before="40" w:after="40" w:line="240" w:lineRule="auto"/>
              <w:jc w:val="center"/>
              <w:rPr>
                <w:rFonts w:asciiTheme="minorHAnsi" w:hAnsiTheme="minorHAnsi" w:cstheme="minorHAnsi"/>
                <w:sz w:val="18"/>
                <w:szCs w:val="18"/>
              </w:rPr>
            </w:pPr>
            <w:r w:rsidRPr="00E712DA">
              <w:rPr>
                <w:rFonts w:asciiTheme="minorHAnsi" w:hAnsiTheme="minorHAnsi" w:cstheme="minorHAnsi"/>
                <w:sz w:val="18"/>
                <w:szCs w:val="18"/>
              </w:rPr>
              <w:t>2</w:t>
            </w:r>
          </w:p>
        </w:tc>
      </w:tr>
      <w:tr w:rsidR="002A1E8B" w:rsidRPr="009F6AAD" w:rsidTr="00E712DA">
        <w:trPr>
          <w:jc w:val="center"/>
        </w:trPr>
        <w:tc>
          <w:tcPr>
            <w:tcW w:w="3690" w:type="dxa"/>
            <w:vAlign w:val="center"/>
          </w:tcPr>
          <w:p w:rsidR="002A1E8B" w:rsidRPr="00E712DA" w:rsidRDefault="002A1E8B" w:rsidP="00E712DA">
            <w:pPr>
              <w:keepNext/>
              <w:keepLines/>
              <w:spacing w:before="40" w:after="40" w:line="240" w:lineRule="auto"/>
              <w:rPr>
                <w:rFonts w:asciiTheme="minorHAnsi" w:hAnsiTheme="minorHAnsi" w:cstheme="minorHAnsi"/>
                <w:sz w:val="18"/>
                <w:szCs w:val="18"/>
              </w:rPr>
            </w:pPr>
            <w:r w:rsidRPr="00E712DA">
              <w:rPr>
                <w:rFonts w:asciiTheme="minorHAnsi" w:hAnsiTheme="minorHAnsi" w:cstheme="minorHAnsi"/>
                <w:sz w:val="18"/>
                <w:szCs w:val="18"/>
              </w:rPr>
              <w:t>Utility-scale PV</w:t>
            </w:r>
          </w:p>
        </w:tc>
        <w:tc>
          <w:tcPr>
            <w:tcW w:w="2155" w:type="dxa"/>
            <w:vAlign w:val="center"/>
          </w:tcPr>
          <w:p w:rsidR="002A1E8B" w:rsidRPr="00E712DA" w:rsidRDefault="002A1E8B" w:rsidP="00E712DA">
            <w:pPr>
              <w:keepNext/>
              <w:keepLines/>
              <w:spacing w:before="40" w:after="40" w:line="240" w:lineRule="auto"/>
              <w:jc w:val="center"/>
              <w:rPr>
                <w:rFonts w:asciiTheme="minorHAnsi" w:hAnsiTheme="minorHAnsi" w:cstheme="minorHAnsi"/>
                <w:sz w:val="18"/>
                <w:szCs w:val="18"/>
              </w:rPr>
            </w:pPr>
            <w:r w:rsidRPr="00E712DA">
              <w:rPr>
                <w:rFonts w:asciiTheme="minorHAnsi" w:hAnsiTheme="minorHAnsi" w:cstheme="minorHAnsi"/>
                <w:sz w:val="18"/>
                <w:szCs w:val="18"/>
              </w:rPr>
              <w:t>3</w:t>
            </w:r>
          </w:p>
        </w:tc>
      </w:tr>
      <w:tr w:rsidR="002A1E8B" w:rsidRPr="009F6AAD" w:rsidTr="00E712DA">
        <w:trPr>
          <w:jc w:val="center"/>
        </w:trPr>
        <w:tc>
          <w:tcPr>
            <w:tcW w:w="3690" w:type="dxa"/>
            <w:shd w:val="clear" w:color="auto" w:fill="CCEAF9" w:themeFill="accent1" w:themeFillTint="33"/>
            <w:vAlign w:val="center"/>
          </w:tcPr>
          <w:p w:rsidR="002A1E8B" w:rsidRPr="00E712DA" w:rsidRDefault="002A1E8B" w:rsidP="00E712DA">
            <w:pPr>
              <w:keepNext/>
              <w:keepLines/>
              <w:spacing w:before="40" w:after="40" w:line="240" w:lineRule="auto"/>
              <w:rPr>
                <w:rFonts w:asciiTheme="minorHAnsi" w:hAnsiTheme="minorHAnsi" w:cstheme="minorHAnsi"/>
                <w:sz w:val="18"/>
                <w:szCs w:val="18"/>
              </w:rPr>
            </w:pPr>
            <w:r w:rsidRPr="00E712DA">
              <w:rPr>
                <w:rFonts w:asciiTheme="minorHAnsi" w:hAnsiTheme="minorHAnsi" w:cstheme="minorHAnsi"/>
                <w:sz w:val="18"/>
                <w:szCs w:val="18"/>
              </w:rPr>
              <w:t>Onshore/offshore wind</w:t>
            </w:r>
          </w:p>
        </w:tc>
        <w:tc>
          <w:tcPr>
            <w:tcW w:w="2155" w:type="dxa"/>
            <w:shd w:val="clear" w:color="auto" w:fill="CCEAF9" w:themeFill="accent1" w:themeFillTint="33"/>
            <w:vAlign w:val="center"/>
          </w:tcPr>
          <w:p w:rsidR="002A1E8B" w:rsidRPr="00E712DA" w:rsidRDefault="002A1E8B" w:rsidP="00E712DA">
            <w:pPr>
              <w:keepNext/>
              <w:keepLines/>
              <w:spacing w:before="40" w:after="40" w:line="240" w:lineRule="auto"/>
              <w:jc w:val="center"/>
              <w:rPr>
                <w:rFonts w:asciiTheme="minorHAnsi" w:hAnsiTheme="minorHAnsi" w:cstheme="minorHAnsi"/>
                <w:sz w:val="18"/>
                <w:szCs w:val="18"/>
              </w:rPr>
            </w:pPr>
            <w:r w:rsidRPr="00E712DA">
              <w:rPr>
                <w:rFonts w:asciiTheme="minorHAnsi" w:hAnsiTheme="minorHAnsi" w:cstheme="minorHAnsi"/>
                <w:sz w:val="18"/>
                <w:szCs w:val="18"/>
              </w:rPr>
              <w:t>4</w:t>
            </w:r>
          </w:p>
        </w:tc>
      </w:tr>
      <w:tr w:rsidR="002A1E8B" w:rsidRPr="009F6AAD" w:rsidTr="00E712DA">
        <w:trPr>
          <w:jc w:val="center"/>
        </w:trPr>
        <w:tc>
          <w:tcPr>
            <w:tcW w:w="3690" w:type="dxa"/>
            <w:vAlign w:val="center"/>
          </w:tcPr>
          <w:p w:rsidR="002A1E8B" w:rsidRPr="00E712DA" w:rsidRDefault="002A1E8B" w:rsidP="00E712DA">
            <w:pPr>
              <w:keepNext/>
              <w:keepLines/>
              <w:spacing w:before="40" w:after="40" w:line="240" w:lineRule="auto"/>
              <w:rPr>
                <w:rFonts w:asciiTheme="minorHAnsi" w:hAnsiTheme="minorHAnsi" w:cstheme="minorHAnsi"/>
                <w:sz w:val="18"/>
                <w:szCs w:val="18"/>
              </w:rPr>
            </w:pPr>
            <w:r w:rsidRPr="00E712DA">
              <w:rPr>
                <w:rFonts w:asciiTheme="minorHAnsi" w:hAnsiTheme="minorHAnsi" w:cstheme="minorHAnsi"/>
                <w:sz w:val="18"/>
                <w:szCs w:val="18"/>
              </w:rPr>
              <w:t>New England hydro</w:t>
            </w:r>
          </w:p>
        </w:tc>
        <w:tc>
          <w:tcPr>
            <w:tcW w:w="2155" w:type="dxa"/>
            <w:vAlign w:val="center"/>
          </w:tcPr>
          <w:p w:rsidR="002A1E8B" w:rsidRPr="00E712DA" w:rsidRDefault="002A1E8B" w:rsidP="00E712DA">
            <w:pPr>
              <w:keepNext/>
              <w:keepLines/>
              <w:spacing w:before="40" w:after="40" w:line="240" w:lineRule="auto"/>
              <w:jc w:val="center"/>
              <w:rPr>
                <w:rFonts w:asciiTheme="minorHAnsi" w:hAnsiTheme="minorHAnsi" w:cstheme="minorHAnsi"/>
                <w:sz w:val="18"/>
                <w:szCs w:val="18"/>
              </w:rPr>
            </w:pPr>
            <w:r w:rsidRPr="00E712DA">
              <w:rPr>
                <w:rFonts w:asciiTheme="minorHAnsi" w:hAnsiTheme="minorHAnsi" w:cstheme="minorHAnsi"/>
                <w:sz w:val="18"/>
                <w:szCs w:val="18"/>
              </w:rPr>
              <w:t>4.5</w:t>
            </w:r>
          </w:p>
        </w:tc>
      </w:tr>
      <w:tr w:rsidR="002A1E8B" w:rsidRPr="009F6AAD" w:rsidTr="00E712DA">
        <w:trPr>
          <w:jc w:val="center"/>
        </w:trPr>
        <w:tc>
          <w:tcPr>
            <w:tcW w:w="3690" w:type="dxa"/>
            <w:shd w:val="clear" w:color="auto" w:fill="CCEAF9" w:themeFill="accent1" w:themeFillTint="33"/>
            <w:vAlign w:val="center"/>
          </w:tcPr>
          <w:p w:rsidR="002A1E8B" w:rsidRPr="00E712DA" w:rsidRDefault="002A1E8B" w:rsidP="00296F3D">
            <w:pPr>
              <w:keepNext/>
              <w:keepLines/>
              <w:spacing w:before="40" w:after="40" w:line="240" w:lineRule="auto"/>
              <w:rPr>
                <w:rFonts w:asciiTheme="minorHAnsi" w:hAnsiTheme="minorHAnsi" w:cstheme="minorHAnsi"/>
                <w:sz w:val="18"/>
                <w:szCs w:val="18"/>
              </w:rPr>
            </w:pPr>
            <w:r w:rsidRPr="00E712DA">
              <w:rPr>
                <w:rFonts w:asciiTheme="minorHAnsi" w:hAnsiTheme="minorHAnsi" w:cstheme="minorHAnsi"/>
                <w:sz w:val="18"/>
                <w:szCs w:val="18"/>
              </w:rPr>
              <w:t xml:space="preserve">Imports from </w:t>
            </w:r>
            <w:r w:rsidRPr="00B5295E">
              <w:rPr>
                <w:rFonts w:asciiTheme="minorHAnsi" w:hAnsiTheme="minorHAnsi" w:cstheme="minorHAnsi"/>
                <w:sz w:val="18"/>
                <w:szCs w:val="18"/>
              </w:rPr>
              <w:t>HQ (</w:t>
            </w:r>
            <w:r w:rsidRPr="00E712DA">
              <w:rPr>
                <w:rFonts w:asciiTheme="minorHAnsi" w:hAnsiTheme="minorHAnsi" w:cstheme="minorHAnsi"/>
                <w:sz w:val="18"/>
                <w:szCs w:val="18"/>
              </w:rPr>
              <w:t>Highgate and Phase II)</w:t>
            </w:r>
          </w:p>
        </w:tc>
        <w:tc>
          <w:tcPr>
            <w:tcW w:w="2155" w:type="dxa"/>
            <w:shd w:val="clear" w:color="auto" w:fill="CCEAF9" w:themeFill="accent1" w:themeFillTint="33"/>
            <w:vAlign w:val="center"/>
          </w:tcPr>
          <w:p w:rsidR="002A1E8B" w:rsidRPr="00E712DA" w:rsidRDefault="002A1E8B" w:rsidP="00E712DA">
            <w:pPr>
              <w:keepNext/>
              <w:keepLines/>
              <w:spacing w:before="40" w:after="40" w:line="240" w:lineRule="auto"/>
              <w:jc w:val="center"/>
              <w:rPr>
                <w:rFonts w:asciiTheme="minorHAnsi" w:hAnsiTheme="minorHAnsi" w:cstheme="minorHAnsi"/>
                <w:sz w:val="18"/>
                <w:szCs w:val="18"/>
              </w:rPr>
            </w:pPr>
            <w:r w:rsidRPr="00E712DA">
              <w:rPr>
                <w:rFonts w:asciiTheme="minorHAnsi" w:hAnsiTheme="minorHAnsi" w:cstheme="minorHAnsi"/>
                <w:sz w:val="18"/>
                <w:szCs w:val="18"/>
              </w:rPr>
              <w:t>5</w:t>
            </w:r>
          </w:p>
        </w:tc>
      </w:tr>
      <w:tr w:rsidR="002A1E8B" w:rsidRPr="009F6AAD" w:rsidTr="00E712DA">
        <w:trPr>
          <w:jc w:val="center"/>
        </w:trPr>
        <w:tc>
          <w:tcPr>
            <w:tcW w:w="3690" w:type="dxa"/>
            <w:vAlign w:val="center"/>
          </w:tcPr>
          <w:p w:rsidR="002A1E8B" w:rsidRPr="00E712DA" w:rsidRDefault="002A1E8B" w:rsidP="00E712DA">
            <w:pPr>
              <w:keepNext/>
              <w:keepLines/>
              <w:spacing w:before="40" w:after="40" w:line="240" w:lineRule="auto"/>
              <w:rPr>
                <w:rFonts w:asciiTheme="minorHAnsi" w:hAnsiTheme="minorHAnsi" w:cstheme="minorHAnsi"/>
                <w:sz w:val="18"/>
                <w:szCs w:val="18"/>
              </w:rPr>
            </w:pPr>
            <w:r w:rsidRPr="00E712DA">
              <w:rPr>
                <w:rFonts w:asciiTheme="minorHAnsi" w:hAnsiTheme="minorHAnsi" w:cstheme="minorHAnsi"/>
                <w:sz w:val="18"/>
                <w:szCs w:val="18"/>
              </w:rPr>
              <w:t>Imports from NB</w:t>
            </w:r>
          </w:p>
        </w:tc>
        <w:tc>
          <w:tcPr>
            <w:tcW w:w="2155" w:type="dxa"/>
            <w:vAlign w:val="center"/>
          </w:tcPr>
          <w:p w:rsidR="002A1E8B" w:rsidRPr="00E712DA" w:rsidRDefault="002A1E8B" w:rsidP="00E712DA">
            <w:pPr>
              <w:keepNext/>
              <w:keepLines/>
              <w:spacing w:before="40" w:after="40" w:line="240" w:lineRule="auto"/>
              <w:jc w:val="center"/>
              <w:rPr>
                <w:rFonts w:asciiTheme="minorHAnsi" w:hAnsiTheme="minorHAnsi" w:cstheme="minorHAnsi"/>
                <w:sz w:val="18"/>
                <w:szCs w:val="18"/>
              </w:rPr>
            </w:pPr>
            <w:r w:rsidRPr="00E712DA">
              <w:rPr>
                <w:rFonts w:asciiTheme="minorHAnsi" w:hAnsiTheme="minorHAnsi" w:cstheme="minorHAnsi"/>
                <w:sz w:val="18"/>
                <w:szCs w:val="18"/>
              </w:rPr>
              <w:t>10</w:t>
            </w:r>
          </w:p>
        </w:tc>
      </w:tr>
    </w:tbl>
    <w:p w:rsidR="00B21B7D" w:rsidRPr="00FF76B8" w:rsidRDefault="00421343">
      <w:pPr>
        <w:pStyle w:val="Heading1"/>
      </w:pPr>
      <w:r>
        <w:lastRenderedPageBreak/>
        <w:br/>
      </w:r>
      <w:bookmarkStart w:id="54" w:name="_Toc44412049"/>
      <w:r w:rsidR="00913518" w:rsidRPr="00FF76B8">
        <w:t xml:space="preserve">Key </w:t>
      </w:r>
      <w:r w:rsidR="002177A3" w:rsidRPr="00FF76B8">
        <w:t>Observat</w:t>
      </w:r>
      <w:r w:rsidR="00D400DB" w:rsidRPr="00FF76B8">
        <w:t>i</w:t>
      </w:r>
      <w:r w:rsidR="002177A3" w:rsidRPr="00FF76B8">
        <w:t>ons</w:t>
      </w:r>
      <w:bookmarkEnd w:id="54"/>
    </w:p>
    <w:p w:rsidR="004B6B72" w:rsidRDefault="004B6B72" w:rsidP="004B6B72">
      <w:r>
        <w:t>The study considered existing offshore wind projects under development, including Vineyard Wind (</w:t>
      </w:r>
      <w:r w:rsidR="00421343">
        <w:t>800 </w:t>
      </w:r>
      <w:r>
        <w:t xml:space="preserve">MW) and Revolution Wind (200 MW), and an additional 7,000 MW of offshore wind strategically placed in southern New England. </w:t>
      </w:r>
      <w:r w:rsidR="00962511">
        <w:t xml:space="preserve">A </w:t>
      </w:r>
      <w:r>
        <w:t xml:space="preserve">Reference Case </w:t>
      </w:r>
      <w:r w:rsidR="00962511">
        <w:t xml:space="preserve">with no new offshore wind additions was added to </w:t>
      </w:r>
      <w:r w:rsidR="00421343">
        <w:t xml:space="preserve">facilitate meaningful comparisons between the other scenarios and </w:t>
      </w:r>
      <w:r w:rsidR="00962511">
        <w:t>today’s system</w:t>
      </w:r>
      <w:r w:rsidR="007E0085">
        <w:t>.</w:t>
      </w:r>
      <w:r>
        <w:t xml:space="preserve"> </w:t>
      </w:r>
    </w:p>
    <w:p w:rsidR="001572F2" w:rsidRPr="001572F2" w:rsidRDefault="00BA6C20" w:rsidP="001572F2">
      <w:r>
        <w:t>The most relevant p</w:t>
      </w:r>
      <w:r w:rsidR="004B6B72">
        <w:t>roduction cost, ancillary services</w:t>
      </w:r>
      <w:r w:rsidR="00421343">
        <w:t>,</w:t>
      </w:r>
      <w:r w:rsidR="004B6B72">
        <w:t xml:space="preserve"> marginal emissions</w:t>
      </w:r>
      <w:r w:rsidR="005F6568">
        <w:t>, and transmission interconnection</w:t>
      </w:r>
      <w:r w:rsidR="004B6B72">
        <w:t xml:space="preserve"> results are included in this report</w:t>
      </w:r>
      <w:r w:rsidR="00BF1EA7">
        <w:t>.</w:t>
      </w:r>
      <w:r w:rsidR="005F6568">
        <w:rPr>
          <w:rStyle w:val="FootnoteReference"/>
        </w:rPr>
        <w:footnoteReference w:id="31"/>
      </w:r>
      <w:r w:rsidR="00BF1EA7">
        <w:t xml:space="preserve"> </w:t>
      </w:r>
      <w:r w:rsidR="003E0650">
        <w:t xml:space="preserve">All offshore integration </w:t>
      </w:r>
      <w:r w:rsidR="007D4256">
        <w:t>s</w:t>
      </w:r>
      <w:r w:rsidR="00B21B7D" w:rsidRPr="00D65EB4">
        <w:t xml:space="preserve">cenarios </w:t>
      </w:r>
      <w:r w:rsidR="003E0650">
        <w:t>produced similar results</w:t>
      </w:r>
      <w:r w:rsidR="004B6B72">
        <w:t>,</w:t>
      </w:r>
      <w:r w:rsidR="003E0650">
        <w:t xml:space="preserve"> directionally</w:t>
      </w:r>
      <w:r w:rsidR="004B6B72">
        <w:t>,</w:t>
      </w:r>
      <w:r w:rsidR="003E0650">
        <w:t xml:space="preserve"> regardless</w:t>
      </w:r>
      <w:r w:rsidR="001A74F6">
        <w:t xml:space="preserve"> of</w:t>
      </w:r>
      <w:r w:rsidR="003E0650">
        <w:t xml:space="preserve"> how much offshore wind was interconnected</w:t>
      </w:r>
      <w:r w:rsidR="00BF1EA7">
        <w:t xml:space="preserve">. </w:t>
      </w:r>
      <w:r w:rsidR="001572F2" w:rsidRPr="001572F2">
        <w:t xml:space="preserve">Together, </w:t>
      </w:r>
      <w:r w:rsidR="00313019">
        <w:t xml:space="preserve">the results of the </w:t>
      </w:r>
      <w:r w:rsidR="00652A83">
        <w:t>s</w:t>
      </w:r>
      <w:r w:rsidR="00313019">
        <w:t xml:space="preserve">tudy </w:t>
      </w:r>
      <w:r w:rsidR="001572F2" w:rsidRPr="001572F2">
        <w:t xml:space="preserve">included </w:t>
      </w:r>
      <w:r w:rsidR="00313019">
        <w:t xml:space="preserve">several </w:t>
      </w:r>
      <w:r w:rsidR="001572F2" w:rsidRPr="001572F2">
        <w:t>scenarios</w:t>
      </w:r>
      <w:r w:rsidR="00313019">
        <w:t xml:space="preserve"> and four </w:t>
      </w:r>
      <w:r w:rsidR="00703947">
        <w:t>sensitives</w:t>
      </w:r>
      <w:r w:rsidR="001572F2" w:rsidRPr="001572F2">
        <w:t xml:space="preserve"> that provide useful information</w:t>
      </w:r>
      <w:r w:rsidR="00ED460C">
        <w:t>, as follows,</w:t>
      </w:r>
      <w:r w:rsidR="001572F2" w:rsidRPr="001572F2">
        <w:t xml:space="preserve"> when considered as a whole:</w:t>
      </w:r>
    </w:p>
    <w:p w:rsidR="001572F2" w:rsidRPr="001572F2" w:rsidRDefault="00652A83" w:rsidP="00276639">
      <w:pPr>
        <w:pStyle w:val="ListParagraph"/>
        <w:numPr>
          <w:ilvl w:val="0"/>
          <w:numId w:val="21"/>
        </w:numPr>
        <w:spacing w:line="240" w:lineRule="auto"/>
      </w:pPr>
      <w:r>
        <w:t>T</w:t>
      </w:r>
      <w:r w:rsidR="001572F2" w:rsidRPr="001572F2">
        <w:t>he degree of resource development capable of achieving carbon</w:t>
      </w:r>
      <w:r>
        <w:t>-</w:t>
      </w:r>
      <w:r w:rsidR="001572F2" w:rsidRPr="001572F2">
        <w:t>reduction goals;</w:t>
      </w:r>
    </w:p>
    <w:p w:rsidR="001572F2" w:rsidRPr="001572F2" w:rsidRDefault="00652A83" w:rsidP="00276639">
      <w:pPr>
        <w:pStyle w:val="ListParagraph"/>
        <w:numPr>
          <w:ilvl w:val="0"/>
          <w:numId w:val="21"/>
        </w:numPr>
        <w:spacing w:line="240" w:lineRule="auto"/>
      </w:pPr>
      <w:r>
        <w:t>T</w:t>
      </w:r>
      <w:r w:rsidR="001572F2" w:rsidRPr="001572F2">
        <w:t xml:space="preserve">he significant potential for spilling </w:t>
      </w:r>
      <w:r w:rsidR="00313019">
        <w:t>offshore wind</w:t>
      </w:r>
      <w:r w:rsidR="001572F2" w:rsidRPr="001572F2">
        <w:t xml:space="preserve"> energy</w:t>
      </w:r>
    </w:p>
    <w:p w:rsidR="001572F2" w:rsidRPr="001572F2" w:rsidRDefault="00652A83" w:rsidP="00276639">
      <w:pPr>
        <w:pStyle w:val="ListParagraph"/>
        <w:numPr>
          <w:ilvl w:val="0"/>
          <w:numId w:val="21"/>
        </w:numPr>
        <w:spacing w:after="240" w:line="240" w:lineRule="auto"/>
      </w:pPr>
      <w:r>
        <w:t>D</w:t>
      </w:r>
      <w:r w:rsidR="001572F2" w:rsidRPr="001572F2">
        <w:t>irectionally</w:t>
      </w:r>
      <w:r>
        <w:t xml:space="preserve"> </w:t>
      </w:r>
      <w:r w:rsidR="001572F2" w:rsidRPr="001572F2">
        <w:t>relevant cost estimates and revenue impacts</w:t>
      </w:r>
    </w:p>
    <w:p w:rsidR="001572F2" w:rsidRPr="00C54A0C" w:rsidRDefault="00652A83" w:rsidP="002C5F41">
      <w:r>
        <w:t>This report highlights the results of the 8,000 MW scenario and four sensitivities because the</w:t>
      </w:r>
      <w:r w:rsidR="00ED460C">
        <w:t>se</w:t>
      </w:r>
      <w:r>
        <w:t xml:space="preserve"> </w:t>
      </w:r>
      <w:r w:rsidRPr="00B5295E">
        <w:t xml:space="preserve">are the most </w:t>
      </w:r>
      <w:r w:rsidR="00296F3D" w:rsidRPr="00C54A0C">
        <w:t>insightful.</w:t>
      </w:r>
    </w:p>
    <w:p w:rsidR="00B46E4F" w:rsidRPr="00C54A0C" w:rsidRDefault="0028717C" w:rsidP="00B46E4F">
      <w:pPr>
        <w:pStyle w:val="Heading3"/>
      </w:pPr>
      <w:bookmarkStart w:id="55" w:name="_Toc44412050"/>
      <w:r w:rsidRPr="00C54A0C">
        <w:t>Over</w:t>
      </w:r>
      <w:r w:rsidR="00C54A0C" w:rsidRPr="00C54A0C">
        <w:t>supply</w:t>
      </w:r>
      <w:r w:rsidRPr="00C54A0C">
        <w:t xml:space="preserve"> (Spillage)</w:t>
      </w:r>
      <w:bookmarkEnd w:id="55"/>
    </w:p>
    <w:p w:rsidR="001572F2" w:rsidRDefault="00BA6C20" w:rsidP="001572F2">
      <w:r w:rsidRPr="00C54A0C">
        <w:t xml:space="preserve">“Spilled” energy occurs when resource production exceeds the system’s ability to </w:t>
      </w:r>
      <w:r w:rsidR="00ED460C" w:rsidRPr="00C54A0C">
        <w:t>use</w:t>
      </w:r>
      <w:r w:rsidRPr="00C54A0C">
        <w:t xml:space="preserve"> the power, whether to protect transmission security or </w:t>
      </w:r>
      <w:r w:rsidR="00ED460C" w:rsidRPr="00C54A0C">
        <w:t xml:space="preserve">due to </w:t>
      </w:r>
      <w:r w:rsidR="00652A83" w:rsidRPr="00C54A0C">
        <w:t xml:space="preserve">the </w:t>
      </w:r>
      <w:r w:rsidRPr="00C54A0C">
        <w:t xml:space="preserve">lack of demand for the power </w:t>
      </w:r>
      <w:r w:rsidR="00ED460C" w:rsidRPr="00C54A0C">
        <w:t xml:space="preserve">when </w:t>
      </w:r>
      <w:r w:rsidRPr="00C54A0C">
        <w:t>produced</w:t>
      </w:r>
      <w:r w:rsidR="00BF1EA7" w:rsidRPr="00C54A0C">
        <w:t>.</w:t>
      </w:r>
      <w:r w:rsidR="00E0618D">
        <w:t xml:space="preserve"> </w:t>
      </w:r>
      <w:r w:rsidR="00276639">
        <w:t>The l</w:t>
      </w:r>
      <w:r w:rsidR="001572F2">
        <w:t xml:space="preserve">arge-scale development of remote resources, such as offshore wind or onshore wind in northern Maine, may require transmission additions to avoid </w:t>
      </w:r>
      <w:r w:rsidR="00A837A7">
        <w:t>transmission</w:t>
      </w:r>
      <w:r w:rsidR="00652A83">
        <w:t>-</w:t>
      </w:r>
      <w:r w:rsidR="00A837A7">
        <w:t xml:space="preserve">related </w:t>
      </w:r>
      <w:r w:rsidR="001572F2" w:rsidRPr="001B6579">
        <w:t>spillage.</w:t>
      </w:r>
      <w:r w:rsidR="001572F2" w:rsidRPr="00461A62">
        <w:t xml:space="preserve"> </w:t>
      </w:r>
      <w:r w:rsidR="001572F2" w:rsidRPr="001B6579">
        <w:t>Conversely</w:t>
      </w:r>
      <w:r w:rsidR="001572F2">
        <w:t xml:space="preserve">, the development of resources near load centers in southern New England </w:t>
      </w:r>
      <w:r w:rsidR="00F95844">
        <w:t xml:space="preserve">generally </w:t>
      </w:r>
      <w:r w:rsidR="001572F2">
        <w:t xml:space="preserve">avoids </w:t>
      </w:r>
      <w:r w:rsidR="00A837A7">
        <w:t>transmission</w:t>
      </w:r>
      <w:r w:rsidR="00652A83">
        <w:t>-</w:t>
      </w:r>
      <w:r w:rsidR="00A837A7">
        <w:t xml:space="preserve">related </w:t>
      </w:r>
      <w:r w:rsidR="001572F2">
        <w:t xml:space="preserve">spillage of renewable energy </w:t>
      </w:r>
      <w:r w:rsidR="001572F2" w:rsidRPr="00D11A72">
        <w:t>and diminishes the</w:t>
      </w:r>
      <w:r w:rsidR="001572F2">
        <w:t xml:space="preserve"> need for transmission development to avoid congestion</w:t>
      </w:r>
      <w:r w:rsidR="00BF1EA7">
        <w:t xml:space="preserve">. </w:t>
      </w:r>
      <w:r w:rsidR="00AD5F99" w:rsidRPr="00AD5F99">
        <w:rPr>
          <w:b/>
        </w:rPr>
        <w:t>The 2019 NESCOE Economic Study confirmed that well-placed offshore wind, interconnecting to certain substations in southern New England, resulted in minimal transmission-related spillage.</w:t>
      </w:r>
    </w:p>
    <w:p w:rsidR="00BA6C20" w:rsidRDefault="005C4BF3" w:rsidP="00BA6C20">
      <w:r>
        <w:t>The s</w:t>
      </w:r>
      <w:r w:rsidR="001572F2">
        <w:t xml:space="preserve">pillage of renewable resources, such as offshore wind, has economic impacts and </w:t>
      </w:r>
      <w:r w:rsidR="003C2992">
        <w:t xml:space="preserve">can </w:t>
      </w:r>
      <w:r w:rsidR="00586D96">
        <w:t>undermine</w:t>
      </w:r>
      <w:r w:rsidR="001572F2">
        <w:t xml:space="preserve"> state </w:t>
      </w:r>
      <w:r w:rsidR="00703947">
        <w:t>initiatives</w:t>
      </w:r>
      <w:r w:rsidR="001572F2">
        <w:t xml:space="preserve"> to reduce the carbon footprint of New England</w:t>
      </w:r>
      <w:r w:rsidR="00BF1EA7">
        <w:t xml:space="preserve">. </w:t>
      </w:r>
      <w:r w:rsidR="00BA6C20">
        <w:t xml:space="preserve">Spilled energy reduces a resource’s energy market revenues and correspondingly increases the amount </w:t>
      </w:r>
      <w:r w:rsidR="00652A83">
        <w:t xml:space="preserve">a resource </w:t>
      </w:r>
      <w:r w:rsidR="00BA6C20">
        <w:t>must recover</w:t>
      </w:r>
      <w:r w:rsidR="007911CD">
        <w:t xml:space="preserve"> </w:t>
      </w:r>
      <w:r w:rsidR="00BA6C20">
        <w:t>through other wholesale electricity markets and state-jurisdictional mechanisms</w:t>
      </w:r>
      <w:r w:rsidR="00BF1EA7">
        <w:t xml:space="preserve">. </w:t>
      </w:r>
    </w:p>
    <w:p w:rsidR="007911CD" w:rsidRDefault="00B371F4" w:rsidP="00343A52">
      <w:r w:rsidRPr="00CE1B10">
        <w:t>The NESCOE 2019 Economic Study results revealed that s</w:t>
      </w:r>
      <w:r w:rsidR="00BA6C20" w:rsidRPr="00CE1B10">
        <w:t>pillage is similar</w:t>
      </w:r>
      <w:r w:rsidR="00774D4B" w:rsidRPr="00CE1B10">
        <w:t>,</w:t>
      </w:r>
      <w:r w:rsidR="00BA6C20" w:rsidRPr="00CE1B10">
        <w:t xml:space="preserve"> regardless of </w:t>
      </w:r>
      <w:r w:rsidRPr="00CE1B10">
        <w:t xml:space="preserve">the </w:t>
      </w:r>
      <w:r w:rsidR="00BA6C20" w:rsidRPr="00CE1B10">
        <w:t xml:space="preserve">interconnection points </w:t>
      </w:r>
      <w:r w:rsidRPr="00CE1B10">
        <w:t xml:space="preserve">in southern New </w:t>
      </w:r>
      <w:r w:rsidR="00703947" w:rsidRPr="00CE1B10">
        <w:t>England</w:t>
      </w:r>
      <w:r w:rsidR="00774D4B" w:rsidRPr="00CE1B10">
        <w:t>,</w:t>
      </w:r>
      <w:r w:rsidRPr="00CE1B10">
        <w:t xml:space="preserve"> </w:t>
      </w:r>
      <w:r w:rsidR="00BA6C20" w:rsidRPr="00CE1B10">
        <w:t>due to the lack of congestion.</w:t>
      </w:r>
      <w:r w:rsidRPr="00CE1B10">
        <w:rPr>
          <w:rStyle w:val="FootnoteReference"/>
        </w:rPr>
        <w:footnoteReference w:id="32"/>
      </w:r>
      <w:r w:rsidR="00BA6C20" w:rsidRPr="00CE1B10">
        <w:t xml:space="preserve"> </w:t>
      </w:r>
      <w:r w:rsidR="00953017" w:rsidRPr="00CE1B10">
        <w:t>The rate</w:t>
      </w:r>
      <w:r w:rsidR="00953017" w:rsidRPr="00614F8A">
        <w:t xml:space="preserve"> of spillage increases as offshore wind </w:t>
      </w:r>
      <w:r w:rsidR="00953017" w:rsidRPr="00CE1B10">
        <w:t>buildout increases</w:t>
      </w:r>
      <w:r w:rsidR="00BF1EA7" w:rsidRPr="00CE1B10">
        <w:t xml:space="preserve">. </w:t>
      </w:r>
      <w:r w:rsidR="00F85564" w:rsidRPr="00CE1B10">
        <w:t>Most s</w:t>
      </w:r>
      <w:r w:rsidR="00953017" w:rsidRPr="00CE1B10">
        <w:t>pilla</w:t>
      </w:r>
      <w:r w:rsidR="00953017" w:rsidRPr="00A235C6">
        <w:t xml:space="preserve">ge </w:t>
      </w:r>
      <w:r w:rsidR="00F85564">
        <w:t xml:space="preserve">is </w:t>
      </w:r>
      <w:r w:rsidR="00953017" w:rsidRPr="00A235C6">
        <w:t>attribute</w:t>
      </w:r>
      <w:r w:rsidR="00953017" w:rsidRPr="00912A17">
        <w:t>d to oversupply</w:t>
      </w:r>
      <w:r w:rsidR="00B5295E" w:rsidRPr="00912A17">
        <w:t xml:space="preserve"> </w:t>
      </w:r>
      <w:r w:rsidR="00F85564" w:rsidRPr="00912A17">
        <w:t>whe</w:t>
      </w:r>
      <w:r w:rsidR="00F85564">
        <w:t>n loads are lower</w:t>
      </w:r>
      <w:r>
        <w:t xml:space="preserve">, not </w:t>
      </w:r>
      <w:r w:rsidR="00343A52">
        <w:t xml:space="preserve">to </w:t>
      </w:r>
      <w:r>
        <w:t>transmission congestion</w:t>
      </w:r>
      <w:r w:rsidR="00BF1EA7">
        <w:t xml:space="preserve">. </w:t>
      </w:r>
      <w:r w:rsidR="00953017" w:rsidRPr="00A235C6">
        <w:t xml:space="preserve">Generally, </w:t>
      </w:r>
      <w:r w:rsidR="00CA43F7">
        <w:t xml:space="preserve">the </w:t>
      </w:r>
      <w:r w:rsidR="00953017" w:rsidRPr="00A235C6">
        <w:t xml:space="preserve">spillage </w:t>
      </w:r>
      <w:r w:rsidR="00F95844">
        <w:t xml:space="preserve">results </w:t>
      </w:r>
      <w:r w:rsidR="00953017" w:rsidRPr="00A235C6">
        <w:t xml:space="preserve">across the 0 MW </w:t>
      </w:r>
      <w:r>
        <w:t xml:space="preserve">(Reference Case) </w:t>
      </w:r>
      <w:r w:rsidR="00953017" w:rsidRPr="00A235C6">
        <w:t xml:space="preserve">to </w:t>
      </w:r>
      <w:r w:rsidR="00343A52">
        <w:t xml:space="preserve">the </w:t>
      </w:r>
      <w:r w:rsidR="00953017" w:rsidRPr="00A235C6">
        <w:t>6,</w:t>
      </w:r>
      <w:r w:rsidR="00343A52" w:rsidRPr="00A235C6">
        <w:t>000</w:t>
      </w:r>
      <w:r w:rsidR="00343A52">
        <w:t> </w:t>
      </w:r>
      <w:r w:rsidR="00953017" w:rsidRPr="00A235C6">
        <w:t xml:space="preserve">MW of offshore </w:t>
      </w:r>
      <w:r w:rsidR="00953017" w:rsidRPr="00A235C6">
        <w:lastRenderedPageBreak/>
        <w:t xml:space="preserve">wind scenarios </w:t>
      </w:r>
      <w:r w:rsidR="00F34D2B">
        <w:t>can be considered insignificant</w:t>
      </w:r>
      <w:r w:rsidR="00953017" w:rsidRPr="00A235C6">
        <w:t xml:space="preserve"> (less than </w:t>
      </w:r>
      <w:r w:rsidR="00586D96">
        <w:t>2.16</w:t>
      </w:r>
      <w:r w:rsidR="00953017" w:rsidRPr="00A235C6">
        <w:t>% of renewable energy)</w:t>
      </w:r>
      <w:r w:rsidR="00343A52">
        <w:t>,</w:t>
      </w:r>
      <w:r w:rsidR="00953017" w:rsidRPr="00A235C6">
        <w:t xml:space="preserve"> and in the 8,000 MW cases</w:t>
      </w:r>
      <w:r w:rsidR="00343A52">
        <w:t>,</w:t>
      </w:r>
      <w:r w:rsidR="00953017" w:rsidRPr="00A235C6">
        <w:t xml:space="preserve"> offshore wind replaces existing </w:t>
      </w:r>
      <w:r>
        <w:t>re</w:t>
      </w:r>
      <w:r w:rsidR="00953017" w:rsidRPr="00A235C6">
        <w:t>sources</w:t>
      </w:r>
      <w:r>
        <w:t xml:space="preserve"> and </w:t>
      </w:r>
      <w:r w:rsidR="00953017" w:rsidRPr="00A235C6">
        <w:t>imports</w:t>
      </w:r>
      <w:r>
        <w:t xml:space="preserve">. </w:t>
      </w:r>
      <w:r w:rsidR="00773BC6" w:rsidRPr="00343A52">
        <w:fldChar w:fldCharType="begin"/>
      </w:r>
      <w:r w:rsidR="00773BC6" w:rsidRPr="00773BC6">
        <w:instrText xml:space="preserve"> REF _Ref42608706 \h </w:instrText>
      </w:r>
      <w:r w:rsidR="00773BC6" w:rsidRPr="00DE09F3">
        <w:instrText xml:space="preserve"> \* MERGEFORMAT </w:instrText>
      </w:r>
      <w:r w:rsidR="00773BC6" w:rsidRPr="00343A52">
        <w:fldChar w:fldCharType="separate"/>
      </w:r>
      <w:r w:rsidR="001F5E1A" w:rsidRPr="00343A52">
        <w:t xml:space="preserve">Figure </w:t>
      </w:r>
      <w:r w:rsidR="001F5E1A">
        <w:rPr>
          <w:noProof/>
        </w:rPr>
        <w:t>6</w:t>
      </w:r>
      <w:r w:rsidR="001F5E1A">
        <w:rPr>
          <w:noProof/>
        </w:rPr>
        <w:noBreakHyphen/>
        <w:t>1</w:t>
      </w:r>
      <w:r w:rsidR="00773BC6" w:rsidRPr="00343A52">
        <w:fldChar w:fldCharType="end"/>
      </w:r>
      <w:r>
        <w:t xml:space="preserve"> highlights the spillage for all scenarios studied.</w:t>
      </w:r>
    </w:p>
    <w:p w:rsidR="00FC4D73" w:rsidRDefault="00FC4D73" w:rsidP="00E712DA">
      <w:pPr>
        <w:tabs>
          <w:tab w:val="num" w:pos="720"/>
        </w:tabs>
        <w:spacing w:after="0" w:line="240" w:lineRule="auto"/>
        <w:jc w:val="center"/>
      </w:pPr>
      <w:r w:rsidRPr="00FC4D73">
        <w:rPr>
          <w:noProof/>
        </w:rPr>
        <w:drawing>
          <wp:inline distT="0" distB="0" distL="0" distR="0" wp14:anchorId="25DE6C6C" wp14:editId="0F363A6E">
            <wp:extent cx="5760373" cy="2541851"/>
            <wp:effectExtent l="19050" t="19050" r="12065"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6169" cy="2544409"/>
                    </a:xfrm>
                    <a:prstGeom prst="rect">
                      <a:avLst/>
                    </a:prstGeom>
                    <a:noFill/>
                    <a:ln w="3175">
                      <a:solidFill>
                        <a:srgbClr val="000000"/>
                      </a:solidFill>
                    </a:ln>
                  </pic:spPr>
                </pic:pic>
              </a:graphicData>
            </a:graphic>
          </wp:inline>
        </w:drawing>
      </w:r>
    </w:p>
    <w:p w:rsidR="00365828" w:rsidRDefault="007911CD" w:rsidP="00514D96">
      <w:pPr>
        <w:pStyle w:val="Caption"/>
        <w:spacing w:before="120" w:after="240"/>
        <w:ind w:left="180"/>
      </w:pPr>
      <w:bookmarkStart w:id="56" w:name="_Ref42608706"/>
      <w:bookmarkStart w:id="57" w:name="_Toc43224478"/>
      <w:r w:rsidRPr="00343A52">
        <w:t xml:space="preserve">Figure </w:t>
      </w:r>
      <w:fldSimple w:instr=" STYLEREF 1 \s ">
        <w:r w:rsidR="001F5E1A">
          <w:rPr>
            <w:noProof/>
          </w:rPr>
          <w:t>6</w:t>
        </w:r>
      </w:fldSimple>
      <w:r w:rsidR="00C5246A">
        <w:noBreakHyphen/>
      </w:r>
      <w:fldSimple w:instr=" SEQ Figure \* ARABIC \s 1 ">
        <w:r w:rsidR="001F5E1A">
          <w:rPr>
            <w:noProof/>
          </w:rPr>
          <w:t>1</w:t>
        </w:r>
      </w:fldSimple>
      <w:bookmarkEnd w:id="56"/>
      <w:r w:rsidRPr="00FC4D73">
        <w:t xml:space="preserve">: </w:t>
      </w:r>
      <w:r w:rsidR="00365828" w:rsidRPr="007911CD">
        <w:t xml:space="preserve">Total </w:t>
      </w:r>
      <w:r w:rsidRPr="00343A52">
        <w:t>a</w:t>
      </w:r>
      <w:r w:rsidR="00365828" w:rsidRPr="00343A52">
        <w:t xml:space="preserve">mount of </w:t>
      </w:r>
      <w:r w:rsidRPr="00343A52">
        <w:t>s</w:t>
      </w:r>
      <w:r w:rsidR="00365828" w:rsidRPr="00343A52">
        <w:t xml:space="preserve">pilled </w:t>
      </w:r>
      <w:r w:rsidRPr="00343A52">
        <w:t>r</w:t>
      </w:r>
      <w:r w:rsidR="00365828" w:rsidRPr="00343A52">
        <w:t>esource</w:t>
      </w:r>
      <w:r w:rsidR="00FC4D73">
        <w:t xml:space="preserve"> e</w:t>
      </w:r>
      <w:r w:rsidR="00365828" w:rsidRPr="00343A52">
        <w:t>nergy (</w:t>
      </w:r>
      <w:r w:rsidRPr="00343A52">
        <w:t xml:space="preserve">terawatt-hours; </w:t>
      </w:r>
      <w:r w:rsidR="00365828" w:rsidRPr="00343A52">
        <w:t xml:space="preserve">TWh) by </w:t>
      </w:r>
      <w:r w:rsidRPr="00343A52">
        <w:t>s</w:t>
      </w:r>
      <w:r w:rsidR="00365828" w:rsidRPr="00343A52">
        <w:t xml:space="preserve">cenario </w:t>
      </w:r>
      <w:r w:rsidRPr="00343A52">
        <w:t>s</w:t>
      </w:r>
      <w:r w:rsidR="00365828" w:rsidRPr="00343A52">
        <w:t>tudied</w:t>
      </w:r>
      <w:r w:rsidRPr="00343A52">
        <w:t>.</w:t>
      </w:r>
      <w:bookmarkEnd w:id="57"/>
    </w:p>
    <w:p w:rsidR="00B46E4F" w:rsidRDefault="00773BC6" w:rsidP="00BA3DDB">
      <w:r>
        <w:t xml:space="preserve">In the 8000_1 constrained scenario, </w:t>
      </w:r>
      <w:r w:rsidR="00B46E4F" w:rsidRPr="00B46E4F">
        <w:t>15.17 TWh of spillage (</w:t>
      </w:r>
      <w:r w:rsidR="00905C2C">
        <w:t xml:space="preserve">of </w:t>
      </w:r>
      <w:r w:rsidR="00B46E4F" w:rsidRPr="00B46E4F">
        <w:t xml:space="preserve">imports, hydro, wind, and solar) </w:t>
      </w:r>
      <w:r>
        <w:t xml:space="preserve">occurs </w:t>
      </w:r>
      <w:r w:rsidR="00B46E4F" w:rsidRPr="00B46E4F">
        <w:t>annually</w:t>
      </w:r>
      <w:r>
        <w:t xml:space="preserve">, </w:t>
      </w:r>
      <w:r w:rsidR="00365828">
        <w:t xml:space="preserve">which is </w:t>
      </w:r>
      <w:r w:rsidR="00B46E4F" w:rsidRPr="00B46E4F">
        <w:t xml:space="preserve">similar to </w:t>
      </w:r>
      <w:r w:rsidR="00905C2C">
        <w:t xml:space="preserve">the </w:t>
      </w:r>
      <w:r w:rsidR="00B46E4F" w:rsidRPr="00B46E4F">
        <w:t xml:space="preserve">other 8,000 MW </w:t>
      </w:r>
      <w:r w:rsidR="00F408F5">
        <w:t>offshore wind</w:t>
      </w:r>
      <w:r w:rsidR="00B46E4F" w:rsidRPr="00B46E4F">
        <w:t xml:space="preserve"> scenarios</w:t>
      </w:r>
      <w:r w:rsidR="00365828">
        <w:t>.</w:t>
      </w:r>
      <w:r w:rsidR="00F408F5">
        <w:rPr>
          <w:rStyle w:val="FootnoteReference"/>
        </w:rPr>
        <w:footnoteReference w:id="33"/>
      </w:r>
      <w:r w:rsidR="00365828">
        <w:t xml:space="preserve"> </w:t>
      </w:r>
      <w:r w:rsidR="00B46E4F" w:rsidRPr="00B46E4F">
        <w:t xml:space="preserve">However, spillage varies </w:t>
      </w:r>
      <w:r w:rsidR="00B46E4F" w:rsidRPr="00365828">
        <w:rPr>
          <w:i/>
        </w:rPr>
        <w:t>significantly</w:t>
      </w:r>
      <w:r w:rsidR="00365828">
        <w:t xml:space="preserve"> by month from 0.15 to 2.69 TWh</w:t>
      </w:r>
      <w:r>
        <w:t>,</w:t>
      </w:r>
      <w:r w:rsidR="00365828">
        <w:t xml:space="preserve"> as depicted in </w:t>
      </w:r>
      <w:r w:rsidR="00905C2C" w:rsidRPr="003C1BF9">
        <w:fldChar w:fldCharType="begin"/>
      </w:r>
      <w:r w:rsidR="00905C2C" w:rsidRPr="005F493D">
        <w:instrText xml:space="preserve"> REF _Ref42611954 \h </w:instrText>
      </w:r>
      <w:r w:rsidR="00905C2C" w:rsidRPr="00DE09F3">
        <w:instrText xml:space="preserve"> \* MERGEFORMAT </w:instrText>
      </w:r>
      <w:r w:rsidR="00905C2C" w:rsidRPr="003C1BF9">
        <w:fldChar w:fldCharType="separate"/>
      </w:r>
      <w:r w:rsidR="001F5E1A" w:rsidRPr="00905C2C">
        <w:t xml:space="preserve">Figure </w:t>
      </w:r>
      <w:r w:rsidR="001F5E1A">
        <w:rPr>
          <w:noProof/>
        </w:rPr>
        <w:t>6</w:t>
      </w:r>
      <w:r w:rsidR="001F5E1A">
        <w:rPr>
          <w:noProof/>
        </w:rPr>
        <w:noBreakHyphen/>
        <w:t>2</w:t>
      </w:r>
      <w:r w:rsidR="00905C2C" w:rsidRPr="003C1BF9">
        <w:fldChar w:fldCharType="end"/>
      </w:r>
      <w:r w:rsidR="00905C2C">
        <w:t>,</w:t>
      </w:r>
      <w:r w:rsidR="00B51DB7">
        <w:t xml:space="preserve"> </w:t>
      </w:r>
      <w:r w:rsidR="00F778D6">
        <w:t>d</w:t>
      </w:r>
      <w:r w:rsidR="00365828">
        <w:t xml:space="preserve">ue to the </w:t>
      </w:r>
      <w:r w:rsidR="00365828" w:rsidRPr="000E66CA">
        <w:t>interaction of wind, solar, and load profiles</w:t>
      </w:r>
      <w:r w:rsidR="00365828">
        <w:t xml:space="preserve">. </w:t>
      </w:r>
    </w:p>
    <w:p w:rsidR="00FA3265" w:rsidRDefault="00FA3265" w:rsidP="00514D96">
      <w:pPr>
        <w:keepNext/>
        <w:keepLines/>
        <w:spacing w:after="0" w:line="240" w:lineRule="auto"/>
        <w:ind w:left="360"/>
      </w:pPr>
      <w:r w:rsidRPr="00FA3265">
        <w:rPr>
          <w:noProof/>
        </w:rPr>
        <w:lastRenderedPageBreak/>
        <w:drawing>
          <wp:inline distT="0" distB="0" distL="0" distR="0" wp14:anchorId="45208BD0" wp14:editId="03596758">
            <wp:extent cx="5622646" cy="2545731"/>
            <wp:effectExtent l="19050" t="19050" r="16510" b="260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8540" cy="2552927"/>
                    </a:xfrm>
                    <a:prstGeom prst="rect">
                      <a:avLst/>
                    </a:prstGeom>
                    <a:noFill/>
                    <a:ln w="3175">
                      <a:solidFill>
                        <a:srgbClr val="000000"/>
                      </a:solidFill>
                    </a:ln>
                  </pic:spPr>
                </pic:pic>
              </a:graphicData>
            </a:graphic>
          </wp:inline>
        </w:drawing>
      </w:r>
    </w:p>
    <w:p w:rsidR="000E66CA" w:rsidRPr="00905C2C" w:rsidRDefault="00905C2C" w:rsidP="003E4526">
      <w:pPr>
        <w:pStyle w:val="Caption"/>
        <w:keepNext w:val="0"/>
        <w:keepLines w:val="0"/>
        <w:spacing w:before="120" w:after="240"/>
        <w:ind w:left="450"/>
      </w:pPr>
      <w:bookmarkStart w:id="58" w:name="_Ref42611954"/>
      <w:bookmarkStart w:id="59" w:name="_Toc43224479"/>
      <w:r w:rsidRPr="00905C2C">
        <w:t xml:space="preserve">Figure </w:t>
      </w:r>
      <w:fldSimple w:instr=" STYLEREF 1 \s ">
        <w:r w:rsidR="001F5E1A">
          <w:rPr>
            <w:noProof/>
          </w:rPr>
          <w:t>6</w:t>
        </w:r>
      </w:fldSimple>
      <w:r w:rsidR="00C5246A">
        <w:noBreakHyphen/>
      </w:r>
      <w:fldSimple w:instr=" SEQ Figure \* ARABIC \s 1 ">
        <w:r w:rsidR="001F5E1A">
          <w:rPr>
            <w:noProof/>
          </w:rPr>
          <w:t>2</w:t>
        </w:r>
      </w:fldSimple>
      <w:bookmarkEnd w:id="58"/>
      <w:r w:rsidRPr="00905C2C">
        <w:t xml:space="preserve">: </w:t>
      </w:r>
      <w:r w:rsidR="00365828" w:rsidRPr="00FA3265">
        <w:rPr>
          <w:bCs w:val="0"/>
        </w:rPr>
        <w:t>Monthly</w:t>
      </w:r>
      <w:r w:rsidR="000E66CA" w:rsidRPr="00FA3265">
        <w:rPr>
          <w:bCs w:val="0"/>
        </w:rPr>
        <w:t xml:space="preserve"> </w:t>
      </w:r>
      <w:r>
        <w:rPr>
          <w:bCs w:val="0"/>
        </w:rPr>
        <w:t>s</w:t>
      </w:r>
      <w:r w:rsidR="000E66CA" w:rsidRPr="00FA3265">
        <w:rPr>
          <w:bCs w:val="0"/>
        </w:rPr>
        <w:t xml:space="preserve">pilled </w:t>
      </w:r>
      <w:r>
        <w:rPr>
          <w:bCs w:val="0"/>
        </w:rPr>
        <w:t>r</w:t>
      </w:r>
      <w:r w:rsidR="000E66CA" w:rsidRPr="00FA3265">
        <w:rPr>
          <w:bCs w:val="0"/>
        </w:rPr>
        <w:t xml:space="preserve">esource </w:t>
      </w:r>
      <w:r>
        <w:rPr>
          <w:bCs w:val="0"/>
        </w:rPr>
        <w:t>e</w:t>
      </w:r>
      <w:r w:rsidR="000E66CA" w:rsidRPr="00FA3265">
        <w:rPr>
          <w:bCs w:val="0"/>
        </w:rPr>
        <w:t>nergy (TWh)</w:t>
      </w:r>
      <w:r w:rsidR="00365828" w:rsidRPr="00FA3265">
        <w:rPr>
          <w:bCs w:val="0"/>
        </w:rPr>
        <w:t xml:space="preserve"> for the 8000_1 </w:t>
      </w:r>
      <w:r w:rsidR="009C23D6">
        <w:rPr>
          <w:bCs w:val="0"/>
        </w:rPr>
        <w:t>c</w:t>
      </w:r>
      <w:r w:rsidR="00365828" w:rsidRPr="00FA3265">
        <w:rPr>
          <w:bCs w:val="0"/>
        </w:rPr>
        <w:t xml:space="preserve">onstrained </w:t>
      </w:r>
      <w:r w:rsidR="009C23D6">
        <w:rPr>
          <w:bCs w:val="0"/>
        </w:rPr>
        <w:t>s</w:t>
      </w:r>
      <w:r w:rsidR="00365828" w:rsidRPr="00FA3265">
        <w:rPr>
          <w:bCs w:val="0"/>
        </w:rPr>
        <w:t>cenario</w:t>
      </w:r>
      <w:r>
        <w:rPr>
          <w:bCs w:val="0"/>
        </w:rPr>
        <w:t>.</w:t>
      </w:r>
      <w:bookmarkEnd w:id="59"/>
    </w:p>
    <w:p w:rsidR="00953017" w:rsidRDefault="00953017" w:rsidP="00514D96">
      <w:pPr>
        <w:rPr>
          <w:iCs/>
        </w:rPr>
      </w:pPr>
      <w:r>
        <w:t xml:space="preserve">The </w:t>
      </w:r>
      <w:r w:rsidRPr="00953017">
        <w:rPr>
          <w:i/>
        </w:rPr>
        <w:t>least</w:t>
      </w:r>
      <w:r>
        <w:t xml:space="preserve"> amount of spillage in the </w:t>
      </w:r>
      <w:r w:rsidRPr="00B46E4F">
        <w:t xml:space="preserve">8000_1 constrained scenario </w:t>
      </w:r>
      <w:r>
        <w:t xml:space="preserve">occurred in the summer months of July and </w:t>
      </w:r>
      <w:r w:rsidRPr="00A235C6">
        <w:t>August</w:t>
      </w:r>
      <w:r w:rsidR="00E75CAB">
        <w:t xml:space="preserve"> </w:t>
      </w:r>
      <w:r w:rsidR="0067607E">
        <w:t>when demand is generally high</w:t>
      </w:r>
      <w:r w:rsidR="00BF1EA7">
        <w:t>.</w:t>
      </w:r>
      <w:r w:rsidR="00E75CAB">
        <w:rPr>
          <w:rStyle w:val="FootnoteReference"/>
        </w:rPr>
        <w:footnoteReference w:id="34"/>
      </w:r>
      <w:r w:rsidR="00E75CAB">
        <w:t xml:space="preserve"> </w:t>
      </w:r>
      <w:r>
        <w:t>Examining these months more closely and analyzing the two lowest spill days of July 27 and July 28</w:t>
      </w:r>
      <w:r w:rsidR="0076247A">
        <w:t xml:space="preserve"> shows </w:t>
      </w:r>
      <w:r>
        <w:rPr>
          <w:iCs/>
        </w:rPr>
        <w:t xml:space="preserve">essentially no spillage </w:t>
      </w:r>
      <w:r w:rsidR="0076247A">
        <w:rPr>
          <w:iCs/>
        </w:rPr>
        <w:t>because</w:t>
      </w:r>
      <w:r>
        <w:rPr>
          <w:iCs/>
        </w:rPr>
        <w:t xml:space="preserve"> </w:t>
      </w:r>
      <w:r w:rsidR="0067607E">
        <w:rPr>
          <w:iCs/>
        </w:rPr>
        <w:t>energy production from all resources is need</w:t>
      </w:r>
      <w:r w:rsidR="0076247A">
        <w:rPr>
          <w:iCs/>
        </w:rPr>
        <w:t>ed</w:t>
      </w:r>
      <w:r w:rsidR="0067607E">
        <w:rPr>
          <w:iCs/>
        </w:rPr>
        <w:t xml:space="preserve"> to meet demand</w:t>
      </w:r>
      <w:r w:rsidR="00774D4B">
        <w:rPr>
          <w:iCs/>
        </w:rPr>
        <w:t>.</w:t>
      </w:r>
      <w:r w:rsidR="0076247A">
        <w:rPr>
          <w:rStyle w:val="FootnoteReference"/>
          <w:iCs/>
        </w:rPr>
        <w:footnoteReference w:id="35"/>
      </w:r>
      <w:r w:rsidR="0076247A" w:rsidRPr="0076247A">
        <w:rPr>
          <w:iCs/>
        </w:rPr>
        <w:t xml:space="preserve"> </w:t>
      </w:r>
      <w:r w:rsidR="0067607E">
        <w:rPr>
          <w:iCs/>
        </w:rPr>
        <w:t xml:space="preserve">See </w:t>
      </w:r>
      <w:r w:rsidR="00E75CAB">
        <w:rPr>
          <w:iCs/>
        </w:rPr>
        <w:fldChar w:fldCharType="begin"/>
      </w:r>
      <w:r w:rsidR="00E75CAB">
        <w:rPr>
          <w:iCs/>
        </w:rPr>
        <w:instrText xml:space="preserve"> REF _Ref42612411 \h </w:instrText>
      </w:r>
      <w:r w:rsidR="00E75CAB">
        <w:rPr>
          <w:iCs/>
        </w:rPr>
      </w:r>
      <w:r w:rsidR="00E75CAB">
        <w:rPr>
          <w:iCs/>
        </w:rPr>
        <w:fldChar w:fldCharType="separate"/>
      </w:r>
      <w:r w:rsidR="001F5E1A">
        <w:t xml:space="preserve">Figure </w:t>
      </w:r>
      <w:r w:rsidR="001F5E1A">
        <w:rPr>
          <w:noProof/>
        </w:rPr>
        <w:t>6</w:t>
      </w:r>
      <w:r w:rsidR="001F5E1A">
        <w:noBreakHyphen/>
      </w:r>
      <w:r w:rsidR="001F5E1A">
        <w:rPr>
          <w:noProof/>
        </w:rPr>
        <w:t>3</w:t>
      </w:r>
      <w:r w:rsidR="00E75CAB">
        <w:rPr>
          <w:iCs/>
        </w:rPr>
        <w:fldChar w:fldCharType="end"/>
      </w:r>
      <w:r w:rsidR="0067607E">
        <w:rPr>
          <w:iCs/>
        </w:rPr>
        <w:t>.</w:t>
      </w:r>
    </w:p>
    <w:p w:rsidR="00856627" w:rsidRDefault="00856627" w:rsidP="00856627">
      <w:pPr>
        <w:spacing w:after="0" w:line="240" w:lineRule="auto"/>
        <w:jc w:val="center"/>
        <w:rPr>
          <w:iCs/>
        </w:rPr>
      </w:pPr>
      <w:r w:rsidRPr="00856627">
        <w:rPr>
          <w:noProof/>
        </w:rPr>
        <w:drawing>
          <wp:inline distT="0" distB="0" distL="0" distR="0" wp14:anchorId="05579158" wp14:editId="0B6F8B94">
            <wp:extent cx="5943600" cy="2328950"/>
            <wp:effectExtent l="19050" t="19050" r="19050" b="146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328950"/>
                    </a:xfrm>
                    <a:prstGeom prst="rect">
                      <a:avLst/>
                    </a:prstGeom>
                    <a:noFill/>
                    <a:ln w="3175">
                      <a:solidFill>
                        <a:srgbClr val="000000"/>
                      </a:solidFill>
                    </a:ln>
                  </pic:spPr>
                </pic:pic>
              </a:graphicData>
            </a:graphic>
          </wp:inline>
        </w:drawing>
      </w:r>
    </w:p>
    <w:p w:rsidR="00222C81" w:rsidRDefault="00905C2C" w:rsidP="00856627">
      <w:pPr>
        <w:pStyle w:val="Caption"/>
        <w:keepNext w:val="0"/>
        <w:keepLines w:val="0"/>
        <w:spacing w:before="120" w:after="240"/>
      </w:pPr>
      <w:bookmarkStart w:id="60" w:name="_Ref42612411"/>
      <w:bookmarkStart w:id="61" w:name="_Toc43224480"/>
      <w:r>
        <w:t xml:space="preserve">Figure </w:t>
      </w:r>
      <w:fldSimple w:instr=" STYLEREF 1 \s ">
        <w:r w:rsidR="001F5E1A">
          <w:rPr>
            <w:noProof/>
          </w:rPr>
          <w:t>6</w:t>
        </w:r>
      </w:fldSimple>
      <w:r w:rsidR="00C5246A">
        <w:noBreakHyphen/>
      </w:r>
      <w:fldSimple w:instr=" SEQ Figure \* ARABIC \s 1 ">
        <w:r w:rsidR="001F5E1A">
          <w:rPr>
            <w:noProof/>
          </w:rPr>
          <w:t>3</w:t>
        </w:r>
      </w:fldSimple>
      <w:bookmarkEnd w:id="60"/>
      <w:r>
        <w:t>: Energy production during two low-spill days (MW)</w:t>
      </w:r>
      <w:r w:rsidR="000D0032">
        <w:t>.</w:t>
      </w:r>
      <w:bookmarkEnd w:id="61"/>
    </w:p>
    <w:p w:rsidR="000E66CA" w:rsidRDefault="00953017" w:rsidP="006279BA">
      <w:r>
        <w:t xml:space="preserve">The </w:t>
      </w:r>
      <w:r w:rsidR="000D0032" w:rsidRPr="00DE09F3">
        <w:rPr>
          <w:i/>
        </w:rPr>
        <w:t xml:space="preserve">most </w:t>
      </w:r>
      <w:r>
        <w:t xml:space="preserve">spillage in the </w:t>
      </w:r>
      <w:r w:rsidRPr="00B46E4F">
        <w:t xml:space="preserve">8000_1 constrained scenario </w:t>
      </w:r>
      <w:r>
        <w:t xml:space="preserve">occurred </w:t>
      </w:r>
      <w:r w:rsidRPr="00A235C6">
        <w:t xml:space="preserve">in </w:t>
      </w:r>
      <w:r>
        <w:t>April</w:t>
      </w:r>
      <w:r w:rsidR="00BF1EA7">
        <w:t xml:space="preserve">. </w:t>
      </w:r>
      <w:r w:rsidR="00365828">
        <w:t>Looking more closely at the</w:t>
      </w:r>
      <w:r>
        <w:t xml:space="preserve"> April results and the two high-spill days</w:t>
      </w:r>
      <w:r w:rsidR="000D0032">
        <w:t xml:space="preserve"> shows that</w:t>
      </w:r>
      <w:r>
        <w:t xml:space="preserve"> </w:t>
      </w:r>
      <w:r w:rsidR="0067607E">
        <w:t xml:space="preserve">wind </w:t>
      </w:r>
      <w:r>
        <w:t>production was</w:t>
      </w:r>
      <w:r w:rsidRPr="00953017">
        <w:t xml:space="preserve"> </w:t>
      </w:r>
      <w:r>
        <w:t>sizable</w:t>
      </w:r>
      <w:r w:rsidR="000D0032">
        <w:t>,</w:t>
      </w:r>
      <w:r>
        <w:t xml:space="preserve"> supporting the premise that spillage is due to over</w:t>
      </w:r>
      <w:r w:rsidR="00C54A0C">
        <w:t>supply</w:t>
      </w:r>
      <w:r>
        <w:t xml:space="preserve"> at times of lower loads</w:t>
      </w:r>
      <w:r w:rsidR="00BF1EA7">
        <w:t xml:space="preserve">. </w:t>
      </w:r>
      <w:r w:rsidR="0067607E">
        <w:t>Se</w:t>
      </w:r>
      <w:r w:rsidR="0067607E" w:rsidRPr="006279BA">
        <w:t xml:space="preserve">e </w:t>
      </w:r>
      <w:r w:rsidR="006279BA" w:rsidRPr="00AC4C6A">
        <w:fldChar w:fldCharType="begin"/>
      </w:r>
      <w:r w:rsidR="006279BA" w:rsidRPr="00B73B9F">
        <w:instrText xml:space="preserve"> REF _Ref42781294 \h  \* MERGEFORMAT </w:instrText>
      </w:r>
      <w:r w:rsidR="006279BA" w:rsidRPr="00AC4C6A">
        <w:fldChar w:fldCharType="separate"/>
      </w:r>
      <w:r w:rsidR="001F5E1A" w:rsidRPr="00D13443">
        <w:rPr>
          <w:rFonts w:cstheme="minorHAnsi"/>
          <w:szCs w:val="20"/>
        </w:rPr>
        <w:t xml:space="preserve">Figure </w:t>
      </w:r>
      <w:r w:rsidR="001F5E1A" w:rsidRPr="00D13443">
        <w:rPr>
          <w:rFonts w:cstheme="minorHAnsi"/>
          <w:noProof/>
          <w:szCs w:val="20"/>
        </w:rPr>
        <w:t>6</w:t>
      </w:r>
      <w:r w:rsidR="001F5E1A" w:rsidRPr="00D13443">
        <w:rPr>
          <w:rFonts w:cstheme="minorHAnsi"/>
          <w:noProof/>
          <w:szCs w:val="20"/>
        </w:rPr>
        <w:noBreakHyphen/>
        <w:t>4</w:t>
      </w:r>
      <w:r w:rsidR="006279BA" w:rsidRPr="00AC4C6A">
        <w:fldChar w:fldCharType="end"/>
      </w:r>
      <w:r w:rsidR="006279BA" w:rsidRPr="00E810E3">
        <w:t xml:space="preserve"> and </w:t>
      </w:r>
      <w:r w:rsidR="006279BA" w:rsidRPr="00C82B12">
        <w:fldChar w:fldCharType="begin"/>
      </w:r>
      <w:r w:rsidR="006279BA" w:rsidRPr="00E810E3">
        <w:instrText xml:space="preserve"> REF _Ref42781298 \h </w:instrText>
      </w:r>
      <w:r w:rsidR="00B73B9F">
        <w:instrText xml:space="preserve"> \* MERGEFORMAT </w:instrText>
      </w:r>
      <w:r w:rsidR="006279BA" w:rsidRPr="00C82B12">
        <w:fldChar w:fldCharType="separate"/>
      </w:r>
      <w:r w:rsidR="001F5E1A" w:rsidRPr="0069454B">
        <w:t xml:space="preserve">Figure </w:t>
      </w:r>
      <w:r w:rsidR="001F5E1A">
        <w:rPr>
          <w:noProof/>
        </w:rPr>
        <w:t>6</w:t>
      </w:r>
      <w:r w:rsidR="001F5E1A">
        <w:rPr>
          <w:noProof/>
        </w:rPr>
        <w:noBreakHyphen/>
        <w:t>5</w:t>
      </w:r>
      <w:r w:rsidR="006279BA" w:rsidRPr="00C82B12">
        <w:fldChar w:fldCharType="end"/>
      </w:r>
      <w:r w:rsidR="0067607E" w:rsidRPr="00E810E3">
        <w:t>.</w:t>
      </w:r>
    </w:p>
    <w:p w:rsidR="00856627" w:rsidRDefault="00856627" w:rsidP="00856627">
      <w:pPr>
        <w:spacing w:after="0" w:line="240" w:lineRule="auto"/>
        <w:jc w:val="center"/>
      </w:pPr>
      <w:r w:rsidRPr="00856627">
        <w:rPr>
          <w:noProof/>
        </w:rPr>
        <w:lastRenderedPageBreak/>
        <w:drawing>
          <wp:inline distT="0" distB="0" distL="0" distR="0" wp14:anchorId="514A5F7E" wp14:editId="2D3E3D7D">
            <wp:extent cx="5943600" cy="2341274"/>
            <wp:effectExtent l="19050" t="19050" r="19050"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341274"/>
                    </a:xfrm>
                    <a:prstGeom prst="rect">
                      <a:avLst/>
                    </a:prstGeom>
                    <a:noFill/>
                    <a:ln w="3175">
                      <a:solidFill>
                        <a:srgbClr val="000000"/>
                      </a:solidFill>
                    </a:ln>
                  </pic:spPr>
                </pic:pic>
              </a:graphicData>
            </a:graphic>
          </wp:inline>
        </w:drawing>
      </w:r>
    </w:p>
    <w:p w:rsidR="0028717C" w:rsidRPr="00B37010" w:rsidRDefault="000D0032" w:rsidP="00CA75BF">
      <w:pPr>
        <w:spacing w:before="120" w:after="360" w:line="240" w:lineRule="auto"/>
        <w:rPr>
          <w:rFonts w:asciiTheme="minorHAnsi" w:hAnsiTheme="minorHAnsi" w:cstheme="minorHAnsi"/>
          <w:b/>
          <w:szCs w:val="20"/>
        </w:rPr>
      </w:pPr>
      <w:bookmarkStart w:id="62" w:name="_Ref42781294"/>
      <w:bookmarkStart w:id="63" w:name="_Toc43224481"/>
      <w:r w:rsidRPr="001F5E1A">
        <w:rPr>
          <w:rFonts w:asciiTheme="minorHAnsi" w:hAnsiTheme="minorHAnsi" w:cstheme="minorHAnsi"/>
          <w:b/>
          <w:szCs w:val="20"/>
        </w:rPr>
        <w:t xml:space="preserve">Figure </w:t>
      </w:r>
      <w:r w:rsidR="00C5246A" w:rsidRPr="001F5E1A">
        <w:rPr>
          <w:rFonts w:asciiTheme="minorHAnsi" w:hAnsiTheme="minorHAnsi" w:cstheme="minorHAnsi"/>
          <w:b/>
          <w:szCs w:val="20"/>
        </w:rPr>
        <w:fldChar w:fldCharType="begin"/>
      </w:r>
      <w:r w:rsidR="00C5246A" w:rsidRPr="001F5E1A">
        <w:rPr>
          <w:rFonts w:asciiTheme="minorHAnsi" w:hAnsiTheme="minorHAnsi" w:cstheme="minorHAnsi"/>
          <w:b/>
          <w:szCs w:val="20"/>
        </w:rPr>
        <w:instrText xml:space="preserve"> STYLEREF 1 \s </w:instrText>
      </w:r>
      <w:r w:rsidR="00C5246A" w:rsidRPr="001F5E1A">
        <w:rPr>
          <w:rFonts w:asciiTheme="minorHAnsi" w:hAnsiTheme="minorHAnsi" w:cstheme="minorHAnsi"/>
          <w:b/>
          <w:szCs w:val="20"/>
        </w:rPr>
        <w:fldChar w:fldCharType="separate"/>
      </w:r>
      <w:r w:rsidR="001F5E1A">
        <w:rPr>
          <w:rFonts w:asciiTheme="minorHAnsi" w:hAnsiTheme="minorHAnsi" w:cstheme="minorHAnsi"/>
          <w:b/>
          <w:noProof/>
          <w:szCs w:val="20"/>
        </w:rPr>
        <w:t>6</w:t>
      </w:r>
      <w:r w:rsidR="00C5246A" w:rsidRPr="001F5E1A">
        <w:rPr>
          <w:rFonts w:asciiTheme="minorHAnsi" w:hAnsiTheme="minorHAnsi" w:cstheme="minorHAnsi"/>
          <w:b/>
          <w:szCs w:val="20"/>
        </w:rPr>
        <w:fldChar w:fldCharType="end"/>
      </w:r>
      <w:r w:rsidR="00C5246A" w:rsidRPr="001F5E1A">
        <w:rPr>
          <w:rFonts w:asciiTheme="minorHAnsi" w:hAnsiTheme="minorHAnsi" w:cstheme="minorHAnsi"/>
          <w:b/>
          <w:szCs w:val="20"/>
        </w:rPr>
        <w:noBreakHyphen/>
      </w:r>
      <w:r w:rsidR="00C5246A" w:rsidRPr="001F5E1A">
        <w:rPr>
          <w:rFonts w:asciiTheme="minorHAnsi" w:hAnsiTheme="minorHAnsi" w:cstheme="minorHAnsi"/>
          <w:b/>
          <w:szCs w:val="20"/>
        </w:rPr>
        <w:fldChar w:fldCharType="begin"/>
      </w:r>
      <w:r w:rsidR="00C5246A" w:rsidRPr="001F5E1A">
        <w:rPr>
          <w:rFonts w:asciiTheme="minorHAnsi" w:hAnsiTheme="minorHAnsi" w:cstheme="minorHAnsi"/>
          <w:b/>
          <w:szCs w:val="20"/>
        </w:rPr>
        <w:instrText xml:space="preserve"> SEQ Figure \* ARABIC \s 1 </w:instrText>
      </w:r>
      <w:r w:rsidR="00C5246A" w:rsidRPr="001F5E1A">
        <w:rPr>
          <w:rFonts w:asciiTheme="minorHAnsi" w:hAnsiTheme="minorHAnsi" w:cstheme="minorHAnsi"/>
          <w:b/>
          <w:szCs w:val="20"/>
        </w:rPr>
        <w:fldChar w:fldCharType="separate"/>
      </w:r>
      <w:r w:rsidR="001F5E1A">
        <w:rPr>
          <w:rFonts w:asciiTheme="minorHAnsi" w:hAnsiTheme="minorHAnsi" w:cstheme="minorHAnsi"/>
          <w:b/>
          <w:noProof/>
          <w:szCs w:val="20"/>
        </w:rPr>
        <w:t>4</w:t>
      </w:r>
      <w:r w:rsidR="00C5246A" w:rsidRPr="001F5E1A">
        <w:rPr>
          <w:rFonts w:asciiTheme="minorHAnsi" w:hAnsiTheme="minorHAnsi" w:cstheme="minorHAnsi"/>
          <w:b/>
          <w:szCs w:val="20"/>
        </w:rPr>
        <w:fldChar w:fldCharType="end"/>
      </w:r>
      <w:bookmarkEnd w:id="62"/>
      <w:r w:rsidRPr="001F5E1A">
        <w:rPr>
          <w:rFonts w:asciiTheme="minorHAnsi" w:hAnsiTheme="minorHAnsi" w:cstheme="minorHAnsi"/>
          <w:b/>
          <w:szCs w:val="20"/>
        </w:rPr>
        <w:t xml:space="preserve">: </w:t>
      </w:r>
      <w:r w:rsidR="0067607E" w:rsidRPr="001F5E1A">
        <w:rPr>
          <w:rFonts w:asciiTheme="minorHAnsi" w:hAnsiTheme="minorHAnsi" w:cstheme="minorHAnsi"/>
          <w:b/>
          <w:bCs/>
          <w:szCs w:val="20"/>
        </w:rPr>
        <w:t xml:space="preserve">Energy </w:t>
      </w:r>
      <w:r w:rsidR="0069454B" w:rsidRPr="001F5E1A">
        <w:rPr>
          <w:rFonts w:asciiTheme="minorHAnsi" w:hAnsiTheme="minorHAnsi" w:cstheme="minorHAnsi"/>
          <w:b/>
          <w:bCs/>
          <w:szCs w:val="20"/>
        </w:rPr>
        <w:t>r</w:t>
      </w:r>
      <w:r w:rsidR="0067607E" w:rsidRPr="001F5E1A">
        <w:rPr>
          <w:rFonts w:asciiTheme="minorHAnsi" w:hAnsiTheme="minorHAnsi" w:cstheme="minorHAnsi"/>
          <w:b/>
          <w:bCs/>
          <w:szCs w:val="20"/>
        </w:rPr>
        <w:t xml:space="preserve">esource </w:t>
      </w:r>
      <w:r w:rsidR="0069454B" w:rsidRPr="00B37010">
        <w:rPr>
          <w:rFonts w:asciiTheme="minorHAnsi" w:hAnsiTheme="minorHAnsi" w:cstheme="minorHAnsi"/>
          <w:b/>
          <w:bCs/>
          <w:szCs w:val="20"/>
        </w:rPr>
        <w:t>p</w:t>
      </w:r>
      <w:r w:rsidR="000E66CA" w:rsidRPr="00B37010">
        <w:rPr>
          <w:rFonts w:asciiTheme="minorHAnsi" w:hAnsiTheme="minorHAnsi" w:cstheme="minorHAnsi"/>
          <w:b/>
          <w:bCs/>
          <w:szCs w:val="20"/>
        </w:rPr>
        <w:t>roduction</w:t>
      </w:r>
      <w:r w:rsidR="0067607E" w:rsidRPr="00B37010">
        <w:rPr>
          <w:rFonts w:asciiTheme="minorHAnsi" w:hAnsiTheme="minorHAnsi" w:cstheme="minorHAnsi"/>
          <w:b/>
          <w:bCs/>
          <w:szCs w:val="20"/>
        </w:rPr>
        <w:t xml:space="preserve"> of the </w:t>
      </w:r>
      <w:r w:rsidR="0069454B" w:rsidRPr="00B37010">
        <w:rPr>
          <w:rFonts w:asciiTheme="minorHAnsi" w:hAnsiTheme="minorHAnsi" w:cstheme="minorHAnsi"/>
          <w:b/>
          <w:bCs/>
          <w:szCs w:val="20"/>
        </w:rPr>
        <w:t>t</w:t>
      </w:r>
      <w:r w:rsidR="000E66CA" w:rsidRPr="00B37010">
        <w:rPr>
          <w:rFonts w:asciiTheme="minorHAnsi" w:hAnsiTheme="minorHAnsi" w:cstheme="minorHAnsi"/>
          <w:b/>
          <w:bCs/>
          <w:szCs w:val="20"/>
        </w:rPr>
        <w:t xml:space="preserve">wo </w:t>
      </w:r>
      <w:r w:rsidR="0069454B" w:rsidRPr="00B37010">
        <w:rPr>
          <w:rFonts w:asciiTheme="minorHAnsi" w:hAnsiTheme="minorHAnsi" w:cstheme="minorHAnsi"/>
          <w:b/>
          <w:bCs/>
          <w:szCs w:val="20"/>
        </w:rPr>
        <w:t>h</w:t>
      </w:r>
      <w:r w:rsidR="000E66CA" w:rsidRPr="00B37010">
        <w:rPr>
          <w:rFonts w:asciiTheme="minorHAnsi" w:hAnsiTheme="minorHAnsi" w:cstheme="minorHAnsi"/>
          <w:b/>
          <w:bCs/>
          <w:szCs w:val="20"/>
        </w:rPr>
        <w:t>igh</w:t>
      </w:r>
      <w:r w:rsidR="0069454B" w:rsidRPr="00B37010">
        <w:rPr>
          <w:rFonts w:asciiTheme="minorHAnsi" w:hAnsiTheme="minorHAnsi" w:cstheme="minorHAnsi"/>
          <w:b/>
          <w:bCs/>
          <w:szCs w:val="20"/>
        </w:rPr>
        <w:t>est</w:t>
      </w:r>
      <w:r w:rsidR="00B37010">
        <w:rPr>
          <w:rFonts w:asciiTheme="minorHAnsi" w:hAnsiTheme="minorHAnsi" w:cstheme="minorHAnsi"/>
          <w:b/>
          <w:bCs/>
          <w:szCs w:val="20"/>
        </w:rPr>
        <w:t xml:space="preserve"> </w:t>
      </w:r>
      <w:r w:rsidR="0069454B" w:rsidRPr="00B37010">
        <w:rPr>
          <w:rFonts w:asciiTheme="minorHAnsi" w:hAnsiTheme="minorHAnsi" w:cstheme="minorHAnsi"/>
          <w:b/>
          <w:bCs/>
          <w:szCs w:val="20"/>
        </w:rPr>
        <w:t>s</w:t>
      </w:r>
      <w:r w:rsidR="000E66CA" w:rsidRPr="00B37010">
        <w:rPr>
          <w:rFonts w:asciiTheme="minorHAnsi" w:hAnsiTheme="minorHAnsi" w:cstheme="minorHAnsi"/>
          <w:b/>
          <w:bCs/>
          <w:szCs w:val="20"/>
        </w:rPr>
        <w:t xml:space="preserve">pill </w:t>
      </w:r>
      <w:r w:rsidR="0069454B" w:rsidRPr="00B37010">
        <w:rPr>
          <w:rFonts w:asciiTheme="minorHAnsi" w:hAnsiTheme="minorHAnsi" w:cstheme="minorHAnsi"/>
          <w:b/>
          <w:bCs/>
          <w:szCs w:val="20"/>
        </w:rPr>
        <w:t>d</w:t>
      </w:r>
      <w:r w:rsidR="000E66CA" w:rsidRPr="00B37010">
        <w:rPr>
          <w:rFonts w:asciiTheme="minorHAnsi" w:hAnsiTheme="minorHAnsi" w:cstheme="minorHAnsi"/>
          <w:b/>
          <w:bCs/>
          <w:szCs w:val="20"/>
        </w:rPr>
        <w:t>ays</w:t>
      </w:r>
      <w:r w:rsidR="0069454B" w:rsidRPr="00B37010">
        <w:rPr>
          <w:rFonts w:asciiTheme="minorHAnsi" w:hAnsiTheme="minorHAnsi" w:cstheme="minorHAnsi"/>
          <w:b/>
          <w:bCs/>
          <w:szCs w:val="20"/>
        </w:rPr>
        <w:t>.</w:t>
      </w:r>
      <w:bookmarkEnd w:id="63"/>
    </w:p>
    <w:p w:rsidR="00992DFC" w:rsidRPr="00FE2518" w:rsidRDefault="00992DFC" w:rsidP="00B73B9F">
      <w:pPr>
        <w:spacing w:after="0" w:line="240" w:lineRule="auto"/>
        <w:jc w:val="center"/>
        <w:rPr>
          <w:b/>
          <w:bCs/>
        </w:rPr>
      </w:pPr>
      <w:r w:rsidRPr="00992DFC">
        <w:rPr>
          <w:noProof/>
        </w:rPr>
        <w:drawing>
          <wp:inline distT="0" distB="0" distL="0" distR="0" wp14:anchorId="47C9C0A6" wp14:editId="21F06AC9">
            <wp:extent cx="5943600" cy="2336264"/>
            <wp:effectExtent l="19050" t="19050" r="19050" b="260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336264"/>
                    </a:xfrm>
                    <a:prstGeom prst="rect">
                      <a:avLst/>
                    </a:prstGeom>
                    <a:noFill/>
                    <a:ln w="3175">
                      <a:solidFill>
                        <a:srgbClr val="000000"/>
                      </a:solidFill>
                    </a:ln>
                  </pic:spPr>
                </pic:pic>
              </a:graphicData>
            </a:graphic>
          </wp:inline>
        </w:drawing>
      </w:r>
    </w:p>
    <w:p w:rsidR="0069454B" w:rsidRDefault="0069454B" w:rsidP="00992DFC">
      <w:pPr>
        <w:pStyle w:val="Caption"/>
        <w:spacing w:before="120" w:after="240"/>
      </w:pPr>
      <w:bookmarkStart w:id="64" w:name="_Ref42781298"/>
      <w:bookmarkStart w:id="65" w:name="_Toc43224482"/>
      <w:r w:rsidRPr="0069454B">
        <w:t xml:space="preserve">Figure </w:t>
      </w:r>
      <w:fldSimple w:instr=" STYLEREF 1 \s ">
        <w:r w:rsidR="001F5E1A">
          <w:rPr>
            <w:noProof/>
          </w:rPr>
          <w:t>6</w:t>
        </w:r>
      </w:fldSimple>
      <w:r w:rsidR="00C5246A">
        <w:noBreakHyphen/>
      </w:r>
      <w:fldSimple w:instr=" SEQ Figure \* ARABIC \s 1 ">
        <w:r w:rsidR="001F5E1A">
          <w:rPr>
            <w:noProof/>
          </w:rPr>
          <w:t>5</w:t>
        </w:r>
      </w:fldSimple>
      <w:bookmarkEnd w:id="64"/>
      <w:r w:rsidRPr="0069454B">
        <w:t xml:space="preserve">: </w:t>
      </w:r>
      <w:r w:rsidR="00521F94" w:rsidRPr="00DE09F3">
        <w:rPr>
          <w:bCs w:val="0"/>
        </w:rPr>
        <w:t xml:space="preserve">Energy </w:t>
      </w:r>
      <w:r>
        <w:rPr>
          <w:bCs w:val="0"/>
        </w:rPr>
        <w:t>r</w:t>
      </w:r>
      <w:r w:rsidR="00521F94" w:rsidRPr="00DE09F3">
        <w:rPr>
          <w:bCs w:val="0"/>
        </w:rPr>
        <w:t xml:space="preserve">esource </w:t>
      </w:r>
      <w:r>
        <w:rPr>
          <w:bCs w:val="0"/>
        </w:rPr>
        <w:t>s</w:t>
      </w:r>
      <w:r w:rsidR="00521F94" w:rsidRPr="00DE09F3">
        <w:rPr>
          <w:bCs w:val="0"/>
        </w:rPr>
        <w:t xml:space="preserve">pillage of the </w:t>
      </w:r>
      <w:r>
        <w:rPr>
          <w:bCs w:val="0"/>
        </w:rPr>
        <w:t>t</w:t>
      </w:r>
      <w:r w:rsidR="00521F94" w:rsidRPr="00DE09F3">
        <w:rPr>
          <w:bCs w:val="0"/>
        </w:rPr>
        <w:t>w</w:t>
      </w:r>
      <w:r w:rsidR="00521F94" w:rsidRPr="00B37010">
        <w:rPr>
          <w:bCs w:val="0"/>
        </w:rPr>
        <w:t>o</w:t>
      </w:r>
      <w:r w:rsidRPr="00B37010">
        <w:rPr>
          <w:bCs w:val="0"/>
        </w:rPr>
        <w:t xml:space="preserve"> h</w:t>
      </w:r>
      <w:r w:rsidR="00521F94" w:rsidRPr="00B37010">
        <w:rPr>
          <w:bCs w:val="0"/>
        </w:rPr>
        <w:t>igh</w:t>
      </w:r>
      <w:r w:rsidRPr="00B37010">
        <w:rPr>
          <w:bCs w:val="0"/>
        </w:rPr>
        <w:t>est</w:t>
      </w:r>
      <w:r w:rsidR="00B37010">
        <w:rPr>
          <w:bCs w:val="0"/>
        </w:rPr>
        <w:t xml:space="preserve"> </w:t>
      </w:r>
      <w:r w:rsidRPr="00B37010">
        <w:rPr>
          <w:bCs w:val="0"/>
        </w:rPr>
        <w:t>s</w:t>
      </w:r>
      <w:r w:rsidR="00521F94" w:rsidRPr="00B37010">
        <w:rPr>
          <w:bCs w:val="0"/>
        </w:rPr>
        <w:t>pill</w:t>
      </w:r>
      <w:r w:rsidR="00521F94" w:rsidRPr="00DE09F3">
        <w:rPr>
          <w:bCs w:val="0"/>
        </w:rPr>
        <w:t xml:space="preserve"> </w:t>
      </w:r>
      <w:r>
        <w:rPr>
          <w:bCs w:val="0"/>
        </w:rPr>
        <w:t>d</w:t>
      </w:r>
      <w:r w:rsidR="00521F94" w:rsidRPr="00DE09F3">
        <w:rPr>
          <w:bCs w:val="0"/>
        </w:rPr>
        <w:t>ays</w:t>
      </w:r>
      <w:r>
        <w:rPr>
          <w:bCs w:val="0"/>
        </w:rPr>
        <w:t>.</w:t>
      </w:r>
      <w:bookmarkEnd w:id="65"/>
    </w:p>
    <w:p w:rsidR="00B46E4F" w:rsidRPr="00403A28" w:rsidRDefault="00B46E4F" w:rsidP="00B46E4F">
      <w:pPr>
        <w:pStyle w:val="Heading3"/>
      </w:pPr>
      <w:bookmarkStart w:id="66" w:name="_Toc44412051"/>
      <w:r w:rsidRPr="00403A28">
        <w:t xml:space="preserve">Systemwide </w:t>
      </w:r>
      <w:r w:rsidR="0069454B" w:rsidRPr="00403A28">
        <w:t>P</w:t>
      </w:r>
      <w:r w:rsidRPr="00403A28">
        <w:t xml:space="preserve">roduction </w:t>
      </w:r>
      <w:r w:rsidR="0069454B" w:rsidRPr="00403A28">
        <w:t>C</w:t>
      </w:r>
      <w:r w:rsidRPr="00403A28">
        <w:t>osts</w:t>
      </w:r>
      <w:bookmarkEnd w:id="66"/>
    </w:p>
    <w:p w:rsidR="003E4526" w:rsidRDefault="00521F94" w:rsidP="006F7FF1">
      <w:r w:rsidRPr="00403A28">
        <w:t>Pro</w:t>
      </w:r>
      <w:r w:rsidRPr="00EF409C">
        <w:t xml:space="preserve">duction costs reflect operating costs (which account for fuel-related costs), dispatch and unit commitment, and emission allowances. </w:t>
      </w:r>
      <w:r w:rsidR="003E4526">
        <w:t xml:space="preserve">Natural gas consumption, and to a lesser extent other fossil fuels, drive production costs. </w:t>
      </w:r>
      <w:r w:rsidR="00494C19">
        <w:t>The amount of resources assumed for each scenario is adequate to meet the systemwide energy requirements without significant transmission upgrades</w:t>
      </w:r>
      <w:r w:rsidR="00BF1EA7">
        <w:t xml:space="preserve">. </w:t>
      </w:r>
    </w:p>
    <w:p w:rsidR="006F7FF1" w:rsidRDefault="00494C19" w:rsidP="006F7FF1">
      <w:r w:rsidRPr="00CE1B10">
        <w:rPr>
          <w:b/>
        </w:rPr>
        <w:t>In general, as offshore</w:t>
      </w:r>
      <w:r w:rsidR="00F778D6" w:rsidRPr="00CE1B10">
        <w:rPr>
          <w:b/>
        </w:rPr>
        <w:t xml:space="preserve"> wind energy</w:t>
      </w:r>
      <w:r w:rsidRPr="00CE1B10">
        <w:rPr>
          <w:b/>
        </w:rPr>
        <w:t xml:space="preserve"> increases across the scenarios, natural</w:t>
      </w:r>
      <w:r w:rsidR="003C1BF9" w:rsidRPr="00CE1B10">
        <w:rPr>
          <w:b/>
        </w:rPr>
        <w:t>-</w:t>
      </w:r>
      <w:r w:rsidRPr="00CE1B10">
        <w:rPr>
          <w:b/>
        </w:rPr>
        <w:t>gas</w:t>
      </w:r>
      <w:r w:rsidR="003C1BF9" w:rsidRPr="00CE1B10">
        <w:rPr>
          <w:b/>
        </w:rPr>
        <w:t>-</w:t>
      </w:r>
      <w:r w:rsidRPr="00CE1B10">
        <w:rPr>
          <w:b/>
        </w:rPr>
        <w:t>fired generation decreases</w:t>
      </w:r>
      <w:r w:rsidR="00707DFC" w:rsidRPr="00CE1B10">
        <w:rPr>
          <w:b/>
        </w:rPr>
        <w:t xml:space="preserve"> and production costs decrease</w:t>
      </w:r>
      <w:r w:rsidR="003C1BF9" w:rsidRPr="00CE1B10">
        <w:rPr>
          <w:b/>
        </w:rPr>
        <w:t>,</w:t>
      </w:r>
      <w:r w:rsidR="00707DFC" w:rsidRPr="00CE1B10">
        <w:rPr>
          <w:b/>
        </w:rPr>
        <w:t xml:space="preserve"> as shown in </w:t>
      </w:r>
      <w:r w:rsidR="003C1BF9" w:rsidRPr="00CE1B10">
        <w:rPr>
          <w:b/>
        </w:rPr>
        <w:fldChar w:fldCharType="begin"/>
      </w:r>
      <w:r w:rsidR="003C1BF9" w:rsidRPr="00CE1B10">
        <w:rPr>
          <w:b/>
        </w:rPr>
        <w:instrText xml:space="preserve"> REF _Ref42673342 \h </w:instrText>
      </w:r>
      <w:r w:rsidR="00B73B9F" w:rsidRPr="00CE1B10">
        <w:rPr>
          <w:b/>
        </w:rPr>
        <w:instrText xml:space="preserve"> \* MERGEFORMAT </w:instrText>
      </w:r>
      <w:r w:rsidR="003C1BF9" w:rsidRPr="00CE1B10">
        <w:rPr>
          <w:b/>
        </w:rPr>
      </w:r>
      <w:r w:rsidR="003C1BF9" w:rsidRPr="00CE1B10">
        <w:rPr>
          <w:b/>
        </w:rPr>
        <w:fldChar w:fldCharType="separate"/>
      </w:r>
      <w:r w:rsidR="001F5E1A" w:rsidRPr="00CE1B10">
        <w:rPr>
          <w:b/>
        </w:rPr>
        <w:t xml:space="preserve">Figure </w:t>
      </w:r>
      <w:r w:rsidR="001F5E1A" w:rsidRPr="00CE1B10">
        <w:rPr>
          <w:b/>
          <w:noProof/>
        </w:rPr>
        <w:t>6</w:t>
      </w:r>
      <w:r w:rsidR="001F5E1A" w:rsidRPr="00CE1B10">
        <w:rPr>
          <w:b/>
          <w:noProof/>
        </w:rPr>
        <w:noBreakHyphen/>
        <w:t>6</w:t>
      </w:r>
      <w:r w:rsidR="003C1BF9" w:rsidRPr="00CE1B10">
        <w:rPr>
          <w:b/>
        </w:rPr>
        <w:fldChar w:fldCharType="end"/>
      </w:r>
      <w:r w:rsidR="00707DFC" w:rsidRPr="00CE1B10">
        <w:rPr>
          <w:b/>
        </w:rPr>
        <w:t>.</w:t>
      </w:r>
      <w:r w:rsidR="00857A79" w:rsidRPr="00E810E3">
        <w:t xml:space="preserve"> </w:t>
      </w:r>
      <w:r w:rsidR="00FE4586">
        <w:t>In the 8,</w:t>
      </w:r>
      <w:r w:rsidR="0052653B">
        <w:t>000 </w:t>
      </w:r>
      <w:r w:rsidR="00FE4586">
        <w:t xml:space="preserve">MW scenarios, offshore </w:t>
      </w:r>
      <w:r w:rsidR="00857A79" w:rsidRPr="00B37010">
        <w:t xml:space="preserve">wind </w:t>
      </w:r>
      <w:r w:rsidR="00FE4586">
        <w:t xml:space="preserve">displaces </w:t>
      </w:r>
      <w:r w:rsidR="00857A79" w:rsidRPr="002617E0">
        <w:t xml:space="preserve">other zero-cost </w:t>
      </w:r>
      <w:r w:rsidR="00B73B9F" w:rsidRPr="002617E0">
        <w:t>resources</w:t>
      </w:r>
      <w:r w:rsidR="00857A79" w:rsidRPr="002617E0">
        <w:t xml:space="preserve"> instead of thermal</w:t>
      </w:r>
      <w:r w:rsidR="00B73B9F" w:rsidRPr="002617E0">
        <w:t>-</w:t>
      </w:r>
      <w:r w:rsidR="00857A79" w:rsidRPr="002617E0">
        <w:t>emitting resources</w:t>
      </w:r>
      <w:r w:rsidR="0052653B">
        <w:t>,</w:t>
      </w:r>
      <w:r w:rsidR="00FE4586">
        <w:t xml:space="preserve"> resulting in </w:t>
      </w:r>
      <w:r w:rsidR="00AB49D2">
        <w:t xml:space="preserve">lower incremental </w:t>
      </w:r>
      <w:r w:rsidR="00FE4586">
        <w:t>savings</w:t>
      </w:r>
      <w:r w:rsidR="00857A79" w:rsidRPr="002617E0">
        <w:t>.</w:t>
      </w:r>
      <w:r w:rsidR="00707DFC" w:rsidRPr="002617E0">
        <w:t xml:space="preserve"> </w:t>
      </w:r>
      <w:r>
        <w:t>Oil</w:t>
      </w:r>
      <w:r w:rsidR="003724C2">
        <w:t>-</w:t>
      </w:r>
      <w:r>
        <w:t xml:space="preserve">fired generation is not committed in these scenarios; however, a very small amount </w:t>
      </w:r>
      <w:r w:rsidR="00AD5F99">
        <w:t xml:space="preserve">coal-fired </w:t>
      </w:r>
      <w:r w:rsidRPr="009606D8">
        <w:t>generation</w:t>
      </w:r>
      <w:r w:rsidR="00950730" w:rsidRPr="00CE1B10">
        <w:t xml:space="preserve"> (i.e.</w:t>
      </w:r>
      <w:r w:rsidR="009606D8" w:rsidRPr="00CE1B10">
        <w:t xml:space="preserve">, </w:t>
      </w:r>
      <w:r w:rsidR="00950730" w:rsidRPr="00CE1B10">
        <w:t>approximately 0.07 TWh in the 8000_1 constrained scenario)</w:t>
      </w:r>
      <w:r w:rsidRPr="00CE1B10">
        <w:t xml:space="preserve"> is committed</w:t>
      </w:r>
      <w:r w:rsidR="00D210A1" w:rsidRPr="00CE1B10">
        <w:t xml:space="preserve"> </w:t>
      </w:r>
      <w:r w:rsidR="00D210A1" w:rsidRPr="00CE1B10">
        <w:lastRenderedPageBreak/>
        <w:t xml:space="preserve">(primarily </w:t>
      </w:r>
      <w:r w:rsidR="003724C2" w:rsidRPr="00CE1B10">
        <w:t xml:space="preserve">in the </w:t>
      </w:r>
      <w:r w:rsidR="00D210A1" w:rsidRPr="00CE1B10">
        <w:t>winter</w:t>
      </w:r>
      <w:r w:rsidR="00D210A1">
        <w:t xml:space="preserve"> months of December, January</w:t>
      </w:r>
      <w:r w:rsidR="003724C2">
        <w:t>,</w:t>
      </w:r>
      <w:r w:rsidR="00D210A1">
        <w:t xml:space="preserve"> and February)</w:t>
      </w:r>
      <w:r>
        <w:t xml:space="preserve"> in all scenarios</w:t>
      </w:r>
      <w:r w:rsidR="00BF1EA7">
        <w:t>.</w:t>
      </w:r>
      <w:r w:rsidR="0098293E">
        <w:rPr>
          <w:rStyle w:val="FootnoteReference"/>
        </w:rPr>
        <w:footnoteReference w:id="36"/>
      </w:r>
      <w:r w:rsidR="00BF1EA7">
        <w:t xml:space="preserve"> </w:t>
      </w:r>
      <w:r w:rsidR="00707DFC">
        <w:t xml:space="preserve">Production costs are </w:t>
      </w:r>
      <w:r w:rsidR="00593924">
        <w:t xml:space="preserve">slightly </w:t>
      </w:r>
      <w:r w:rsidR="00707DFC">
        <w:t xml:space="preserve">lower in unconstrained cases </w:t>
      </w:r>
      <w:r w:rsidR="003724C2">
        <w:t>because</w:t>
      </w:r>
      <w:r w:rsidR="00707DFC">
        <w:t xml:space="preserve"> they u</w:t>
      </w:r>
      <w:r w:rsidR="003724C2">
        <w:t>se</w:t>
      </w:r>
      <w:r w:rsidR="00707DFC">
        <w:t xml:space="preserve"> more zero-cost energy</w:t>
      </w:r>
      <w:r w:rsidR="00D210A1">
        <w:t xml:space="preserve"> north of the Maine-New Hampshire interface</w:t>
      </w:r>
      <w:r w:rsidR="00BF1EA7">
        <w:t xml:space="preserve">. </w:t>
      </w:r>
      <w:r w:rsidR="00707DFC">
        <w:t xml:space="preserve"> </w:t>
      </w:r>
    </w:p>
    <w:p w:rsidR="006F7FF1" w:rsidRDefault="00FE2518" w:rsidP="00CB6997">
      <w:pPr>
        <w:spacing w:after="0" w:line="240" w:lineRule="auto"/>
        <w:jc w:val="center"/>
      </w:pPr>
      <w:r w:rsidRPr="00FE2518">
        <w:rPr>
          <w:noProof/>
        </w:rPr>
        <w:drawing>
          <wp:inline distT="0" distB="0" distL="0" distR="0" wp14:anchorId="1F3D69A1" wp14:editId="1209F957">
            <wp:extent cx="5943600" cy="2900190"/>
            <wp:effectExtent l="19050" t="19050" r="19050" b="146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900190"/>
                    </a:xfrm>
                    <a:prstGeom prst="rect">
                      <a:avLst/>
                    </a:prstGeom>
                    <a:noFill/>
                    <a:ln w="3175">
                      <a:solidFill>
                        <a:srgbClr val="000000"/>
                      </a:solidFill>
                    </a:ln>
                  </pic:spPr>
                </pic:pic>
              </a:graphicData>
            </a:graphic>
          </wp:inline>
        </w:drawing>
      </w:r>
    </w:p>
    <w:p w:rsidR="003C1BF9" w:rsidRDefault="003C1BF9" w:rsidP="00CB6997">
      <w:pPr>
        <w:pStyle w:val="Caption"/>
        <w:spacing w:before="120" w:after="240"/>
      </w:pPr>
      <w:bookmarkStart w:id="67" w:name="_Ref42673342"/>
      <w:bookmarkStart w:id="68" w:name="_Toc43224483"/>
      <w:r>
        <w:t xml:space="preserve">Figure </w:t>
      </w:r>
      <w:fldSimple w:instr=" STYLEREF 1 \s ">
        <w:r w:rsidR="001F5E1A">
          <w:rPr>
            <w:noProof/>
          </w:rPr>
          <w:t>6</w:t>
        </w:r>
      </w:fldSimple>
      <w:r w:rsidR="00C5246A">
        <w:noBreakHyphen/>
      </w:r>
      <w:fldSimple w:instr=" SEQ Figure \* ARABIC \s 1 ">
        <w:r w:rsidR="001F5E1A">
          <w:rPr>
            <w:noProof/>
          </w:rPr>
          <w:t>6</w:t>
        </w:r>
      </w:fldSimple>
      <w:bookmarkEnd w:id="67"/>
      <w:r>
        <w:t xml:space="preserve">: </w:t>
      </w:r>
      <w:r w:rsidRPr="00707DFC">
        <w:t xml:space="preserve">Systemwide </w:t>
      </w:r>
      <w:r>
        <w:t>p</w:t>
      </w:r>
      <w:r w:rsidRPr="00707DFC">
        <w:t xml:space="preserve">roduction </w:t>
      </w:r>
      <w:r>
        <w:t>c</w:t>
      </w:r>
      <w:r w:rsidRPr="00707DFC">
        <w:t xml:space="preserve">osts ($ </w:t>
      </w:r>
      <w:r w:rsidR="00474A37">
        <w:t>m</w:t>
      </w:r>
      <w:r w:rsidRPr="00707DFC">
        <w:t>illion)</w:t>
      </w:r>
      <w:r>
        <w:t>.</w:t>
      </w:r>
      <w:bookmarkEnd w:id="68"/>
      <w:r w:rsidR="003724C2">
        <w:t xml:space="preserve">  </w:t>
      </w:r>
    </w:p>
    <w:p w:rsidR="00F45227" w:rsidRDefault="00521F94" w:rsidP="000E66CA">
      <w:r>
        <w:t>Focusing on the 8,000 MW scenarios,</w:t>
      </w:r>
      <w:r w:rsidRPr="003724C2">
        <w:t xml:space="preserve"> </w:t>
      </w:r>
      <w:r w:rsidR="003724C2" w:rsidRPr="0005623C">
        <w:fldChar w:fldCharType="begin"/>
      </w:r>
      <w:r w:rsidR="003724C2" w:rsidRPr="00A7517A">
        <w:instrText xml:space="preserve"> REF _Ref42674853 \h </w:instrText>
      </w:r>
      <w:r w:rsidR="003724C2" w:rsidRPr="006132F4">
        <w:instrText xml:space="preserve"> \* MERGEFORMAT </w:instrText>
      </w:r>
      <w:r w:rsidR="003724C2" w:rsidRPr="0005623C">
        <w:fldChar w:fldCharType="separate"/>
      </w:r>
      <w:r w:rsidR="001F5E1A" w:rsidRPr="003724C2">
        <w:t xml:space="preserve">Table </w:t>
      </w:r>
      <w:r w:rsidR="001F5E1A">
        <w:rPr>
          <w:noProof/>
        </w:rPr>
        <w:t>6</w:t>
      </w:r>
      <w:r w:rsidR="001F5E1A">
        <w:rPr>
          <w:noProof/>
        </w:rPr>
        <w:noBreakHyphen/>
        <w:t>1</w:t>
      </w:r>
      <w:r w:rsidR="003724C2" w:rsidRPr="0005623C">
        <w:fldChar w:fldCharType="end"/>
      </w:r>
      <w:r w:rsidRPr="00A7517A">
        <w:rPr>
          <w:color w:val="FF0000"/>
        </w:rPr>
        <w:t xml:space="preserve"> </w:t>
      </w:r>
      <w:r>
        <w:t>shows</w:t>
      </w:r>
      <w:r w:rsidRPr="00EF409C">
        <w:t xml:space="preserve"> the system production costs </w:t>
      </w:r>
      <w:r w:rsidR="00494C19">
        <w:t xml:space="preserve">by fuel type </w:t>
      </w:r>
      <w:r w:rsidRPr="00EF409C">
        <w:t xml:space="preserve">for the unconstrained and the constrained system for </w:t>
      </w:r>
      <w:r>
        <w:t>the</w:t>
      </w:r>
      <w:r w:rsidRPr="00EF409C">
        <w:t xml:space="preserve"> </w:t>
      </w:r>
      <w:r w:rsidR="00E06358">
        <w:t xml:space="preserve">2030 </w:t>
      </w:r>
      <w:r w:rsidRPr="00EF409C">
        <w:t>study year.</w:t>
      </w:r>
      <w:r w:rsidR="003724C2">
        <w:rPr>
          <w:rStyle w:val="FootnoteReference"/>
        </w:rPr>
        <w:footnoteReference w:id="37"/>
      </w:r>
      <w:r w:rsidRPr="00EF409C">
        <w:t xml:space="preserve"> </w:t>
      </w:r>
      <w:r w:rsidR="000E66CA" w:rsidRPr="000E66CA">
        <w:t xml:space="preserve">The </w:t>
      </w:r>
      <w:r w:rsidR="002F7B36">
        <w:t>small</w:t>
      </w:r>
      <w:r w:rsidR="00250400">
        <w:t xml:space="preserve"> </w:t>
      </w:r>
      <w:r w:rsidR="000E66CA" w:rsidRPr="000E66CA">
        <w:t xml:space="preserve">production cost differences among the scenarios </w:t>
      </w:r>
      <w:r w:rsidR="00494C19">
        <w:t>can be attributed to</w:t>
      </w:r>
      <w:r w:rsidR="000E66CA" w:rsidRPr="000E66CA">
        <w:t xml:space="preserve"> wind capacity factors of various portions of the BOEM lease area.</w:t>
      </w:r>
    </w:p>
    <w:p w:rsidR="00F47812" w:rsidRDefault="003724C2" w:rsidP="00F16A8C">
      <w:pPr>
        <w:pStyle w:val="Caption"/>
        <w:jc w:val="center"/>
        <w:rPr>
          <w:iCs/>
        </w:rPr>
      </w:pPr>
      <w:bookmarkStart w:id="69" w:name="_Ref42674853"/>
      <w:bookmarkStart w:id="70" w:name="_Toc44412064"/>
      <w:r w:rsidRPr="003724C2">
        <w:lastRenderedPageBreak/>
        <w:t xml:space="preserve">Table </w:t>
      </w:r>
      <w:fldSimple w:instr=" STYLEREF 1 \s ">
        <w:r w:rsidR="00E62212">
          <w:rPr>
            <w:noProof/>
          </w:rPr>
          <w:t>6</w:t>
        </w:r>
      </w:fldSimple>
      <w:r w:rsidR="00E62212">
        <w:noBreakHyphen/>
      </w:r>
      <w:fldSimple w:instr=" SEQ Table \* ARABIC \s 1 ">
        <w:r w:rsidR="00E62212">
          <w:rPr>
            <w:noProof/>
          </w:rPr>
          <w:t>1</w:t>
        </w:r>
      </w:fldSimple>
      <w:bookmarkEnd w:id="69"/>
      <w:r w:rsidRPr="003724C2">
        <w:br/>
      </w:r>
      <w:r w:rsidR="000E66CA" w:rsidRPr="003724C2">
        <w:t>Total Systemwide Prod</w:t>
      </w:r>
      <w:r w:rsidR="00E06358" w:rsidRPr="003724C2">
        <w:t>uction by Fuel Type (TWh) for the 8,000 MW Scenarios</w:t>
      </w:r>
      <w:r w:rsidR="000E66CA" w:rsidRPr="003724C2">
        <w:br/>
      </w:r>
      <w:r w:rsidR="000E66CA" w:rsidRPr="003724C2">
        <w:rPr>
          <w:iCs/>
        </w:rPr>
        <w:t xml:space="preserve">Constrained </w:t>
      </w:r>
      <w:r w:rsidR="00E06358" w:rsidRPr="003724C2">
        <w:rPr>
          <w:iCs/>
        </w:rPr>
        <w:t xml:space="preserve">(Cstr.) </w:t>
      </w:r>
      <w:r w:rsidR="000E66CA" w:rsidRPr="003724C2">
        <w:rPr>
          <w:iCs/>
        </w:rPr>
        <w:t xml:space="preserve">and Unconstrained </w:t>
      </w:r>
      <w:r w:rsidR="00E06358" w:rsidRPr="003724C2">
        <w:rPr>
          <w:iCs/>
        </w:rPr>
        <w:t xml:space="preserve">(Uncstr.) </w:t>
      </w:r>
      <w:r w:rsidR="000E66CA" w:rsidRPr="003724C2">
        <w:rPr>
          <w:iCs/>
        </w:rPr>
        <w:t>Transmission</w:t>
      </w:r>
      <w:bookmarkEnd w:id="70"/>
    </w:p>
    <w:tbl>
      <w:tblPr>
        <w:tblW w:w="971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887"/>
        <w:gridCol w:w="978"/>
        <w:gridCol w:w="979"/>
        <w:gridCol w:w="979"/>
        <w:gridCol w:w="979"/>
        <w:gridCol w:w="978"/>
        <w:gridCol w:w="979"/>
        <w:gridCol w:w="979"/>
        <w:gridCol w:w="979"/>
      </w:tblGrid>
      <w:tr w:rsidR="00AB77F2" w:rsidRPr="00F16A8C" w:rsidTr="009242BE">
        <w:trPr>
          <w:trHeight w:val="371"/>
          <w:jc w:val="center"/>
        </w:trPr>
        <w:tc>
          <w:tcPr>
            <w:tcW w:w="1887" w:type="dxa"/>
            <w:shd w:val="clear" w:color="auto" w:fill="1795D2" w:themeFill="accent1"/>
            <w:tcMar>
              <w:top w:w="29" w:type="dxa"/>
              <w:left w:w="29" w:type="dxa"/>
              <w:bottom w:w="29" w:type="dxa"/>
              <w:right w:w="29" w:type="dxa"/>
            </w:tcMar>
            <w:vAlign w:val="center"/>
            <w:hideMark/>
          </w:tcPr>
          <w:p w:rsidR="00F44CEE" w:rsidRPr="00F16A8C" w:rsidRDefault="00F44CEE" w:rsidP="00F16A8C">
            <w:pPr>
              <w:keepNext/>
              <w:keepLines/>
              <w:adjustRightInd/>
              <w:spacing w:after="0" w:line="240" w:lineRule="auto"/>
              <w:jc w:val="center"/>
              <w:textAlignment w:val="auto"/>
              <w:rPr>
                <w:rFonts w:asciiTheme="minorHAnsi" w:hAnsiTheme="minorHAnsi" w:cstheme="minorHAnsi"/>
                <w:sz w:val="18"/>
                <w:szCs w:val="18"/>
              </w:rPr>
            </w:pPr>
            <w:r w:rsidRPr="00F16A8C">
              <w:rPr>
                <w:rFonts w:asciiTheme="minorHAnsi" w:hAnsiTheme="minorHAnsi" w:cstheme="minorHAnsi"/>
                <w:b/>
                <w:bCs/>
                <w:color w:val="FFFFFF"/>
                <w:kern w:val="24"/>
                <w:sz w:val="18"/>
                <w:szCs w:val="18"/>
              </w:rPr>
              <w:t>Scenario</w:t>
            </w:r>
          </w:p>
        </w:tc>
        <w:tc>
          <w:tcPr>
            <w:tcW w:w="1957" w:type="dxa"/>
            <w:gridSpan w:val="2"/>
            <w:shd w:val="clear" w:color="auto" w:fill="1795D2" w:themeFill="accent1"/>
            <w:tcMar>
              <w:top w:w="29" w:type="dxa"/>
              <w:left w:w="29" w:type="dxa"/>
              <w:bottom w:w="29" w:type="dxa"/>
              <w:right w:w="29" w:type="dxa"/>
            </w:tcMar>
            <w:vAlign w:val="center"/>
            <w:hideMark/>
          </w:tcPr>
          <w:p w:rsidR="00F44CEE" w:rsidRPr="00F16A8C" w:rsidRDefault="00F44CEE" w:rsidP="00F16A8C">
            <w:pPr>
              <w:keepNext/>
              <w:keepLines/>
              <w:adjustRightInd/>
              <w:spacing w:after="0" w:line="240" w:lineRule="auto"/>
              <w:jc w:val="center"/>
              <w:textAlignment w:val="auto"/>
              <w:rPr>
                <w:rFonts w:asciiTheme="minorHAnsi" w:hAnsiTheme="minorHAnsi" w:cstheme="minorHAnsi"/>
                <w:sz w:val="18"/>
                <w:szCs w:val="18"/>
              </w:rPr>
            </w:pPr>
            <w:r w:rsidRPr="00F16A8C">
              <w:rPr>
                <w:rFonts w:asciiTheme="minorHAnsi" w:hAnsiTheme="minorHAnsi" w:cstheme="minorHAnsi"/>
                <w:b/>
                <w:bCs/>
                <w:color w:val="FFFFFF"/>
                <w:kern w:val="24"/>
                <w:sz w:val="18"/>
                <w:szCs w:val="18"/>
              </w:rPr>
              <w:t>8000_1</w:t>
            </w:r>
          </w:p>
        </w:tc>
        <w:tc>
          <w:tcPr>
            <w:tcW w:w="1958" w:type="dxa"/>
            <w:gridSpan w:val="2"/>
            <w:shd w:val="clear" w:color="auto" w:fill="1795D2" w:themeFill="accent1"/>
            <w:tcMar>
              <w:top w:w="29" w:type="dxa"/>
              <w:left w:w="29" w:type="dxa"/>
              <w:bottom w:w="29" w:type="dxa"/>
              <w:right w:w="29" w:type="dxa"/>
            </w:tcMar>
            <w:vAlign w:val="center"/>
            <w:hideMark/>
          </w:tcPr>
          <w:p w:rsidR="00F44CEE" w:rsidRPr="00F16A8C" w:rsidRDefault="00F44CEE" w:rsidP="00F16A8C">
            <w:pPr>
              <w:keepNext/>
              <w:keepLines/>
              <w:adjustRightInd/>
              <w:spacing w:after="0" w:line="240" w:lineRule="auto"/>
              <w:jc w:val="center"/>
              <w:textAlignment w:val="auto"/>
              <w:rPr>
                <w:rFonts w:asciiTheme="minorHAnsi" w:hAnsiTheme="minorHAnsi" w:cstheme="minorHAnsi"/>
                <w:sz w:val="18"/>
                <w:szCs w:val="18"/>
              </w:rPr>
            </w:pPr>
            <w:r w:rsidRPr="00F16A8C">
              <w:rPr>
                <w:rFonts w:asciiTheme="minorHAnsi" w:hAnsiTheme="minorHAnsi" w:cstheme="minorHAnsi"/>
                <w:b/>
                <w:bCs/>
                <w:color w:val="FFFFFF"/>
                <w:kern w:val="24"/>
                <w:sz w:val="18"/>
                <w:szCs w:val="18"/>
              </w:rPr>
              <w:t>8000_2</w:t>
            </w:r>
          </w:p>
        </w:tc>
        <w:tc>
          <w:tcPr>
            <w:tcW w:w="1957" w:type="dxa"/>
            <w:gridSpan w:val="2"/>
            <w:shd w:val="clear" w:color="auto" w:fill="1795D2" w:themeFill="accent1"/>
            <w:tcMar>
              <w:top w:w="29" w:type="dxa"/>
              <w:left w:w="29" w:type="dxa"/>
              <w:bottom w:w="29" w:type="dxa"/>
              <w:right w:w="29" w:type="dxa"/>
            </w:tcMar>
            <w:vAlign w:val="center"/>
            <w:hideMark/>
          </w:tcPr>
          <w:p w:rsidR="00F44CEE" w:rsidRPr="00F16A8C" w:rsidRDefault="00F44CEE" w:rsidP="00F16A8C">
            <w:pPr>
              <w:keepNext/>
              <w:keepLines/>
              <w:adjustRightInd/>
              <w:spacing w:after="0" w:line="240" w:lineRule="auto"/>
              <w:jc w:val="center"/>
              <w:textAlignment w:val="auto"/>
              <w:rPr>
                <w:rFonts w:asciiTheme="minorHAnsi" w:hAnsiTheme="minorHAnsi" w:cstheme="minorHAnsi"/>
                <w:sz w:val="18"/>
                <w:szCs w:val="18"/>
              </w:rPr>
            </w:pPr>
            <w:r w:rsidRPr="00F16A8C">
              <w:rPr>
                <w:rFonts w:asciiTheme="minorHAnsi" w:hAnsiTheme="minorHAnsi" w:cstheme="minorHAnsi"/>
                <w:b/>
                <w:bCs/>
                <w:color w:val="FFFFFF"/>
                <w:kern w:val="24"/>
                <w:sz w:val="18"/>
                <w:szCs w:val="18"/>
              </w:rPr>
              <w:t>8000_3</w:t>
            </w:r>
          </w:p>
        </w:tc>
        <w:tc>
          <w:tcPr>
            <w:tcW w:w="1958" w:type="dxa"/>
            <w:gridSpan w:val="2"/>
            <w:shd w:val="clear" w:color="auto" w:fill="1795D2" w:themeFill="accent1"/>
            <w:tcMar>
              <w:top w:w="29" w:type="dxa"/>
              <w:left w:w="29" w:type="dxa"/>
              <w:bottom w:w="29" w:type="dxa"/>
              <w:right w:w="29" w:type="dxa"/>
            </w:tcMar>
            <w:vAlign w:val="center"/>
            <w:hideMark/>
          </w:tcPr>
          <w:p w:rsidR="00F44CEE" w:rsidRPr="00F16A8C" w:rsidRDefault="00F44CEE" w:rsidP="00F16A8C">
            <w:pPr>
              <w:keepNext/>
              <w:keepLines/>
              <w:adjustRightInd/>
              <w:spacing w:after="0" w:line="240" w:lineRule="auto"/>
              <w:jc w:val="center"/>
              <w:textAlignment w:val="auto"/>
              <w:rPr>
                <w:rFonts w:asciiTheme="minorHAnsi" w:hAnsiTheme="minorHAnsi" w:cstheme="minorHAnsi"/>
                <w:sz w:val="18"/>
                <w:szCs w:val="18"/>
              </w:rPr>
            </w:pPr>
            <w:r w:rsidRPr="00F16A8C">
              <w:rPr>
                <w:rFonts w:asciiTheme="minorHAnsi" w:hAnsiTheme="minorHAnsi" w:cstheme="minorHAnsi"/>
                <w:b/>
                <w:bCs/>
                <w:color w:val="FFFFFF"/>
                <w:kern w:val="24"/>
                <w:sz w:val="18"/>
                <w:szCs w:val="18"/>
              </w:rPr>
              <w:t>8000_4</w:t>
            </w:r>
          </w:p>
        </w:tc>
      </w:tr>
      <w:tr w:rsidR="00AB77F2" w:rsidRPr="00F16A8C" w:rsidTr="00AB77F2">
        <w:trPr>
          <w:trHeight w:val="360"/>
          <w:jc w:val="center"/>
        </w:trPr>
        <w:tc>
          <w:tcPr>
            <w:tcW w:w="1887" w:type="dxa"/>
            <w:shd w:val="clear" w:color="auto" w:fill="1795D2" w:themeFill="accent1"/>
            <w:tcMar>
              <w:top w:w="29" w:type="dxa"/>
              <w:left w:w="29" w:type="dxa"/>
              <w:bottom w:w="29" w:type="dxa"/>
              <w:right w:w="29" w:type="dxa"/>
            </w:tcMar>
            <w:vAlign w:val="center"/>
            <w:hideMark/>
          </w:tcPr>
          <w:p w:rsidR="00F44CEE" w:rsidRPr="00F16A8C" w:rsidRDefault="00F44CEE" w:rsidP="00F16A8C">
            <w:pPr>
              <w:keepNext/>
              <w:keepLines/>
              <w:adjustRightInd/>
              <w:spacing w:after="0" w:line="240" w:lineRule="auto"/>
              <w:jc w:val="center"/>
              <w:textAlignment w:val="auto"/>
              <w:rPr>
                <w:rFonts w:asciiTheme="minorHAnsi" w:hAnsiTheme="minorHAnsi" w:cstheme="minorHAnsi"/>
                <w:color w:val="FFFFFF" w:themeColor="background1"/>
                <w:sz w:val="18"/>
                <w:szCs w:val="18"/>
              </w:rPr>
            </w:pPr>
            <w:r w:rsidRPr="00F16A8C">
              <w:rPr>
                <w:rFonts w:asciiTheme="minorHAnsi" w:hAnsiTheme="minorHAnsi" w:cstheme="minorHAnsi"/>
                <w:b/>
                <w:bCs/>
                <w:color w:val="FFFFFF" w:themeColor="background1"/>
                <w:kern w:val="24"/>
                <w:sz w:val="18"/>
                <w:szCs w:val="18"/>
              </w:rPr>
              <w:t>Fuel Type</w:t>
            </w:r>
          </w:p>
        </w:tc>
        <w:tc>
          <w:tcPr>
            <w:tcW w:w="978" w:type="dxa"/>
            <w:shd w:val="clear" w:color="auto" w:fill="1795D2" w:themeFill="accent1"/>
            <w:tcMar>
              <w:top w:w="29" w:type="dxa"/>
              <w:left w:w="29" w:type="dxa"/>
              <w:bottom w:w="29" w:type="dxa"/>
              <w:right w:w="29" w:type="dxa"/>
            </w:tcMar>
            <w:vAlign w:val="center"/>
            <w:hideMark/>
          </w:tcPr>
          <w:p w:rsidR="00F44CEE" w:rsidRPr="00F16A8C" w:rsidRDefault="00F44CEE" w:rsidP="00F16A8C">
            <w:pPr>
              <w:keepNext/>
              <w:keepLines/>
              <w:adjustRightInd/>
              <w:spacing w:after="0" w:line="240" w:lineRule="auto"/>
              <w:jc w:val="center"/>
              <w:textAlignment w:val="auto"/>
              <w:rPr>
                <w:rFonts w:asciiTheme="minorHAnsi" w:hAnsiTheme="minorHAnsi" w:cstheme="minorHAnsi"/>
                <w:color w:val="FFFFFF" w:themeColor="background1"/>
                <w:sz w:val="18"/>
                <w:szCs w:val="18"/>
              </w:rPr>
            </w:pPr>
            <w:r w:rsidRPr="00F16A8C">
              <w:rPr>
                <w:rFonts w:asciiTheme="minorHAnsi" w:hAnsiTheme="minorHAnsi" w:cstheme="minorHAnsi"/>
                <w:b/>
                <w:bCs/>
                <w:color w:val="FFFFFF" w:themeColor="background1"/>
                <w:kern w:val="24"/>
                <w:sz w:val="18"/>
                <w:szCs w:val="18"/>
              </w:rPr>
              <w:t>Cstr.</w:t>
            </w:r>
          </w:p>
        </w:tc>
        <w:tc>
          <w:tcPr>
            <w:tcW w:w="979" w:type="dxa"/>
            <w:shd w:val="clear" w:color="auto" w:fill="1795D2" w:themeFill="accent1"/>
            <w:tcMar>
              <w:top w:w="29" w:type="dxa"/>
              <w:left w:w="29" w:type="dxa"/>
              <w:bottom w:w="29" w:type="dxa"/>
              <w:right w:w="29" w:type="dxa"/>
            </w:tcMar>
            <w:vAlign w:val="center"/>
            <w:hideMark/>
          </w:tcPr>
          <w:p w:rsidR="00F44CEE" w:rsidRPr="00F16A8C" w:rsidRDefault="00F44CEE" w:rsidP="00F16A8C">
            <w:pPr>
              <w:keepNext/>
              <w:keepLines/>
              <w:adjustRightInd/>
              <w:spacing w:after="0" w:line="240" w:lineRule="auto"/>
              <w:jc w:val="center"/>
              <w:textAlignment w:val="auto"/>
              <w:rPr>
                <w:rFonts w:asciiTheme="minorHAnsi" w:hAnsiTheme="minorHAnsi" w:cstheme="minorHAnsi"/>
                <w:color w:val="FFFFFF" w:themeColor="background1"/>
                <w:sz w:val="18"/>
                <w:szCs w:val="18"/>
              </w:rPr>
            </w:pPr>
            <w:r w:rsidRPr="00F16A8C">
              <w:rPr>
                <w:rFonts w:asciiTheme="minorHAnsi" w:hAnsiTheme="minorHAnsi" w:cstheme="minorHAnsi"/>
                <w:b/>
                <w:bCs/>
                <w:color w:val="FFFFFF" w:themeColor="background1"/>
                <w:kern w:val="24"/>
                <w:sz w:val="18"/>
                <w:szCs w:val="18"/>
              </w:rPr>
              <w:t>Uncstr.</w:t>
            </w:r>
          </w:p>
        </w:tc>
        <w:tc>
          <w:tcPr>
            <w:tcW w:w="979" w:type="dxa"/>
            <w:shd w:val="clear" w:color="auto" w:fill="1795D2" w:themeFill="accent1"/>
            <w:tcMar>
              <w:top w:w="29" w:type="dxa"/>
              <w:left w:w="29" w:type="dxa"/>
              <w:bottom w:w="29" w:type="dxa"/>
              <w:right w:w="29" w:type="dxa"/>
            </w:tcMar>
            <w:vAlign w:val="center"/>
            <w:hideMark/>
          </w:tcPr>
          <w:p w:rsidR="00F44CEE" w:rsidRPr="00F16A8C" w:rsidRDefault="00F44CEE" w:rsidP="00F16A8C">
            <w:pPr>
              <w:keepNext/>
              <w:keepLines/>
              <w:adjustRightInd/>
              <w:spacing w:after="0" w:line="240" w:lineRule="auto"/>
              <w:jc w:val="center"/>
              <w:textAlignment w:val="auto"/>
              <w:rPr>
                <w:rFonts w:asciiTheme="minorHAnsi" w:hAnsiTheme="minorHAnsi" w:cstheme="minorHAnsi"/>
                <w:color w:val="FFFFFF" w:themeColor="background1"/>
                <w:sz w:val="18"/>
                <w:szCs w:val="18"/>
              </w:rPr>
            </w:pPr>
            <w:r w:rsidRPr="00F16A8C">
              <w:rPr>
                <w:rFonts w:asciiTheme="minorHAnsi" w:hAnsiTheme="minorHAnsi" w:cstheme="minorHAnsi"/>
                <w:b/>
                <w:bCs/>
                <w:color w:val="FFFFFF" w:themeColor="background1"/>
                <w:kern w:val="24"/>
                <w:sz w:val="18"/>
                <w:szCs w:val="18"/>
              </w:rPr>
              <w:t>Cstr.</w:t>
            </w:r>
          </w:p>
        </w:tc>
        <w:tc>
          <w:tcPr>
            <w:tcW w:w="979" w:type="dxa"/>
            <w:shd w:val="clear" w:color="auto" w:fill="1795D2" w:themeFill="accent1"/>
            <w:tcMar>
              <w:top w:w="29" w:type="dxa"/>
              <w:left w:w="29" w:type="dxa"/>
              <w:bottom w:w="29" w:type="dxa"/>
              <w:right w:w="29" w:type="dxa"/>
            </w:tcMar>
            <w:vAlign w:val="center"/>
            <w:hideMark/>
          </w:tcPr>
          <w:p w:rsidR="00F44CEE" w:rsidRPr="00F16A8C" w:rsidRDefault="00F44CEE" w:rsidP="00F16A8C">
            <w:pPr>
              <w:keepNext/>
              <w:keepLines/>
              <w:adjustRightInd/>
              <w:spacing w:after="0" w:line="240" w:lineRule="auto"/>
              <w:jc w:val="center"/>
              <w:textAlignment w:val="auto"/>
              <w:rPr>
                <w:rFonts w:asciiTheme="minorHAnsi" w:hAnsiTheme="minorHAnsi" w:cstheme="minorHAnsi"/>
                <w:color w:val="FFFFFF" w:themeColor="background1"/>
                <w:sz w:val="18"/>
                <w:szCs w:val="18"/>
              </w:rPr>
            </w:pPr>
            <w:r w:rsidRPr="00F16A8C">
              <w:rPr>
                <w:rFonts w:asciiTheme="minorHAnsi" w:hAnsiTheme="minorHAnsi" w:cstheme="minorHAnsi"/>
                <w:b/>
                <w:bCs/>
                <w:color w:val="FFFFFF" w:themeColor="background1"/>
                <w:kern w:val="24"/>
                <w:sz w:val="18"/>
                <w:szCs w:val="18"/>
              </w:rPr>
              <w:t>Uncstr.</w:t>
            </w:r>
          </w:p>
        </w:tc>
        <w:tc>
          <w:tcPr>
            <w:tcW w:w="978" w:type="dxa"/>
            <w:shd w:val="clear" w:color="auto" w:fill="1795D2" w:themeFill="accent1"/>
            <w:tcMar>
              <w:top w:w="29" w:type="dxa"/>
              <w:left w:w="29" w:type="dxa"/>
              <w:bottom w:w="29" w:type="dxa"/>
              <w:right w:w="29" w:type="dxa"/>
            </w:tcMar>
            <w:vAlign w:val="center"/>
            <w:hideMark/>
          </w:tcPr>
          <w:p w:rsidR="00F44CEE" w:rsidRPr="00F16A8C" w:rsidRDefault="00F44CEE" w:rsidP="00F16A8C">
            <w:pPr>
              <w:keepNext/>
              <w:keepLines/>
              <w:adjustRightInd/>
              <w:spacing w:after="0" w:line="240" w:lineRule="auto"/>
              <w:jc w:val="center"/>
              <w:textAlignment w:val="auto"/>
              <w:rPr>
                <w:rFonts w:asciiTheme="minorHAnsi" w:hAnsiTheme="minorHAnsi" w:cstheme="minorHAnsi"/>
                <w:color w:val="FFFFFF" w:themeColor="background1"/>
                <w:sz w:val="18"/>
                <w:szCs w:val="18"/>
              </w:rPr>
            </w:pPr>
            <w:r w:rsidRPr="00F16A8C">
              <w:rPr>
                <w:rFonts w:asciiTheme="minorHAnsi" w:hAnsiTheme="minorHAnsi" w:cstheme="minorHAnsi"/>
                <w:b/>
                <w:bCs/>
                <w:color w:val="FFFFFF" w:themeColor="background1"/>
                <w:kern w:val="24"/>
                <w:sz w:val="18"/>
                <w:szCs w:val="18"/>
              </w:rPr>
              <w:t>Cstr.</w:t>
            </w:r>
          </w:p>
        </w:tc>
        <w:tc>
          <w:tcPr>
            <w:tcW w:w="979" w:type="dxa"/>
            <w:shd w:val="clear" w:color="auto" w:fill="1795D2" w:themeFill="accent1"/>
            <w:tcMar>
              <w:top w:w="29" w:type="dxa"/>
              <w:left w:w="29" w:type="dxa"/>
              <w:bottom w:w="29" w:type="dxa"/>
              <w:right w:w="29" w:type="dxa"/>
            </w:tcMar>
            <w:vAlign w:val="center"/>
            <w:hideMark/>
          </w:tcPr>
          <w:p w:rsidR="00F44CEE" w:rsidRPr="00F16A8C" w:rsidRDefault="00F44CEE" w:rsidP="00F16A8C">
            <w:pPr>
              <w:keepNext/>
              <w:keepLines/>
              <w:adjustRightInd/>
              <w:spacing w:after="0" w:line="240" w:lineRule="auto"/>
              <w:jc w:val="center"/>
              <w:textAlignment w:val="auto"/>
              <w:rPr>
                <w:rFonts w:asciiTheme="minorHAnsi" w:hAnsiTheme="minorHAnsi" w:cstheme="minorHAnsi"/>
                <w:color w:val="FFFFFF" w:themeColor="background1"/>
                <w:sz w:val="18"/>
                <w:szCs w:val="18"/>
              </w:rPr>
            </w:pPr>
            <w:r w:rsidRPr="00F16A8C">
              <w:rPr>
                <w:rFonts w:asciiTheme="minorHAnsi" w:hAnsiTheme="minorHAnsi" w:cstheme="minorHAnsi"/>
                <w:b/>
                <w:bCs/>
                <w:color w:val="FFFFFF" w:themeColor="background1"/>
                <w:kern w:val="24"/>
                <w:sz w:val="18"/>
                <w:szCs w:val="18"/>
              </w:rPr>
              <w:t>Uncstr.</w:t>
            </w:r>
          </w:p>
        </w:tc>
        <w:tc>
          <w:tcPr>
            <w:tcW w:w="979" w:type="dxa"/>
            <w:shd w:val="clear" w:color="auto" w:fill="1795D2" w:themeFill="accent1"/>
            <w:tcMar>
              <w:top w:w="29" w:type="dxa"/>
              <w:left w:w="29" w:type="dxa"/>
              <w:bottom w:w="29" w:type="dxa"/>
              <w:right w:w="29" w:type="dxa"/>
            </w:tcMar>
            <w:vAlign w:val="center"/>
            <w:hideMark/>
          </w:tcPr>
          <w:p w:rsidR="00F44CEE" w:rsidRPr="00F16A8C" w:rsidRDefault="00F44CEE" w:rsidP="00F16A8C">
            <w:pPr>
              <w:keepNext/>
              <w:keepLines/>
              <w:adjustRightInd/>
              <w:spacing w:after="0" w:line="240" w:lineRule="auto"/>
              <w:jc w:val="center"/>
              <w:textAlignment w:val="auto"/>
              <w:rPr>
                <w:rFonts w:asciiTheme="minorHAnsi" w:hAnsiTheme="minorHAnsi" w:cstheme="minorHAnsi"/>
                <w:color w:val="FFFFFF" w:themeColor="background1"/>
                <w:sz w:val="18"/>
                <w:szCs w:val="18"/>
              </w:rPr>
            </w:pPr>
            <w:r w:rsidRPr="00F16A8C">
              <w:rPr>
                <w:rFonts w:asciiTheme="minorHAnsi" w:hAnsiTheme="minorHAnsi" w:cstheme="minorHAnsi"/>
                <w:b/>
                <w:bCs/>
                <w:color w:val="FFFFFF" w:themeColor="background1"/>
                <w:kern w:val="24"/>
                <w:sz w:val="18"/>
                <w:szCs w:val="18"/>
              </w:rPr>
              <w:t>Cstr.</w:t>
            </w:r>
          </w:p>
        </w:tc>
        <w:tc>
          <w:tcPr>
            <w:tcW w:w="979" w:type="dxa"/>
            <w:shd w:val="clear" w:color="auto" w:fill="1795D2" w:themeFill="accent1"/>
            <w:tcMar>
              <w:top w:w="29" w:type="dxa"/>
              <w:left w:w="29" w:type="dxa"/>
              <w:bottom w:w="29" w:type="dxa"/>
              <w:right w:w="29" w:type="dxa"/>
            </w:tcMar>
            <w:vAlign w:val="center"/>
            <w:hideMark/>
          </w:tcPr>
          <w:p w:rsidR="00F44CEE" w:rsidRPr="00F16A8C" w:rsidRDefault="00F44CEE" w:rsidP="00F16A8C">
            <w:pPr>
              <w:keepNext/>
              <w:keepLines/>
              <w:adjustRightInd/>
              <w:spacing w:after="0" w:line="240" w:lineRule="auto"/>
              <w:jc w:val="center"/>
              <w:textAlignment w:val="auto"/>
              <w:rPr>
                <w:rFonts w:asciiTheme="minorHAnsi" w:hAnsiTheme="minorHAnsi" w:cstheme="minorHAnsi"/>
                <w:color w:val="FFFFFF" w:themeColor="background1"/>
                <w:sz w:val="18"/>
                <w:szCs w:val="18"/>
              </w:rPr>
            </w:pPr>
            <w:r w:rsidRPr="00F16A8C">
              <w:rPr>
                <w:rFonts w:asciiTheme="minorHAnsi" w:hAnsiTheme="minorHAnsi" w:cstheme="minorHAnsi"/>
                <w:b/>
                <w:bCs/>
                <w:color w:val="FFFFFF" w:themeColor="background1"/>
                <w:kern w:val="24"/>
                <w:sz w:val="18"/>
                <w:szCs w:val="18"/>
              </w:rPr>
              <w:t>Uncstr.</w:t>
            </w:r>
          </w:p>
        </w:tc>
      </w:tr>
      <w:tr w:rsidR="00AB77F2" w:rsidRPr="00F16A8C" w:rsidTr="009242BE">
        <w:trPr>
          <w:trHeight w:val="360"/>
          <w:jc w:val="center"/>
        </w:trPr>
        <w:tc>
          <w:tcPr>
            <w:tcW w:w="1887" w:type="dxa"/>
            <w:shd w:val="clear" w:color="auto" w:fill="CCEAF9" w:themeFill="accent1" w:themeFillTint="33"/>
            <w:tcMar>
              <w:top w:w="15" w:type="dxa"/>
              <w:left w:w="58" w:type="dxa"/>
              <w:bottom w:w="0" w:type="dxa"/>
              <w:right w:w="15" w:type="dxa"/>
            </w:tcMar>
            <w:vAlign w:val="center"/>
            <w:hideMark/>
          </w:tcPr>
          <w:p w:rsidR="00F44CEE" w:rsidRPr="00F16A8C" w:rsidRDefault="00F44CEE" w:rsidP="009242BE">
            <w:pPr>
              <w:keepNext/>
              <w:keepLines/>
              <w:adjustRightInd/>
              <w:spacing w:after="0" w:line="240" w:lineRule="auto"/>
              <w:textAlignment w:val="bottom"/>
              <w:rPr>
                <w:rFonts w:asciiTheme="minorHAnsi" w:hAnsiTheme="minorHAnsi" w:cstheme="minorHAnsi"/>
                <w:sz w:val="18"/>
                <w:szCs w:val="18"/>
              </w:rPr>
            </w:pPr>
            <w:r w:rsidRPr="00F16A8C">
              <w:rPr>
                <w:rFonts w:asciiTheme="minorHAnsi" w:hAnsiTheme="minorHAnsi" w:cstheme="minorHAnsi"/>
                <w:b/>
                <w:bCs/>
                <w:kern w:val="24"/>
                <w:sz w:val="18"/>
                <w:szCs w:val="18"/>
              </w:rPr>
              <w:t xml:space="preserve"> Offshore</w:t>
            </w:r>
            <w:r w:rsidR="00F16A8C">
              <w:rPr>
                <w:rFonts w:asciiTheme="minorHAnsi" w:hAnsiTheme="minorHAnsi" w:cstheme="minorHAnsi"/>
                <w:b/>
                <w:bCs/>
                <w:kern w:val="24"/>
                <w:sz w:val="18"/>
                <w:szCs w:val="18"/>
              </w:rPr>
              <w:t xml:space="preserve"> w</w:t>
            </w:r>
            <w:r w:rsidRPr="00F16A8C">
              <w:rPr>
                <w:rFonts w:asciiTheme="minorHAnsi" w:hAnsiTheme="minorHAnsi" w:cstheme="minorHAnsi"/>
                <w:b/>
                <w:bCs/>
                <w:kern w:val="24"/>
                <w:sz w:val="18"/>
                <w:szCs w:val="18"/>
              </w:rPr>
              <w:t>ind</w:t>
            </w:r>
          </w:p>
        </w:tc>
        <w:tc>
          <w:tcPr>
            <w:tcW w:w="978"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27.60</w:t>
            </w:r>
          </w:p>
        </w:tc>
        <w:tc>
          <w:tcPr>
            <w:tcW w:w="979"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27.61</w:t>
            </w:r>
          </w:p>
        </w:tc>
        <w:tc>
          <w:tcPr>
            <w:tcW w:w="979"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27.55</w:t>
            </w:r>
          </w:p>
        </w:tc>
        <w:tc>
          <w:tcPr>
            <w:tcW w:w="979"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27.56</w:t>
            </w:r>
          </w:p>
        </w:tc>
        <w:tc>
          <w:tcPr>
            <w:tcW w:w="978"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27.26</w:t>
            </w:r>
          </w:p>
        </w:tc>
        <w:tc>
          <w:tcPr>
            <w:tcW w:w="979"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27.27</w:t>
            </w:r>
          </w:p>
        </w:tc>
        <w:tc>
          <w:tcPr>
            <w:tcW w:w="979"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27.61</w:t>
            </w:r>
          </w:p>
        </w:tc>
        <w:tc>
          <w:tcPr>
            <w:tcW w:w="979"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27.62</w:t>
            </w:r>
          </w:p>
        </w:tc>
      </w:tr>
      <w:tr w:rsidR="00AB77F2" w:rsidRPr="00F16A8C" w:rsidTr="009242BE">
        <w:trPr>
          <w:trHeight w:val="360"/>
          <w:jc w:val="center"/>
        </w:trPr>
        <w:tc>
          <w:tcPr>
            <w:tcW w:w="1887" w:type="dxa"/>
            <w:shd w:val="clear" w:color="auto" w:fill="auto"/>
            <w:tcMar>
              <w:top w:w="15" w:type="dxa"/>
              <w:left w:w="58" w:type="dxa"/>
              <w:bottom w:w="0" w:type="dxa"/>
              <w:right w:w="15" w:type="dxa"/>
            </w:tcMar>
            <w:vAlign w:val="center"/>
            <w:hideMark/>
          </w:tcPr>
          <w:p w:rsidR="00F44CEE" w:rsidRPr="00F16A8C" w:rsidRDefault="00F44CEE" w:rsidP="009242BE">
            <w:pPr>
              <w:keepNext/>
              <w:keepLines/>
              <w:adjustRightInd/>
              <w:spacing w:after="0" w:line="240" w:lineRule="auto"/>
              <w:textAlignment w:val="bottom"/>
              <w:rPr>
                <w:rFonts w:asciiTheme="minorHAnsi" w:hAnsiTheme="minorHAnsi" w:cstheme="minorHAnsi"/>
                <w:sz w:val="18"/>
                <w:szCs w:val="18"/>
              </w:rPr>
            </w:pPr>
            <w:r w:rsidRPr="00F16A8C">
              <w:rPr>
                <w:rFonts w:asciiTheme="minorHAnsi" w:hAnsiTheme="minorHAnsi" w:cstheme="minorHAnsi"/>
                <w:b/>
                <w:bCs/>
                <w:kern w:val="24"/>
                <w:sz w:val="18"/>
                <w:szCs w:val="18"/>
              </w:rPr>
              <w:t xml:space="preserve"> Onshore</w:t>
            </w:r>
            <w:r w:rsidR="00F16A8C">
              <w:rPr>
                <w:rFonts w:asciiTheme="minorHAnsi" w:hAnsiTheme="minorHAnsi" w:cstheme="minorHAnsi"/>
                <w:b/>
                <w:bCs/>
                <w:kern w:val="24"/>
                <w:sz w:val="18"/>
                <w:szCs w:val="18"/>
              </w:rPr>
              <w:t xml:space="preserve"> w</w:t>
            </w:r>
            <w:r w:rsidRPr="00F16A8C">
              <w:rPr>
                <w:rFonts w:asciiTheme="minorHAnsi" w:hAnsiTheme="minorHAnsi" w:cstheme="minorHAnsi"/>
                <w:b/>
                <w:bCs/>
                <w:kern w:val="24"/>
                <w:sz w:val="18"/>
                <w:szCs w:val="18"/>
              </w:rPr>
              <w:t>ind</w:t>
            </w:r>
          </w:p>
        </w:tc>
        <w:tc>
          <w:tcPr>
            <w:tcW w:w="978"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3.79</w:t>
            </w:r>
          </w:p>
        </w:tc>
        <w:tc>
          <w:tcPr>
            <w:tcW w:w="979"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3.79</w:t>
            </w:r>
          </w:p>
        </w:tc>
        <w:tc>
          <w:tcPr>
            <w:tcW w:w="979"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3.77</w:t>
            </w:r>
          </w:p>
        </w:tc>
        <w:tc>
          <w:tcPr>
            <w:tcW w:w="979"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3.77</w:t>
            </w:r>
          </w:p>
        </w:tc>
        <w:tc>
          <w:tcPr>
            <w:tcW w:w="978"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3.78</w:t>
            </w:r>
          </w:p>
        </w:tc>
        <w:tc>
          <w:tcPr>
            <w:tcW w:w="979"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3.77</w:t>
            </w:r>
          </w:p>
        </w:tc>
        <w:tc>
          <w:tcPr>
            <w:tcW w:w="979"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3.78</w:t>
            </w:r>
          </w:p>
        </w:tc>
        <w:tc>
          <w:tcPr>
            <w:tcW w:w="979"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3.78</w:t>
            </w:r>
          </w:p>
        </w:tc>
      </w:tr>
      <w:tr w:rsidR="00AB77F2" w:rsidRPr="00F16A8C" w:rsidTr="009242BE">
        <w:trPr>
          <w:trHeight w:val="360"/>
          <w:jc w:val="center"/>
        </w:trPr>
        <w:tc>
          <w:tcPr>
            <w:tcW w:w="1887" w:type="dxa"/>
            <w:shd w:val="clear" w:color="auto" w:fill="CCEAF9" w:themeFill="accent1" w:themeFillTint="33"/>
            <w:tcMar>
              <w:top w:w="15" w:type="dxa"/>
              <w:left w:w="58" w:type="dxa"/>
              <w:bottom w:w="0" w:type="dxa"/>
              <w:right w:w="15" w:type="dxa"/>
            </w:tcMar>
            <w:vAlign w:val="center"/>
            <w:hideMark/>
          </w:tcPr>
          <w:p w:rsidR="00F44CEE" w:rsidRPr="00F16A8C" w:rsidRDefault="00F44CEE" w:rsidP="00F16A8C">
            <w:pPr>
              <w:keepNext/>
              <w:keepLines/>
              <w:adjustRightInd/>
              <w:spacing w:after="0" w:line="240" w:lineRule="auto"/>
              <w:textAlignment w:val="bottom"/>
              <w:rPr>
                <w:rFonts w:asciiTheme="minorHAnsi" w:hAnsiTheme="minorHAnsi" w:cstheme="minorHAnsi"/>
                <w:sz w:val="18"/>
                <w:szCs w:val="18"/>
              </w:rPr>
            </w:pPr>
            <w:r w:rsidRPr="00F16A8C">
              <w:rPr>
                <w:rFonts w:asciiTheme="minorHAnsi" w:hAnsiTheme="minorHAnsi" w:cstheme="minorHAnsi"/>
                <w:b/>
                <w:bCs/>
                <w:kern w:val="24"/>
                <w:sz w:val="18"/>
                <w:szCs w:val="18"/>
              </w:rPr>
              <w:t xml:space="preserve"> N</w:t>
            </w:r>
            <w:r w:rsidR="00F16A8C">
              <w:rPr>
                <w:rFonts w:asciiTheme="minorHAnsi" w:hAnsiTheme="minorHAnsi" w:cstheme="minorHAnsi"/>
                <w:b/>
                <w:bCs/>
                <w:kern w:val="24"/>
                <w:sz w:val="18"/>
                <w:szCs w:val="18"/>
              </w:rPr>
              <w:t>atural gas</w:t>
            </w:r>
          </w:p>
        </w:tc>
        <w:tc>
          <w:tcPr>
            <w:tcW w:w="978"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16.63</w:t>
            </w:r>
          </w:p>
        </w:tc>
        <w:tc>
          <w:tcPr>
            <w:tcW w:w="979"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16.64</w:t>
            </w:r>
          </w:p>
        </w:tc>
        <w:tc>
          <w:tcPr>
            <w:tcW w:w="979"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16.67</w:t>
            </w:r>
          </w:p>
        </w:tc>
        <w:tc>
          <w:tcPr>
            <w:tcW w:w="979"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16.67</w:t>
            </w:r>
          </w:p>
        </w:tc>
        <w:tc>
          <w:tcPr>
            <w:tcW w:w="978"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16.77</w:t>
            </w:r>
          </w:p>
        </w:tc>
        <w:tc>
          <w:tcPr>
            <w:tcW w:w="979"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16.77</w:t>
            </w:r>
          </w:p>
        </w:tc>
        <w:tc>
          <w:tcPr>
            <w:tcW w:w="979"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16.55</w:t>
            </w:r>
          </w:p>
        </w:tc>
        <w:tc>
          <w:tcPr>
            <w:tcW w:w="979"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16.54</w:t>
            </w:r>
          </w:p>
        </w:tc>
      </w:tr>
      <w:tr w:rsidR="00AB77F2" w:rsidRPr="00F16A8C" w:rsidTr="009242BE">
        <w:trPr>
          <w:trHeight w:val="360"/>
          <w:jc w:val="center"/>
        </w:trPr>
        <w:tc>
          <w:tcPr>
            <w:tcW w:w="1887" w:type="dxa"/>
            <w:shd w:val="clear" w:color="auto" w:fill="auto"/>
            <w:tcMar>
              <w:top w:w="15" w:type="dxa"/>
              <w:left w:w="58" w:type="dxa"/>
              <w:bottom w:w="0" w:type="dxa"/>
              <w:right w:w="15" w:type="dxa"/>
            </w:tcMar>
            <w:vAlign w:val="center"/>
            <w:hideMark/>
          </w:tcPr>
          <w:p w:rsidR="00F44CEE" w:rsidRPr="00F16A8C" w:rsidRDefault="00F44CEE" w:rsidP="00F16A8C">
            <w:pPr>
              <w:keepNext/>
              <w:keepLines/>
              <w:adjustRightInd/>
              <w:spacing w:after="0" w:line="240" w:lineRule="auto"/>
              <w:textAlignment w:val="bottom"/>
              <w:rPr>
                <w:rFonts w:asciiTheme="minorHAnsi" w:hAnsiTheme="minorHAnsi" w:cstheme="minorHAnsi"/>
                <w:sz w:val="18"/>
                <w:szCs w:val="18"/>
              </w:rPr>
            </w:pPr>
            <w:r w:rsidRPr="00F16A8C">
              <w:rPr>
                <w:rFonts w:asciiTheme="minorHAnsi" w:hAnsiTheme="minorHAnsi" w:cstheme="minorHAnsi"/>
                <w:b/>
                <w:bCs/>
                <w:kern w:val="24"/>
                <w:sz w:val="18"/>
                <w:szCs w:val="18"/>
              </w:rPr>
              <w:t xml:space="preserve"> Oil</w:t>
            </w:r>
          </w:p>
        </w:tc>
        <w:tc>
          <w:tcPr>
            <w:tcW w:w="978"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0.00</w:t>
            </w:r>
          </w:p>
        </w:tc>
        <w:tc>
          <w:tcPr>
            <w:tcW w:w="979"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0.00</w:t>
            </w:r>
          </w:p>
        </w:tc>
        <w:tc>
          <w:tcPr>
            <w:tcW w:w="979"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0.00</w:t>
            </w:r>
          </w:p>
        </w:tc>
        <w:tc>
          <w:tcPr>
            <w:tcW w:w="979"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0.00</w:t>
            </w:r>
          </w:p>
        </w:tc>
        <w:tc>
          <w:tcPr>
            <w:tcW w:w="978"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0.00</w:t>
            </w:r>
          </w:p>
        </w:tc>
        <w:tc>
          <w:tcPr>
            <w:tcW w:w="979"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0.00</w:t>
            </w:r>
          </w:p>
        </w:tc>
        <w:tc>
          <w:tcPr>
            <w:tcW w:w="979"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0.00</w:t>
            </w:r>
          </w:p>
        </w:tc>
        <w:tc>
          <w:tcPr>
            <w:tcW w:w="979"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0.00</w:t>
            </w:r>
          </w:p>
        </w:tc>
      </w:tr>
      <w:tr w:rsidR="00AB77F2" w:rsidRPr="00F16A8C" w:rsidTr="009242BE">
        <w:trPr>
          <w:trHeight w:val="360"/>
          <w:jc w:val="center"/>
        </w:trPr>
        <w:tc>
          <w:tcPr>
            <w:tcW w:w="1887" w:type="dxa"/>
            <w:shd w:val="clear" w:color="auto" w:fill="CCEAF9" w:themeFill="accent1" w:themeFillTint="33"/>
            <w:tcMar>
              <w:top w:w="15" w:type="dxa"/>
              <w:left w:w="58" w:type="dxa"/>
              <w:bottom w:w="0" w:type="dxa"/>
              <w:right w:w="15" w:type="dxa"/>
            </w:tcMar>
            <w:vAlign w:val="center"/>
            <w:hideMark/>
          </w:tcPr>
          <w:p w:rsidR="00F44CEE" w:rsidRPr="00F16A8C" w:rsidRDefault="00F44CEE" w:rsidP="00F16A8C">
            <w:pPr>
              <w:keepNext/>
              <w:keepLines/>
              <w:adjustRightInd/>
              <w:spacing w:after="0" w:line="240" w:lineRule="auto"/>
              <w:textAlignment w:val="bottom"/>
              <w:rPr>
                <w:rFonts w:asciiTheme="minorHAnsi" w:hAnsiTheme="minorHAnsi" w:cstheme="minorHAnsi"/>
                <w:sz w:val="18"/>
                <w:szCs w:val="18"/>
              </w:rPr>
            </w:pPr>
            <w:r w:rsidRPr="00F16A8C">
              <w:rPr>
                <w:rFonts w:asciiTheme="minorHAnsi" w:hAnsiTheme="minorHAnsi" w:cstheme="minorHAnsi"/>
                <w:b/>
                <w:bCs/>
                <w:kern w:val="24"/>
                <w:sz w:val="18"/>
                <w:szCs w:val="18"/>
              </w:rPr>
              <w:t xml:space="preserve"> Imports</w:t>
            </w:r>
          </w:p>
        </w:tc>
        <w:tc>
          <w:tcPr>
            <w:tcW w:w="978"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19.39</w:t>
            </w:r>
          </w:p>
        </w:tc>
        <w:tc>
          <w:tcPr>
            <w:tcW w:w="979"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19.40</w:t>
            </w:r>
          </w:p>
        </w:tc>
        <w:tc>
          <w:tcPr>
            <w:tcW w:w="979"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19.41</w:t>
            </w:r>
          </w:p>
        </w:tc>
        <w:tc>
          <w:tcPr>
            <w:tcW w:w="979"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19.41</w:t>
            </w:r>
          </w:p>
        </w:tc>
        <w:tc>
          <w:tcPr>
            <w:tcW w:w="978"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19.54</w:t>
            </w:r>
          </w:p>
        </w:tc>
        <w:tc>
          <w:tcPr>
            <w:tcW w:w="979"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19.55</w:t>
            </w:r>
          </w:p>
        </w:tc>
        <w:tc>
          <w:tcPr>
            <w:tcW w:w="979"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19.43</w:t>
            </w:r>
          </w:p>
        </w:tc>
        <w:tc>
          <w:tcPr>
            <w:tcW w:w="979"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19.45</w:t>
            </w:r>
          </w:p>
        </w:tc>
      </w:tr>
      <w:tr w:rsidR="00AB77F2" w:rsidRPr="00F16A8C" w:rsidTr="009242BE">
        <w:trPr>
          <w:trHeight w:val="360"/>
          <w:jc w:val="center"/>
        </w:trPr>
        <w:tc>
          <w:tcPr>
            <w:tcW w:w="1887" w:type="dxa"/>
            <w:shd w:val="clear" w:color="auto" w:fill="auto"/>
            <w:tcMar>
              <w:top w:w="15" w:type="dxa"/>
              <w:left w:w="58" w:type="dxa"/>
              <w:bottom w:w="0" w:type="dxa"/>
              <w:right w:w="15" w:type="dxa"/>
            </w:tcMar>
            <w:vAlign w:val="center"/>
            <w:hideMark/>
          </w:tcPr>
          <w:p w:rsidR="00F44CEE" w:rsidRPr="00F16A8C" w:rsidRDefault="00F44CEE" w:rsidP="00F16A8C">
            <w:pPr>
              <w:keepNext/>
              <w:keepLines/>
              <w:adjustRightInd/>
              <w:spacing w:after="0" w:line="240" w:lineRule="auto"/>
              <w:textAlignment w:val="bottom"/>
              <w:rPr>
                <w:rFonts w:asciiTheme="minorHAnsi" w:hAnsiTheme="minorHAnsi" w:cstheme="minorHAnsi"/>
                <w:sz w:val="18"/>
                <w:szCs w:val="18"/>
              </w:rPr>
            </w:pPr>
            <w:r w:rsidRPr="00F16A8C">
              <w:rPr>
                <w:rFonts w:asciiTheme="minorHAnsi" w:hAnsiTheme="minorHAnsi" w:cstheme="minorHAnsi"/>
                <w:b/>
                <w:bCs/>
                <w:kern w:val="24"/>
                <w:sz w:val="18"/>
                <w:szCs w:val="18"/>
              </w:rPr>
              <w:t xml:space="preserve"> Coal</w:t>
            </w:r>
          </w:p>
        </w:tc>
        <w:tc>
          <w:tcPr>
            <w:tcW w:w="978"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0.07</w:t>
            </w:r>
          </w:p>
        </w:tc>
        <w:tc>
          <w:tcPr>
            <w:tcW w:w="979"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0.03</w:t>
            </w:r>
          </w:p>
        </w:tc>
        <w:tc>
          <w:tcPr>
            <w:tcW w:w="979"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0.05</w:t>
            </w:r>
          </w:p>
        </w:tc>
        <w:tc>
          <w:tcPr>
            <w:tcW w:w="979"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0.04</w:t>
            </w:r>
          </w:p>
        </w:tc>
        <w:tc>
          <w:tcPr>
            <w:tcW w:w="978"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0.05</w:t>
            </w:r>
          </w:p>
        </w:tc>
        <w:tc>
          <w:tcPr>
            <w:tcW w:w="979"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0.03</w:t>
            </w:r>
          </w:p>
        </w:tc>
        <w:tc>
          <w:tcPr>
            <w:tcW w:w="979"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0.06</w:t>
            </w:r>
          </w:p>
        </w:tc>
        <w:tc>
          <w:tcPr>
            <w:tcW w:w="979"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0.04</w:t>
            </w:r>
          </w:p>
        </w:tc>
      </w:tr>
      <w:tr w:rsidR="00AB77F2" w:rsidRPr="00F16A8C" w:rsidTr="009242BE">
        <w:trPr>
          <w:trHeight w:val="360"/>
          <w:jc w:val="center"/>
        </w:trPr>
        <w:tc>
          <w:tcPr>
            <w:tcW w:w="1887" w:type="dxa"/>
            <w:shd w:val="clear" w:color="auto" w:fill="CCEAF9" w:themeFill="accent1" w:themeFillTint="33"/>
            <w:tcMar>
              <w:top w:w="15" w:type="dxa"/>
              <w:left w:w="58" w:type="dxa"/>
              <w:bottom w:w="0" w:type="dxa"/>
              <w:right w:w="15" w:type="dxa"/>
            </w:tcMar>
            <w:vAlign w:val="center"/>
            <w:hideMark/>
          </w:tcPr>
          <w:p w:rsidR="00F44CEE" w:rsidRPr="00F16A8C" w:rsidRDefault="00F44CEE" w:rsidP="00F16A8C">
            <w:pPr>
              <w:keepNext/>
              <w:keepLines/>
              <w:adjustRightInd/>
              <w:spacing w:after="0" w:line="240" w:lineRule="auto"/>
              <w:textAlignment w:val="bottom"/>
              <w:rPr>
                <w:rFonts w:asciiTheme="minorHAnsi" w:hAnsiTheme="minorHAnsi" w:cstheme="minorHAnsi"/>
                <w:sz w:val="18"/>
                <w:szCs w:val="18"/>
              </w:rPr>
            </w:pPr>
            <w:r w:rsidRPr="00F16A8C">
              <w:rPr>
                <w:rFonts w:asciiTheme="minorHAnsi" w:hAnsiTheme="minorHAnsi" w:cstheme="minorHAnsi"/>
                <w:b/>
                <w:bCs/>
                <w:kern w:val="24"/>
                <w:sz w:val="18"/>
                <w:szCs w:val="18"/>
              </w:rPr>
              <w:t>L</w:t>
            </w:r>
            <w:r w:rsidR="00F16A8C">
              <w:rPr>
                <w:rFonts w:asciiTheme="minorHAnsi" w:hAnsiTheme="minorHAnsi" w:cstheme="minorHAnsi"/>
                <w:b/>
                <w:bCs/>
                <w:kern w:val="24"/>
                <w:sz w:val="18"/>
                <w:szCs w:val="18"/>
              </w:rPr>
              <w:t>andfill gas</w:t>
            </w:r>
            <w:r w:rsidRPr="00F16A8C">
              <w:rPr>
                <w:rFonts w:asciiTheme="minorHAnsi" w:hAnsiTheme="minorHAnsi" w:cstheme="minorHAnsi"/>
                <w:b/>
                <w:bCs/>
                <w:kern w:val="24"/>
                <w:sz w:val="18"/>
                <w:szCs w:val="18"/>
              </w:rPr>
              <w:t>/</w:t>
            </w:r>
            <w:r w:rsidR="00F16A8C">
              <w:rPr>
                <w:rFonts w:asciiTheme="minorHAnsi" w:hAnsiTheme="minorHAnsi" w:cstheme="minorHAnsi"/>
                <w:b/>
                <w:bCs/>
                <w:kern w:val="24"/>
                <w:sz w:val="18"/>
                <w:szCs w:val="18"/>
              </w:rPr>
              <w:br/>
              <w:t>municipal solid waste</w:t>
            </w:r>
          </w:p>
        </w:tc>
        <w:tc>
          <w:tcPr>
            <w:tcW w:w="978"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2.69</w:t>
            </w:r>
          </w:p>
        </w:tc>
        <w:tc>
          <w:tcPr>
            <w:tcW w:w="979"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2.69</w:t>
            </w:r>
          </w:p>
        </w:tc>
        <w:tc>
          <w:tcPr>
            <w:tcW w:w="979"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2.69</w:t>
            </w:r>
          </w:p>
        </w:tc>
        <w:tc>
          <w:tcPr>
            <w:tcW w:w="979"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2.69</w:t>
            </w:r>
          </w:p>
        </w:tc>
        <w:tc>
          <w:tcPr>
            <w:tcW w:w="978"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2.70</w:t>
            </w:r>
          </w:p>
        </w:tc>
        <w:tc>
          <w:tcPr>
            <w:tcW w:w="979"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2.70</w:t>
            </w:r>
          </w:p>
        </w:tc>
        <w:tc>
          <w:tcPr>
            <w:tcW w:w="979"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2.69</w:t>
            </w:r>
          </w:p>
        </w:tc>
        <w:tc>
          <w:tcPr>
            <w:tcW w:w="979"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2.69</w:t>
            </w:r>
          </w:p>
        </w:tc>
      </w:tr>
      <w:tr w:rsidR="00AB77F2" w:rsidRPr="00F16A8C" w:rsidTr="009242BE">
        <w:trPr>
          <w:trHeight w:val="360"/>
          <w:jc w:val="center"/>
        </w:trPr>
        <w:tc>
          <w:tcPr>
            <w:tcW w:w="1887" w:type="dxa"/>
            <w:shd w:val="clear" w:color="auto" w:fill="auto"/>
            <w:tcMar>
              <w:top w:w="15" w:type="dxa"/>
              <w:left w:w="58" w:type="dxa"/>
              <w:bottom w:w="0" w:type="dxa"/>
              <w:right w:w="15" w:type="dxa"/>
            </w:tcMar>
            <w:vAlign w:val="center"/>
            <w:hideMark/>
          </w:tcPr>
          <w:p w:rsidR="00F44CEE" w:rsidRPr="00F16A8C" w:rsidRDefault="00F44CEE" w:rsidP="00F16A8C">
            <w:pPr>
              <w:keepNext/>
              <w:keepLines/>
              <w:adjustRightInd/>
              <w:spacing w:after="0" w:line="240" w:lineRule="auto"/>
              <w:textAlignment w:val="bottom"/>
              <w:rPr>
                <w:rFonts w:asciiTheme="minorHAnsi" w:hAnsiTheme="minorHAnsi" w:cstheme="minorHAnsi"/>
                <w:sz w:val="18"/>
                <w:szCs w:val="18"/>
              </w:rPr>
            </w:pPr>
            <w:r w:rsidRPr="00F16A8C">
              <w:rPr>
                <w:rFonts w:asciiTheme="minorHAnsi" w:hAnsiTheme="minorHAnsi" w:cstheme="minorHAnsi"/>
                <w:b/>
                <w:bCs/>
                <w:kern w:val="24"/>
                <w:sz w:val="18"/>
                <w:szCs w:val="18"/>
              </w:rPr>
              <w:t xml:space="preserve"> P</w:t>
            </w:r>
            <w:r w:rsidR="00F16A8C">
              <w:rPr>
                <w:rFonts w:asciiTheme="minorHAnsi" w:hAnsiTheme="minorHAnsi" w:cstheme="minorHAnsi"/>
                <w:b/>
                <w:bCs/>
                <w:kern w:val="24"/>
                <w:sz w:val="18"/>
                <w:szCs w:val="18"/>
              </w:rPr>
              <w:t>hotovoltaics</w:t>
            </w:r>
          </w:p>
        </w:tc>
        <w:tc>
          <w:tcPr>
            <w:tcW w:w="978"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9.47</w:t>
            </w:r>
          </w:p>
        </w:tc>
        <w:tc>
          <w:tcPr>
            <w:tcW w:w="979"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9.47</w:t>
            </w:r>
          </w:p>
        </w:tc>
        <w:tc>
          <w:tcPr>
            <w:tcW w:w="979"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9.47</w:t>
            </w:r>
          </w:p>
        </w:tc>
        <w:tc>
          <w:tcPr>
            <w:tcW w:w="979"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9.47</w:t>
            </w:r>
          </w:p>
        </w:tc>
        <w:tc>
          <w:tcPr>
            <w:tcW w:w="978"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9.47</w:t>
            </w:r>
          </w:p>
        </w:tc>
        <w:tc>
          <w:tcPr>
            <w:tcW w:w="979"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9.47</w:t>
            </w:r>
          </w:p>
        </w:tc>
        <w:tc>
          <w:tcPr>
            <w:tcW w:w="979"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9.47</w:t>
            </w:r>
          </w:p>
        </w:tc>
        <w:tc>
          <w:tcPr>
            <w:tcW w:w="979"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9.47</w:t>
            </w:r>
          </w:p>
        </w:tc>
      </w:tr>
      <w:tr w:rsidR="00AB77F2" w:rsidRPr="00F16A8C" w:rsidTr="009242BE">
        <w:trPr>
          <w:trHeight w:val="360"/>
          <w:jc w:val="center"/>
        </w:trPr>
        <w:tc>
          <w:tcPr>
            <w:tcW w:w="1887" w:type="dxa"/>
            <w:shd w:val="clear" w:color="auto" w:fill="CCEAF9" w:themeFill="accent1" w:themeFillTint="33"/>
            <w:tcMar>
              <w:top w:w="15" w:type="dxa"/>
              <w:left w:w="58" w:type="dxa"/>
              <w:bottom w:w="0" w:type="dxa"/>
              <w:right w:w="15" w:type="dxa"/>
            </w:tcMar>
            <w:vAlign w:val="center"/>
            <w:hideMark/>
          </w:tcPr>
          <w:p w:rsidR="00F44CEE" w:rsidRPr="00F16A8C" w:rsidRDefault="00F44CEE" w:rsidP="00F16A8C">
            <w:pPr>
              <w:keepNext/>
              <w:keepLines/>
              <w:adjustRightInd/>
              <w:spacing w:after="0" w:line="240" w:lineRule="auto"/>
              <w:textAlignment w:val="bottom"/>
              <w:rPr>
                <w:rFonts w:asciiTheme="minorHAnsi" w:hAnsiTheme="minorHAnsi" w:cstheme="minorHAnsi"/>
                <w:sz w:val="18"/>
                <w:szCs w:val="18"/>
              </w:rPr>
            </w:pPr>
            <w:r w:rsidRPr="00F16A8C">
              <w:rPr>
                <w:rFonts w:asciiTheme="minorHAnsi" w:hAnsiTheme="minorHAnsi" w:cstheme="minorHAnsi"/>
                <w:b/>
                <w:bCs/>
                <w:kern w:val="24"/>
                <w:sz w:val="18"/>
                <w:szCs w:val="18"/>
              </w:rPr>
              <w:t xml:space="preserve"> Wood</w:t>
            </w:r>
          </w:p>
        </w:tc>
        <w:tc>
          <w:tcPr>
            <w:tcW w:w="978"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4.70</w:t>
            </w:r>
          </w:p>
        </w:tc>
        <w:tc>
          <w:tcPr>
            <w:tcW w:w="979"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4.70</w:t>
            </w:r>
          </w:p>
        </w:tc>
        <w:tc>
          <w:tcPr>
            <w:tcW w:w="979"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4.70</w:t>
            </w:r>
          </w:p>
        </w:tc>
        <w:tc>
          <w:tcPr>
            <w:tcW w:w="979"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4.70</w:t>
            </w:r>
          </w:p>
        </w:tc>
        <w:tc>
          <w:tcPr>
            <w:tcW w:w="978"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4.70</w:t>
            </w:r>
          </w:p>
        </w:tc>
        <w:tc>
          <w:tcPr>
            <w:tcW w:w="979"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4.70</w:t>
            </w:r>
          </w:p>
        </w:tc>
        <w:tc>
          <w:tcPr>
            <w:tcW w:w="979"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4.70</w:t>
            </w:r>
          </w:p>
        </w:tc>
        <w:tc>
          <w:tcPr>
            <w:tcW w:w="979"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4.69</w:t>
            </w:r>
          </w:p>
        </w:tc>
      </w:tr>
      <w:tr w:rsidR="00AB77F2" w:rsidRPr="00F16A8C" w:rsidTr="009242BE">
        <w:trPr>
          <w:trHeight w:val="360"/>
          <w:jc w:val="center"/>
        </w:trPr>
        <w:tc>
          <w:tcPr>
            <w:tcW w:w="1887" w:type="dxa"/>
            <w:shd w:val="clear" w:color="auto" w:fill="auto"/>
            <w:tcMar>
              <w:top w:w="15" w:type="dxa"/>
              <w:left w:w="58" w:type="dxa"/>
              <w:bottom w:w="0" w:type="dxa"/>
              <w:right w:w="15" w:type="dxa"/>
            </w:tcMar>
            <w:vAlign w:val="center"/>
            <w:hideMark/>
          </w:tcPr>
          <w:p w:rsidR="00F44CEE" w:rsidRPr="00F16A8C" w:rsidRDefault="00F44CEE" w:rsidP="00F16A8C">
            <w:pPr>
              <w:keepNext/>
              <w:keepLines/>
              <w:adjustRightInd/>
              <w:spacing w:after="0" w:line="240" w:lineRule="auto"/>
              <w:textAlignment w:val="bottom"/>
              <w:rPr>
                <w:rFonts w:asciiTheme="minorHAnsi" w:hAnsiTheme="minorHAnsi" w:cstheme="minorHAnsi"/>
                <w:sz w:val="18"/>
                <w:szCs w:val="18"/>
              </w:rPr>
            </w:pPr>
            <w:r w:rsidRPr="00F16A8C">
              <w:rPr>
                <w:rFonts w:asciiTheme="minorHAnsi" w:hAnsiTheme="minorHAnsi" w:cstheme="minorHAnsi"/>
                <w:b/>
                <w:bCs/>
                <w:kern w:val="24"/>
                <w:sz w:val="18"/>
                <w:szCs w:val="18"/>
              </w:rPr>
              <w:t xml:space="preserve"> Nuc</w:t>
            </w:r>
            <w:r w:rsidR="00F16A8C">
              <w:rPr>
                <w:rFonts w:asciiTheme="minorHAnsi" w:hAnsiTheme="minorHAnsi" w:cstheme="minorHAnsi"/>
                <w:b/>
                <w:bCs/>
                <w:kern w:val="24"/>
                <w:sz w:val="18"/>
                <w:szCs w:val="18"/>
              </w:rPr>
              <w:t>lear</w:t>
            </w:r>
          </w:p>
        </w:tc>
        <w:tc>
          <w:tcPr>
            <w:tcW w:w="978"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29.85</w:t>
            </w:r>
          </w:p>
        </w:tc>
        <w:tc>
          <w:tcPr>
            <w:tcW w:w="979"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29.85</w:t>
            </w:r>
          </w:p>
        </w:tc>
        <w:tc>
          <w:tcPr>
            <w:tcW w:w="979"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29.85</w:t>
            </w:r>
          </w:p>
        </w:tc>
        <w:tc>
          <w:tcPr>
            <w:tcW w:w="979"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29.85</w:t>
            </w:r>
          </w:p>
        </w:tc>
        <w:tc>
          <w:tcPr>
            <w:tcW w:w="978"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29.85</w:t>
            </w:r>
          </w:p>
        </w:tc>
        <w:tc>
          <w:tcPr>
            <w:tcW w:w="979"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29.85</w:t>
            </w:r>
          </w:p>
        </w:tc>
        <w:tc>
          <w:tcPr>
            <w:tcW w:w="979"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29.85</w:t>
            </w:r>
          </w:p>
        </w:tc>
        <w:tc>
          <w:tcPr>
            <w:tcW w:w="979"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29.85</w:t>
            </w:r>
          </w:p>
        </w:tc>
      </w:tr>
      <w:tr w:rsidR="00AB77F2" w:rsidRPr="00F16A8C" w:rsidTr="009242BE">
        <w:trPr>
          <w:trHeight w:val="360"/>
          <w:jc w:val="center"/>
        </w:trPr>
        <w:tc>
          <w:tcPr>
            <w:tcW w:w="1887" w:type="dxa"/>
            <w:shd w:val="clear" w:color="auto" w:fill="CCEAF9" w:themeFill="accent1" w:themeFillTint="33"/>
            <w:tcMar>
              <w:top w:w="15" w:type="dxa"/>
              <w:left w:w="58" w:type="dxa"/>
              <w:bottom w:w="0" w:type="dxa"/>
              <w:right w:w="15" w:type="dxa"/>
            </w:tcMar>
            <w:vAlign w:val="center"/>
            <w:hideMark/>
          </w:tcPr>
          <w:p w:rsidR="00F44CEE" w:rsidRPr="00F16A8C" w:rsidRDefault="00F44CEE" w:rsidP="00F16A8C">
            <w:pPr>
              <w:keepNext/>
              <w:keepLines/>
              <w:adjustRightInd/>
              <w:spacing w:after="0" w:line="240" w:lineRule="auto"/>
              <w:textAlignment w:val="bottom"/>
              <w:rPr>
                <w:rFonts w:asciiTheme="minorHAnsi" w:hAnsiTheme="minorHAnsi" w:cstheme="minorHAnsi"/>
                <w:sz w:val="18"/>
                <w:szCs w:val="18"/>
              </w:rPr>
            </w:pPr>
            <w:r w:rsidRPr="00F16A8C">
              <w:rPr>
                <w:rFonts w:asciiTheme="minorHAnsi" w:hAnsiTheme="minorHAnsi" w:cstheme="minorHAnsi"/>
                <w:b/>
                <w:bCs/>
                <w:kern w:val="24"/>
                <w:sz w:val="18"/>
                <w:szCs w:val="18"/>
              </w:rPr>
              <w:t xml:space="preserve"> E</w:t>
            </w:r>
            <w:r w:rsidR="00F16A8C">
              <w:rPr>
                <w:rFonts w:asciiTheme="minorHAnsi" w:hAnsiTheme="minorHAnsi" w:cstheme="minorHAnsi"/>
                <w:b/>
                <w:bCs/>
                <w:kern w:val="24"/>
                <w:sz w:val="18"/>
                <w:szCs w:val="18"/>
              </w:rPr>
              <w:t>nergy efficiency</w:t>
            </w:r>
            <w:r w:rsidRPr="00F16A8C">
              <w:rPr>
                <w:rFonts w:asciiTheme="minorHAnsi" w:hAnsiTheme="minorHAnsi" w:cstheme="minorHAnsi"/>
                <w:b/>
                <w:bCs/>
                <w:kern w:val="24"/>
                <w:sz w:val="18"/>
                <w:szCs w:val="18"/>
              </w:rPr>
              <w:t>/</w:t>
            </w:r>
            <w:r w:rsidR="00F16A8C">
              <w:rPr>
                <w:rFonts w:asciiTheme="minorHAnsi" w:hAnsiTheme="minorHAnsi" w:cstheme="minorHAnsi"/>
                <w:b/>
                <w:bCs/>
                <w:kern w:val="24"/>
                <w:sz w:val="18"/>
                <w:szCs w:val="18"/>
              </w:rPr>
              <w:br/>
              <w:t>demand response</w:t>
            </w:r>
          </w:p>
        </w:tc>
        <w:tc>
          <w:tcPr>
            <w:tcW w:w="978"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36.09</w:t>
            </w:r>
          </w:p>
        </w:tc>
        <w:tc>
          <w:tcPr>
            <w:tcW w:w="979"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36.09</w:t>
            </w:r>
          </w:p>
        </w:tc>
        <w:tc>
          <w:tcPr>
            <w:tcW w:w="979"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36.09</w:t>
            </w:r>
          </w:p>
        </w:tc>
        <w:tc>
          <w:tcPr>
            <w:tcW w:w="979"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36.09</w:t>
            </w:r>
          </w:p>
        </w:tc>
        <w:tc>
          <w:tcPr>
            <w:tcW w:w="978"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36.09</w:t>
            </w:r>
          </w:p>
        </w:tc>
        <w:tc>
          <w:tcPr>
            <w:tcW w:w="979"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36.09</w:t>
            </w:r>
          </w:p>
        </w:tc>
        <w:tc>
          <w:tcPr>
            <w:tcW w:w="979"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36.09</w:t>
            </w:r>
          </w:p>
        </w:tc>
        <w:tc>
          <w:tcPr>
            <w:tcW w:w="979" w:type="dxa"/>
            <w:shd w:val="clear" w:color="auto" w:fill="CCEAF9" w:themeFill="accent1" w:themeFillTint="33"/>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36.09</w:t>
            </w:r>
          </w:p>
        </w:tc>
      </w:tr>
      <w:tr w:rsidR="00AB77F2" w:rsidRPr="00F16A8C" w:rsidTr="009242BE">
        <w:trPr>
          <w:trHeight w:val="360"/>
          <w:jc w:val="center"/>
        </w:trPr>
        <w:tc>
          <w:tcPr>
            <w:tcW w:w="1887" w:type="dxa"/>
            <w:shd w:val="clear" w:color="auto" w:fill="auto"/>
            <w:tcMar>
              <w:top w:w="15" w:type="dxa"/>
              <w:left w:w="58" w:type="dxa"/>
              <w:bottom w:w="0" w:type="dxa"/>
              <w:right w:w="15" w:type="dxa"/>
            </w:tcMar>
            <w:vAlign w:val="center"/>
            <w:hideMark/>
          </w:tcPr>
          <w:p w:rsidR="00F44CEE" w:rsidRPr="00F16A8C" w:rsidRDefault="00F44CEE" w:rsidP="00F16A8C">
            <w:pPr>
              <w:keepNext/>
              <w:keepLines/>
              <w:adjustRightInd/>
              <w:spacing w:after="0" w:line="240" w:lineRule="auto"/>
              <w:textAlignment w:val="bottom"/>
              <w:rPr>
                <w:rFonts w:asciiTheme="minorHAnsi" w:hAnsiTheme="minorHAnsi" w:cstheme="minorHAnsi"/>
                <w:sz w:val="18"/>
                <w:szCs w:val="18"/>
              </w:rPr>
            </w:pPr>
            <w:r w:rsidRPr="00F16A8C">
              <w:rPr>
                <w:rFonts w:asciiTheme="minorHAnsi" w:hAnsiTheme="minorHAnsi" w:cstheme="minorHAnsi"/>
                <w:b/>
                <w:bCs/>
                <w:kern w:val="24"/>
                <w:sz w:val="18"/>
                <w:szCs w:val="18"/>
              </w:rPr>
              <w:t xml:space="preserve"> Hydro</w:t>
            </w:r>
          </w:p>
        </w:tc>
        <w:tc>
          <w:tcPr>
            <w:tcW w:w="978"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6.26</w:t>
            </w:r>
          </w:p>
        </w:tc>
        <w:tc>
          <w:tcPr>
            <w:tcW w:w="979"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6.27</w:t>
            </w:r>
          </w:p>
        </w:tc>
        <w:tc>
          <w:tcPr>
            <w:tcW w:w="979"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6.27</w:t>
            </w:r>
          </w:p>
        </w:tc>
        <w:tc>
          <w:tcPr>
            <w:tcW w:w="979"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6.28</w:t>
            </w:r>
          </w:p>
        </w:tc>
        <w:tc>
          <w:tcPr>
            <w:tcW w:w="978"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6.33</w:t>
            </w:r>
          </w:p>
        </w:tc>
        <w:tc>
          <w:tcPr>
            <w:tcW w:w="979"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6.33</w:t>
            </w:r>
          </w:p>
        </w:tc>
        <w:tc>
          <w:tcPr>
            <w:tcW w:w="979"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6.29</w:t>
            </w:r>
          </w:p>
        </w:tc>
        <w:tc>
          <w:tcPr>
            <w:tcW w:w="979" w:type="dxa"/>
            <w:shd w:val="clear" w:color="auto" w:fill="auto"/>
            <w:tcMar>
              <w:top w:w="0" w:type="dxa"/>
              <w:left w:w="0" w:type="dxa"/>
              <w:bottom w:w="0" w:type="dxa"/>
              <w:right w:w="115" w:type="dxa"/>
            </w:tcMar>
            <w:vAlign w:val="center"/>
            <w:hideMark/>
          </w:tcPr>
          <w:p w:rsidR="00F44CEE" w:rsidRPr="00F16A8C" w:rsidRDefault="00F44CEE" w:rsidP="00F16A8C">
            <w:pPr>
              <w:keepNext/>
              <w:keepLines/>
              <w:adjustRightInd/>
              <w:spacing w:after="0" w:line="240" w:lineRule="auto"/>
              <w:jc w:val="right"/>
              <w:textAlignment w:val="bottom"/>
              <w:rPr>
                <w:rFonts w:asciiTheme="minorHAnsi" w:hAnsiTheme="minorHAnsi" w:cstheme="minorHAnsi"/>
                <w:sz w:val="18"/>
                <w:szCs w:val="18"/>
              </w:rPr>
            </w:pPr>
            <w:r w:rsidRPr="00F16A8C">
              <w:rPr>
                <w:rFonts w:asciiTheme="minorHAnsi" w:hAnsiTheme="minorHAnsi" w:cstheme="minorHAnsi"/>
                <w:color w:val="313C3F"/>
                <w:kern w:val="24"/>
                <w:sz w:val="18"/>
                <w:szCs w:val="18"/>
              </w:rPr>
              <w:t>6.30</w:t>
            </w:r>
          </w:p>
        </w:tc>
      </w:tr>
    </w:tbl>
    <w:p w:rsidR="000E66CA" w:rsidRDefault="000E66CA" w:rsidP="009242BE">
      <w:pPr>
        <w:spacing w:after="120" w:line="240" w:lineRule="auto"/>
      </w:pPr>
    </w:p>
    <w:p w:rsidR="00B46E4F" w:rsidRDefault="00F45227" w:rsidP="00B46E4F">
      <w:pPr>
        <w:pStyle w:val="Heading3"/>
      </w:pPr>
      <w:bookmarkStart w:id="71" w:name="_Toc44412052"/>
      <w:r>
        <w:t>Annual Average Locational Marginal P</w:t>
      </w:r>
      <w:r w:rsidR="00B46E4F" w:rsidRPr="00B46E4F">
        <w:t>rices</w:t>
      </w:r>
      <w:bookmarkEnd w:id="71"/>
    </w:p>
    <w:p w:rsidR="00C2081A" w:rsidRDefault="00A123BE" w:rsidP="00F45227">
      <w:r>
        <w:t>T</w:t>
      </w:r>
      <w:r w:rsidRPr="004F298C">
        <w:t xml:space="preserve">he </w:t>
      </w:r>
      <w:r>
        <w:t xml:space="preserve">impact of additional offshore wind </w:t>
      </w:r>
      <w:r w:rsidR="00FD2A57">
        <w:t xml:space="preserve">was </w:t>
      </w:r>
      <w:r w:rsidR="00593924">
        <w:t xml:space="preserve">observed </w:t>
      </w:r>
      <w:r w:rsidR="00FD2A57">
        <w:t xml:space="preserve">in the NESCOE 2019 </w:t>
      </w:r>
      <w:r w:rsidR="00703947">
        <w:t>Economic</w:t>
      </w:r>
      <w:r w:rsidR="00FD2A57">
        <w:t xml:space="preserve"> Study </w:t>
      </w:r>
      <w:r w:rsidR="006278A1">
        <w:t>through</w:t>
      </w:r>
      <w:r w:rsidR="00FD2A57">
        <w:t xml:space="preserve"> evaluating </w:t>
      </w:r>
      <w:r w:rsidRPr="004F298C">
        <w:t xml:space="preserve">average </w:t>
      </w:r>
      <w:r w:rsidR="00623BCA">
        <w:t>locational marginal prices (</w:t>
      </w:r>
      <w:r w:rsidRPr="004F298C">
        <w:t>LMPs</w:t>
      </w:r>
      <w:r w:rsidR="00623BCA">
        <w:t>)</w:t>
      </w:r>
      <w:r w:rsidRPr="004F298C">
        <w:t xml:space="preserve"> </w:t>
      </w:r>
      <w:r w:rsidR="00FD2A57">
        <w:t>for</w:t>
      </w:r>
      <w:r w:rsidRPr="004F298C">
        <w:t xml:space="preserve"> selected RSP subareas</w:t>
      </w:r>
      <w:r w:rsidR="00FD2A57">
        <w:t xml:space="preserve">, </w:t>
      </w:r>
      <w:r w:rsidR="006278A1">
        <w:t>under</w:t>
      </w:r>
      <w:r w:rsidR="00FD2A57">
        <w:t xml:space="preserve"> </w:t>
      </w:r>
      <w:r w:rsidRPr="004F298C">
        <w:t xml:space="preserve">constrained and unconstrained </w:t>
      </w:r>
      <w:r w:rsidR="00FD2A57">
        <w:t>scenarios</w:t>
      </w:r>
      <w:r w:rsidRPr="004F298C">
        <w:t xml:space="preserve"> </w:t>
      </w:r>
      <w:r w:rsidR="00FD2A57">
        <w:t>of</w:t>
      </w:r>
      <w:r w:rsidRPr="004F298C">
        <w:t xml:space="preserve"> </w:t>
      </w:r>
      <w:r>
        <w:t xml:space="preserve">the </w:t>
      </w:r>
      <w:r w:rsidRPr="004F298C">
        <w:t>2030</w:t>
      </w:r>
      <w:r>
        <w:t xml:space="preserve"> study year</w:t>
      </w:r>
      <w:r w:rsidR="00BF1EA7">
        <w:t xml:space="preserve">. </w:t>
      </w:r>
      <w:r w:rsidR="00F45227" w:rsidRPr="00F45227">
        <w:t>The scenario</w:t>
      </w:r>
      <w:r>
        <w:t xml:space="preserve">s analyzed </w:t>
      </w:r>
      <w:r w:rsidR="00F45227" w:rsidRPr="00F45227">
        <w:t xml:space="preserve">for the unconstrained cases show lower average systemwide LMPs because price-taking resources produce greater amounts of energy, especially when they displace less-efficient fossil fuel generating </w:t>
      </w:r>
      <w:r w:rsidR="00C2081A">
        <w:t>resources</w:t>
      </w:r>
      <w:r w:rsidR="00BF1EA7">
        <w:t xml:space="preserve">. </w:t>
      </w:r>
      <w:r w:rsidR="00C2081A" w:rsidRPr="00C2081A">
        <w:t xml:space="preserve">When transmission flows are constrained, the LMP at the receiving end is higher than at the sending end. </w:t>
      </w:r>
      <w:r w:rsidR="00C2081A" w:rsidRPr="00CE1B10">
        <w:rPr>
          <w:b/>
        </w:rPr>
        <w:t>Price separation at the Maine-</w:t>
      </w:r>
      <w:r w:rsidR="00C2081A" w:rsidRPr="00373637">
        <w:rPr>
          <w:b/>
        </w:rPr>
        <w:t xml:space="preserve">New Hampshire interface decreases as offshore wind production </w:t>
      </w:r>
      <w:r w:rsidR="00AD5F99" w:rsidRPr="00373637">
        <w:rPr>
          <w:b/>
        </w:rPr>
        <w:t>supplants the demand for onshore wind</w:t>
      </w:r>
      <w:r w:rsidR="00C2081A" w:rsidRPr="00373637">
        <w:rPr>
          <w:b/>
        </w:rPr>
        <w:t xml:space="preserve"> resources</w:t>
      </w:r>
      <w:r w:rsidR="00593924" w:rsidRPr="00373637">
        <w:rPr>
          <w:b/>
        </w:rPr>
        <w:t xml:space="preserve"> in Maine</w:t>
      </w:r>
      <w:r w:rsidR="00BF1EA7" w:rsidRPr="00373637">
        <w:rPr>
          <w:b/>
        </w:rPr>
        <w:t>.</w:t>
      </w:r>
      <w:r w:rsidR="00950730" w:rsidRPr="00373637">
        <w:rPr>
          <w:b/>
        </w:rPr>
        <w:t xml:space="preserve"> </w:t>
      </w:r>
      <w:r w:rsidR="00950730" w:rsidRPr="005A589D">
        <w:t>For example, price separation across the Maine-New Hampshire interface was caused by periodic oversupply of wind energy in Maine. Then</w:t>
      </w:r>
      <w:r w:rsidR="005A589D" w:rsidRPr="005A589D">
        <w:t xml:space="preserve">, </w:t>
      </w:r>
      <w:r w:rsidR="00950730" w:rsidRPr="005A589D">
        <w:t xml:space="preserve">as installed offshore wind production levels increased, periodic oversupply of offshore wind equalized the threshold-based prices on either side of the interface more often. This resulted in a lower annual value for the price-separation metric. </w:t>
      </w:r>
      <w:r w:rsidR="00C2081A" w:rsidRPr="005A589D">
        <w:t>As</w:t>
      </w:r>
      <w:r w:rsidR="00C2081A">
        <w:t xml:space="preserve"> illustrated in </w:t>
      </w:r>
      <w:r w:rsidR="00913683">
        <w:fldChar w:fldCharType="begin"/>
      </w:r>
      <w:r w:rsidR="00913683">
        <w:instrText xml:space="preserve"> REF _Ref42675768 \h </w:instrText>
      </w:r>
      <w:r w:rsidR="00913683">
        <w:fldChar w:fldCharType="separate"/>
      </w:r>
      <w:r w:rsidR="001F5E1A">
        <w:t xml:space="preserve">Figure </w:t>
      </w:r>
      <w:r w:rsidR="001F5E1A">
        <w:rPr>
          <w:noProof/>
        </w:rPr>
        <w:t>6</w:t>
      </w:r>
      <w:r w:rsidR="001F5E1A">
        <w:noBreakHyphen/>
      </w:r>
      <w:r w:rsidR="001F5E1A">
        <w:rPr>
          <w:noProof/>
        </w:rPr>
        <w:t>7</w:t>
      </w:r>
      <w:r w:rsidR="00913683">
        <w:fldChar w:fldCharType="end"/>
      </w:r>
      <w:r w:rsidR="00C2081A">
        <w:t>, t</w:t>
      </w:r>
      <w:r w:rsidR="00C2081A" w:rsidRPr="00C2081A">
        <w:t>he reference scenario has the largest price separation between BHE/ME</w:t>
      </w:r>
      <w:r w:rsidR="00A576FA">
        <w:t>/SME</w:t>
      </w:r>
      <w:r w:rsidR="00C2081A" w:rsidRPr="00C2081A">
        <w:t xml:space="preserve"> and the rest of the system</w:t>
      </w:r>
      <w:r w:rsidR="00BF1EA7">
        <w:t xml:space="preserve">. </w:t>
      </w:r>
      <w:r w:rsidR="00A576FA">
        <w:t>T</w:t>
      </w:r>
      <w:r w:rsidR="00C2081A" w:rsidRPr="00C2081A">
        <w:t xml:space="preserve">he separation decreases as </w:t>
      </w:r>
      <w:r w:rsidR="00C2081A">
        <w:t>offshore wind</w:t>
      </w:r>
      <w:r w:rsidR="00C2081A" w:rsidRPr="00C2081A">
        <w:t xml:space="preserve"> is added</w:t>
      </w:r>
      <w:r w:rsidR="00913683">
        <w:t>,</w:t>
      </w:r>
      <w:r w:rsidR="00C2081A" w:rsidRPr="00C2081A">
        <w:t xml:space="preserve"> which lowers </w:t>
      </w:r>
      <w:r w:rsidR="00913683">
        <w:t xml:space="preserve">the </w:t>
      </w:r>
      <w:r w:rsidR="00C2081A" w:rsidRPr="00C2081A">
        <w:t>LMPs outside Maine</w:t>
      </w:r>
      <w:r w:rsidR="00C2081A">
        <w:t>.</w:t>
      </w:r>
    </w:p>
    <w:p w:rsidR="006C44C4" w:rsidRDefault="006C44C4" w:rsidP="00466D12">
      <w:pPr>
        <w:spacing w:after="0" w:line="240" w:lineRule="auto"/>
        <w:jc w:val="center"/>
      </w:pPr>
      <w:r w:rsidRPr="006C44C4">
        <w:rPr>
          <w:noProof/>
        </w:rPr>
        <w:lastRenderedPageBreak/>
        <w:drawing>
          <wp:inline distT="0" distB="0" distL="0" distR="0" wp14:anchorId="23AF4CC2" wp14:editId="17207343">
            <wp:extent cx="5943600" cy="2825597"/>
            <wp:effectExtent l="19050" t="19050" r="19050" b="133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825597"/>
                    </a:xfrm>
                    <a:prstGeom prst="rect">
                      <a:avLst/>
                    </a:prstGeom>
                    <a:noFill/>
                    <a:ln w="3175">
                      <a:solidFill>
                        <a:srgbClr val="000000"/>
                      </a:solidFill>
                    </a:ln>
                  </pic:spPr>
                </pic:pic>
              </a:graphicData>
            </a:graphic>
          </wp:inline>
        </w:drawing>
      </w:r>
    </w:p>
    <w:p w:rsidR="00B13496" w:rsidRDefault="00913683" w:rsidP="00ED062A">
      <w:pPr>
        <w:pStyle w:val="Caption"/>
        <w:spacing w:before="120" w:after="240"/>
      </w:pPr>
      <w:bookmarkStart w:id="72" w:name="_Ref42675768"/>
      <w:bookmarkStart w:id="73" w:name="_Toc43224484"/>
      <w:r>
        <w:t xml:space="preserve">Figure </w:t>
      </w:r>
      <w:fldSimple w:instr=" STYLEREF 1 \s ">
        <w:r w:rsidR="001F5E1A">
          <w:rPr>
            <w:noProof/>
          </w:rPr>
          <w:t>6</w:t>
        </w:r>
      </w:fldSimple>
      <w:r w:rsidR="00C5246A">
        <w:noBreakHyphen/>
      </w:r>
      <w:fldSimple w:instr=" SEQ Figure \* ARABIC \s 1 ">
        <w:r w:rsidR="001F5E1A">
          <w:rPr>
            <w:noProof/>
          </w:rPr>
          <w:t>7</w:t>
        </w:r>
      </w:fldSimple>
      <w:bookmarkEnd w:id="72"/>
      <w:r>
        <w:t xml:space="preserve">: </w:t>
      </w:r>
      <w:r w:rsidRPr="001C4363">
        <w:rPr>
          <w:bCs w:val="0"/>
        </w:rPr>
        <w:t xml:space="preserve">Annual </w:t>
      </w:r>
      <w:r>
        <w:rPr>
          <w:bCs w:val="0"/>
        </w:rPr>
        <w:t>a</w:t>
      </w:r>
      <w:r w:rsidRPr="001C4363">
        <w:rPr>
          <w:bCs w:val="0"/>
        </w:rPr>
        <w:t xml:space="preserve">verage LMPs by RSP </w:t>
      </w:r>
      <w:r>
        <w:rPr>
          <w:bCs w:val="0"/>
        </w:rPr>
        <w:t>s</w:t>
      </w:r>
      <w:r w:rsidRPr="001C4363">
        <w:rPr>
          <w:bCs w:val="0"/>
        </w:rPr>
        <w:t>ubarea ($/MWh)</w:t>
      </w:r>
      <w:r>
        <w:rPr>
          <w:bCs w:val="0"/>
        </w:rPr>
        <w:t>.</w:t>
      </w:r>
      <w:bookmarkEnd w:id="73"/>
    </w:p>
    <w:p w:rsidR="00B46E4F" w:rsidRDefault="00B46E4F" w:rsidP="00B46E4F">
      <w:pPr>
        <w:pStyle w:val="Heading3"/>
      </w:pPr>
      <w:bookmarkStart w:id="74" w:name="_Toc44412053"/>
      <w:r w:rsidRPr="00B46E4F">
        <w:t>Load-</w:t>
      </w:r>
      <w:r w:rsidR="00913683">
        <w:t>S</w:t>
      </w:r>
      <w:r w:rsidRPr="00B46E4F">
        <w:t xml:space="preserve">erving </w:t>
      </w:r>
      <w:r w:rsidR="00913683">
        <w:t>E</w:t>
      </w:r>
      <w:r w:rsidRPr="00B46E4F">
        <w:t xml:space="preserve">ntity </w:t>
      </w:r>
      <w:r w:rsidR="00913683">
        <w:t>E</w:t>
      </w:r>
      <w:r w:rsidRPr="00B46E4F">
        <w:t xml:space="preserve">nergy </w:t>
      </w:r>
      <w:r w:rsidR="00913683">
        <w:t>E</w:t>
      </w:r>
      <w:r w:rsidRPr="00B46E4F">
        <w:t>xpense</w:t>
      </w:r>
      <w:r w:rsidR="00D66CA2">
        <w:t xml:space="preserve"> </w:t>
      </w:r>
      <w:r w:rsidRPr="00B46E4F">
        <w:t xml:space="preserve">and </w:t>
      </w:r>
      <w:r w:rsidR="00913683">
        <w:t>U</w:t>
      </w:r>
      <w:r w:rsidRPr="00B46E4F">
        <w:t>plift</w:t>
      </w:r>
      <w:r w:rsidR="00023487">
        <w:t xml:space="preserve"> Costs</w:t>
      </w:r>
      <w:bookmarkEnd w:id="74"/>
    </w:p>
    <w:p w:rsidR="004743C7" w:rsidRDefault="00D66CA2" w:rsidP="00B13496">
      <w:r>
        <w:t>Load-serving entities (LSE</w:t>
      </w:r>
      <w:r w:rsidR="00913683">
        <w:t>s</w:t>
      </w:r>
      <w:r>
        <w:t xml:space="preserve">) represent organizations that directly serve </w:t>
      </w:r>
      <w:r w:rsidR="00703947">
        <w:t>retail</w:t>
      </w:r>
      <w:r>
        <w:t xml:space="preserve"> electric</w:t>
      </w:r>
      <w:r w:rsidR="00913683">
        <w:t>ity</w:t>
      </w:r>
      <w:r>
        <w:t xml:space="preserve"> customers</w:t>
      </w:r>
      <w:r w:rsidR="00BF1EA7">
        <w:t xml:space="preserve">. </w:t>
      </w:r>
      <w:r>
        <w:t>Risk management is particularity importan</w:t>
      </w:r>
      <w:r w:rsidRPr="00D846E6">
        <w:t xml:space="preserve">t </w:t>
      </w:r>
      <w:r w:rsidR="009624E9">
        <w:t xml:space="preserve">to </w:t>
      </w:r>
      <w:r w:rsidR="00A576FA" w:rsidRPr="00E810E3">
        <w:t>LSE</w:t>
      </w:r>
      <w:r w:rsidR="009624E9">
        <w:t xml:space="preserve">s </w:t>
      </w:r>
      <w:r w:rsidRPr="00E810E3">
        <w:t xml:space="preserve">because </w:t>
      </w:r>
      <w:r w:rsidR="009624E9">
        <w:t>they</w:t>
      </w:r>
      <w:r w:rsidR="006562B4">
        <w:t xml:space="preserve"> </w:t>
      </w:r>
      <w:r w:rsidRPr="00E810E3">
        <w:t>are sensitive to</w:t>
      </w:r>
      <w:r w:rsidR="00C53C0E">
        <w:t xml:space="preserve"> and may not be able to hedge against</w:t>
      </w:r>
      <w:r w:rsidRPr="00E810E3">
        <w:t xml:space="preserve"> sudden or unexpected price variations</w:t>
      </w:r>
      <w:r w:rsidR="006562B4">
        <w:t>,</w:t>
      </w:r>
      <w:r w:rsidR="009624E9">
        <w:t xml:space="preserve"> which could affect their customers</w:t>
      </w:r>
      <w:r w:rsidR="00BF1EA7" w:rsidRPr="00E810E3">
        <w:t xml:space="preserve">. </w:t>
      </w:r>
      <w:r w:rsidR="00913683" w:rsidRPr="00ED062A">
        <w:fldChar w:fldCharType="begin"/>
      </w:r>
      <w:r w:rsidR="00913683" w:rsidRPr="00E810E3">
        <w:instrText xml:space="preserve"> REF _Ref42675917 \h </w:instrText>
      </w:r>
      <w:r w:rsidR="005B003E" w:rsidRPr="00ED062A">
        <w:instrText xml:space="preserve"> \* MERGEFORMAT </w:instrText>
      </w:r>
      <w:r w:rsidR="00913683" w:rsidRPr="00ED062A">
        <w:fldChar w:fldCharType="separate"/>
      </w:r>
      <w:r w:rsidR="001F5E1A">
        <w:t xml:space="preserve">Table </w:t>
      </w:r>
      <w:r w:rsidR="001F5E1A">
        <w:rPr>
          <w:noProof/>
        </w:rPr>
        <w:t>6</w:t>
      </w:r>
      <w:r w:rsidR="001F5E1A">
        <w:rPr>
          <w:noProof/>
        </w:rPr>
        <w:noBreakHyphen/>
        <w:t>2</w:t>
      </w:r>
      <w:r w:rsidR="00913683" w:rsidRPr="00ED062A">
        <w:fldChar w:fldCharType="end"/>
      </w:r>
      <w:r w:rsidRPr="00E810E3">
        <w:t xml:space="preserve"> shows l</w:t>
      </w:r>
      <w:r w:rsidR="004743C7" w:rsidRPr="00E810E3">
        <w:t xml:space="preserve">oad-serving entity energy expenses </w:t>
      </w:r>
      <w:r w:rsidRPr="00E810E3">
        <w:t xml:space="preserve">(LSEEE) </w:t>
      </w:r>
      <w:r w:rsidR="004743C7" w:rsidRPr="00E810E3">
        <w:t xml:space="preserve">and “uplift” costs (i.e., make-whole payments) </w:t>
      </w:r>
      <w:r w:rsidR="00EB0A33" w:rsidRPr="00E810E3">
        <w:t>for all</w:t>
      </w:r>
      <w:r w:rsidRPr="00E810E3">
        <w:t xml:space="preserve"> </w:t>
      </w:r>
      <w:r w:rsidR="004743C7" w:rsidRPr="00E810E3">
        <w:t>constrained and unconstrained case</w:t>
      </w:r>
      <w:r w:rsidR="004743C7" w:rsidRPr="00D846E6">
        <w:t>s</w:t>
      </w:r>
      <w:r w:rsidR="00023487" w:rsidRPr="00D846E6">
        <w:t>.</w:t>
      </w:r>
      <w:r w:rsidR="00BF1EA7">
        <w:t xml:space="preserve"> </w:t>
      </w:r>
    </w:p>
    <w:p w:rsidR="00EB0A33" w:rsidRPr="00913683" w:rsidRDefault="00913683" w:rsidP="00913683">
      <w:pPr>
        <w:pStyle w:val="Caption"/>
        <w:jc w:val="center"/>
      </w:pPr>
      <w:bookmarkStart w:id="75" w:name="_Ref42675917"/>
      <w:bookmarkStart w:id="76" w:name="_Toc44412065"/>
      <w:r>
        <w:t xml:space="preserve">Table </w:t>
      </w:r>
      <w:fldSimple w:instr=" STYLEREF 1 \s ">
        <w:r w:rsidR="00E62212">
          <w:rPr>
            <w:noProof/>
          </w:rPr>
          <w:t>6</w:t>
        </w:r>
      </w:fldSimple>
      <w:r w:rsidR="00E62212">
        <w:noBreakHyphen/>
      </w:r>
      <w:fldSimple w:instr=" SEQ Table \* ARABIC \s 1 ">
        <w:r w:rsidR="00E62212">
          <w:rPr>
            <w:noProof/>
          </w:rPr>
          <w:t>2</w:t>
        </w:r>
      </w:fldSimple>
      <w:bookmarkEnd w:id="75"/>
      <w:r>
        <w:br/>
      </w:r>
      <w:r w:rsidR="00EB0A33" w:rsidRPr="00913683">
        <w:rPr>
          <w:bCs w:val="0"/>
        </w:rPr>
        <w:t>Load-</w:t>
      </w:r>
      <w:r>
        <w:rPr>
          <w:bCs w:val="0"/>
        </w:rPr>
        <w:t>S</w:t>
      </w:r>
      <w:r w:rsidR="00EB0A33" w:rsidRPr="00913683">
        <w:rPr>
          <w:bCs w:val="0"/>
        </w:rPr>
        <w:t>erving Entity Energy Expense</w:t>
      </w:r>
      <w:r w:rsidR="00D846E6">
        <w:rPr>
          <w:bCs w:val="0"/>
        </w:rPr>
        <w:t>s</w:t>
      </w:r>
      <w:r w:rsidR="00EB0A33" w:rsidRPr="00913683">
        <w:rPr>
          <w:bCs w:val="0"/>
        </w:rPr>
        <w:t xml:space="preserve"> and Uplift</w:t>
      </w:r>
      <w:r>
        <w:rPr>
          <w:bCs w:val="0"/>
        </w:rPr>
        <w:t xml:space="preserve"> Costs</w:t>
      </w:r>
      <w:r w:rsidR="00EB0A33" w:rsidRPr="00913683">
        <w:rPr>
          <w:bCs w:val="0"/>
        </w:rPr>
        <w:t xml:space="preserve"> ($ Million)</w:t>
      </w:r>
      <w:bookmarkEnd w:id="76"/>
    </w:p>
    <w:tbl>
      <w:tblPr>
        <w:tblW w:w="1008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66"/>
        <w:gridCol w:w="1620"/>
        <w:gridCol w:w="710"/>
        <w:gridCol w:w="711"/>
        <w:gridCol w:w="711"/>
        <w:gridCol w:w="710"/>
        <w:gridCol w:w="711"/>
        <w:gridCol w:w="711"/>
        <w:gridCol w:w="773"/>
        <w:gridCol w:w="720"/>
        <w:gridCol w:w="720"/>
        <w:gridCol w:w="720"/>
      </w:tblGrid>
      <w:tr w:rsidR="00DA78D9" w:rsidRPr="009242BE" w:rsidTr="00E712DA">
        <w:trPr>
          <w:trHeight w:val="285"/>
          <w:jc w:val="center"/>
        </w:trPr>
        <w:tc>
          <w:tcPr>
            <w:tcW w:w="1266" w:type="dxa"/>
            <w:vMerge w:val="restart"/>
            <w:shd w:val="clear" w:color="auto" w:fill="1795D2" w:themeFill="accent1"/>
            <w:noWrap/>
            <w:vAlign w:val="center"/>
            <w:hideMark/>
          </w:tcPr>
          <w:p w:rsidR="00DA78D9" w:rsidRPr="009242BE" w:rsidRDefault="00DA78D9" w:rsidP="00E712DA">
            <w:pPr>
              <w:adjustRightInd/>
              <w:spacing w:before="40" w:after="40" w:line="240" w:lineRule="auto"/>
              <w:jc w:val="center"/>
              <w:textAlignment w:val="auto"/>
              <w:rPr>
                <w:rFonts w:asciiTheme="majorHAnsi" w:hAnsiTheme="majorHAnsi" w:cstheme="majorHAnsi"/>
                <w:b/>
                <w:bCs/>
                <w:color w:val="FFFFFF" w:themeColor="background1"/>
                <w:sz w:val="16"/>
                <w:szCs w:val="16"/>
              </w:rPr>
            </w:pPr>
            <w:r w:rsidRPr="009242BE">
              <w:rPr>
                <w:rFonts w:asciiTheme="majorHAnsi" w:hAnsiTheme="majorHAnsi" w:cstheme="majorHAnsi"/>
                <w:b/>
                <w:color w:val="FFFFFF" w:themeColor="background1"/>
                <w:sz w:val="16"/>
                <w:szCs w:val="16"/>
              </w:rPr>
              <w:t>Transmission</w:t>
            </w:r>
          </w:p>
        </w:tc>
        <w:tc>
          <w:tcPr>
            <w:tcW w:w="1620" w:type="dxa"/>
            <w:vMerge w:val="restart"/>
            <w:shd w:val="clear" w:color="auto" w:fill="1795D2" w:themeFill="accent1"/>
            <w:noWrap/>
            <w:vAlign w:val="center"/>
          </w:tcPr>
          <w:p w:rsidR="00DA78D9" w:rsidRPr="009242BE" w:rsidRDefault="00DA78D9" w:rsidP="00E712DA">
            <w:pPr>
              <w:adjustRightInd/>
              <w:spacing w:before="40" w:after="40" w:line="240" w:lineRule="auto"/>
              <w:jc w:val="center"/>
              <w:textAlignment w:val="auto"/>
              <w:rPr>
                <w:rFonts w:asciiTheme="majorHAnsi" w:hAnsiTheme="majorHAnsi" w:cstheme="majorHAnsi"/>
                <w:b/>
                <w:bCs/>
                <w:color w:val="FFFFFF" w:themeColor="background1"/>
                <w:sz w:val="16"/>
                <w:szCs w:val="16"/>
              </w:rPr>
            </w:pPr>
            <w:r w:rsidRPr="009242BE">
              <w:rPr>
                <w:rFonts w:asciiTheme="majorHAnsi" w:hAnsiTheme="majorHAnsi" w:cstheme="majorHAnsi"/>
                <w:b/>
                <w:color w:val="FFFFFF" w:themeColor="background1"/>
                <w:sz w:val="16"/>
                <w:szCs w:val="16"/>
              </w:rPr>
              <w:t>Type</w:t>
            </w:r>
          </w:p>
        </w:tc>
        <w:tc>
          <w:tcPr>
            <w:tcW w:w="7197" w:type="dxa"/>
            <w:gridSpan w:val="10"/>
            <w:shd w:val="clear" w:color="auto" w:fill="1795D2" w:themeFill="accent1"/>
            <w:vAlign w:val="center"/>
          </w:tcPr>
          <w:p w:rsidR="00DA78D9" w:rsidRPr="009242BE" w:rsidRDefault="00DA78D9" w:rsidP="00E712DA">
            <w:pPr>
              <w:adjustRightInd/>
              <w:spacing w:before="40" w:after="40" w:line="240" w:lineRule="auto"/>
              <w:jc w:val="center"/>
              <w:textAlignment w:val="auto"/>
              <w:rPr>
                <w:rFonts w:asciiTheme="majorHAnsi" w:hAnsiTheme="majorHAnsi" w:cstheme="majorHAnsi"/>
                <w:b/>
                <w:bCs/>
                <w:color w:val="FFFFFF"/>
                <w:sz w:val="16"/>
                <w:szCs w:val="16"/>
              </w:rPr>
            </w:pPr>
            <w:r w:rsidRPr="009242BE">
              <w:rPr>
                <w:rFonts w:asciiTheme="majorHAnsi" w:hAnsiTheme="majorHAnsi" w:cstheme="majorHAnsi"/>
                <w:b/>
                <w:bCs/>
                <w:color w:val="FFFFFF"/>
                <w:sz w:val="16"/>
                <w:szCs w:val="16"/>
              </w:rPr>
              <w:t>Scenario</w:t>
            </w:r>
          </w:p>
        </w:tc>
      </w:tr>
      <w:tr w:rsidR="00DA78D9" w:rsidRPr="009242BE" w:rsidTr="00E712DA">
        <w:trPr>
          <w:trHeight w:val="285"/>
          <w:jc w:val="center"/>
        </w:trPr>
        <w:tc>
          <w:tcPr>
            <w:tcW w:w="1266" w:type="dxa"/>
            <w:vMerge/>
            <w:shd w:val="clear" w:color="auto" w:fill="auto"/>
            <w:noWrap/>
            <w:vAlign w:val="center"/>
            <w:hideMark/>
          </w:tcPr>
          <w:p w:rsidR="00DA78D9" w:rsidRPr="009242BE" w:rsidRDefault="00DA78D9" w:rsidP="00E712DA">
            <w:pPr>
              <w:adjustRightInd/>
              <w:spacing w:before="40" w:after="40" w:line="240" w:lineRule="auto"/>
              <w:textAlignment w:val="auto"/>
              <w:rPr>
                <w:rFonts w:asciiTheme="majorHAnsi" w:hAnsiTheme="majorHAnsi" w:cstheme="majorHAnsi"/>
                <w:b/>
                <w:color w:val="000000"/>
                <w:sz w:val="16"/>
                <w:szCs w:val="16"/>
              </w:rPr>
            </w:pPr>
          </w:p>
        </w:tc>
        <w:tc>
          <w:tcPr>
            <w:tcW w:w="1620" w:type="dxa"/>
            <w:vMerge/>
            <w:shd w:val="clear" w:color="auto" w:fill="auto"/>
            <w:noWrap/>
            <w:vAlign w:val="center"/>
            <w:hideMark/>
          </w:tcPr>
          <w:p w:rsidR="00DA78D9" w:rsidRPr="009242BE" w:rsidRDefault="00DA78D9" w:rsidP="00E712DA">
            <w:pPr>
              <w:adjustRightInd/>
              <w:spacing w:before="40" w:after="40" w:line="240" w:lineRule="auto"/>
              <w:textAlignment w:val="auto"/>
              <w:rPr>
                <w:rFonts w:asciiTheme="majorHAnsi" w:hAnsiTheme="majorHAnsi" w:cstheme="majorHAnsi"/>
                <w:color w:val="000000"/>
                <w:sz w:val="16"/>
                <w:szCs w:val="16"/>
              </w:rPr>
            </w:pPr>
          </w:p>
        </w:tc>
        <w:tc>
          <w:tcPr>
            <w:tcW w:w="710" w:type="dxa"/>
            <w:shd w:val="clear" w:color="auto" w:fill="1795D2" w:themeFill="accent1"/>
            <w:noWrap/>
            <w:tcMar>
              <w:left w:w="115" w:type="dxa"/>
              <w:right w:w="115" w:type="dxa"/>
            </w:tcMar>
            <w:vAlign w:val="center"/>
            <w:hideMark/>
          </w:tcPr>
          <w:p w:rsidR="00DA78D9" w:rsidRPr="009242BE" w:rsidRDefault="00DA78D9" w:rsidP="00E712DA">
            <w:pPr>
              <w:adjustRightInd/>
              <w:spacing w:before="40" w:after="40" w:line="240" w:lineRule="auto"/>
              <w:jc w:val="center"/>
              <w:textAlignment w:val="auto"/>
              <w:rPr>
                <w:rFonts w:asciiTheme="majorHAnsi" w:hAnsiTheme="majorHAnsi" w:cstheme="majorHAnsi"/>
                <w:b/>
                <w:color w:val="FFFFFF" w:themeColor="background1"/>
                <w:sz w:val="16"/>
                <w:szCs w:val="16"/>
              </w:rPr>
            </w:pPr>
            <w:r w:rsidRPr="009242BE">
              <w:rPr>
                <w:rFonts w:asciiTheme="majorHAnsi" w:hAnsiTheme="majorHAnsi" w:cstheme="majorHAnsi"/>
                <w:b/>
                <w:color w:val="FFFFFF" w:themeColor="background1"/>
                <w:sz w:val="16"/>
                <w:szCs w:val="16"/>
              </w:rPr>
              <w:t>0000</w:t>
            </w:r>
          </w:p>
        </w:tc>
        <w:tc>
          <w:tcPr>
            <w:tcW w:w="711" w:type="dxa"/>
            <w:shd w:val="clear" w:color="auto" w:fill="1795D2" w:themeFill="accent1"/>
            <w:noWrap/>
            <w:tcMar>
              <w:left w:w="115" w:type="dxa"/>
              <w:right w:w="115" w:type="dxa"/>
            </w:tcMar>
            <w:vAlign w:val="center"/>
            <w:hideMark/>
          </w:tcPr>
          <w:p w:rsidR="00DA78D9" w:rsidRPr="009242BE" w:rsidRDefault="00DA78D9" w:rsidP="00E712DA">
            <w:pPr>
              <w:adjustRightInd/>
              <w:spacing w:before="40" w:after="40" w:line="240" w:lineRule="auto"/>
              <w:jc w:val="center"/>
              <w:textAlignment w:val="auto"/>
              <w:rPr>
                <w:rFonts w:asciiTheme="majorHAnsi" w:hAnsiTheme="majorHAnsi" w:cstheme="majorHAnsi"/>
                <w:b/>
                <w:color w:val="FFFFFF" w:themeColor="background1"/>
                <w:sz w:val="16"/>
                <w:szCs w:val="16"/>
              </w:rPr>
            </w:pPr>
            <w:r w:rsidRPr="009242BE">
              <w:rPr>
                <w:rFonts w:asciiTheme="majorHAnsi" w:hAnsiTheme="majorHAnsi" w:cstheme="majorHAnsi"/>
                <w:b/>
                <w:color w:val="FFFFFF" w:themeColor="background1"/>
                <w:sz w:val="16"/>
                <w:szCs w:val="16"/>
              </w:rPr>
              <w:t>1000</w:t>
            </w:r>
          </w:p>
        </w:tc>
        <w:tc>
          <w:tcPr>
            <w:tcW w:w="711" w:type="dxa"/>
            <w:shd w:val="clear" w:color="auto" w:fill="1795D2" w:themeFill="accent1"/>
            <w:noWrap/>
            <w:tcMar>
              <w:left w:w="115" w:type="dxa"/>
              <w:right w:w="115" w:type="dxa"/>
            </w:tcMar>
            <w:vAlign w:val="center"/>
            <w:hideMark/>
          </w:tcPr>
          <w:p w:rsidR="00DA78D9" w:rsidRPr="009242BE" w:rsidRDefault="00DA78D9" w:rsidP="00E712DA">
            <w:pPr>
              <w:adjustRightInd/>
              <w:spacing w:before="40" w:after="40" w:line="240" w:lineRule="auto"/>
              <w:jc w:val="center"/>
              <w:textAlignment w:val="auto"/>
              <w:rPr>
                <w:rFonts w:asciiTheme="majorHAnsi" w:hAnsiTheme="majorHAnsi" w:cstheme="majorHAnsi"/>
                <w:b/>
                <w:color w:val="FFFFFF" w:themeColor="background1"/>
                <w:sz w:val="16"/>
                <w:szCs w:val="16"/>
              </w:rPr>
            </w:pPr>
            <w:r w:rsidRPr="009242BE">
              <w:rPr>
                <w:rFonts w:asciiTheme="majorHAnsi" w:hAnsiTheme="majorHAnsi" w:cstheme="majorHAnsi"/>
                <w:b/>
                <w:color w:val="FFFFFF" w:themeColor="background1"/>
                <w:sz w:val="16"/>
                <w:szCs w:val="16"/>
              </w:rPr>
              <w:t>2000</w:t>
            </w:r>
          </w:p>
        </w:tc>
        <w:tc>
          <w:tcPr>
            <w:tcW w:w="710" w:type="dxa"/>
            <w:shd w:val="clear" w:color="auto" w:fill="1795D2" w:themeFill="accent1"/>
            <w:noWrap/>
            <w:tcMar>
              <w:left w:w="115" w:type="dxa"/>
              <w:right w:w="115" w:type="dxa"/>
            </w:tcMar>
            <w:vAlign w:val="center"/>
            <w:hideMark/>
          </w:tcPr>
          <w:p w:rsidR="00DA78D9" w:rsidRPr="009242BE" w:rsidRDefault="00DA78D9" w:rsidP="00E712DA">
            <w:pPr>
              <w:adjustRightInd/>
              <w:spacing w:before="40" w:after="40" w:line="240" w:lineRule="auto"/>
              <w:jc w:val="center"/>
              <w:textAlignment w:val="auto"/>
              <w:rPr>
                <w:rFonts w:asciiTheme="majorHAnsi" w:hAnsiTheme="majorHAnsi" w:cstheme="majorHAnsi"/>
                <w:b/>
                <w:color w:val="FFFFFF" w:themeColor="background1"/>
                <w:sz w:val="16"/>
                <w:szCs w:val="16"/>
              </w:rPr>
            </w:pPr>
            <w:r w:rsidRPr="009242BE">
              <w:rPr>
                <w:rFonts w:asciiTheme="majorHAnsi" w:hAnsiTheme="majorHAnsi" w:cstheme="majorHAnsi"/>
                <w:b/>
                <w:color w:val="FFFFFF" w:themeColor="background1"/>
                <w:sz w:val="16"/>
                <w:szCs w:val="16"/>
              </w:rPr>
              <w:t>3000</w:t>
            </w:r>
          </w:p>
        </w:tc>
        <w:tc>
          <w:tcPr>
            <w:tcW w:w="711" w:type="dxa"/>
            <w:shd w:val="clear" w:color="auto" w:fill="1795D2" w:themeFill="accent1"/>
            <w:noWrap/>
            <w:tcMar>
              <w:left w:w="115" w:type="dxa"/>
              <w:right w:w="115" w:type="dxa"/>
            </w:tcMar>
            <w:vAlign w:val="center"/>
            <w:hideMark/>
          </w:tcPr>
          <w:p w:rsidR="00DA78D9" w:rsidRPr="009242BE" w:rsidRDefault="00DA78D9" w:rsidP="00E712DA">
            <w:pPr>
              <w:adjustRightInd/>
              <w:spacing w:before="40" w:after="40" w:line="240" w:lineRule="auto"/>
              <w:jc w:val="center"/>
              <w:textAlignment w:val="auto"/>
              <w:rPr>
                <w:rFonts w:asciiTheme="majorHAnsi" w:hAnsiTheme="majorHAnsi" w:cstheme="majorHAnsi"/>
                <w:b/>
                <w:color w:val="FFFFFF" w:themeColor="background1"/>
                <w:sz w:val="16"/>
                <w:szCs w:val="16"/>
              </w:rPr>
            </w:pPr>
            <w:r w:rsidRPr="009242BE">
              <w:rPr>
                <w:rFonts w:asciiTheme="majorHAnsi" w:hAnsiTheme="majorHAnsi" w:cstheme="majorHAnsi"/>
                <w:b/>
                <w:color w:val="FFFFFF" w:themeColor="background1"/>
                <w:sz w:val="16"/>
                <w:szCs w:val="16"/>
              </w:rPr>
              <w:t>5000</w:t>
            </w:r>
          </w:p>
        </w:tc>
        <w:tc>
          <w:tcPr>
            <w:tcW w:w="711" w:type="dxa"/>
            <w:shd w:val="clear" w:color="auto" w:fill="1795D2" w:themeFill="accent1"/>
            <w:noWrap/>
            <w:tcMar>
              <w:left w:w="115" w:type="dxa"/>
              <w:right w:w="115" w:type="dxa"/>
            </w:tcMar>
            <w:vAlign w:val="center"/>
            <w:hideMark/>
          </w:tcPr>
          <w:p w:rsidR="00DA78D9" w:rsidRPr="009242BE" w:rsidRDefault="00DA78D9" w:rsidP="00E712DA">
            <w:pPr>
              <w:adjustRightInd/>
              <w:spacing w:before="40" w:after="40" w:line="240" w:lineRule="auto"/>
              <w:jc w:val="center"/>
              <w:textAlignment w:val="auto"/>
              <w:rPr>
                <w:rFonts w:asciiTheme="majorHAnsi" w:hAnsiTheme="majorHAnsi" w:cstheme="majorHAnsi"/>
                <w:b/>
                <w:color w:val="FFFFFF" w:themeColor="background1"/>
                <w:sz w:val="16"/>
                <w:szCs w:val="16"/>
              </w:rPr>
            </w:pPr>
            <w:r w:rsidRPr="009242BE">
              <w:rPr>
                <w:rFonts w:asciiTheme="majorHAnsi" w:hAnsiTheme="majorHAnsi" w:cstheme="majorHAnsi"/>
                <w:b/>
                <w:color w:val="FFFFFF" w:themeColor="background1"/>
                <w:sz w:val="16"/>
                <w:szCs w:val="16"/>
              </w:rPr>
              <w:t>6000</w:t>
            </w:r>
          </w:p>
        </w:tc>
        <w:tc>
          <w:tcPr>
            <w:tcW w:w="773" w:type="dxa"/>
            <w:shd w:val="clear" w:color="auto" w:fill="1795D2" w:themeFill="accent1"/>
            <w:noWrap/>
            <w:tcMar>
              <w:left w:w="115" w:type="dxa"/>
              <w:right w:w="115" w:type="dxa"/>
            </w:tcMar>
            <w:vAlign w:val="center"/>
            <w:hideMark/>
          </w:tcPr>
          <w:p w:rsidR="00DA78D9" w:rsidRPr="009242BE" w:rsidRDefault="00DA78D9" w:rsidP="00E712DA">
            <w:pPr>
              <w:adjustRightInd/>
              <w:spacing w:before="40" w:after="40" w:line="240" w:lineRule="auto"/>
              <w:jc w:val="center"/>
              <w:textAlignment w:val="auto"/>
              <w:rPr>
                <w:rFonts w:asciiTheme="majorHAnsi" w:hAnsiTheme="majorHAnsi" w:cstheme="majorHAnsi"/>
                <w:b/>
                <w:color w:val="FFFFFF" w:themeColor="background1"/>
                <w:sz w:val="16"/>
                <w:szCs w:val="16"/>
              </w:rPr>
            </w:pPr>
            <w:r w:rsidRPr="009242BE">
              <w:rPr>
                <w:rFonts w:asciiTheme="majorHAnsi" w:hAnsiTheme="majorHAnsi" w:cstheme="majorHAnsi"/>
                <w:b/>
                <w:color w:val="FFFFFF" w:themeColor="background1"/>
                <w:sz w:val="16"/>
                <w:szCs w:val="16"/>
              </w:rPr>
              <w:t>8000_1</w:t>
            </w:r>
          </w:p>
        </w:tc>
        <w:tc>
          <w:tcPr>
            <w:tcW w:w="720" w:type="dxa"/>
            <w:shd w:val="clear" w:color="auto" w:fill="1795D2" w:themeFill="accent1"/>
            <w:noWrap/>
            <w:tcMar>
              <w:left w:w="115" w:type="dxa"/>
              <w:right w:w="115" w:type="dxa"/>
            </w:tcMar>
            <w:vAlign w:val="center"/>
            <w:hideMark/>
          </w:tcPr>
          <w:p w:rsidR="00DA78D9" w:rsidRPr="009242BE" w:rsidRDefault="00DA78D9" w:rsidP="00E712DA">
            <w:pPr>
              <w:adjustRightInd/>
              <w:spacing w:before="40" w:after="40" w:line="240" w:lineRule="auto"/>
              <w:textAlignment w:val="auto"/>
              <w:rPr>
                <w:rFonts w:asciiTheme="majorHAnsi" w:hAnsiTheme="majorHAnsi" w:cstheme="majorHAnsi"/>
                <w:b/>
                <w:color w:val="FFFFFF" w:themeColor="background1"/>
                <w:sz w:val="16"/>
                <w:szCs w:val="16"/>
              </w:rPr>
            </w:pPr>
            <w:r w:rsidRPr="009242BE">
              <w:rPr>
                <w:rFonts w:asciiTheme="majorHAnsi" w:hAnsiTheme="majorHAnsi" w:cstheme="majorHAnsi"/>
                <w:b/>
                <w:color w:val="FFFFFF" w:themeColor="background1"/>
                <w:sz w:val="16"/>
                <w:szCs w:val="16"/>
              </w:rPr>
              <w:t>8000_2</w:t>
            </w:r>
          </w:p>
        </w:tc>
        <w:tc>
          <w:tcPr>
            <w:tcW w:w="720" w:type="dxa"/>
            <w:shd w:val="clear" w:color="auto" w:fill="1795D2" w:themeFill="accent1"/>
            <w:noWrap/>
            <w:tcMar>
              <w:left w:w="115" w:type="dxa"/>
              <w:right w:w="115" w:type="dxa"/>
            </w:tcMar>
            <w:vAlign w:val="center"/>
            <w:hideMark/>
          </w:tcPr>
          <w:p w:rsidR="00DA78D9" w:rsidRPr="009242BE" w:rsidRDefault="00DA78D9" w:rsidP="00E712DA">
            <w:pPr>
              <w:adjustRightInd/>
              <w:spacing w:before="40" w:after="40" w:line="240" w:lineRule="auto"/>
              <w:textAlignment w:val="auto"/>
              <w:rPr>
                <w:rFonts w:asciiTheme="majorHAnsi" w:hAnsiTheme="majorHAnsi" w:cstheme="majorHAnsi"/>
                <w:b/>
                <w:color w:val="FFFFFF" w:themeColor="background1"/>
                <w:sz w:val="16"/>
                <w:szCs w:val="16"/>
              </w:rPr>
            </w:pPr>
            <w:r w:rsidRPr="009242BE">
              <w:rPr>
                <w:rFonts w:asciiTheme="majorHAnsi" w:hAnsiTheme="majorHAnsi" w:cstheme="majorHAnsi"/>
                <w:b/>
                <w:color w:val="FFFFFF" w:themeColor="background1"/>
                <w:sz w:val="16"/>
                <w:szCs w:val="16"/>
              </w:rPr>
              <w:t>8000_3</w:t>
            </w:r>
          </w:p>
        </w:tc>
        <w:tc>
          <w:tcPr>
            <w:tcW w:w="720" w:type="dxa"/>
            <w:shd w:val="clear" w:color="auto" w:fill="1795D2" w:themeFill="accent1"/>
            <w:noWrap/>
            <w:tcMar>
              <w:left w:w="115" w:type="dxa"/>
              <w:right w:w="115" w:type="dxa"/>
            </w:tcMar>
            <w:vAlign w:val="center"/>
            <w:hideMark/>
          </w:tcPr>
          <w:p w:rsidR="00DA78D9" w:rsidRPr="009242BE" w:rsidRDefault="00DA78D9" w:rsidP="00E712DA">
            <w:pPr>
              <w:adjustRightInd/>
              <w:spacing w:before="40" w:after="40" w:line="240" w:lineRule="auto"/>
              <w:textAlignment w:val="auto"/>
              <w:rPr>
                <w:rFonts w:asciiTheme="majorHAnsi" w:hAnsiTheme="majorHAnsi" w:cstheme="majorHAnsi"/>
                <w:b/>
                <w:color w:val="FFFFFF" w:themeColor="background1"/>
                <w:sz w:val="16"/>
                <w:szCs w:val="16"/>
              </w:rPr>
            </w:pPr>
            <w:r w:rsidRPr="009242BE">
              <w:rPr>
                <w:rFonts w:asciiTheme="majorHAnsi" w:hAnsiTheme="majorHAnsi" w:cstheme="majorHAnsi"/>
                <w:b/>
                <w:color w:val="FFFFFF" w:themeColor="background1"/>
                <w:sz w:val="16"/>
                <w:szCs w:val="16"/>
              </w:rPr>
              <w:t>8000_4</w:t>
            </w:r>
          </w:p>
        </w:tc>
      </w:tr>
      <w:tr w:rsidR="00F46F0C" w:rsidRPr="009242BE" w:rsidTr="00E712DA">
        <w:trPr>
          <w:trHeight w:val="285"/>
          <w:jc w:val="center"/>
        </w:trPr>
        <w:tc>
          <w:tcPr>
            <w:tcW w:w="1266" w:type="dxa"/>
            <w:vMerge w:val="restart"/>
            <w:shd w:val="clear" w:color="auto" w:fill="CCEAF9" w:themeFill="accent1" w:themeFillTint="33"/>
            <w:vAlign w:val="center"/>
            <w:hideMark/>
          </w:tcPr>
          <w:p w:rsidR="00DA78D9" w:rsidRPr="009242BE" w:rsidRDefault="00DA78D9" w:rsidP="00E712DA">
            <w:pPr>
              <w:adjustRightInd/>
              <w:spacing w:before="40" w:after="40" w:line="240" w:lineRule="auto"/>
              <w:textAlignment w:val="auto"/>
              <w:rPr>
                <w:rFonts w:asciiTheme="majorHAnsi" w:hAnsiTheme="majorHAnsi" w:cstheme="majorHAnsi"/>
                <w:b/>
                <w:color w:val="000000"/>
                <w:sz w:val="16"/>
                <w:szCs w:val="16"/>
              </w:rPr>
            </w:pPr>
            <w:r w:rsidRPr="009242BE">
              <w:rPr>
                <w:rFonts w:asciiTheme="majorHAnsi" w:hAnsiTheme="majorHAnsi" w:cstheme="majorHAnsi"/>
                <w:b/>
                <w:color w:val="000000"/>
                <w:sz w:val="16"/>
                <w:szCs w:val="16"/>
              </w:rPr>
              <w:t>Constrained</w:t>
            </w:r>
          </w:p>
        </w:tc>
        <w:tc>
          <w:tcPr>
            <w:tcW w:w="1620" w:type="dxa"/>
            <w:shd w:val="clear" w:color="auto" w:fill="CCEAF9" w:themeFill="accent1" w:themeFillTint="33"/>
            <w:noWrap/>
            <w:vAlign w:val="center"/>
            <w:hideMark/>
          </w:tcPr>
          <w:p w:rsidR="00DA78D9" w:rsidRPr="009242BE" w:rsidRDefault="00DA78D9" w:rsidP="00E712DA">
            <w:pPr>
              <w:adjustRightInd/>
              <w:spacing w:before="40" w:after="40" w:line="240" w:lineRule="auto"/>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LSE energy expense</w:t>
            </w:r>
          </w:p>
        </w:tc>
        <w:tc>
          <w:tcPr>
            <w:tcW w:w="710" w:type="dxa"/>
            <w:shd w:val="clear" w:color="auto" w:fill="CCEAF9" w:themeFill="accent1" w:themeFillTint="33"/>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5,972</w:t>
            </w:r>
          </w:p>
        </w:tc>
        <w:tc>
          <w:tcPr>
            <w:tcW w:w="711" w:type="dxa"/>
            <w:shd w:val="clear" w:color="auto" w:fill="CCEAF9" w:themeFill="accent1" w:themeFillTint="33"/>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5,654</w:t>
            </w:r>
          </w:p>
        </w:tc>
        <w:tc>
          <w:tcPr>
            <w:tcW w:w="711" w:type="dxa"/>
            <w:shd w:val="clear" w:color="auto" w:fill="CCEAF9" w:themeFill="accent1" w:themeFillTint="33"/>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5,178</w:t>
            </w:r>
          </w:p>
        </w:tc>
        <w:tc>
          <w:tcPr>
            <w:tcW w:w="710" w:type="dxa"/>
            <w:shd w:val="clear" w:color="auto" w:fill="CCEAF9" w:themeFill="accent1" w:themeFillTint="33"/>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4,715</w:t>
            </w:r>
          </w:p>
        </w:tc>
        <w:tc>
          <w:tcPr>
            <w:tcW w:w="711" w:type="dxa"/>
            <w:shd w:val="clear" w:color="auto" w:fill="CCEAF9" w:themeFill="accent1" w:themeFillTint="33"/>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3,848</w:t>
            </w:r>
          </w:p>
        </w:tc>
        <w:tc>
          <w:tcPr>
            <w:tcW w:w="711" w:type="dxa"/>
            <w:shd w:val="clear" w:color="auto" w:fill="CCEAF9" w:themeFill="accent1" w:themeFillTint="33"/>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3,762</w:t>
            </w:r>
          </w:p>
        </w:tc>
        <w:tc>
          <w:tcPr>
            <w:tcW w:w="773" w:type="dxa"/>
            <w:shd w:val="clear" w:color="auto" w:fill="CCEAF9" w:themeFill="accent1" w:themeFillTint="33"/>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3,147</w:t>
            </w:r>
          </w:p>
        </w:tc>
        <w:tc>
          <w:tcPr>
            <w:tcW w:w="720" w:type="dxa"/>
            <w:shd w:val="clear" w:color="auto" w:fill="CCEAF9" w:themeFill="accent1" w:themeFillTint="33"/>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3,160</w:t>
            </w:r>
          </w:p>
        </w:tc>
        <w:tc>
          <w:tcPr>
            <w:tcW w:w="720" w:type="dxa"/>
            <w:shd w:val="clear" w:color="auto" w:fill="CCEAF9" w:themeFill="accent1" w:themeFillTint="33"/>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3,188</w:t>
            </w:r>
          </w:p>
        </w:tc>
        <w:tc>
          <w:tcPr>
            <w:tcW w:w="720" w:type="dxa"/>
            <w:shd w:val="clear" w:color="auto" w:fill="CCEAF9" w:themeFill="accent1" w:themeFillTint="33"/>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3,152</w:t>
            </w:r>
          </w:p>
        </w:tc>
      </w:tr>
      <w:tr w:rsidR="00DA78D9" w:rsidRPr="009242BE" w:rsidTr="00E712DA">
        <w:trPr>
          <w:trHeight w:val="285"/>
          <w:jc w:val="center"/>
        </w:trPr>
        <w:tc>
          <w:tcPr>
            <w:tcW w:w="1266" w:type="dxa"/>
            <w:vMerge/>
            <w:shd w:val="clear" w:color="auto" w:fill="CCEAF9" w:themeFill="accent1" w:themeFillTint="33"/>
            <w:vAlign w:val="center"/>
            <w:hideMark/>
          </w:tcPr>
          <w:p w:rsidR="00DA78D9" w:rsidRPr="009242BE" w:rsidRDefault="00DA78D9" w:rsidP="00E712DA">
            <w:pPr>
              <w:adjustRightInd/>
              <w:spacing w:before="40" w:after="40" w:line="240" w:lineRule="auto"/>
              <w:textAlignment w:val="auto"/>
              <w:rPr>
                <w:rFonts w:asciiTheme="majorHAnsi" w:hAnsiTheme="majorHAnsi" w:cstheme="majorHAnsi"/>
                <w:b/>
                <w:color w:val="000000"/>
                <w:sz w:val="16"/>
                <w:szCs w:val="16"/>
              </w:rPr>
            </w:pPr>
          </w:p>
        </w:tc>
        <w:tc>
          <w:tcPr>
            <w:tcW w:w="1620" w:type="dxa"/>
            <w:shd w:val="clear" w:color="auto" w:fill="auto"/>
            <w:noWrap/>
            <w:vAlign w:val="center"/>
            <w:hideMark/>
          </w:tcPr>
          <w:p w:rsidR="00DA78D9" w:rsidRPr="009242BE" w:rsidRDefault="00DA78D9" w:rsidP="00E712DA">
            <w:pPr>
              <w:adjustRightInd/>
              <w:spacing w:before="40" w:after="40" w:line="240" w:lineRule="auto"/>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Uplift</w:t>
            </w:r>
          </w:p>
        </w:tc>
        <w:tc>
          <w:tcPr>
            <w:tcW w:w="710" w:type="dxa"/>
            <w:shd w:val="clear" w:color="auto" w:fill="auto"/>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189</w:t>
            </w:r>
          </w:p>
        </w:tc>
        <w:tc>
          <w:tcPr>
            <w:tcW w:w="711" w:type="dxa"/>
            <w:shd w:val="clear" w:color="auto" w:fill="auto"/>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201</w:t>
            </w:r>
          </w:p>
        </w:tc>
        <w:tc>
          <w:tcPr>
            <w:tcW w:w="711" w:type="dxa"/>
            <w:shd w:val="clear" w:color="auto" w:fill="auto"/>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225</w:t>
            </w:r>
          </w:p>
        </w:tc>
        <w:tc>
          <w:tcPr>
            <w:tcW w:w="710" w:type="dxa"/>
            <w:shd w:val="clear" w:color="auto" w:fill="auto"/>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252</w:t>
            </w:r>
          </w:p>
        </w:tc>
        <w:tc>
          <w:tcPr>
            <w:tcW w:w="711" w:type="dxa"/>
            <w:shd w:val="clear" w:color="auto" w:fill="auto"/>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302</w:t>
            </w:r>
          </w:p>
        </w:tc>
        <w:tc>
          <w:tcPr>
            <w:tcW w:w="711" w:type="dxa"/>
            <w:shd w:val="clear" w:color="auto" w:fill="auto"/>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311</w:t>
            </w:r>
          </w:p>
        </w:tc>
        <w:tc>
          <w:tcPr>
            <w:tcW w:w="773" w:type="dxa"/>
            <w:shd w:val="clear" w:color="auto" w:fill="auto"/>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351</w:t>
            </w:r>
          </w:p>
        </w:tc>
        <w:tc>
          <w:tcPr>
            <w:tcW w:w="720" w:type="dxa"/>
            <w:shd w:val="clear" w:color="auto" w:fill="auto"/>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348</w:t>
            </w:r>
          </w:p>
        </w:tc>
        <w:tc>
          <w:tcPr>
            <w:tcW w:w="720" w:type="dxa"/>
            <w:shd w:val="clear" w:color="auto" w:fill="auto"/>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346</w:t>
            </w:r>
          </w:p>
        </w:tc>
        <w:tc>
          <w:tcPr>
            <w:tcW w:w="720" w:type="dxa"/>
            <w:shd w:val="clear" w:color="auto" w:fill="auto"/>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347</w:t>
            </w:r>
          </w:p>
        </w:tc>
      </w:tr>
      <w:tr w:rsidR="00F46F0C" w:rsidRPr="009242BE" w:rsidTr="00E712DA">
        <w:trPr>
          <w:trHeight w:val="285"/>
          <w:jc w:val="center"/>
        </w:trPr>
        <w:tc>
          <w:tcPr>
            <w:tcW w:w="1266" w:type="dxa"/>
            <w:vMerge/>
            <w:shd w:val="clear" w:color="auto" w:fill="CCEAF9" w:themeFill="accent1" w:themeFillTint="33"/>
            <w:vAlign w:val="center"/>
            <w:hideMark/>
          </w:tcPr>
          <w:p w:rsidR="00DA78D9" w:rsidRPr="009242BE" w:rsidRDefault="00DA78D9" w:rsidP="00E712DA">
            <w:pPr>
              <w:adjustRightInd/>
              <w:spacing w:before="40" w:after="40" w:line="240" w:lineRule="auto"/>
              <w:textAlignment w:val="auto"/>
              <w:rPr>
                <w:rFonts w:asciiTheme="majorHAnsi" w:hAnsiTheme="majorHAnsi" w:cstheme="majorHAnsi"/>
                <w:b/>
                <w:color w:val="000000"/>
                <w:sz w:val="16"/>
                <w:szCs w:val="16"/>
              </w:rPr>
            </w:pPr>
          </w:p>
        </w:tc>
        <w:tc>
          <w:tcPr>
            <w:tcW w:w="1620" w:type="dxa"/>
            <w:shd w:val="clear" w:color="auto" w:fill="CCEAF9" w:themeFill="accent1" w:themeFillTint="33"/>
            <w:noWrap/>
            <w:vAlign w:val="center"/>
            <w:hideMark/>
          </w:tcPr>
          <w:p w:rsidR="00DA78D9" w:rsidRPr="009242BE" w:rsidRDefault="00DA78D9" w:rsidP="00E712DA">
            <w:pPr>
              <w:adjustRightInd/>
              <w:spacing w:before="40" w:after="40" w:line="240" w:lineRule="auto"/>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Total</w:t>
            </w:r>
          </w:p>
        </w:tc>
        <w:tc>
          <w:tcPr>
            <w:tcW w:w="710" w:type="dxa"/>
            <w:shd w:val="clear" w:color="auto" w:fill="CCEAF9" w:themeFill="accent1" w:themeFillTint="33"/>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6,161</w:t>
            </w:r>
          </w:p>
        </w:tc>
        <w:tc>
          <w:tcPr>
            <w:tcW w:w="711" w:type="dxa"/>
            <w:shd w:val="clear" w:color="auto" w:fill="CCEAF9" w:themeFill="accent1" w:themeFillTint="33"/>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5,855</w:t>
            </w:r>
          </w:p>
        </w:tc>
        <w:tc>
          <w:tcPr>
            <w:tcW w:w="711" w:type="dxa"/>
            <w:shd w:val="clear" w:color="auto" w:fill="CCEAF9" w:themeFill="accent1" w:themeFillTint="33"/>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5,403</w:t>
            </w:r>
          </w:p>
        </w:tc>
        <w:tc>
          <w:tcPr>
            <w:tcW w:w="710" w:type="dxa"/>
            <w:shd w:val="clear" w:color="auto" w:fill="CCEAF9" w:themeFill="accent1" w:themeFillTint="33"/>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4,967</w:t>
            </w:r>
          </w:p>
        </w:tc>
        <w:tc>
          <w:tcPr>
            <w:tcW w:w="711" w:type="dxa"/>
            <w:shd w:val="clear" w:color="auto" w:fill="CCEAF9" w:themeFill="accent1" w:themeFillTint="33"/>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4,150</w:t>
            </w:r>
          </w:p>
        </w:tc>
        <w:tc>
          <w:tcPr>
            <w:tcW w:w="711" w:type="dxa"/>
            <w:shd w:val="clear" w:color="auto" w:fill="CCEAF9" w:themeFill="accent1" w:themeFillTint="33"/>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4,073</w:t>
            </w:r>
          </w:p>
        </w:tc>
        <w:tc>
          <w:tcPr>
            <w:tcW w:w="773" w:type="dxa"/>
            <w:shd w:val="clear" w:color="auto" w:fill="CCEAF9" w:themeFill="accent1" w:themeFillTint="33"/>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3,498</w:t>
            </w:r>
          </w:p>
        </w:tc>
        <w:tc>
          <w:tcPr>
            <w:tcW w:w="720" w:type="dxa"/>
            <w:shd w:val="clear" w:color="auto" w:fill="CCEAF9" w:themeFill="accent1" w:themeFillTint="33"/>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3,508</w:t>
            </w:r>
          </w:p>
        </w:tc>
        <w:tc>
          <w:tcPr>
            <w:tcW w:w="720" w:type="dxa"/>
            <w:shd w:val="clear" w:color="auto" w:fill="CCEAF9" w:themeFill="accent1" w:themeFillTint="33"/>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3,534</w:t>
            </w:r>
          </w:p>
        </w:tc>
        <w:tc>
          <w:tcPr>
            <w:tcW w:w="720" w:type="dxa"/>
            <w:shd w:val="clear" w:color="auto" w:fill="CCEAF9" w:themeFill="accent1" w:themeFillTint="33"/>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3,499</w:t>
            </w:r>
          </w:p>
        </w:tc>
      </w:tr>
      <w:tr w:rsidR="00DA78D9" w:rsidRPr="009242BE" w:rsidTr="00E712DA">
        <w:trPr>
          <w:trHeight w:val="285"/>
          <w:jc w:val="center"/>
        </w:trPr>
        <w:tc>
          <w:tcPr>
            <w:tcW w:w="1266" w:type="dxa"/>
            <w:vMerge w:val="restart"/>
            <w:shd w:val="clear" w:color="auto" w:fill="auto"/>
            <w:vAlign w:val="center"/>
            <w:hideMark/>
          </w:tcPr>
          <w:p w:rsidR="00DA78D9" w:rsidRPr="009242BE" w:rsidRDefault="00DA78D9" w:rsidP="00E712DA">
            <w:pPr>
              <w:adjustRightInd/>
              <w:spacing w:before="40" w:after="40" w:line="240" w:lineRule="auto"/>
              <w:textAlignment w:val="auto"/>
              <w:rPr>
                <w:rFonts w:asciiTheme="majorHAnsi" w:hAnsiTheme="majorHAnsi" w:cstheme="majorHAnsi"/>
                <w:b/>
                <w:color w:val="000000"/>
                <w:sz w:val="16"/>
                <w:szCs w:val="16"/>
              </w:rPr>
            </w:pPr>
            <w:r w:rsidRPr="009242BE">
              <w:rPr>
                <w:rFonts w:asciiTheme="majorHAnsi" w:hAnsiTheme="majorHAnsi" w:cstheme="majorHAnsi"/>
                <w:b/>
                <w:color w:val="000000"/>
                <w:sz w:val="16"/>
                <w:szCs w:val="16"/>
              </w:rPr>
              <w:t>Unconstrained</w:t>
            </w:r>
          </w:p>
        </w:tc>
        <w:tc>
          <w:tcPr>
            <w:tcW w:w="1620" w:type="dxa"/>
            <w:shd w:val="clear" w:color="auto" w:fill="auto"/>
            <w:noWrap/>
            <w:vAlign w:val="center"/>
            <w:hideMark/>
          </w:tcPr>
          <w:p w:rsidR="00DA78D9" w:rsidRPr="009242BE" w:rsidRDefault="00DA78D9" w:rsidP="00E712DA">
            <w:pPr>
              <w:adjustRightInd/>
              <w:spacing w:before="40" w:after="40" w:line="240" w:lineRule="auto"/>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LSE energy expense</w:t>
            </w:r>
          </w:p>
        </w:tc>
        <w:tc>
          <w:tcPr>
            <w:tcW w:w="710" w:type="dxa"/>
            <w:shd w:val="clear" w:color="auto" w:fill="auto"/>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6,016</w:t>
            </w:r>
          </w:p>
        </w:tc>
        <w:tc>
          <w:tcPr>
            <w:tcW w:w="711" w:type="dxa"/>
            <w:shd w:val="clear" w:color="auto" w:fill="auto"/>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5,672</w:t>
            </w:r>
          </w:p>
        </w:tc>
        <w:tc>
          <w:tcPr>
            <w:tcW w:w="711" w:type="dxa"/>
            <w:shd w:val="clear" w:color="auto" w:fill="auto"/>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5,185</w:t>
            </w:r>
          </w:p>
        </w:tc>
        <w:tc>
          <w:tcPr>
            <w:tcW w:w="710" w:type="dxa"/>
            <w:shd w:val="clear" w:color="auto" w:fill="auto"/>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4,727</w:t>
            </w:r>
          </w:p>
        </w:tc>
        <w:tc>
          <w:tcPr>
            <w:tcW w:w="711" w:type="dxa"/>
            <w:shd w:val="clear" w:color="auto" w:fill="auto"/>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3,858</w:t>
            </w:r>
          </w:p>
        </w:tc>
        <w:tc>
          <w:tcPr>
            <w:tcW w:w="711" w:type="dxa"/>
            <w:shd w:val="clear" w:color="auto" w:fill="auto"/>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3,766</w:t>
            </w:r>
          </w:p>
        </w:tc>
        <w:tc>
          <w:tcPr>
            <w:tcW w:w="773" w:type="dxa"/>
            <w:shd w:val="clear" w:color="auto" w:fill="auto"/>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3,156</w:t>
            </w:r>
          </w:p>
        </w:tc>
        <w:tc>
          <w:tcPr>
            <w:tcW w:w="720" w:type="dxa"/>
            <w:shd w:val="clear" w:color="auto" w:fill="auto"/>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3,162</w:t>
            </w:r>
          </w:p>
        </w:tc>
        <w:tc>
          <w:tcPr>
            <w:tcW w:w="720" w:type="dxa"/>
            <w:shd w:val="clear" w:color="auto" w:fill="auto"/>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3,197</w:t>
            </w:r>
          </w:p>
        </w:tc>
        <w:tc>
          <w:tcPr>
            <w:tcW w:w="720" w:type="dxa"/>
            <w:shd w:val="clear" w:color="auto" w:fill="auto"/>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3,159</w:t>
            </w:r>
          </w:p>
        </w:tc>
      </w:tr>
      <w:tr w:rsidR="00F46F0C" w:rsidRPr="009242BE" w:rsidTr="000F6561">
        <w:trPr>
          <w:trHeight w:val="285"/>
          <w:jc w:val="center"/>
        </w:trPr>
        <w:tc>
          <w:tcPr>
            <w:tcW w:w="1266" w:type="dxa"/>
            <w:vMerge/>
            <w:shd w:val="clear" w:color="auto" w:fill="auto"/>
            <w:vAlign w:val="center"/>
            <w:hideMark/>
          </w:tcPr>
          <w:p w:rsidR="00DA78D9" w:rsidRPr="009242BE" w:rsidRDefault="00DA78D9" w:rsidP="00E712DA">
            <w:pPr>
              <w:adjustRightInd/>
              <w:spacing w:before="40" w:after="40" w:line="240" w:lineRule="auto"/>
              <w:textAlignment w:val="auto"/>
              <w:rPr>
                <w:rFonts w:asciiTheme="majorHAnsi" w:hAnsiTheme="majorHAnsi" w:cstheme="majorHAnsi"/>
                <w:color w:val="000000"/>
                <w:sz w:val="16"/>
                <w:szCs w:val="16"/>
              </w:rPr>
            </w:pPr>
          </w:p>
        </w:tc>
        <w:tc>
          <w:tcPr>
            <w:tcW w:w="1620" w:type="dxa"/>
            <w:shd w:val="clear" w:color="auto" w:fill="CCEAF9" w:themeFill="accent1" w:themeFillTint="33"/>
            <w:noWrap/>
            <w:vAlign w:val="center"/>
            <w:hideMark/>
          </w:tcPr>
          <w:p w:rsidR="00DA78D9" w:rsidRPr="009242BE" w:rsidRDefault="00DA78D9" w:rsidP="00E712DA">
            <w:pPr>
              <w:adjustRightInd/>
              <w:spacing w:before="40" w:after="40" w:line="240" w:lineRule="auto"/>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Uplift</w:t>
            </w:r>
          </w:p>
        </w:tc>
        <w:tc>
          <w:tcPr>
            <w:tcW w:w="710" w:type="dxa"/>
            <w:shd w:val="clear" w:color="auto" w:fill="CCEAF9" w:themeFill="accent1" w:themeFillTint="33"/>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173</w:t>
            </w:r>
          </w:p>
        </w:tc>
        <w:tc>
          <w:tcPr>
            <w:tcW w:w="711" w:type="dxa"/>
            <w:shd w:val="clear" w:color="auto" w:fill="CCEAF9" w:themeFill="accent1" w:themeFillTint="33"/>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193</w:t>
            </w:r>
          </w:p>
        </w:tc>
        <w:tc>
          <w:tcPr>
            <w:tcW w:w="711" w:type="dxa"/>
            <w:shd w:val="clear" w:color="auto" w:fill="CCEAF9" w:themeFill="accent1" w:themeFillTint="33"/>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220</w:t>
            </w:r>
          </w:p>
        </w:tc>
        <w:tc>
          <w:tcPr>
            <w:tcW w:w="710" w:type="dxa"/>
            <w:shd w:val="clear" w:color="auto" w:fill="CCEAF9" w:themeFill="accent1" w:themeFillTint="33"/>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248</w:t>
            </w:r>
          </w:p>
        </w:tc>
        <w:tc>
          <w:tcPr>
            <w:tcW w:w="711" w:type="dxa"/>
            <w:shd w:val="clear" w:color="auto" w:fill="CCEAF9" w:themeFill="accent1" w:themeFillTint="33"/>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298</w:t>
            </w:r>
          </w:p>
        </w:tc>
        <w:tc>
          <w:tcPr>
            <w:tcW w:w="711" w:type="dxa"/>
            <w:shd w:val="clear" w:color="auto" w:fill="CCEAF9" w:themeFill="accent1" w:themeFillTint="33"/>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307</w:t>
            </w:r>
          </w:p>
        </w:tc>
        <w:tc>
          <w:tcPr>
            <w:tcW w:w="773" w:type="dxa"/>
            <w:shd w:val="clear" w:color="auto" w:fill="CCEAF9" w:themeFill="accent1" w:themeFillTint="33"/>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347</w:t>
            </w:r>
          </w:p>
        </w:tc>
        <w:tc>
          <w:tcPr>
            <w:tcW w:w="720" w:type="dxa"/>
            <w:shd w:val="clear" w:color="auto" w:fill="CCEAF9" w:themeFill="accent1" w:themeFillTint="33"/>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346</w:t>
            </w:r>
          </w:p>
        </w:tc>
        <w:tc>
          <w:tcPr>
            <w:tcW w:w="720" w:type="dxa"/>
            <w:shd w:val="clear" w:color="auto" w:fill="CCEAF9" w:themeFill="accent1" w:themeFillTint="33"/>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342</w:t>
            </w:r>
          </w:p>
        </w:tc>
        <w:tc>
          <w:tcPr>
            <w:tcW w:w="720" w:type="dxa"/>
            <w:shd w:val="clear" w:color="auto" w:fill="CCEAF9" w:themeFill="accent1" w:themeFillTint="33"/>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343</w:t>
            </w:r>
          </w:p>
        </w:tc>
      </w:tr>
      <w:tr w:rsidR="00DA78D9" w:rsidRPr="009242BE" w:rsidTr="00E712DA">
        <w:trPr>
          <w:trHeight w:val="285"/>
          <w:jc w:val="center"/>
        </w:trPr>
        <w:tc>
          <w:tcPr>
            <w:tcW w:w="1266" w:type="dxa"/>
            <w:vMerge/>
            <w:shd w:val="clear" w:color="auto" w:fill="auto"/>
            <w:vAlign w:val="center"/>
            <w:hideMark/>
          </w:tcPr>
          <w:p w:rsidR="00DA78D9" w:rsidRPr="009242BE" w:rsidRDefault="00DA78D9" w:rsidP="00E712DA">
            <w:pPr>
              <w:adjustRightInd/>
              <w:spacing w:before="40" w:after="40" w:line="240" w:lineRule="auto"/>
              <w:textAlignment w:val="auto"/>
              <w:rPr>
                <w:rFonts w:asciiTheme="majorHAnsi" w:hAnsiTheme="majorHAnsi" w:cstheme="majorHAnsi"/>
                <w:color w:val="000000"/>
                <w:sz w:val="16"/>
                <w:szCs w:val="16"/>
              </w:rPr>
            </w:pPr>
          </w:p>
        </w:tc>
        <w:tc>
          <w:tcPr>
            <w:tcW w:w="1620" w:type="dxa"/>
            <w:shd w:val="clear" w:color="auto" w:fill="auto"/>
            <w:noWrap/>
            <w:vAlign w:val="center"/>
            <w:hideMark/>
          </w:tcPr>
          <w:p w:rsidR="00DA78D9" w:rsidRPr="009242BE" w:rsidRDefault="00DA78D9" w:rsidP="00E712DA">
            <w:pPr>
              <w:adjustRightInd/>
              <w:spacing w:before="40" w:after="40" w:line="240" w:lineRule="auto"/>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Total</w:t>
            </w:r>
          </w:p>
        </w:tc>
        <w:tc>
          <w:tcPr>
            <w:tcW w:w="710" w:type="dxa"/>
            <w:shd w:val="clear" w:color="auto" w:fill="auto"/>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6,189</w:t>
            </w:r>
          </w:p>
        </w:tc>
        <w:tc>
          <w:tcPr>
            <w:tcW w:w="711" w:type="dxa"/>
            <w:shd w:val="clear" w:color="auto" w:fill="auto"/>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5,865</w:t>
            </w:r>
          </w:p>
        </w:tc>
        <w:tc>
          <w:tcPr>
            <w:tcW w:w="711" w:type="dxa"/>
            <w:shd w:val="clear" w:color="auto" w:fill="auto"/>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5,405</w:t>
            </w:r>
          </w:p>
        </w:tc>
        <w:tc>
          <w:tcPr>
            <w:tcW w:w="710" w:type="dxa"/>
            <w:shd w:val="clear" w:color="auto" w:fill="auto"/>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4,975</w:t>
            </w:r>
          </w:p>
        </w:tc>
        <w:tc>
          <w:tcPr>
            <w:tcW w:w="711" w:type="dxa"/>
            <w:shd w:val="clear" w:color="auto" w:fill="auto"/>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4,157</w:t>
            </w:r>
          </w:p>
        </w:tc>
        <w:tc>
          <w:tcPr>
            <w:tcW w:w="711" w:type="dxa"/>
            <w:shd w:val="clear" w:color="auto" w:fill="auto"/>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4,073</w:t>
            </w:r>
          </w:p>
        </w:tc>
        <w:tc>
          <w:tcPr>
            <w:tcW w:w="773" w:type="dxa"/>
            <w:shd w:val="clear" w:color="auto" w:fill="auto"/>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3,504</w:t>
            </w:r>
          </w:p>
        </w:tc>
        <w:tc>
          <w:tcPr>
            <w:tcW w:w="720" w:type="dxa"/>
            <w:shd w:val="clear" w:color="auto" w:fill="auto"/>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3,507</w:t>
            </w:r>
          </w:p>
        </w:tc>
        <w:tc>
          <w:tcPr>
            <w:tcW w:w="720" w:type="dxa"/>
            <w:shd w:val="clear" w:color="auto" w:fill="auto"/>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3,538</w:t>
            </w:r>
          </w:p>
        </w:tc>
        <w:tc>
          <w:tcPr>
            <w:tcW w:w="720" w:type="dxa"/>
            <w:shd w:val="clear" w:color="auto" w:fill="auto"/>
            <w:noWrap/>
            <w:tcMar>
              <w:left w:w="115" w:type="dxa"/>
              <w:right w:w="115" w:type="dxa"/>
            </w:tcMar>
            <w:vAlign w:val="center"/>
            <w:hideMark/>
          </w:tcPr>
          <w:p w:rsidR="00DA78D9" w:rsidRPr="009242BE" w:rsidRDefault="00DA78D9" w:rsidP="00E712DA">
            <w:pPr>
              <w:adjustRightInd/>
              <w:spacing w:before="40" w:after="40" w:line="240" w:lineRule="auto"/>
              <w:jc w:val="right"/>
              <w:textAlignment w:val="auto"/>
              <w:rPr>
                <w:rFonts w:asciiTheme="majorHAnsi" w:hAnsiTheme="majorHAnsi" w:cstheme="majorHAnsi"/>
                <w:color w:val="000000"/>
                <w:sz w:val="16"/>
                <w:szCs w:val="16"/>
              </w:rPr>
            </w:pPr>
            <w:r w:rsidRPr="009242BE">
              <w:rPr>
                <w:rFonts w:asciiTheme="majorHAnsi" w:hAnsiTheme="majorHAnsi" w:cstheme="majorHAnsi"/>
                <w:color w:val="000000"/>
                <w:sz w:val="16"/>
                <w:szCs w:val="16"/>
              </w:rPr>
              <w:t>3,502</w:t>
            </w:r>
          </w:p>
        </w:tc>
      </w:tr>
    </w:tbl>
    <w:p w:rsidR="00ED062A" w:rsidRDefault="00ED062A" w:rsidP="00E712DA">
      <w:pPr>
        <w:spacing w:after="0" w:line="240" w:lineRule="auto"/>
      </w:pPr>
    </w:p>
    <w:p w:rsidR="00B13496" w:rsidRDefault="00D66CA2" w:rsidP="00B13496">
      <w:r w:rsidRPr="00CE1B10">
        <w:rPr>
          <w:b/>
        </w:rPr>
        <w:t xml:space="preserve">While uplift </w:t>
      </w:r>
      <w:r w:rsidR="00023487" w:rsidRPr="00CE1B10">
        <w:rPr>
          <w:b/>
        </w:rPr>
        <w:t xml:space="preserve">costs increase somewhat </w:t>
      </w:r>
      <w:r w:rsidRPr="00CE1B10">
        <w:rPr>
          <w:b/>
        </w:rPr>
        <w:t xml:space="preserve">across the scenarios, the net of LSEEE and </w:t>
      </w:r>
      <w:r w:rsidR="00023487" w:rsidRPr="00CE1B10">
        <w:rPr>
          <w:b/>
        </w:rPr>
        <w:t>u</w:t>
      </w:r>
      <w:r w:rsidRPr="00CE1B10">
        <w:rPr>
          <w:b/>
        </w:rPr>
        <w:t xml:space="preserve">plift </w:t>
      </w:r>
      <w:r w:rsidR="00023487" w:rsidRPr="00CE1B10">
        <w:rPr>
          <w:b/>
        </w:rPr>
        <w:t xml:space="preserve">costs </w:t>
      </w:r>
      <w:r w:rsidRPr="00CE1B10">
        <w:rPr>
          <w:b/>
        </w:rPr>
        <w:t>decreases by more than 50% between the 0 MW and 8</w:t>
      </w:r>
      <w:r w:rsidR="00D846E6" w:rsidRPr="00CE1B10">
        <w:rPr>
          <w:b/>
        </w:rPr>
        <w:t>,</w:t>
      </w:r>
      <w:r w:rsidRPr="00CE1B10">
        <w:rPr>
          <w:b/>
        </w:rPr>
        <w:t xml:space="preserve">000 MW </w:t>
      </w:r>
      <w:r w:rsidR="00D846E6" w:rsidRPr="00CE1B10">
        <w:rPr>
          <w:b/>
        </w:rPr>
        <w:t>offshore wind</w:t>
      </w:r>
      <w:r w:rsidRPr="00CE1B10">
        <w:rPr>
          <w:b/>
        </w:rPr>
        <w:t xml:space="preserve"> scenarios.</w:t>
      </w:r>
      <w:r w:rsidR="00EB0A33" w:rsidRPr="00CE1B10">
        <w:rPr>
          <w:b/>
        </w:rPr>
        <w:t xml:space="preserve"> </w:t>
      </w:r>
      <w:r w:rsidR="00023487" w:rsidRPr="00ED062A">
        <w:fldChar w:fldCharType="begin"/>
      </w:r>
      <w:r w:rsidR="00023487" w:rsidRPr="00ED062A">
        <w:instrText xml:space="preserve"> REF _Ref42677401 \h </w:instrText>
      </w:r>
      <w:r w:rsidR="005B003E" w:rsidRPr="00ED062A">
        <w:instrText xml:space="preserve"> \* MERGEFORMAT </w:instrText>
      </w:r>
      <w:r w:rsidR="00023487" w:rsidRPr="00ED062A">
        <w:fldChar w:fldCharType="separate"/>
      </w:r>
      <w:r w:rsidR="001F5E1A">
        <w:t xml:space="preserve">Table </w:t>
      </w:r>
      <w:r w:rsidR="001F5E1A">
        <w:rPr>
          <w:noProof/>
        </w:rPr>
        <w:t>6</w:t>
      </w:r>
      <w:r w:rsidR="001F5E1A">
        <w:rPr>
          <w:noProof/>
        </w:rPr>
        <w:noBreakHyphen/>
        <w:t>3</w:t>
      </w:r>
      <w:r w:rsidR="00023487" w:rsidRPr="00ED062A">
        <w:fldChar w:fldCharType="end"/>
      </w:r>
      <w:r w:rsidR="00EB0A33" w:rsidRPr="00ED062A">
        <w:rPr>
          <w:color w:val="EC1F25" w:themeColor="accent6"/>
        </w:rPr>
        <w:t xml:space="preserve"> </w:t>
      </w:r>
      <w:r w:rsidR="00EB0A33" w:rsidRPr="00ED062A">
        <w:t xml:space="preserve">highlights the LSE </w:t>
      </w:r>
      <w:r w:rsidR="00023487" w:rsidRPr="00ED062A">
        <w:t>e</w:t>
      </w:r>
      <w:r w:rsidR="00EB0A33" w:rsidRPr="00ED062A">
        <w:t xml:space="preserve">nergy </w:t>
      </w:r>
      <w:r w:rsidR="00023487" w:rsidRPr="00ED062A">
        <w:t>e</w:t>
      </w:r>
      <w:r w:rsidR="00EB0A33" w:rsidRPr="00ED062A">
        <w:t>xpense</w:t>
      </w:r>
      <w:r w:rsidR="00023487" w:rsidRPr="00ED062A">
        <w:t>s</w:t>
      </w:r>
      <w:r w:rsidR="00EB0A33" w:rsidRPr="00ED062A">
        <w:t xml:space="preserve"> and </w:t>
      </w:r>
      <w:r w:rsidR="00023487" w:rsidRPr="00ED062A">
        <w:t>u</w:t>
      </w:r>
      <w:r w:rsidR="00EB0A33" w:rsidRPr="00ED062A">
        <w:t>plift costs for the four sensitivities of th</w:t>
      </w:r>
      <w:r w:rsidR="00EB0A33" w:rsidRPr="00C75A8F">
        <w:t>e 8,</w:t>
      </w:r>
      <w:r w:rsidR="00C75A8F" w:rsidRPr="00C75A8F">
        <w:t>000</w:t>
      </w:r>
      <w:r w:rsidR="00C75A8F">
        <w:t> </w:t>
      </w:r>
      <w:r w:rsidR="00EB0A33" w:rsidRPr="00C75A8F">
        <w:t>MW</w:t>
      </w:r>
      <w:r w:rsidR="00EB0A33">
        <w:t xml:space="preserve"> scenario </w:t>
      </w:r>
      <w:r w:rsidR="00023487">
        <w:t>because</w:t>
      </w:r>
      <w:r w:rsidR="00EB0A33">
        <w:t xml:space="preserve"> the</w:t>
      </w:r>
      <w:r w:rsidR="00D846E6">
        <w:t xml:space="preserve">se </w:t>
      </w:r>
      <w:r w:rsidR="00EB0A33">
        <w:t xml:space="preserve">scenarios </w:t>
      </w:r>
      <w:r w:rsidR="00D846E6">
        <w:t>have</w:t>
      </w:r>
      <w:r w:rsidR="00EB0A33">
        <w:t xml:space="preserve"> the least LSEEE and greatest uplift costs and illustrate again </w:t>
      </w:r>
      <w:r w:rsidR="00023487">
        <w:t xml:space="preserve">that </w:t>
      </w:r>
      <w:r w:rsidR="00EB0A33" w:rsidRPr="00EB0A33">
        <w:t>varying</w:t>
      </w:r>
      <w:r w:rsidR="00EB0A33" w:rsidRPr="00135F16">
        <w:t xml:space="preserve"> the amount of offshore wind </w:t>
      </w:r>
      <w:r w:rsidR="00703947" w:rsidRPr="00135F16">
        <w:t>additions</w:t>
      </w:r>
      <w:r w:rsidR="00EB0A33" w:rsidRPr="00135F16">
        <w:t xml:space="preserve"> </w:t>
      </w:r>
      <w:r w:rsidR="00703947">
        <w:t>among</w:t>
      </w:r>
      <w:r w:rsidR="00EB0A33" w:rsidRPr="00135F16">
        <w:t xml:space="preserve"> </w:t>
      </w:r>
      <w:r w:rsidR="00EB0A33">
        <w:t xml:space="preserve">the </w:t>
      </w:r>
      <w:r w:rsidR="00EB0A33" w:rsidRPr="00135F16">
        <w:t xml:space="preserve">five </w:t>
      </w:r>
      <w:r w:rsidR="00EB0A33">
        <w:t>aforementioned</w:t>
      </w:r>
      <w:r w:rsidR="00EB0A33" w:rsidRPr="00135F16">
        <w:t xml:space="preserve"> interconnection points</w:t>
      </w:r>
      <w:r w:rsidR="00EB0A33">
        <w:t xml:space="preserve"> in southern New England ha</w:t>
      </w:r>
      <w:r w:rsidR="00F72895">
        <w:t>s</w:t>
      </w:r>
      <w:r w:rsidR="00EB0A33">
        <w:t xml:space="preserve"> little effect</w:t>
      </w:r>
      <w:r w:rsidR="00B12E8A">
        <w:t xml:space="preserve"> on costs</w:t>
      </w:r>
      <w:r w:rsidR="00EB0A33">
        <w:t>.</w:t>
      </w:r>
      <w:r w:rsidR="00614106">
        <w:t xml:space="preserve"> </w:t>
      </w:r>
    </w:p>
    <w:p w:rsidR="00F93F2F" w:rsidRDefault="00023487" w:rsidP="00912A17">
      <w:pPr>
        <w:pStyle w:val="Caption"/>
        <w:jc w:val="center"/>
      </w:pPr>
      <w:bookmarkStart w:id="77" w:name="_Ref42677401"/>
      <w:bookmarkStart w:id="78" w:name="_Toc44412066"/>
      <w:r>
        <w:lastRenderedPageBreak/>
        <w:t xml:space="preserve">Table </w:t>
      </w:r>
      <w:fldSimple w:instr=" STYLEREF 1 \s ">
        <w:r w:rsidR="00E62212">
          <w:rPr>
            <w:noProof/>
          </w:rPr>
          <w:t>6</w:t>
        </w:r>
      </w:fldSimple>
      <w:r w:rsidR="00E62212">
        <w:noBreakHyphen/>
      </w:r>
      <w:fldSimple w:instr=" SEQ Table \* ARABIC \s 1 ">
        <w:r w:rsidR="00E62212">
          <w:rPr>
            <w:noProof/>
          </w:rPr>
          <w:t>3</w:t>
        </w:r>
      </w:fldSimple>
      <w:bookmarkEnd w:id="77"/>
      <w:r>
        <w:br/>
      </w:r>
      <w:r w:rsidR="00F93F2F">
        <w:t>Load-Serving Entity Energy Expense</w:t>
      </w:r>
      <w:r w:rsidR="005C469B">
        <w:t>s</w:t>
      </w:r>
      <w:r w:rsidR="00F93F2F">
        <w:t xml:space="preserve"> and Uplift </w:t>
      </w:r>
      <w:r>
        <w:t>Costs</w:t>
      </w:r>
      <w:r w:rsidR="005C469B">
        <w:t xml:space="preserve"> for the Sensitivity Scenarios</w:t>
      </w:r>
      <w:r>
        <w:t xml:space="preserve"> </w:t>
      </w:r>
      <w:r w:rsidR="00F93F2F">
        <w:t>($ Million)</w:t>
      </w:r>
      <w:bookmarkEnd w:id="78"/>
    </w:p>
    <w:tbl>
      <w:tblPr>
        <w:tblW w:w="639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37"/>
        <w:gridCol w:w="1719"/>
        <w:gridCol w:w="808"/>
        <w:gridCol w:w="809"/>
        <w:gridCol w:w="808"/>
        <w:gridCol w:w="809"/>
      </w:tblGrid>
      <w:tr w:rsidR="005B003E" w:rsidRPr="009242BE" w:rsidTr="00CE1B10">
        <w:trPr>
          <w:trHeight w:val="373"/>
          <w:jc w:val="center"/>
        </w:trPr>
        <w:tc>
          <w:tcPr>
            <w:tcW w:w="1437" w:type="dxa"/>
            <w:vMerge w:val="restart"/>
            <w:tcBorders>
              <w:bottom w:val="single" w:sz="2" w:space="0" w:color="000000"/>
            </w:tcBorders>
            <w:shd w:val="clear" w:color="auto" w:fill="1795D2" w:themeFill="accent1"/>
            <w:noWrap/>
            <w:vAlign w:val="center"/>
          </w:tcPr>
          <w:p w:rsidR="005B003E" w:rsidRPr="009242BE" w:rsidRDefault="005B003E" w:rsidP="00912A17">
            <w:pPr>
              <w:keepNext/>
              <w:keepLines/>
              <w:spacing w:before="40" w:after="40" w:line="240" w:lineRule="auto"/>
              <w:jc w:val="center"/>
              <w:rPr>
                <w:rFonts w:asciiTheme="majorHAnsi" w:hAnsiTheme="majorHAnsi" w:cstheme="majorHAnsi"/>
                <w:b/>
                <w:color w:val="FFFFFF" w:themeColor="background1"/>
                <w:sz w:val="18"/>
                <w:szCs w:val="18"/>
              </w:rPr>
            </w:pPr>
            <w:r w:rsidRPr="009242BE">
              <w:rPr>
                <w:rFonts w:asciiTheme="majorHAnsi" w:hAnsiTheme="majorHAnsi" w:cstheme="majorHAnsi"/>
                <w:b/>
                <w:color w:val="FFFFFF" w:themeColor="background1"/>
                <w:sz w:val="18"/>
                <w:szCs w:val="18"/>
              </w:rPr>
              <w:t>Transmission</w:t>
            </w:r>
          </w:p>
        </w:tc>
        <w:tc>
          <w:tcPr>
            <w:tcW w:w="1719" w:type="dxa"/>
            <w:vMerge w:val="restart"/>
            <w:tcBorders>
              <w:bottom w:val="single" w:sz="2" w:space="0" w:color="000000"/>
            </w:tcBorders>
            <w:shd w:val="clear" w:color="auto" w:fill="1795D2" w:themeFill="accent1"/>
            <w:noWrap/>
            <w:vAlign w:val="center"/>
          </w:tcPr>
          <w:p w:rsidR="005B003E" w:rsidRPr="009242BE" w:rsidRDefault="005B003E" w:rsidP="00912A17">
            <w:pPr>
              <w:keepNext/>
              <w:keepLines/>
              <w:spacing w:before="40" w:after="40" w:line="240" w:lineRule="auto"/>
              <w:jc w:val="center"/>
              <w:rPr>
                <w:rFonts w:asciiTheme="majorHAnsi" w:hAnsiTheme="majorHAnsi" w:cstheme="majorHAnsi"/>
                <w:b/>
                <w:color w:val="FFFFFF" w:themeColor="background1"/>
                <w:sz w:val="18"/>
                <w:szCs w:val="18"/>
              </w:rPr>
            </w:pPr>
            <w:r w:rsidRPr="009242BE">
              <w:rPr>
                <w:rFonts w:asciiTheme="majorHAnsi" w:hAnsiTheme="majorHAnsi" w:cstheme="majorHAnsi"/>
                <w:b/>
                <w:color w:val="FFFFFF" w:themeColor="background1"/>
                <w:sz w:val="18"/>
                <w:szCs w:val="18"/>
              </w:rPr>
              <w:t>Type</w:t>
            </w:r>
          </w:p>
        </w:tc>
        <w:tc>
          <w:tcPr>
            <w:tcW w:w="3234" w:type="dxa"/>
            <w:gridSpan w:val="4"/>
            <w:shd w:val="clear" w:color="auto" w:fill="1795D2" w:themeFill="accent1"/>
            <w:vAlign w:val="center"/>
          </w:tcPr>
          <w:p w:rsidR="005B003E" w:rsidRPr="009242BE" w:rsidRDefault="005B003E" w:rsidP="00912A17">
            <w:pPr>
              <w:keepNext/>
              <w:keepLines/>
              <w:adjustRightInd/>
              <w:spacing w:before="40" w:after="40" w:line="240" w:lineRule="auto"/>
              <w:jc w:val="center"/>
              <w:textAlignment w:val="auto"/>
              <w:rPr>
                <w:rFonts w:asciiTheme="majorHAnsi" w:hAnsiTheme="majorHAnsi" w:cstheme="majorHAnsi"/>
                <w:b/>
                <w:color w:val="FFFFFF" w:themeColor="background1"/>
                <w:sz w:val="18"/>
                <w:szCs w:val="18"/>
              </w:rPr>
            </w:pPr>
            <w:r w:rsidRPr="009242BE">
              <w:rPr>
                <w:rFonts w:asciiTheme="majorHAnsi" w:hAnsiTheme="majorHAnsi" w:cstheme="majorHAnsi"/>
                <w:b/>
                <w:color w:val="FFFFFF" w:themeColor="background1"/>
                <w:sz w:val="18"/>
                <w:szCs w:val="18"/>
              </w:rPr>
              <w:t>Scenarios</w:t>
            </w:r>
          </w:p>
        </w:tc>
      </w:tr>
      <w:tr w:rsidR="005B003E" w:rsidRPr="009242BE" w:rsidTr="00CE1B10">
        <w:trPr>
          <w:trHeight w:val="285"/>
          <w:jc w:val="center"/>
        </w:trPr>
        <w:tc>
          <w:tcPr>
            <w:tcW w:w="1437" w:type="dxa"/>
            <w:vMerge/>
            <w:shd w:val="clear" w:color="auto" w:fill="auto"/>
            <w:noWrap/>
            <w:vAlign w:val="center"/>
            <w:hideMark/>
          </w:tcPr>
          <w:p w:rsidR="005B003E" w:rsidRPr="009242BE" w:rsidRDefault="005B003E" w:rsidP="00912A17">
            <w:pPr>
              <w:keepNext/>
              <w:keepLines/>
              <w:adjustRightInd/>
              <w:spacing w:before="40" w:after="40" w:line="240" w:lineRule="auto"/>
              <w:textAlignment w:val="auto"/>
              <w:rPr>
                <w:rFonts w:asciiTheme="majorHAnsi" w:hAnsiTheme="majorHAnsi" w:cstheme="majorHAnsi"/>
                <w:b/>
                <w:color w:val="000000"/>
                <w:sz w:val="18"/>
                <w:szCs w:val="18"/>
              </w:rPr>
            </w:pPr>
          </w:p>
        </w:tc>
        <w:tc>
          <w:tcPr>
            <w:tcW w:w="1719" w:type="dxa"/>
            <w:vMerge/>
            <w:shd w:val="clear" w:color="auto" w:fill="auto"/>
            <w:noWrap/>
            <w:vAlign w:val="center"/>
            <w:hideMark/>
          </w:tcPr>
          <w:p w:rsidR="005B003E" w:rsidRPr="009242BE" w:rsidRDefault="005B003E" w:rsidP="00912A17">
            <w:pPr>
              <w:keepNext/>
              <w:keepLines/>
              <w:adjustRightInd/>
              <w:spacing w:before="40" w:after="40" w:line="240" w:lineRule="auto"/>
              <w:textAlignment w:val="auto"/>
              <w:rPr>
                <w:rFonts w:asciiTheme="majorHAnsi" w:hAnsiTheme="majorHAnsi" w:cstheme="majorHAnsi"/>
                <w:color w:val="000000"/>
                <w:sz w:val="18"/>
                <w:szCs w:val="18"/>
              </w:rPr>
            </w:pPr>
          </w:p>
        </w:tc>
        <w:tc>
          <w:tcPr>
            <w:tcW w:w="808" w:type="dxa"/>
            <w:shd w:val="clear" w:color="auto" w:fill="1795D2" w:themeFill="accent1"/>
            <w:noWrap/>
            <w:tcMar>
              <w:left w:w="115" w:type="dxa"/>
              <w:right w:w="115" w:type="dxa"/>
            </w:tcMar>
            <w:vAlign w:val="center"/>
            <w:hideMark/>
          </w:tcPr>
          <w:p w:rsidR="005B003E" w:rsidRPr="009242BE" w:rsidRDefault="005B003E" w:rsidP="00912A17">
            <w:pPr>
              <w:keepNext/>
              <w:keepLines/>
              <w:adjustRightInd/>
              <w:spacing w:before="40" w:after="40" w:line="240" w:lineRule="auto"/>
              <w:jc w:val="center"/>
              <w:textAlignment w:val="auto"/>
              <w:rPr>
                <w:rFonts w:asciiTheme="majorHAnsi" w:hAnsiTheme="majorHAnsi" w:cstheme="majorHAnsi"/>
                <w:color w:val="FFFFFF" w:themeColor="background1"/>
                <w:sz w:val="18"/>
                <w:szCs w:val="18"/>
              </w:rPr>
            </w:pPr>
            <w:r w:rsidRPr="009242BE">
              <w:rPr>
                <w:rFonts w:asciiTheme="majorHAnsi" w:hAnsiTheme="majorHAnsi" w:cstheme="majorHAnsi"/>
                <w:color w:val="FFFFFF" w:themeColor="background1"/>
                <w:sz w:val="18"/>
                <w:szCs w:val="18"/>
              </w:rPr>
              <w:t>8000_1</w:t>
            </w:r>
          </w:p>
        </w:tc>
        <w:tc>
          <w:tcPr>
            <w:tcW w:w="809" w:type="dxa"/>
            <w:shd w:val="clear" w:color="auto" w:fill="1795D2" w:themeFill="accent1"/>
            <w:noWrap/>
            <w:tcMar>
              <w:left w:w="115" w:type="dxa"/>
              <w:right w:w="115" w:type="dxa"/>
            </w:tcMar>
            <w:vAlign w:val="center"/>
            <w:hideMark/>
          </w:tcPr>
          <w:p w:rsidR="005B003E" w:rsidRPr="009242BE" w:rsidRDefault="005B003E" w:rsidP="00912A17">
            <w:pPr>
              <w:keepNext/>
              <w:keepLines/>
              <w:adjustRightInd/>
              <w:spacing w:before="40" w:after="40" w:line="240" w:lineRule="auto"/>
              <w:textAlignment w:val="auto"/>
              <w:rPr>
                <w:rFonts w:asciiTheme="majorHAnsi" w:hAnsiTheme="majorHAnsi" w:cstheme="majorHAnsi"/>
                <w:color w:val="FFFFFF" w:themeColor="background1"/>
                <w:sz w:val="18"/>
                <w:szCs w:val="18"/>
              </w:rPr>
            </w:pPr>
            <w:r w:rsidRPr="009242BE">
              <w:rPr>
                <w:rFonts w:asciiTheme="majorHAnsi" w:hAnsiTheme="majorHAnsi" w:cstheme="majorHAnsi"/>
                <w:color w:val="FFFFFF" w:themeColor="background1"/>
                <w:sz w:val="18"/>
                <w:szCs w:val="18"/>
              </w:rPr>
              <w:t>8000_2</w:t>
            </w:r>
          </w:p>
        </w:tc>
        <w:tc>
          <w:tcPr>
            <w:tcW w:w="808" w:type="dxa"/>
            <w:shd w:val="clear" w:color="auto" w:fill="1795D2" w:themeFill="accent1"/>
            <w:noWrap/>
            <w:tcMar>
              <w:left w:w="115" w:type="dxa"/>
              <w:right w:w="115" w:type="dxa"/>
            </w:tcMar>
            <w:vAlign w:val="center"/>
            <w:hideMark/>
          </w:tcPr>
          <w:p w:rsidR="005B003E" w:rsidRPr="009242BE" w:rsidRDefault="005B003E" w:rsidP="00912A17">
            <w:pPr>
              <w:keepNext/>
              <w:keepLines/>
              <w:adjustRightInd/>
              <w:spacing w:before="40" w:after="40" w:line="240" w:lineRule="auto"/>
              <w:textAlignment w:val="auto"/>
              <w:rPr>
                <w:rFonts w:asciiTheme="majorHAnsi" w:hAnsiTheme="majorHAnsi" w:cstheme="majorHAnsi"/>
                <w:color w:val="FFFFFF" w:themeColor="background1"/>
                <w:sz w:val="18"/>
                <w:szCs w:val="18"/>
              </w:rPr>
            </w:pPr>
            <w:r w:rsidRPr="009242BE">
              <w:rPr>
                <w:rFonts w:asciiTheme="majorHAnsi" w:hAnsiTheme="majorHAnsi" w:cstheme="majorHAnsi"/>
                <w:color w:val="FFFFFF" w:themeColor="background1"/>
                <w:sz w:val="18"/>
                <w:szCs w:val="18"/>
              </w:rPr>
              <w:t>8000_3</w:t>
            </w:r>
          </w:p>
        </w:tc>
        <w:tc>
          <w:tcPr>
            <w:tcW w:w="809" w:type="dxa"/>
            <w:shd w:val="clear" w:color="auto" w:fill="1795D2" w:themeFill="accent1"/>
            <w:noWrap/>
            <w:tcMar>
              <w:left w:w="115" w:type="dxa"/>
              <w:right w:w="115" w:type="dxa"/>
            </w:tcMar>
            <w:vAlign w:val="center"/>
            <w:hideMark/>
          </w:tcPr>
          <w:p w:rsidR="005B003E" w:rsidRPr="009242BE" w:rsidRDefault="005B003E" w:rsidP="00912A17">
            <w:pPr>
              <w:keepNext/>
              <w:keepLines/>
              <w:adjustRightInd/>
              <w:spacing w:before="40" w:after="40" w:line="240" w:lineRule="auto"/>
              <w:textAlignment w:val="auto"/>
              <w:rPr>
                <w:rFonts w:asciiTheme="majorHAnsi" w:hAnsiTheme="majorHAnsi" w:cstheme="majorHAnsi"/>
                <w:color w:val="FFFFFF" w:themeColor="background1"/>
                <w:sz w:val="18"/>
                <w:szCs w:val="18"/>
              </w:rPr>
            </w:pPr>
            <w:r w:rsidRPr="009242BE">
              <w:rPr>
                <w:rFonts w:asciiTheme="majorHAnsi" w:hAnsiTheme="majorHAnsi" w:cstheme="majorHAnsi"/>
                <w:color w:val="FFFFFF" w:themeColor="background1"/>
                <w:sz w:val="18"/>
                <w:szCs w:val="18"/>
              </w:rPr>
              <w:t>8000_4</w:t>
            </w:r>
          </w:p>
        </w:tc>
      </w:tr>
      <w:tr w:rsidR="005B003E" w:rsidRPr="009242BE" w:rsidTr="00CE1B10">
        <w:trPr>
          <w:trHeight w:val="285"/>
          <w:jc w:val="center"/>
        </w:trPr>
        <w:tc>
          <w:tcPr>
            <w:tcW w:w="1437" w:type="dxa"/>
            <w:vMerge w:val="restart"/>
            <w:shd w:val="clear" w:color="auto" w:fill="CCEAF9" w:themeFill="accent1" w:themeFillTint="33"/>
            <w:vAlign w:val="center"/>
            <w:hideMark/>
          </w:tcPr>
          <w:p w:rsidR="005B003E" w:rsidRPr="009242BE" w:rsidRDefault="005B003E" w:rsidP="00912A17">
            <w:pPr>
              <w:keepNext/>
              <w:keepLines/>
              <w:adjustRightInd/>
              <w:spacing w:before="40" w:after="40" w:line="240" w:lineRule="auto"/>
              <w:textAlignment w:val="auto"/>
              <w:rPr>
                <w:rFonts w:asciiTheme="majorHAnsi" w:hAnsiTheme="majorHAnsi" w:cstheme="majorHAnsi"/>
                <w:b/>
                <w:color w:val="000000"/>
                <w:sz w:val="18"/>
                <w:szCs w:val="18"/>
              </w:rPr>
            </w:pPr>
            <w:r w:rsidRPr="009242BE">
              <w:rPr>
                <w:rFonts w:asciiTheme="majorHAnsi" w:hAnsiTheme="majorHAnsi" w:cstheme="majorHAnsi"/>
                <w:b/>
                <w:color w:val="000000"/>
                <w:sz w:val="18"/>
                <w:szCs w:val="18"/>
              </w:rPr>
              <w:t>Constrained</w:t>
            </w:r>
          </w:p>
        </w:tc>
        <w:tc>
          <w:tcPr>
            <w:tcW w:w="1719" w:type="dxa"/>
            <w:shd w:val="clear" w:color="auto" w:fill="CCEAF9" w:themeFill="accent1" w:themeFillTint="33"/>
            <w:noWrap/>
            <w:vAlign w:val="center"/>
            <w:hideMark/>
          </w:tcPr>
          <w:p w:rsidR="005B003E" w:rsidRPr="009242BE" w:rsidRDefault="005B003E" w:rsidP="00912A17">
            <w:pPr>
              <w:keepNext/>
              <w:keepLines/>
              <w:adjustRightInd/>
              <w:spacing w:before="40" w:after="40" w:line="240" w:lineRule="auto"/>
              <w:textAlignment w:val="auto"/>
              <w:rPr>
                <w:rFonts w:asciiTheme="majorHAnsi" w:hAnsiTheme="majorHAnsi" w:cstheme="majorHAnsi"/>
                <w:color w:val="000000"/>
                <w:sz w:val="18"/>
                <w:szCs w:val="18"/>
              </w:rPr>
            </w:pPr>
            <w:r w:rsidRPr="009242BE">
              <w:rPr>
                <w:rFonts w:asciiTheme="majorHAnsi" w:hAnsiTheme="majorHAnsi" w:cstheme="majorHAnsi"/>
                <w:color w:val="000000"/>
                <w:sz w:val="18"/>
                <w:szCs w:val="18"/>
              </w:rPr>
              <w:t>LSE energy expense</w:t>
            </w:r>
          </w:p>
        </w:tc>
        <w:tc>
          <w:tcPr>
            <w:tcW w:w="808" w:type="dxa"/>
            <w:shd w:val="clear" w:color="auto" w:fill="CCEAF9" w:themeFill="accent1" w:themeFillTint="33"/>
            <w:noWrap/>
            <w:tcMar>
              <w:left w:w="115" w:type="dxa"/>
              <w:right w:w="115" w:type="dxa"/>
            </w:tcMar>
            <w:vAlign w:val="center"/>
            <w:hideMark/>
          </w:tcPr>
          <w:p w:rsidR="005B003E" w:rsidRPr="009242BE" w:rsidRDefault="005B003E" w:rsidP="00912A17">
            <w:pPr>
              <w:keepNext/>
              <w:keepLines/>
              <w:adjustRightInd/>
              <w:spacing w:before="40" w:after="40" w:line="240" w:lineRule="auto"/>
              <w:jc w:val="right"/>
              <w:textAlignment w:val="auto"/>
              <w:rPr>
                <w:rFonts w:asciiTheme="majorHAnsi" w:hAnsiTheme="majorHAnsi" w:cstheme="majorHAnsi"/>
                <w:color w:val="000000"/>
                <w:sz w:val="18"/>
                <w:szCs w:val="18"/>
              </w:rPr>
            </w:pPr>
            <w:r w:rsidRPr="009242BE">
              <w:rPr>
                <w:rFonts w:asciiTheme="majorHAnsi" w:hAnsiTheme="majorHAnsi" w:cstheme="majorHAnsi"/>
                <w:color w:val="000000"/>
                <w:sz w:val="18"/>
                <w:szCs w:val="18"/>
              </w:rPr>
              <w:t>3,147</w:t>
            </w:r>
          </w:p>
        </w:tc>
        <w:tc>
          <w:tcPr>
            <w:tcW w:w="809" w:type="dxa"/>
            <w:shd w:val="clear" w:color="auto" w:fill="CCEAF9" w:themeFill="accent1" w:themeFillTint="33"/>
            <w:noWrap/>
            <w:tcMar>
              <w:left w:w="115" w:type="dxa"/>
              <w:right w:w="115" w:type="dxa"/>
            </w:tcMar>
            <w:vAlign w:val="center"/>
            <w:hideMark/>
          </w:tcPr>
          <w:p w:rsidR="005B003E" w:rsidRPr="009242BE" w:rsidRDefault="005B003E" w:rsidP="00912A17">
            <w:pPr>
              <w:keepNext/>
              <w:keepLines/>
              <w:adjustRightInd/>
              <w:spacing w:before="40" w:after="40" w:line="240" w:lineRule="auto"/>
              <w:jc w:val="right"/>
              <w:textAlignment w:val="auto"/>
              <w:rPr>
                <w:rFonts w:asciiTheme="majorHAnsi" w:hAnsiTheme="majorHAnsi" w:cstheme="majorHAnsi"/>
                <w:color w:val="000000"/>
                <w:sz w:val="18"/>
                <w:szCs w:val="18"/>
              </w:rPr>
            </w:pPr>
            <w:r w:rsidRPr="009242BE">
              <w:rPr>
                <w:rFonts w:asciiTheme="majorHAnsi" w:hAnsiTheme="majorHAnsi" w:cstheme="majorHAnsi"/>
                <w:color w:val="000000"/>
                <w:sz w:val="18"/>
                <w:szCs w:val="18"/>
              </w:rPr>
              <w:t>3,160</w:t>
            </w:r>
          </w:p>
        </w:tc>
        <w:tc>
          <w:tcPr>
            <w:tcW w:w="808" w:type="dxa"/>
            <w:shd w:val="clear" w:color="auto" w:fill="CCEAF9" w:themeFill="accent1" w:themeFillTint="33"/>
            <w:noWrap/>
            <w:tcMar>
              <w:left w:w="115" w:type="dxa"/>
              <w:right w:w="115" w:type="dxa"/>
            </w:tcMar>
            <w:vAlign w:val="center"/>
            <w:hideMark/>
          </w:tcPr>
          <w:p w:rsidR="005B003E" w:rsidRPr="009242BE" w:rsidRDefault="005B003E" w:rsidP="00912A17">
            <w:pPr>
              <w:keepNext/>
              <w:keepLines/>
              <w:adjustRightInd/>
              <w:spacing w:before="40" w:after="40" w:line="240" w:lineRule="auto"/>
              <w:jc w:val="right"/>
              <w:textAlignment w:val="auto"/>
              <w:rPr>
                <w:rFonts w:asciiTheme="majorHAnsi" w:hAnsiTheme="majorHAnsi" w:cstheme="majorHAnsi"/>
                <w:color w:val="000000"/>
                <w:sz w:val="18"/>
                <w:szCs w:val="18"/>
              </w:rPr>
            </w:pPr>
            <w:r w:rsidRPr="009242BE">
              <w:rPr>
                <w:rFonts w:asciiTheme="majorHAnsi" w:hAnsiTheme="majorHAnsi" w:cstheme="majorHAnsi"/>
                <w:color w:val="000000"/>
                <w:sz w:val="18"/>
                <w:szCs w:val="18"/>
              </w:rPr>
              <w:t>3,188</w:t>
            </w:r>
          </w:p>
        </w:tc>
        <w:tc>
          <w:tcPr>
            <w:tcW w:w="809" w:type="dxa"/>
            <w:shd w:val="clear" w:color="auto" w:fill="CCEAF9" w:themeFill="accent1" w:themeFillTint="33"/>
            <w:noWrap/>
            <w:tcMar>
              <w:left w:w="115" w:type="dxa"/>
              <w:right w:w="115" w:type="dxa"/>
            </w:tcMar>
            <w:vAlign w:val="center"/>
            <w:hideMark/>
          </w:tcPr>
          <w:p w:rsidR="005B003E" w:rsidRPr="009242BE" w:rsidRDefault="005B003E" w:rsidP="00912A17">
            <w:pPr>
              <w:keepNext/>
              <w:keepLines/>
              <w:adjustRightInd/>
              <w:spacing w:before="40" w:after="40" w:line="240" w:lineRule="auto"/>
              <w:jc w:val="right"/>
              <w:textAlignment w:val="auto"/>
              <w:rPr>
                <w:rFonts w:asciiTheme="majorHAnsi" w:hAnsiTheme="majorHAnsi" w:cstheme="majorHAnsi"/>
                <w:color w:val="000000"/>
                <w:sz w:val="18"/>
                <w:szCs w:val="18"/>
              </w:rPr>
            </w:pPr>
            <w:r w:rsidRPr="009242BE">
              <w:rPr>
                <w:rFonts w:asciiTheme="majorHAnsi" w:hAnsiTheme="majorHAnsi" w:cstheme="majorHAnsi"/>
                <w:color w:val="000000"/>
                <w:sz w:val="18"/>
                <w:szCs w:val="18"/>
              </w:rPr>
              <w:t>3,152</w:t>
            </w:r>
          </w:p>
        </w:tc>
      </w:tr>
      <w:tr w:rsidR="005B003E" w:rsidRPr="009242BE" w:rsidTr="00CE1B10">
        <w:trPr>
          <w:trHeight w:val="285"/>
          <w:jc w:val="center"/>
        </w:trPr>
        <w:tc>
          <w:tcPr>
            <w:tcW w:w="1437" w:type="dxa"/>
            <w:vMerge/>
            <w:shd w:val="clear" w:color="auto" w:fill="CCEAF9" w:themeFill="accent1" w:themeFillTint="33"/>
            <w:vAlign w:val="center"/>
            <w:hideMark/>
          </w:tcPr>
          <w:p w:rsidR="005B003E" w:rsidRPr="009242BE" w:rsidRDefault="005B003E" w:rsidP="00912A17">
            <w:pPr>
              <w:keepNext/>
              <w:keepLines/>
              <w:adjustRightInd/>
              <w:spacing w:before="40" w:after="40" w:line="240" w:lineRule="auto"/>
              <w:textAlignment w:val="auto"/>
              <w:rPr>
                <w:rFonts w:asciiTheme="majorHAnsi" w:hAnsiTheme="majorHAnsi" w:cstheme="majorHAnsi"/>
                <w:b/>
                <w:color w:val="000000"/>
                <w:sz w:val="18"/>
                <w:szCs w:val="18"/>
              </w:rPr>
            </w:pPr>
          </w:p>
        </w:tc>
        <w:tc>
          <w:tcPr>
            <w:tcW w:w="1719" w:type="dxa"/>
            <w:shd w:val="clear" w:color="auto" w:fill="auto"/>
            <w:noWrap/>
            <w:vAlign w:val="center"/>
            <w:hideMark/>
          </w:tcPr>
          <w:p w:rsidR="005B003E" w:rsidRPr="009242BE" w:rsidRDefault="005B003E" w:rsidP="00912A17">
            <w:pPr>
              <w:keepNext/>
              <w:keepLines/>
              <w:adjustRightInd/>
              <w:spacing w:before="40" w:after="40" w:line="240" w:lineRule="auto"/>
              <w:textAlignment w:val="auto"/>
              <w:rPr>
                <w:rFonts w:asciiTheme="majorHAnsi" w:hAnsiTheme="majorHAnsi" w:cstheme="majorHAnsi"/>
                <w:color w:val="000000"/>
                <w:sz w:val="18"/>
                <w:szCs w:val="18"/>
              </w:rPr>
            </w:pPr>
            <w:r w:rsidRPr="009242BE">
              <w:rPr>
                <w:rFonts w:asciiTheme="majorHAnsi" w:hAnsiTheme="majorHAnsi" w:cstheme="majorHAnsi"/>
                <w:color w:val="000000"/>
                <w:sz w:val="18"/>
                <w:szCs w:val="18"/>
              </w:rPr>
              <w:t>Uplift</w:t>
            </w:r>
          </w:p>
        </w:tc>
        <w:tc>
          <w:tcPr>
            <w:tcW w:w="808" w:type="dxa"/>
            <w:shd w:val="clear" w:color="auto" w:fill="auto"/>
            <w:noWrap/>
            <w:tcMar>
              <w:left w:w="115" w:type="dxa"/>
              <w:right w:w="115" w:type="dxa"/>
            </w:tcMar>
            <w:vAlign w:val="center"/>
            <w:hideMark/>
          </w:tcPr>
          <w:p w:rsidR="005B003E" w:rsidRPr="009242BE" w:rsidRDefault="005B003E" w:rsidP="00912A17">
            <w:pPr>
              <w:keepNext/>
              <w:keepLines/>
              <w:adjustRightInd/>
              <w:spacing w:before="40" w:after="40" w:line="240" w:lineRule="auto"/>
              <w:jc w:val="right"/>
              <w:textAlignment w:val="auto"/>
              <w:rPr>
                <w:rFonts w:asciiTheme="majorHAnsi" w:hAnsiTheme="majorHAnsi" w:cstheme="majorHAnsi"/>
                <w:color w:val="000000"/>
                <w:sz w:val="18"/>
                <w:szCs w:val="18"/>
              </w:rPr>
            </w:pPr>
            <w:r w:rsidRPr="009242BE">
              <w:rPr>
                <w:rFonts w:asciiTheme="majorHAnsi" w:hAnsiTheme="majorHAnsi" w:cstheme="majorHAnsi"/>
                <w:color w:val="000000"/>
                <w:sz w:val="18"/>
                <w:szCs w:val="18"/>
              </w:rPr>
              <w:t>351</w:t>
            </w:r>
          </w:p>
        </w:tc>
        <w:tc>
          <w:tcPr>
            <w:tcW w:w="809" w:type="dxa"/>
            <w:shd w:val="clear" w:color="auto" w:fill="auto"/>
            <w:noWrap/>
            <w:tcMar>
              <w:left w:w="115" w:type="dxa"/>
              <w:right w:w="115" w:type="dxa"/>
            </w:tcMar>
            <w:vAlign w:val="center"/>
            <w:hideMark/>
          </w:tcPr>
          <w:p w:rsidR="005B003E" w:rsidRPr="009242BE" w:rsidRDefault="005B003E" w:rsidP="00912A17">
            <w:pPr>
              <w:keepNext/>
              <w:keepLines/>
              <w:adjustRightInd/>
              <w:spacing w:before="40" w:after="40" w:line="240" w:lineRule="auto"/>
              <w:jc w:val="right"/>
              <w:textAlignment w:val="auto"/>
              <w:rPr>
                <w:rFonts w:asciiTheme="majorHAnsi" w:hAnsiTheme="majorHAnsi" w:cstheme="majorHAnsi"/>
                <w:color w:val="000000"/>
                <w:sz w:val="18"/>
                <w:szCs w:val="18"/>
              </w:rPr>
            </w:pPr>
            <w:r w:rsidRPr="009242BE">
              <w:rPr>
                <w:rFonts w:asciiTheme="majorHAnsi" w:hAnsiTheme="majorHAnsi" w:cstheme="majorHAnsi"/>
                <w:color w:val="000000"/>
                <w:sz w:val="18"/>
                <w:szCs w:val="18"/>
              </w:rPr>
              <w:t>348</w:t>
            </w:r>
          </w:p>
        </w:tc>
        <w:tc>
          <w:tcPr>
            <w:tcW w:w="808" w:type="dxa"/>
            <w:shd w:val="clear" w:color="auto" w:fill="auto"/>
            <w:noWrap/>
            <w:tcMar>
              <w:left w:w="115" w:type="dxa"/>
              <w:right w:w="115" w:type="dxa"/>
            </w:tcMar>
            <w:vAlign w:val="center"/>
            <w:hideMark/>
          </w:tcPr>
          <w:p w:rsidR="005B003E" w:rsidRPr="009242BE" w:rsidRDefault="005B003E" w:rsidP="00912A17">
            <w:pPr>
              <w:keepNext/>
              <w:keepLines/>
              <w:adjustRightInd/>
              <w:spacing w:before="40" w:after="40" w:line="240" w:lineRule="auto"/>
              <w:jc w:val="right"/>
              <w:textAlignment w:val="auto"/>
              <w:rPr>
                <w:rFonts w:asciiTheme="majorHAnsi" w:hAnsiTheme="majorHAnsi" w:cstheme="majorHAnsi"/>
                <w:color w:val="000000"/>
                <w:sz w:val="18"/>
                <w:szCs w:val="18"/>
              </w:rPr>
            </w:pPr>
            <w:r w:rsidRPr="009242BE">
              <w:rPr>
                <w:rFonts w:asciiTheme="majorHAnsi" w:hAnsiTheme="majorHAnsi" w:cstheme="majorHAnsi"/>
                <w:color w:val="000000"/>
                <w:sz w:val="18"/>
                <w:szCs w:val="18"/>
              </w:rPr>
              <w:t>346</w:t>
            </w:r>
          </w:p>
        </w:tc>
        <w:tc>
          <w:tcPr>
            <w:tcW w:w="809" w:type="dxa"/>
            <w:shd w:val="clear" w:color="auto" w:fill="auto"/>
            <w:noWrap/>
            <w:tcMar>
              <w:left w:w="115" w:type="dxa"/>
              <w:right w:w="115" w:type="dxa"/>
            </w:tcMar>
            <w:vAlign w:val="center"/>
            <w:hideMark/>
          </w:tcPr>
          <w:p w:rsidR="005B003E" w:rsidRPr="009242BE" w:rsidRDefault="005B003E" w:rsidP="00912A17">
            <w:pPr>
              <w:keepNext/>
              <w:keepLines/>
              <w:adjustRightInd/>
              <w:spacing w:before="40" w:after="40" w:line="240" w:lineRule="auto"/>
              <w:jc w:val="right"/>
              <w:textAlignment w:val="auto"/>
              <w:rPr>
                <w:rFonts w:asciiTheme="majorHAnsi" w:hAnsiTheme="majorHAnsi" w:cstheme="majorHAnsi"/>
                <w:color w:val="000000"/>
                <w:sz w:val="18"/>
                <w:szCs w:val="18"/>
              </w:rPr>
            </w:pPr>
            <w:r w:rsidRPr="009242BE">
              <w:rPr>
                <w:rFonts w:asciiTheme="majorHAnsi" w:hAnsiTheme="majorHAnsi" w:cstheme="majorHAnsi"/>
                <w:color w:val="000000"/>
                <w:sz w:val="18"/>
                <w:szCs w:val="18"/>
              </w:rPr>
              <w:t>347</w:t>
            </w:r>
          </w:p>
        </w:tc>
      </w:tr>
      <w:tr w:rsidR="005B003E" w:rsidRPr="009242BE" w:rsidTr="00CE1B10">
        <w:trPr>
          <w:trHeight w:val="285"/>
          <w:jc w:val="center"/>
        </w:trPr>
        <w:tc>
          <w:tcPr>
            <w:tcW w:w="1437" w:type="dxa"/>
            <w:vMerge/>
            <w:shd w:val="clear" w:color="auto" w:fill="CCEAF9" w:themeFill="accent1" w:themeFillTint="33"/>
            <w:vAlign w:val="center"/>
            <w:hideMark/>
          </w:tcPr>
          <w:p w:rsidR="005B003E" w:rsidRPr="009242BE" w:rsidRDefault="005B003E" w:rsidP="00912A17">
            <w:pPr>
              <w:keepNext/>
              <w:keepLines/>
              <w:adjustRightInd/>
              <w:spacing w:before="40" w:after="40" w:line="240" w:lineRule="auto"/>
              <w:textAlignment w:val="auto"/>
              <w:rPr>
                <w:rFonts w:asciiTheme="majorHAnsi" w:hAnsiTheme="majorHAnsi" w:cstheme="majorHAnsi"/>
                <w:b/>
                <w:color w:val="000000"/>
                <w:sz w:val="18"/>
                <w:szCs w:val="18"/>
              </w:rPr>
            </w:pPr>
          </w:p>
        </w:tc>
        <w:tc>
          <w:tcPr>
            <w:tcW w:w="1719" w:type="dxa"/>
            <w:shd w:val="clear" w:color="auto" w:fill="CCEAF9" w:themeFill="accent1" w:themeFillTint="33"/>
            <w:noWrap/>
            <w:vAlign w:val="center"/>
            <w:hideMark/>
          </w:tcPr>
          <w:p w:rsidR="005B003E" w:rsidRPr="009242BE" w:rsidRDefault="005B003E" w:rsidP="00912A17">
            <w:pPr>
              <w:keepNext/>
              <w:keepLines/>
              <w:adjustRightInd/>
              <w:spacing w:before="40" w:after="40" w:line="240" w:lineRule="auto"/>
              <w:textAlignment w:val="auto"/>
              <w:rPr>
                <w:rFonts w:asciiTheme="majorHAnsi" w:hAnsiTheme="majorHAnsi" w:cstheme="majorHAnsi"/>
                <w:color w:val="000000"/>
                <w:sz w:val="18"/>
                <w:szCs w:val="18"/>
              </w:rPr>
            </w:pPr>
            <w:r w:rsidRPr="009242BE">
              <w:rPr>
                <w:rFonts w:asciiTheme="majorHAnsi" w:hAnsiTheme="majorHAnsi" w:cstheme="majorHAnsi"/>
                <w:color w:val="000000"/>
                <w:sz w:val="18"/>
                <w:szCs w:val="18"/>
              </w:rPr>
              <w:t>Total</w:t>
            </w:r>
          </w:p>
        </w:tc>
        <w:tc>
          <w:tcPr>
            <w:tcW w:w="808" w:type="dxa"/>
            <w:shd w:val="clear" w:color="auto" w:fill="CCEAF9" w:themeFill="accent1" w:themeFillTint="33"/>
            <w:noWrap/>
            <w:tcMar>
              <w:left w:w="115" w:type="dxa"/>
              <w:right w:w="115" w:type="dxa"/>
            </w:tcMar>
            <w:vAlign w:val="center"/>
            <w:hideMark/>
          </w:tcPr>
          <w:p w:rsidR="005B003E" w:rsidRPr="009242BE" w:rsidRDefault="005B003E" w:rsidP="00912A17">
            <w:pPr>
              <w:keepNext/>
              <w:keepLines/>
              <w:adjustRightInd/>
              <w:spacing w:before="40" w:after="40" w:line="240" w:lineRule="auto"/>
              <w:jc w:val="right"/>
              <w:textAlignment w:val="auto"/>
              <w:rPr>
                <w:rFonts w:asciiTheme="majorHAnsi" w:hAnsiTheme="majorHAnsi" w:cstheme="majorHAnsi"/>
                <w:color w:val="000000"/>
                <w:sz w:val="18"/>
                <w:szCs w:val="18"/>
              </w:rPr>
            </w:pPr>
            <w:r w:rsidRPr="009242BE">
              <w:rPr>
                <w:rFonts w:asciiTheme="majorHAnsi" w:hAnsiTheme="majorHAnsi" w:cstheme="majorHAnsi"/>
                <w:color w:val="000000"/>
                <w:sz w:val="18"/>
                <w:szCs w:val="18"/>
              </w:rPr>
              <w:t>3,498</w:t>
            </w:r>
          </w:p>
        </w:tc>
        <w:tc>
          <w:tcPr>
            <w:tcW w:w="809" w:type="dxa"/>
            <w:shd w:val="clear" w:color="auto" w:fill="CCEAF9" w:themeFill="accent1" w:themeFillTint="33"/>
            <w:noWrap/>
            <w:tcMar>
              <w:left w:w="115" w:type="dxa"/>
              <w:right w:w="115" w:type="dxa"/>
            </w:tcMar>
            <w:vAlign w:val="center"/>
            <w:hideMark/>
          </w:tcPr>
          <w:p w:rsidR="005B003E" w:rsidRPr="009242BE" w:rsidRDefault="005B003E" w:rsidP="00912A17">
            <w:pPr>
              <w:keepNext/>
              <w:keepLines/>
              <w:adjustRightInd/>
              <w:spacing w:before="40" w:after="40" w:line="240" w:lineRule="auto"/>
              <w:jc w:val="right"/>
              <w:textAlignment w:val="auto"/>
              <w:rPr>
                <w:rFonts w:asciiTheme="majorHAnsi" w:hAnsiTheme="majorHAnsi" w:cstheme="majorHAnsi"/>
                <w:color w:val="000000"/>
                <w:sz w:val="18"/>
                <w:szCs w:val="18"/>
              </w:rPr>
            </w:pPr>
            <w:r w:rsidRPr="009242BE">
              <w:rPr>
                <w:rFonts w:asciiTheme="majorHAnsi" w:hAnsiTheme="majorHAnsi" w:cstheme="majorHAnsi"/>
                <w:color w:val="000000"/>
                <w:sz w:val="18"/>
                <w:szCs w:val="18"/>
              </w:rPr>
              <w:t>3,508</w:t>
            </w:r>
          </w:p>
        </w:tc>
        <w:tc>
          <w:tcPr>
            <w:tcW w:w="808" w:type="dxa"/>
            <w:shd w:val="clear" w:color="auto" w:fill="CCEAF9" w:themeFill="accent1" w:themeFillTint="33"/>
            <w:noWrap/>
            <w:tcMar>
              <w:left w:w="115" w:type="dxa"/>
              <w:right w:w="115" w:type="dxa"/>
            </w:tcMar>
            <w:vAlign w:val="center"/>
            <w:hideMark/>
          </w:tcPr>
          <w:p w:rsidR="005B003E" w:rsidRPr="009242BE" w:rsidRDefault="005B003E" w:rsidP="00912A17">
            <w:pPr>
              <w:keepNext/>
              <w:keepLines/>
              <w:adjustRightInd/>
              <w:spacing w:before="40" w:after="40" w:line="240" w:lineRule="auto"/>
              <w:jc w:val="right"/>
              <w:textAlignment w:val="auto"/>
              <w:rPr>
                <w:rFonts w:asciiTheme="majorHAnsi" w:hAnsiTheme="majorHAnsi" w:cstheme="majorHAnsi"/>
                <w:color w:val="000000"/>
                <w:sz w:val="18"/>
                <w:szCs w:val="18"/>
              </w:rPr>
            </w:pPr>
            <w:r w:rsidRPr="009242BE">
              <w:rPr>
                <w:rFonts w:asciiTheme="majorHAnsi" w:hAnsiTheme="majorHAnsi" w:cstheme="majorHAnsi"/>
                <w:color w:val="000000"/>
                <w:sz w:val="18"/>
                <w:szCs w:val="18"/>
              </w:rPr>
              <w:t>3,534</w:t>
            </w:r>
          </w:p>
        </w:tc>
        <w:tc>
          <w:tcPr>
            <w:tcW w:w="809" w:type="dxa"/>
            <w:shd w:val="clear" w:color="auto" w:fill="CCEAF9" w:themeFill="accent1" w:themeFillTint="33"/>
            <w:noWrap/>
            <w:tcMar>
              <w:left w:w="115" w:type="dxa"/>
              <w:right w:w="115" w:type="dxa"/>
            </w:tcMar>
            <w:vAlign w:val="center"/>
            <w:hideMark/>
          </w:tcPr>
          <w:p w:rsidR="005B003E" w:rsidRPr="009242BE" w:rsidRDefault="005B003E" w:rsidP="00912A17">
            <w:pPr>
              <w:keepNext/>
              <w:keepLines/>
              <w:adjustRightInd/>
              <w:spacing w:before="40" w:after="40" w:line="240" w:lineRule="auto"/>
              <w:jc w:val="right"/>
              <w:textAlignment w:val="auto"/>
              <w:rPr>
                <w:rFonts w:asciiTheme="majorHAnsi" w:hAnsiTheme="majorHAnsi" w:cstheme="majorHAnsi"/>
                <w:color w:val="000000"/>
                <w:sz w:val="18"/>
                <w:szCs w:val="18"/>
              </w:rPr>
            </w:pPr>
            <w:r w:rsidRPr="009242BE">
              <w:rPr>
                <w:rFonts w:asciiTheme="majorHAnsi" w:hAnsiTheme="majorHAnsi" w:cstheme="majorHAnsi"/>
                <w:color w:val="000000"/>
                <w:sz w:val="18"/>
                <w:szCs w:val="18"/>
              </w:rPr>
              <w:t>3,499</w:t>
            </w:r>
          </w:p>
        </w:tc>
      </w:tr>
      <w:tr w:rsidR="005B003E" w:rsidRPr="009242BE" w:rsidTr="00CE1B10">
        <w:trPr>
          <w:trHeight w:val="285"/>
          <w:jc w:val="center"/>
        </w:trPr>
        <w:tc>
          <w:tcPr>
            <w:tcW w:w="1437" w:type="dxa"/>
            <w:vMerge w:val="restart"/>
            <w:shd w:val="clear" w:color="auto" w:fill="auto"/>
            <w:vAlign w:val="center"/>
            <w:hideMark/>
          </w:tcPr>
          <w:p w:rsidR="005B003E" w:rsidRPr="009242BE" w:rsidRDefault="005B003E" w:rsidP="00912A17">
            <w:pPr>
              <w:keepNext/>
              <w:keepLines/>
              <w:adjustRightInd/>
              <w:spacing w:before="40" w:after="40" w:line="240" w:lineRule="auto"/>
              <w:textAlignment w:val="auto"/>
              <w:rPr>
                <w:rFonts w:asciiTheme="majorHAnsi" w:hAnsiTheme="majorHAnsi" w:cstheme="majorHAnsi"/>
                <w:b/>
                <w:color w:val="000000"/>
                <w:sz w:val="18"/>
                <w:szCs w:val="18"/>
              </w:rPr>
            </w:pPr>
            <w:r w:rsidRPr="009242BE">
              <w:rPr>
                <w:rFonts w:asciiTheme="majorHAnsi" w:hAnsiTheme="majorHAnsi" w:cstheme="majorHAnsi"/>
                <w:b/>
                <w:color w:val="000000"/>
                <w:sz w:val="18"/>
                <w:szCs w:val="18"/>
              </w:rPr>
              <w:t>Unconstrained</w:t>
            </w:r>
          </w:p>
        </w:tc>
        <w:tc>
          <w:tcPr>
            <w:tcW w:w="1719" w:type="dxa"/>
            <w:shd w:val="clear" w:color="auto" w:fill="auto"/>
            <w:noWrap/>
            <w:vAlign w:val="center"/>
            <w:hideMark/>
          </w:tcPr>
          <w:p w:rsidR="005B003E" w:rsidRPr="009242BE" w:rsidRDefault="005B003E" w:rsidP="00912A17">
            <w:pPr>
              <w:keepNext/>
              <w:keepLines/>
              <w:adjustRightInd/>
              <w:spacing w:before="40" w:after="40" w:line="240" w:lineRule="auto"/>
              <w:textAlignment w:val="auto"/>
              <w:rPr>
                <w:rFonts w:asciiTheme="majorHAnsi" w:hAnsiTheme="majorHAnsi" w:cstheme="majorHAnsi"/>
                <w:color w:val="000000"/>
                <w:sz w:val="18"/>
                <w:szCs w:val="18"/>
              </w:rPr>
            </w:pPr>
            <w:r w:rsidRPr="009242BE">
              <w:rPr>
                <w:rFonts w:asciiTheme="majorHAnsi" w:hAnsiTheme="majorHAnsi" w:cstheme="majorHAnsi"/>
                <w:color w:val="000000"/>
                <w:sz w:val="18"/>
                <w:szCs w:val="18"/>
              </w:rPr>
              <w:t>LSE energy expense</w:t>
            </w:r>
          </w:p>
        </w:tc>
        <w:tc>
          <w:tcPr>
            <w:tcW w:w="808" w:type="dxa"/>
            <w:shd w:val="clear" w:color="auto" w:fill="auto"/>
            <w:noWrap/>
            <w:tcMar>
              <w:left w:w="115" w:type="dxa"/>
              <w:right w:w="115" w:type="dxa"/>
            </w:tcMar>
            <w:vAlign w:val="center"/>
            <w:hideMark/>
          </w:tcPr>
          <w:p w:rsidR="005B003E" w:rsidRPr="009242BE" w:rsidRDefault="005B003E" w:rsidP="00912A17">
            <w:pPr>
              <w:keepNext/>
              <w:keepLines/>
              <w:adjustRightInd/>
              <w:spacing w:before="40" w:after="40" w:line="240" w:lineRule="auto"/>
              <w:jc w:val="right"/>
              <w:textAlignment w:val="auto"/>
              <w:rPr>
                <w:rFonts w:asciiTheme="majorHAnsi" w:hAnsiTheme="majorHAnsi" w:cstheme="majorHAnsi"/>
                <w:color w:val="000000"/>
                <w:sz w:val="18"/>
                <w:szCs w:val="18"/>
              </w:rPr>
            </w:pPr>
            <w:r w:rsidRPr="009242BE">
              <w:rPr>
                <w:rFonts w:asciiTheme="majorHAnsi" w:hAnsiTheme="majorHAnsi" w:cstheme="majorHAnsi"/>
                <w:color w:val="000000"/>
                <w:sz w:val="18"/>
                <w:szCs w:val="18"/>
              </w:rPr>
              <w:t>3,156</w:t>
            </w:r>
          </w:p>
        </w:tc>
        <w:tc>
          <w:tcPr>
            <w:tcW w:w="809" w:type="dxa"/>
            <w:shd w:val="clear" w:color="auto" w:fill="auto"/>
            <w:noWrap/>
            <w:tcMar>
              <w:left w:w="115" w:type="dxa"/>
              <w:right w:w="115" w:type="dxa"/>
            </w:tcMar>
            <w:vAlign w:val="center"/>
            <w:hideMark/>
          </w:tcPr>
          <w:p w:rsidR="005B003E" w:rsidRPr="009242BE" w:rsidRDefault="005B003E" w:rsidP="00912A17">
            <w:pPr>
              <w:keepNext/>
              <w:keepLines/>
              <w:adjustRightInd/>
              <w:spacing w:before="40" w:after="40" w:line="240" w:lineRule="auto"/>
              <w:jc w:val="right"/>
              <w:textAlignment w:val="auto"/>
              <w:rPr>
                <w:rFonts w:asciiTheme="majorHAnsi" w:hAnsiTheme="majorHAnsi" w:cstheme="majorHAnsi"/>
                <w:color w:val="000000"/>
                <w:sz w:val="18"/>
                <w:szCs w:val="18"/>
              </w:rPr>
            </w:pPr>
            <w:r w:rsidRPr="009242BE">
              <w:rPr>
                <w:rFonts w:asciiTheme="majorHAnsi" w:hAnsiTheme="majorHAnsi" w:cstheme="majorHAnsi"/>
                <w:color w:val="000000"/>
                <w:sz w:val="18"/>
                <w:szCs w:val="18"/>
              </w:rPr>
              <w:t>3,162</w:t>
            </w:r>
          </w:p>
        </w:tc>
        <w:tc>
          <w:tcPr>
            <w:tcW w:w="808" w:type="dxa"/>
            <w:shd w:val="clear" w:color="auto" w:fill="auto"/>
            <w:noWrap/>
            <w:tcMar>
              <w:left w:w="115" w:type="dxa"/>
              <w:right w:w="115" w:type="dxa"/>
            </w:tcMar>
            <w:vAlign w:val="center"/>
            <w:hideMark/>
          </w:tcPr>
          <w:p w:rsidR="005B003E" w:rsidRPr="009242BE" w:rsidRDefault="005B003E" w:rsidP="00912A17">
            <w:pPr>
              <w:keepNext/>
              <w:keepLines/>
              <w:adjustRightInd/>
              <w:spacing w:before="40" w:after="40" w:line="240" w:lineRule="auto"/>
              <w:jc w:val="right"/>
              <w:textAlignment w:val="auto"/>
              <w:rPr>
                <w:rFonts w:asciiTheme="majorHAnsi" w:hAnsiTheme="majorHAnsi" w:cstheme="majorHAnsi"/>
                <w:color w:val="000000"/>
                <w:sz w:val="18"/>
                <w:szCs w:val="18"/>
              </w:rPr>
            </w:pPr>
            <w:r w:rsidRPr="009242BE">
              <w:rPr>
                <w:rFonts w:asciiTheme="majorHAnsi" w:hAnsiTheme="majorHAnsi" w:cstheme="majorHAnsi"/>
                <w:color w:val="000000"/>
                <w:sz w:val="18"/>
                <w:szCs w:val="18"/>
              </w:rPr>
              <w:t>3,197</w:t>
            </w:r>
          </w:p>
        </w:tc>
        <w:tc>
          <w:tcPr>
            <w:tcW w:w="809" w:type="dxa"/>
            <w:shd w:val="clear" w:color="auto" w:fill="auto"/>
            <w:noWrap/>
            <w:tcMar>
              <w:left w:w="115" w:type="dxa"/>
              <w:right w:w="115" w:type="dxa"/>
            </w:tcMar>
            <w:vAlign w:val="center"/>
            <w:hideMark/>
          </w:tcPr>
          <w:p w:rsidR="005B003E" w:rsidRPr="009242BE" w:rsidRDefault="005B003E" w:rsidP="00912A17">
            <w:pPr>
              <w:keepNext/>
              <w:keepLines/>
              <w:adjustRightInd/>
              <w:spacing w:before="40" w:after="40" w:line="240" w:lineRule="auto"/>
              <w:jc w:val="right"/>
              <w:textAlignment w:val="auto"/>
              <w:rPr>
                <w:rFonts w:asciiTheme="majorHAnsi" w:hAnsiTheme="majorHAnsi" w:cstheme="majorHAnsi"/>
                <w:color w:val="000000"/>
                <w:sz w:val="18"/>
                <w:szCs w:val="18"/>
              </w:rPr>
            </w:pPr>
            <w:r w:rsidRPr="009242BE">
              <w:rPr>
                <w:rFonts w:asciiTheme="majorHAnsi" w:hAnsiTheme="majorHAnsi" w:cstheme="majorHAnsi"/>
                <w:color w:val="000000"/>
                <w:sz w:val="18"/>
                <w:szCs w:val="18"/>
              </w:rPr>
              <w:t>3,159</w:t>
            </w:r>
          </w:p>
        </w:tc>
      </w:tr>
      <w:tr w:rsidR="005B003E" w:rsidRPr="009242BE" w:rsidTr="00CE1B10">
        <w:trPr>
          <w:trHeight w:val="285"/>
          <w:jc w:val="center"/>
        </w:trPr>
        <w:tc>
          <w:tcPr>
            <w:tcW w:w="1437" w:type="dxa"/>
            <w:vMerge/>
            <w:shd w:val="clear" w:color="auto" w:fill="auto"/>
            <w:vAlign w:val="center"/>
            <w:hideMark/>
          </w:tcPr>
          <w:p w:rsidR="005B003E" w:rsidRPr="009242BE" w:rsidRDefault="005B003E" w:rsidP="00912A17">
            <w:pPr>
              <w:keepNext/>
              <w:keepLines/>
              <w:adjustRightInd/>
              <w:spacing w:before="40" w:after="40" w:line="240" w:lineRule="auto"/>
              <w:textAlignment w:val="auto"/>
              <w:rPr>
                <w:rFonts w:asciiTheme="majorHAnsi" w:hAnsiTheme="majorHAnsi" w:cstheme="majorHAnsi"/>
                <w:color w:val="000000"/>
                <w:sz w:val="18"/>
                <w:szCs w:val="18"/>
              </w:rPr>
            </w:pPr>
          </w:p>
        </w:tc>
        <w:tc>
          <w:tcPr>
            <w:tcW w:w="1719" w:type="dxa"/>
            <w:shd w:val="clear" w:color="auto" w:fill="CCEAF9" w:themeFill="accent1" w:themeFillTint="33"/>
            <w:noWrap/>
            <w:vAlign w:val="center"/>
            <w:hideMark/>
          </w:tcPr>
          <w:p w:rsidR="005B003E" w:rsidRPr="009242BE" w:rsidRDefault="005B003E" w:rsidP="00912A17">
            <w:pPr>
              <w:keepNext/>
              <w:keepLines/>
              <w:adjustRightInd/>
              <w:spacing w:before="40" w:after="40" w:line="240" w:lineRule="auto"/>
              <w:textAlignment w:val="auto"/>
              <w:rPr>
                <w:rFonts w:asciiTheme="majorHAnsi" w:hAnsiTheme="majorHAnsi" w:cstheme="majorHAnsi"/>
                <w:color w:val="000000"/>
                <w:sz w:val="18"/>
                <w:szCs w:val="18"/>
              </w:rPr>
            </w:pPr>
            <w:r w:rsidRPr="009242BE">
              <w:rPr>
                <w:rFonts w:asciiTheme="majorHAnsi" w:hAnsiTheme="majorHAnsi" w:cstheme="majorHAnsi"/>
                <w:color w:val="000000"/>
                <w:sz w:val="18"/>
                <w:szCs w:val="18"/>
              </w:rPr>
              <w:t>Uplift</w:t>
            </w:r>
          </w:p>
        </w:tc>
        <w:tc>
          <w:tcPr>
            <w:tcW w:w="808" w:type="dxa"/>
            <w:shd w:val="clear" w:color="auto" w:fill="CCEAF9" w:themeFill="accent1" w:themeFillTint="33"/>
            <w:noWrap/>
            <w:tcMar>
              <w:left w:w="115" w:type="dxa"/>
              <w:right w:w="115" w:type="dxa"/>
            </w:tcMar>
            <w:vAlign w:val="center"/>
            <w:hideMark/>
          </w:tcPr>
          <w:p w:rsidR="005B003E" w:rsidRPr="009242BE" w:rsidRDefault="005B003E" w:rsidP="00912A17">
            <w:pPr>
              <w:keepNext/>
              <w:keepLines/>
              <w:adjustRightInd/>
              <w:spacing w:before="40" w:after="40" w:line="240" w:lineRule="auto"/>
              <w:jc w:val="right"/>
              <w:textAlignment w:val="auto"/>
              <w:rPr>
                <w:rFonts w:asciiTheme="majorHAnsi" w:hAnsiTheme="majorHAnsi" w:cstheme="majorHAnsi"/>
                <w:color w:val="000000"/>
                <w:sz w:val="18"/>
                <w:szCs w:val="18"/>
              </w:rPr>
            </w:pPr>
            <w:r w:rsidRPr="009242BE">
              <w:rPr>
                <w:rFonts w:asciiTheme="majorHAnsi" w:hAnsiTheme="majorHAnsi" w:cstheme="majorHAnsi"/>
                <w:color w:val="000000"/>
                <w:sz w:val="18"/>
                <w:szCs w:val="18"/>
              </w:rPr>
              <w:t>347</w:t>
            </w:r>
          </w:p>
        </w:tc>
        <w:tc>
          <w:tcPr>
            <w:tcW w:w="809" w:type="dxa"/>
            <w:shd w:val="clear" w:color="auto" w:fill="CCEAF9" w:themeFill="accent1" w:themeFillTint="33"/>
            <w:noWrap/>
            <w:tcMar>
              <w:left w:w="115" w:type="dxa"/>
              <w:right w:w="115" w:type="dxa"/>
            </w:tcMar>
            <w:vAlign w:val="center"/>
            <w:hideMark/>
          </w:tcPr>
          <w:p w:rsidR="005B003E" w:rsidRPr="009242BE" w:rsidRDefault="005B003E" w:rsidP="00912A17">
            <w:pPr>
              <w:keepNext/>
              <w:keepLines/>
              <w:adjustRightInd/>
              <w:spacing w:before="40" w:after="40" w:line="240" w:lineRule="auto"/>
              <w:jc w:val="right"/>
              <w:textAlignment w:val="auto"/>
              <w:rPr>
                <w:rFonts w:asciiTheme="majorHAnsi" w:hAnsiTheme="majorHAnsi" w:cstheme="majorHAnsi"/>
                <w:color w:val="000000"/>
                <w:sz w:val="18"/>
                <w:szCs w:val="18"/>
              </w:rPr>
            </w:pPr>
            <w:r w:rsidRPr="009242BE">
              <w:rPr>
                <w:rFonts w:asciiTheme="majorHAnsi" w:hAnsiTheme="majorHAnsi" w:cstheme="majorHAnsi"/>
                <w:color w:val="000000"/>
                <w:sz w:val="18"/>
                <w:szCs w:val="18"/>
              </w:rPr>
              <w:t>346</w:t>
            </w:r>
          </w:p>
        </w:tc>
        <w:tc>
          <w:tcPr>
            <w:tcW w:w="808" w:type="dxa"/>
            <w:shd w:val="clear" w:color="auto" w:fill="CCEAF9" w:themeFill="accent1" w:themeFillTint="33"/>
            <w:noWrap/>
            <w:tcMar>
              <w:left w:w="115" w:type="dxa"/>
              <w:right w:w="115" w:type="dxa"/>
            </w:tcMar>
            <w:vAlign w:val="center"/>
            <w:hideMark/>
          </w:tcPr>
          <w:p w:rsidR="005B003E" w:rsidRPr="009242BE" w:rsidRDefault="005B003E" w:rsidP="00912A17">
            <w:pPr>
              <w:keepNext/>
              <w:keepLines/>
              <w:adjustRightInd/>
              <w:spacing w:before="40" w:after="40" w:line="240" w:lineRule="auto"/>
              <w:jc w:val="right"/>
              <w:textAlignment w:val="auto"/>
              <w:rPr>
                <w:rFonts w:asciiTheme="majorHAnsi" w:hAnsiTheme="majorHAnsi" w:cstheme="majorHAnsi"/>
                <w:color w:val="000000"/>
                <w:sz w:val="18"/>
                <w:szCs w:val="18"/>
              </w:rPr>
            </w:pPr>
            <w:r w:rsidRPr="009242BE">
              <w:rPr>
                <w:rFonts w:asciiTheme="majorHAnsi" w:hAnsiTheme="majorHAnsi" w:cstheme="majorHAnsi"/>
                <w:color w:val="000000"/>
                <w:sz w:val="18"/>
                <w:szCs w:val="18"/>
              </w:rPr>
              <w:t>342</w:t>
            </w:r>
          </w:p>
        </w:tc>
        <w:tc>
          <w:tcPr>
            <w:tcW w:w="809" w:type="dxa"/>
            <w:shd w:val="clear" w:color="auto" w:fill="CCEAF9" w:themeFill="accent1" w:themeFillTint="33"/>
            <w:noWrap/>
            <w:tcMar>
              <w:left w:w="115" w:type="dxa"/>
              <w:right w:w="115" w:type="dxa"/>
            </w:tcMar>
            <w:vAlign w:val="center"/>
            <w:hideMark/>
          </w:tcPr>
          <w:p w:rsidR="005B003E" w:rsidRPr="009242BE" w:rsidRDefault="005B003E" w:rsidP="00912A17">
            <w:pPr>
              <w:keepNext/>
              <w:keepLines/>
              <w:adjustRightInd/>
              <w:spacing w:before="40" w:after="40" w:line="240" w:lineRule="auto"/>
              <w:jc w:val="right"/>
              <w:textAlignment w:val="auto"/>
              <w:rPr>
                <w:rFonts w:asciiTheme="majorHAnsi" w:hAnsiTheme="majorHAnsi" w:cstheme="majorHAnsi"/>
                <w:color w:val="000000"/>
                <w:sz w:val="18"/>
                <w:szCs w:val="18"/>
              </w:rPr>
            </w:pPr>
            <w:r w:rsidRPr="009242BE">
              <w:rPr>
                <w:rFonts w:asciiTheme="majorHAnsi" w:hAnsiTheme="majorHAnsi" w:cstheme="majorHAnsi"/>
                <w:color w:val="000000"/>
                <w:sz w:val="18"/>
                <w:szCs w:val="18"/>
              </w:rPr>
              <w:t>343</w:t>
            </w:r>
          </w:p>
        </w:tc>
      </w:tr>
      <w:tr w:rsidR="005B003E" w:rsidRPr="009242BE" w:rsidTr="00CE1B10">
        <w:trPr>
          <w:trHeight w:val="285"/>
          <w:jc w:val="center"/>
        </w:trPr>
        <w:tc>
          <w:tcPr>
            <w:tcW w:w="1437" w:type="dxa"/>
            <w:vMerge/>
            <w:shd w:val="clear" w:color="auto" w:fill="auto"/>
            <w:vAlign w:val="center"/>
            <w:hideMark/>
          </w:tcPr>
          <w:p w:rsidR="005B003E" w:rsidRPr="009242BE" w:rsidRDefault="005B003E" w:rsidP="00912A17">
            <w:pPr>
              <w:keepNext/>
              <w:keepLines/>
              <w:adjustRightInd/>
              <w:spacing w:before="40" w:after="40" w:line="240" w:lineRule="auto"/>
              <w:textAlignment w:val="auto"/>
              <w:rPr>
                <w:rFonts w:asciiTheme="majorHAnsi" w:hAnsiTheme="majorHAnsi" w:cstheme="majorHAnsi"/>
                <w:color w:val="000000"/>
                <w:sz w:val="18"/>
                <w:szCs w:val="18"/>
              </w:rPr>
            </w:pPr>
          </w:p>
        </w:tc>
        <w:tc>
          <w:tcPr>
            <w:tcW w:w="1719" w:type="dxa"/>
            <w:shd w:val="clear" w:color="auto" w:fill="auto"/>
            <w:noWrap/>
            <w:vAlign w:val="center"/>
            <w:hideMark/>
          </w:tcPr>
          <w:p w:rsidR="005B003E" w:rsidRPr="009242BE" w:rsidRDefault="005B003E" w:rsidP="00912A17">
            <w:pPr>
              <w:keepNext/>
              <w:keepLines/>
              <w:adjustRightInd/>
              <w:spacing w:before="40" w:after="40" w:line="240" w:lineRule="auto"/>
              <w:textAlignment w:val="auto"/>
              <w:rPr>
                <w:rFonts w:asciiTheme="majorHAnsi" w:hAnsiTheme="majorHAnsi" w:cstheme="majorHAnsi"/>
                <w:color w:val="000000"/>
                <w:sz w:val="18"/>
                <w:szCs w:val="18"/>
              </w:rPr>
            </w:pPr>
            <w:r w:rsidRPr="009242BE">
              <w:rPr>
                <w:rFonts w:asciiTheme="majorHAnsi" w:hAnsiTheme="majorHAnsi" w:cstheme="majorHAnsi"/>
                <w:color w:val="000000"/>
                <w:sz w:val="18"/>
                <w:szCs w:val="18"/>
              </w:rPr>
              <w:t>Total</w:t>
            </w:r>
          </w:p>
        </w:tc>
        <w:tc>
          <w:tcPr>
            <w:tcW w:w="808" w:type="dxa"/>
            <w:shd w:val="clear" w:color="auto" w:fill="auto"/>
            <w:noWrap/>
            <w:tcMar>
              <w:left w:w="115" w:type="dxa"/>
              <w:right w:w="115" w:type="dxa"/>
            </w:tcMar>
            <w:vAlign w:val="center"/>
            <w:hideMark/>
          </w:tcPr>
          <w:p w:rsidR="005B003E" w:rsidRPr="009242BE" w:rsidRDefault="005B003E" w:rsidP="00912A17">
            <w:pPr>
              <w:keepNext/>
              <w:keepLines/>
              <w:adjustRightInd/>
              <w:spacing w:before="40" w:after="40" w:line="240" w:lineRule="auto"/>
              <w:jc w:val="right"/>
              <w:textAlignment w:val="auto"/>
              <w:rPr>
                <w:rFonts w:asciiTheme="majorHAnsi" w:hAnsiTheme="majorHAnsi" w:cstheme="majorHAnsi"/>
                <w:color w:val="000000"/>
                <w:sz w:val="18"/>
                <w:szCs w:val="18"/>
              </w:rPr>
            </w:pPr>
            <w:r w:rsidRPr="009242BE">
              <w:rPr>
                <w:rFonts w:asciiTheme="majorHAnsi" w:hAnsiTheme="majorHAnsi" w:cstheme="majorHAnsi"/>
                <w:color w:val="000000"/>
                <w:sz w:val="18"/>
                <w:szCs w:val="18"/>
              </w:rPr>
              <w:t>3,504</w:t>
            </w:r>
          </w:p>
        </w:tc>
        <w:tc>
          <w:tcPr>
            <w:tcW w:w="809" w:type="dxa"/>
            <w:shd w:val="clear" w:color="auto" w:fill="auto"/>
            <w:noWrap/>
            <w:tcMar>
              <w:left w:w="115" w:type="dxa"/>
              <w:right w:w="115" w:type="dxa"/>
            </w:tcMar>
            <w:vAlign w:val="center"/>
            <w:hideMark/>
          </w:tcPr>
          <w:p w:rsidR="005B003E" w:rsidRPr="009242BE" w:rsidRDefault="005B003E" w:rsidP="00912A17">
            <w:pPr>
              <w:keepNext/>
              <w:keepLines/>
              <w:adjustRightInd/>
              <w:spacing w:before="40" w:after="40" w:line="240" w:lineRule="auto"/>
              <w:jc w:val="right"/>
              <w:textAlignment w:val="auto"/>
              <w:rPr>
                <w:rFonts w:asciiTheme="majorHAnsi" w:hAnsiTheme="majorHAnsi" w:cstheme="majorHAnsi"/>
                <w:color w:val="000000"/>
                <w:sz w:val="18"/>
                <w:szCs w:val="18"/>
              </w:rPr>
            </w:pPr>
            <w:r w:rsidRPr="009242BE">
              <w:rPr>
                <w:rFonts w:asciiTheme="majorHAnsi" w:hAnsiTheme="majorHAnsi" w:cstheme="majorHAnsi"/>
                <w:color w:val="000000"/>
                <w:sz w:val="18"/>
                <w:szCs w:val="18"/>
              </w:rPr>
              <w:t>3,507</w:t>
            </w:r>
          </w:p>
        </w:tc>
        <w:tc>
          <w:tcPr>
            <w:tcW w:w="808" w:type="dxa"/>
            <w:shd w:val="clear" w:color="auto" w:fill="auto"/>
            <w:noWrap/>
            <w:tcMar>
              <w:left w:w="115" w:type="dxa"/>
              <w:right w:w="115" w:type="dxa"/>
            </w:tcMar>
            <w:vAlign w:val="center"/>
            <w:hideMark/>
          </w:tcPr>
          <w:p w:rsidR="005B003E" w:rsidRPr="009242BE" w:rsidRDefault="005B003E" w:rsidP="00912A17">
            <w:pPr>
              <w:keepNext/>
              <w:keepLines/>
              <w:adjustRightInd/>
              <w:spacing w:before="40" w:after="40" w:line="240" w:lineRule="auto"/>
              <w:jc w:val="right"/>
              <w:textAlignment w:val="auto"/>
              <w:rPr>
                <w:rFonts w:asciiTheme="majorHAnsi" w:hAnsiTheme="majorHAnsi" w:cstheme="majorHAnsi"/>
                <w:color w:val="000000"/>
                <w:sz w:val="18"/>
                <w:szCs w:val="18"/>
              </w:rPr>
            </w:pPr>
            <w:r w:rsidRPr="009242BE">
              <w:rPr>
                <w:rFonts w:asciiTheme="majorHAnsi" w:hAnsiTheme="majorHAnsi" w:cstheme="majorHAnsi"/>
                <w:color w:val="000000"/>
                <w:sz w:val="18"/>
                <w:szCs w:val="18"/>
              </w:rPr>
              <w:t>3,538</w:t>
            </w:r>
          </w:p>
        </w:tc>
        <w:tc>
          <w:tcPr>
            <w:tcW w:w="809" w:type="dxa"/>
            <w:shd w:val="clear" w:color="auto" w:fill="auto"/>
            <w:noWrap/>
            <w:tcMar>
              <w:left w:w="115" w:type="dxa"/>
              <w:right w:w="115" w:type="dxa"/>
            </w:tcMar>
            <w:vAlign w:val="center"/>
            <w:hideMark/>
          </w:tcPr>
          <w:p w:rsidR="005B003E" w:rsidRPr="009242BE" w:rsidRDefault="005B003E" w:rsidP="00912A17">
            <w:pPr>
              <w:keepNext/>
              <w:keepLines/>
              <w:adjustRightInd/>
              <w:spacing w:before="40" w:after="40" w:line="240" w:lineRule="auto"/>
              <w:jc w:val="right"/>
              <w:textAlignment w:val="auto"/>
              <w:rPr>
                <w:rFonts w:asciiTheme="majorHAnsi" w:hAnsiTheme="majorHAnsi" w:cstheme="majorHAnsi"/>
                <w:color w:val="000000"/>
                <w:sz w:val="18"/>
                <w:szCs w:val="18"/>
              </w:rPr>
            </w:pPr>
            <w:r w:rsidRPr="009242BE">
              <w:rPr>
                <w:rFonts w:asciiTheme="majorHAnsi" w:hAnsiTheme="majorHAnsi" w:cstheme="majorHAnsi"/>
                <w:color w:val="000000"/>
                <w:sz w:val="18"/>
                <w:szCs w:val="18"/>
              </w:rPr>
              <w:t>3,502</w:t>
            </w:r>
          </w:p>
        </w:tc>
      </w:tr>
    </w:tbl>
    <w:p w:rsidR="00B46E4F" w:rsidRPr="00B46E4F" w:rsidRDefault="00B46E4F" w:rsidP="00912A17">
      <w:pPr>
        <w:spacing w:after="0" w:line="240" w:lineRule="auto"/>
      </w:pPr>
    </w:p>
    <w:p w:rsidR="00B46E4F" w:rsidRDefault="00A64049" w:rsidP="00B46E4F">
      <w:pPr>
        <w:pStyle w:val="Heading3"/>
      </w:pPr>
      <w:bookmarkStart w:id="79" w:name="_Toc44412054"/>
      <w:r>
        <w:t>Congestion by I</w:t>
      </w:r>
      <w:r w:rsidR="00B46E4F" w:rsidRPr="00B46E4F">
        <w:t>nterface</w:t>
      </w:r>
      <w:bookmarkEnd w:id="79"/>
    </w:p>
    <w:p w:rsidR="00B13496" w:rsidRDefault="004B3FA7" w:rsidP="00465709">
      <w:r w:rsidRPr="00CE1B10">
        <w:rPr>
          <w:b/>
        </w:rPr>
        <w:t xml:space="preserve">Locating new resources with relatively low production costs </w:t>
      </w:r>
      <w:r w:rsidR="006278A1" w:rsidRPr="00CE1B10">
        <w:rPr>
          <w:b/>
        </w:rPr>
        <w:t xml:space="preserve">(i.e., offshore wind) </w:t>
      </w:r>
      <w:r w:rsidRPr="00CE1B10">
        <w:rPr>
          <w:b/>
        </w:rPr>
        <w:t>near load centers in southern New England reduces systemwide congestion and the need for transmission expansion compared with scenarios that add remote resources without transmission improvements</w:t>
      </w:r>
      <w:r w:rsidRPr="00F54CC0">
        <w:rPr>
          <w:b/>
        </w:rPr>
        <w:t>, such as the development of renewable resources and imports in northern New England</w:t>
      </w:r>
      <w:r w:rsidR="00BF1EA7" w:rsidRPr="00F54CC0">
        <w:rPr>
          <w:b/>
        </w:rPr>
        <w:t xml:space="preserve">. </w:t>
      </w:r>
      <w:r w:rsidRPr="00CE1B10">
        <w:t>All offshore wind</w:t>
      </w:r>
      <w:r>
        <w:t xml:space="preserve"> interconnections for the 2019 NESCOE Economic Study were in southern New England and did</w:t>
      </w:r>
      <w:r w:rsidR="00953017" w:rsidRPr="00605F2A">
        <w:t xml:space="preserve"> not cause </w:t>
      </w:r>
      <w:r w:rsidR="00953017" w:rsidRPr="00465709">
        <w:rPr>
          <w:i/>
        </w:rPr>
        <w:t>si</w:t>
      </w:r>
      <w:r w:rsidRPr="00465709">
        <w:rPr>
          <w:i/>
        </w:rPr>
        <w:t>gnificant</w:t>
      </w:r>
      <w:r>
        <w:t xml:space="preserve"> interface congestion</w:t>
      </w:r>
      <w:r w:rsidR="00A64049">
        <w:t xml:space="preserve"> when evaluated with the pipe and </w:t>
      </w:r>
      <w:r w:rsidR="00A64049" w:rsidRPr="00BD5526">
        <w:t>bubble</w:t>
      </w:r>
      <w:r w:rsidR="00745932" w:rsidRPr="00BD5526">
        <w:t xml:space="preserve"> </w:t>
      </w:r>
      <w:r w:rsidR="00703947" w:rsidRPr="00BD5526">
        <w:t>methodology</w:t>
      </w:r>
      <w:r w:rsidR="00D011F4" w:rsidRPr="00BD5526">
        <w:t xml:space="preserve"> (refer to Section </w:t>
      </w:r>
      <w:r w:rsidR="00D011F4" w:rsidRPr="00BD5526">
        <w:fldChar w:fldCharType="begin"/>
      </w:r>
      <w:r w:rsidR="00D011F4" w:rsidRPr="00BD5526">
        <w:instrText xml:space="preserve"> REF _Ref42679720 \n \h </w:instrText>
      </w:r>
      <w:r w:rsidR="00BD5526">
        <w:instrText xml:space="preserve"> \* MERGEFORMAT </w:instrText>
      </w:r>
      <w:r w:rsidR="00D011F4" w:rsidRPr="00BD5526">
        <w:fldChar w:fldCharType="separate"/>
      </w:r>
      <w:r w:rsidR="001F5E1A" w:rsidRPr="00BD5526">
        <w:t>5.2.1</w:t>
      </w:r>
      <w:r w:rsidR="00D011F4" w:rsidRPr="00BD5526">
        <w:fldChar w:fldCharType="end"/>
      </w:r>
      <w:r w:rsidR="00D011F4" w:rsidRPr="00BD5526">
        <w:t>)</w:t>
      </w:r>
      <w:r w:rsidRPr="00BD5526">
        <w:t>.</w:t>
      </w:r>
      <w:r w:rsidRPr="00BD5526">
        <w:rPr>
          <w:rStyle w:val="FootnoteReference"/>
        </w:rPr>
        <w:footnoteReference w:id="38"/>
      </w:r>
      <w:r w:rsidR="00465709" w:rsidRPr="00BD5526">
        <w:t xml:space="preserve"> </w:t>
      </w:r>
      <w:r w:rsidR="00B12B45" w:rsidRPr="00BD5526">
        <w:t xml:space="preserve">Though minimal, congestion varies as the amount of </w:t>
      </w:r>
      <w:r w:rsidR="00F47812" w:rsidRPr="00BD5526">
        <w:t xml:space="preserve">offshore wind </w:t>
      </w:r>
      <w:r w:rsidR="00B12B45" w:rsidRPr="00BD5526">
        <w:t>production increases and the demand for constrained resources declines</w:t>
      </w:r>
      <w:r w:rsidR="005043AC" w:rsidRPr="00BD5526">
        <w:t>.</w:t>
      </w:r>
      <w:r w:rsidR="00A64049" w:rsidRPr="00BD5526">
        <w:t xml:space="preserve"> As</w:t>
      </w:r>
      <w:r w:rsidR="00A64049">
        <w:t xml:space="preserve"> illustrated in </w:t>
      </w:r>
      <w:r w:rsidR="002F06C2" w:rsidRPr="0005623C">
        <w:fldChar w:fldCharType="begin"/>
      </w:r>
      <w:r w:rsidR="002F06C2" w:rsidRPr="00A7517A">
        <w:instrText xml:space="preserve"> REF _Ref42678355 \h  \* MERGEFORMAT </w:instrText>
      </w:r>
      <w:r w:rsidR="002F06C2" w:rsidRPr="0005623C">
        <w:fldChar w:fldCharType="separate"/>
      </w:r>
      <w:r w:rsidR="001F5E1A" w:rsidRPr="00D13443">
        <w:t xml:space="preserve">Figure </w:t>
      </w:r>
      <w:r w:rsidR="001F5E1A">
        <w:rPr>
          <w:noProof/>
        </w:rPr>
        <w:t>6</w:t>
      </w:r>
      <w:r w:rsidR="001F5E1A" w:rsidRPr="00D13443">
        <w:rPr>
          <w:noProof/>
        </w:rPr>
        <w:noBreakHyphen/>
      </w:r>
      <w:r w:rsidR="001F5E1A">
        <w:rPr>
          <w:noProof/>
        </w:rPr>
        <w:t>8</w:t>
      </w:r>
      <w:r w:rsidR="002F06C2" w:rsidRPr="0005623C">
        <w:fldChar w:fldCharType="end"/>
      </w:r>
      <w:r w:rsidR="00A64049" w:rsidRPr="00A7517A">
        <w:t>,</w:t>
      </w:r>
      <w:r w:rsidR="00A64049">
        <w:t xml:space="preserve"> c</w:t>
      </w:r>
      <w:r w:rsidR="00B13496" w:rsidRPr="00B13496">
        <w:t xml:space="preserve">ongestion in the 8,000 MW scenarios is vastly less than in the 0 MW </w:t>
      </w:r>
      <w:r w:rsidR="00F47812">
        <w:t>offshore wind</w:t>
      </w:r>
      <w:r w:rsidR="00B13496" w:rsidRPr="00B13496">
        <w:t xml:space="preserve"> scenarios</w:t>
      </w:r>
      <w:r w:rsidR="00B117F3">
        <w:t>, and t</w:t>
      </w:r>
      <w:r w:rsidR="00465709">
        <w:t xml:space="preserve">he </w:t>
      </w:r>
      <w:r w:rsidR="00B13496" w:rsidRPr="00B13496">
        <w:t xml:space="preserve">ME-NH interface </w:t>
      </w:r>
      <w:r w:rsidR="00A576FA">
        <w:t>becomes</w:t>
      </w:r>
      <w:r w:rsidR="00B12B45">
        <w:t xml:space="preserve"> </w:t>
      </w:r>
      <w:r w:rsidR="00B13496" w:rsidRPr="00B13496">
        <w:t xml:space="preserve">the binding interface </w:t>
      </w:r>
      <w:r w:rsidR="00A576FA">
        <w:t xml:space="preserve">once </w:t>
      </w:r>
      <w:r w:rsidR="00B13496" w:rsidRPr="00B13496">
        <w:t>the Surowiec-South transfer limit</w:t>
      </w:r>
      <w:r w:rsidR="002F7B36">
        <w:t xml:space="preserve"> is</w:t>
      </w:r>
      <w:r w:rsidR="00B13496" w:rsidRPr="00B13496">
        <w:t xml:space="preserve"> increased</w:t>
      </w:r>
      <w:r w:rsidR="00B117F3">
        <w:t xml:space="preserve"> to 2,</w:t>
      </w:r>
      <w:r w:rsidR="00B12B45">
        <w:t>500 </w:t>
      </w:r>
      <w:r w:rsidR="00B117F3">
        <w:t>MW</w:t>
      </w:r>
      <w:r w:rsidR="00B13496" w:rsidRPr="00B13496">
        <w:t>.</w:t>
      </w:r>
      <w:r w:rsidR="00E64B7D">
        <w:rPr>
          <w:rStyle w:val="FootnoteReference"/>
        </w:rPr>
        <w:footnoteReference w:id="39"/>
      </w:r>
      <w:r w:rsidR="00B13496" w:rsidRPr="00B13496">
        <w:t xml:space="preserve"> </w:t>
      </w:r>
    </w:p>
    <w:p w:rsidR="006F2D0A" w:rsidRPr="00E712DA" w:rsidRDefault="006F2D0A" w:rsidP="00E712DA">
      <w:pPr>
        <w:keepNext/>
        <w:keepLines/>
        <w:spacing w:after="0" w:line="240" w:lineRule="auto"/>
        <w:jc w:val="center"/>
        <w:rPr>
          <w:b/>
        </w:rPr>
      </w:pPr>
      <w:r w:rsidRPr="00E712DA">
        <w:rPr>
          <w:b/>
          <w:noProof/>
        </w:rPr>
        <w:drawing>
          <wp:inline distT="0" distB="0" distL="0" distR="0" wp14:anchorId="52F2A170" wp14:editId="41282632">
            <wp:extent cx="5418888" cy="2478217"/>
            <wp:effectExtent l="19050" t="19050" r="10795" b="177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24156" cy="2480626"/>
                    </a:xfrm>
                    <a:prstGeom prst="rect">
                      <a:avLst/>
                    </a:prstGeom>
                    <a:noFill/>
                    <a:ln w="3175">
                      <a:solidFill>
                        <a:srgbClr val="000000"/>
                      </a:solidFill>
                    </a:ln>
                  </pic:spPr>
                </pic:pic>
              </a:graphicData>
            </a:graphic>
          </wp:inline>
        </w:drawing>
      </w:r>
    </w:p>
    <w:p w:rsidR="00D326E9" w:rsidRDefault="002F06C2" w:rsidP="009242BE">
      <w:pPr>
        <w:pStyle w:val="Caption"/>
        <w:keepNext w:val="0"/>
        <w:keepLines w:val="0"/>
        <w:spacing w:before="120" w:after="240"/>
        <w:ind w:left="450"/>
      </w:pPr>
      <w:bookmarkStart w:id="80" w:name="_Ref42678355"/>
      <w:bookmarkStart w:id="81" w:name="_Toc43224485"/>
      <w:r w:rsidRPr="00D326E9">
        <w:t xml:space="preserve">Figure </w:t>
      </w:r>
      <w:fldSimple w:instr=" STYLEREF 1 \s ">
        <w:r w:rsidR="001F5E1A">
          <w:rPr>
            <w:noProof/>
          </w:rPr>
          <w:t>6</w:t>
        </w:r>
      </w:fldSimple>
      <w:r w:rsidR="00C5246A" w:rsidRPr="00D326E9">
        <w:noBreakHyphen/>
      </w:r>
      <w:fldSimple w:instr=" SEQ Figure \* ARABIC \s 1 ">
        <w:r w:rsidR="001F5E1A">
          <w:rPr>
            <w:noProof/>
          </w:rPr>
          <w:t>8</w:t>
        </w:r>
      </w:fldSimple>
      <w:bookmarkEnd w:id="80"/>
      <w:r w:rsidRPr="00D326E9">
        <w:t>: Congestion by interface ($ million).</w:t>
      </w:r>
      <w:bookmarkEnd w:id="81"/>
    </w:p>
    <w:p w:rsidR="00B46E4F" w:rsidRDefault="00E83C82" w:rsidP="00F54CC0">
      <w:pPr>
        <w:pStyle w:val="Heading3"/>
      </w:pPr>
      <w:bookmarkStart w:id="82" w:name="_Toc44412055"/>
      <w:r>
        <w:lastRenderedPageBreak/>
        <w:t>Native New England Resource CO</w:t>
      </w:r>
      <w:r w:rsidRPr="00E83C82">
        <w:rPr>
          <w:vertAlign w:val="subscript"/>
        </w:rPr>
        <w:t>2</w:t>
      </w:r>
      <w:r>
        <w:t xml:space="preserve"> E</w:t>
      </w:r>
      <w:r w:rsidR="00B46E4F" w:rsidRPr="00B46E4F">
        <w:t>missions</w:t>
      </w:r>
      <w:bookmarkEnd w:id="82"/>
    </w:p>
    <w:p w:rsidR="00B13496" w:rsidRPr="00D70BD1" w:rsidRDefault="00E83C82" w:rsidP="00F54CC0">
      <w:pPr>
        <w:keepNext/>
        <w:keepLines/>
      </w:pPr>
      <w:r w:rsidRPr="00E83C82">
        <w:t>The results for the metrics that assessed the environmental impacts associated with the different scenarios provide some insight on future emission trends. The total CO</w:t>
      </w:r>
      <w:r w:rsidRPr="00E83C82">
        <w:rPr>
          <w:vertAlign w:val="subscript"/>
        </w:rPr>
        <w:t>2</w:t>
      </w:r>
      <w:r w:rsidRPr="00E83C82">
        <w:t xml:space="preserve"> emissions associated with the different scenarios are directly </w:t>
      </w:r>
      <w:r w:rsidR="005043AC">
        <w:t>associated with</w:t>
      </w:r>
      <w:r w:rsidRPr="00E83C82">
        <w:t xml:space="preserve"> the type and amount of fossil fuels the different scenarios use to generate electricity</w:t>
      </w:r>
      <w:r w:rsidR="00BF1EA7">
        <w:t xml:space="preserve">. </w:t>
      </w:r>
      <w:r w:rsidRPr="00CE1B10">
        <w:rPr>
          <w:b/>
        </w:rPr>
        <w:t>For the NESCOE 2019 Economic Study, c</w:t>
      </w:r>
      <w:r w:rsidR="00B13496" w:rsidRPr="00CE1B10">
        <w:rPr>
          <w:b/>
        </w:rPr>
        <w:t>arbon emissions are similar across the 8,</w:t>
      </w:r>
      <w:r w:rsidR="005043AC" w:rsidRPr="00CE1B10">
        <w:rPr>
          <w:b/>
        </w:rPr>
        <w:t>000 </w:t>
      </w:r>
      <w:r w:rsidR="00B13496" w:rsidRPr="00CE1B10">
        <w:rPr>
          <w:b/>
        </w:rPr>
        <w:t xml:space="preserve">MW </w:t>
      </w:r>
      <w:r w:rsidR="00EE2882" w:rsidRPr="00CE1B10">
        <w:rPr>
          <w:b/>
        </w:rPr>
        <w:t>offshore wind</w:t>
      </w:r>
      <w:r w:rsidR="00B13496" w:rsidRPr="00CE1B10">
        <w:rPr>
          <w:b/>
        </w:rPr>
        <w:t xml:space="preserve"> scenarios but </w:t>
      </w:r>
      <w:r w:rsidRPr="00CE1B10">
        <w:rPr>
          <w:b/>
        </w:rPr>
        <w:t xml:space="preserve">are </w:t>
      </w:r>
      <w:r w:rsidR="00B13496" w:rsidRPr="00CE1B10">
        <w:rPr>
          <w:b/>
        </w:rPr>
        <w:t xml:space="preserve">reduced by </w:t>
      </w:r>
      <w:r w:rsidRPr="00CE1B10">
        <w:rPr>
          <w:b/>
        </w:rPr>
        <w:t>approximately one-third</w:t>
      </w:r>
      <w:r w:rsidR="00B13496" w:rsidRPr="00CE1B10">
        <w:rPr>
          <w:b/>
        </w:rPr>
        <w:t xml:space="preserve"> from the 0 MW </w:t>
      </w:r>
      <w:r w:rsidRPr="00CE1B10">
        <w:rPr>
          <w:b/>
        </w:rPr>
        <w:t xml:space="preserve">(Reference Case) </w:t>
      </w:r>
      <w:r w:rsidR="00B13496" w:rsidRPr="00CE1B10">
        <w:rPr>
          <w:b/>
        </w:rPr>
        <w:t>scenario</w:t>
      </w:r>
      <w:r w:rsidRPr="00CE1B10">
        <w:rPr>
          <w:b/>
        </w:rPr>
        <w:t xml:space="preserve"> </w:t>
      </w:r>
      <w:r w:rsidR="00EE2882" w:rsidRPr="00F54CC0">
        <w:rPr>
          <w:b/>
        </w:rPr>
        <w:t>for native New England resources in the 2030 study year</w:t>
      </w:r>
      <w:r w:rsidR="00885625" w:rsidRPr="00F54CC0">
        <w:rPr>
          <w:b/>
        </w:rPr>
        <w:t>,</w:t>
      </w:r>
      <w:r w:rsidR="00EE2882" w:rsidRPr="00F54CC0">
        <w:rPr>
          <w:b/>
        </w:rPr>
        <w:t xml:space="preserve"> </w:t>
      </w:r>
      <w:r w:rsidRPr="00F54CC0">
        <w:rPr>
          <w:b/>
        </w:rPr>
        <w:t xml:space="preserve">as shown in </w:t>
      </w:r>
      <w:r w:rsidR="00885625" w:rsidRPr="00F54CC0">
        <w:rPr>
          <w:b/>
        </w:rPr>
        <w:fldChar w:fldCharType="begin"/>
      </w:r>
      <w:r w:rsidR="00885625" w:rsidRPr="00F54CC0">
        <w:rPr>
          <w:b/>
        </w:rPr>
        <w:instrText xml:space="preserve"> REF _Ref42680968 \h  \* MERGEFORMAT </w:instrText>
      </w:r>
      <w:r w:rsidR="00885625" w:rsidRPr="00F54CC0">
        <w:rPr>
          <w:b/>
        </w:rPr>
      </w:r>
      <w:r w:rsidR="00885625" w:rsidRPr="00F54CC0">
        <w:rPr>
          <w:b/>
        </w:rPr>
        <w:fldChar w:fldCharType="separate"/>
      </w:r>
      <w:r w:rsidR="001F5E1A" w:rsidRPr="00F54CC0">
        <w:rPr>
          <w:b/>
        </w:rPr>
        <w:t xml:space="preserve">Figure </w:t>
      </w:r>
      <w:r w:rsidR="001F5E1A" w:rsidRPr="00F54CC0">
        <w:rPr>
          <w:b/>
          <w:noProof/>
        </w:rPr>
        <w:t>6</w:t>
      </w:r>
      <w:r w:rsidR="001F5E1A" w:rsidRPr="00F54CC0">
        <w:rPr>
          <w:b/>
          <w:noProof/>
        </w:rPr>
        <w:noBreakHyphen/>
        <w:t>9</w:t>
      </w:r>
      <w:r w:rsidR="00885625" w:rsidRPr="00F54CC0">
        <w:rPr>
          <w:b/>
        </w:rPr>
        <w:fldChar w:fldCharType="end"/>
      </w:r>
      <w:r w:rsidR="00BF1EA7" w:rsidRPr="00F54CC0">
        <w:rPr>
          <w:b/>
        </w:rPr>
        <w:t>.</w:t>
      </w:r>
      <w:r w:rsidR="00BF1EA7" w:rsidRPr="00D70BD1">
        <w:t xml:space="preserve"> </w:t>
      </w:r>
    </w:p>
    <w:p w:rsidR="006F2D0A" w:rsidRDefault="006F2D0A" w:rsidP="00475FB2">
      <w:pPr>
        <w:spacing w:after="0" w:line="240" w:lineRule="auto"/>
        <w:jc w:val="center"/>
      </w:pPr>
      <w:r w:rsidRPr="006F2D0A">
        <w:rPr>
          <w:noProof/>
        </w:rPr>
        <w:drawing>
          <wp:inline distT="0" distB="0" distL="0" distR="0" wp14:anchorId="3C4E2435" wp14:editId="1CCFC924">
            <wp:extent cx="5943600" cy="2739069"/>
            <wp:effectExtent l="19050" t="19050" r="19050" b="2349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739069"/>
                    </a:xfrm>
                    <a:prstGeom prst="rect">
                      <a:avLst/>
                    </a:prstGeom>
                    <a:noFill/>
                    <a:ln w="3175">
                      <a:solidFill>
                        <a:srgbClr val="000000"/>
                      </a:solidFill>
                    </a:ln>
                  </pic:spPr>
                </pic:pic>
              </a:graphicData>
            </a:graphic>
          </wp:inline>
        </w:drawing>
      </w:r>
    </w:p>
    <w:p w:rsidR="00885625" w:rsidRPr="00885625" w:rsidRDefault="00885625" w:rsidP="00E712DA">
      <w:pPr>
        <w:pStyle w:val="Caption"/>
        <w:spacing w:before="120" w:after="240"/>
        <w:rPr>
          <w:bCs w:val="0"/>
        </w:rPr>
      </w:pPr>
      <w:bookmarkStart w:id="83" w:name="_Ref42680968"/>
      <w:bookmarkStart w:id="84" w:name="_Toc43224486"/>
      <w:r w:rsidRPr="00885625">
        <w:t xml:space="preserve">Figure </w:t>
      </w:r>
      <w:fldSimple w:instr=" STYLEREF 1 \s ">
        <w:r w:rsidR="001F5E1A">
          <w:rPr>
            <w:noProof/>
          </w:rPr>
          <w:t>6</w:t>
        </w:r>
      </w:fldSimple>
      <w:r w:rsidR="00C5246A">
        <w:noBreakHyphen/>
      </w:r>
      <w:fldSimple w:instr=" SEQ Figure \* ARABIC \s 1 ">
        <w:r w:rsidR="001F5E1A">
          <w:rPr>
            <w:noProof/>
          </w:rPr>
          <w:t>9</w:t>
        </w:r>
      </w:fldSimple>
      <w:bookmarkEnd w:id="83"/>
      <w:r w:rsidRPr="00885625">
        <w:t xml:space="preserve">: </w:t>
      </w:r>
      <w:r w:rsidRPr="00885625">
        <w:rPr>
          <w:bCs w:val="0"/>
        </w:rPr>
        <w:t>Native New England resource CO</w:t>
      </w:r>
      <w:r w:rsidRPr="00885625">
        <w:rPr>
          <w:bCs w:val="0"/>
          <w:vertAlign w:val="subscript"/>
        </w:rPr>
        <w:t>2</w:t>
      </w:r>
      <w:r w:rsidRPr="00885625">
        <w:rPr>
          <w:bCs w:val="0"/>
        </w:rPr>
        <w:t xml:space="preserve"> emissions (millions of short tons).</w:t>
      </w:r>
      <w:bookmarkEnd w:id="84"/>
    </w:p>
    <w:p w:rsidR="00E83C82" w:rsidRDefault="00EE2882" w:rsidP="00E83C82">
      <w:r>
        <w:t>Looking closely at the 8000_1 scenario</w:t>
      </w:r>
      <w:r w:rsidR="00885625">
        <w:t xml:space="preserve"> in </w:t>
      </w:r>
      <w:r w:rsidR="00885625" w:rsidRPr="001C4363">
        <w:fldChar w:fldCharType="begin"/>
      </w:r>
      <w:r w:rsidR="00885625" w:rsidRPr="001C4363">
        <w:instrText xml:space="preserve"> REF _Ref42681114 \h  \* MERGEFORMAT </w:instrText>
      </w:r>
      <w:r w:rsidR="00885625" w:rsidRPr="001C4363">
        <w:fldChar w:fldCharType="separate"/>
      </w:r>
      <w:r w:rsidR="001F5E1A" w:rsidRPr="00885625">
        <w:t xml:space="preserve">Figure </w:t>
      </w:r>
      <w:r w:rsidR="001F5E1A">
        <w:rPr>
          <w:noProof/>
        </w:rPr>
        <w:t>6</w:t>
      </w:r>
      <w:r w:rsidR="001F5E1A">
        <w:rPr>
          <w:noProof/>
        </w:rPr>
        <w:noBreakHyphen/>
        <w:t>10</w:t>
      </w:r>
      <w:r w:rsidR="00885625" w:rsidRPr="001C4363">
        <w:fldChar w:fldCharType="end"/>
      </w:r>
      <w:r>
        <w:t>, CO</w:t>
      </w:r>
      <w:r w:rsidRPr="00EE2882">
        <w:rPr>
          <w:vertAlign w:val="subscript"/>
        </w:rPr>
        <w:t xml:space="preserve">2 </w:t>
      </w:r>
      <w:r>
        <w:t xml:space="preserve">emissions are highest </w:t>
      </w:r>
      <w:r w:rsidR="00BD5526">
        <w:t>when loads are high and wind and solar production is low.</w:t>
      </w:r>
      <w:r>
        <w:t xml:space="preserve"> R</w:t>
      </w:r>
      <w:r w:rsidR="00E83C82">
        <w:t xml:space="preserve">esults </w:t>
      </w:r>
      <w:r>
        <w:t>are similar for the other 8,</w:t>
      </w:r>
      <w:r w:rsidR="00D90AF4">
        <w:t>000 </w:t>
      </w:r>
      <w:r w:rsidR="00E83C82">
        <w:t xml:space="preserve">MW </w:t>
      </w:r>
      <w:r>
        <w:t xml:space="preserve">offshore wind </w:t>
      </w:r>
      <w:r w:rsidR="00E83C82">
        <w:t>scenarios.</w:t>
      </w:r>
    </w:p>
    <w:p w:rsidR="00354FD6" w:rsidRPr="00B13496" w:rsidRDefault="00354FD6" w:rsidP="00354FD6">
      <w:pPr>
        <w:spacing w:after="0" w:line="240" w:lineRule="auto"/>
      </w:pPr>
      <w:r w:rsidRPr="00354FD6">
        <w:rPr>
          <w:noProof/>
        </w:rPr>
        <w:drawing>
          <wp:inline distT="0" distB="0" distL="0" distR="0" wp14:anchorId="67FD779F" wp14:editId="2BF93CB9">
            <wp:extent cx="5604806" cy="2473417"/>
            <wp:effectExtent l="19050" t="19050" r="15240"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29813" cy="2484453"/>
                    </a:xfrm>
                    <a:prstGeom prst="rect">
                      <a:avLst/>
                    </a:prstGeom>
                    <a:noFill/>
                    <a:ln w="3175">
                      <a:solidFill>
                        <a:srgbClr val="000000"/>
                      </a:solidFill>
                    </a:ln>
                  </pic:spPr>
                </pic:pic>
              </a:graphicData>
            </a:graphic>
          </wp:inline>
        </w:drawing>
      </w:r>
    </w:p>
    <w:p w:rsidR="00885625" w:rsidRPr="00885625" w:rsidRDefault="00885625" w:rsidP="00354FD6">
      <w:pPr>
        <w:pStyle w:val="Caption"/>
        <w:keepNext w:val="0"/>
        <w:keepLines w:val="0"/>
        <w:spacing w:before="120" w:after="240"/>
        <w:ind w:right="540"/>
      </w:pPr>
      <w:bookmarkStart w:id="85" w:name="_Ref42681114"/>
      <w:bookmarkStart w:id="86" w:name="_Toc43224487"/>
      <w:r w:rsidRPr="00885625">
        <w:t xml:space="preserve">Figure </w:t>
      </w:r>
      <w:fldSimple w:instr=" STYLEREF 1 \s ">
        <w:r w:rsidR="001F5E1A">
          <w:rPr>
            <w:noProof/>
          </w:rPr>
          <w:t>6</w:t>
        </w:r>
      </w:fldSimple>
      <w:r w:rsidR="00C5246A">
        <w:noBreakHyphen/>
      </w:r>
      <w:fldSimple w:instr=" SEQ Figure \* ARABIC \s 1 ">
        <w:r w:rsidR="001F5E1A">
          <w:rPr>
            <w:noProof/>
          </w:rPr>
          <w:t>10</w:t>
        </w:r>
      </w:fldSimple>
      <w:bookmarkEnd w:id="85"/>
      <w:r w:rsidRPr="00885625">
        <w:t xml:space="preserve">: </w:t>
      </w:r>
      <w:r w:rsidRPr="00885625">
        <w:rPr>
          <w:bCs w:val="0"/>
        </w:rPr>
        <w:t>Native New England resource CO</w:t>
      </w:r>
      <w:r w:rsidRPr="00885625">
        <w:rPr>
          <w:bCs w:val="0"/>
          <w:vertAlign w:val="subscript"/>
        </w:rPr>
        <w:t>2</w:t>
      </w:r>
      <w:r w:rsidRPr="00885625">
        <w:rPr>
          <w:bCs w:val="0"/>
        </w:rPr>
        <w:t xml:space="preserve"> emissions (millions of short tons) by month for the 8000_1 scenarios</w:t>
      </w:r>
      <w:r>
        <w:rPr>
          <w:bCs w:val="0"/>
        </w:rPr>
        <w:t>.</w:t>
      </w:r>
      <w:bookmarkEnd w:id="86"/>
    </w:p>
    <w:p w:rsidR="00C52D11" w:rsidRPr="00D31BDB" w:rsidRDefault="00C52D11" w:rsidP="00912A17">
      <w:pPr>
        <w:pStyle w:val="Heading3"/>
      </w:pPr>
      <w:bookmarkStart w:id="87" w:name="_Ref44400107"/>
      <w:bookmarkStart w:id="88" w:name="_Toc44412056"/>
      <w:r w:rsidRPr="00D31BDB">
        <w:lastRenderedPageBreak/>
        <w:t>Ancillary Services</w:t>
      </w:r>
      <w:bookmarkEnd w:id="87"/>
      <w:bookmarkEnd w:id="88"/>
    </w:p>
    <w:p w:rsidR="002A2543" w:rsidRDefault="00A17A3E" w:rsidP="00912A17">
      <w:pPr>
        <w:keepNext/>
        <w:keepLines/>
      </w:pPr>
      <w:r w:rsidRPr="00A17A3E">
        <w:t xml:space="preserve">Without sufficient ancillary services, the electrical grid can be become unstable and potentially experience extreme consequences, such as brownouts and blackouts. Ancillary services primarily focus on the ability of the electrical grid to maintain the constant balance between equally sized supply and demand for electricity needed for grid stability. </w:t>
      </w:r>
      <w:r w:rsidR="00AD611D">
        <w:t xml:space="preserve">As </w:t>
      </w:r>
      <w:r w:rsidR="00A207EE">
        <w:t xml:space="preserve">part of </w:t>
      </w:r>
      <w:r w:rsidR="009326E4">
        <w:t xml:space="preserve">its </w:t>
      </w:r>
      <w:r w:rsidR="00A207EE">
        <w:t xml:space="preserve">2019 </w:t>
      </w:r>
      <w:r w:rsidR="009326E4" w:rsidRPr="00E62212">
        <w:t>e</w:t>
      </w:r>
      <w:r w:rsidR="00A207EE" w:rsidRPr="00E62212">
        <w:t>conomic</w:t>
      </w:r>
      <w:r w:rsidR="00E62212">
        <w:t>-</w:t>
      </w:r>
      <w:r w:rsidR="009326E4" w:rsidRPr="00E62212">
        <w:t>s</w:t>
      </w:r>
      <w:r w:rsidR="00A207EE" w:rsidRPr="00E62212">
        <w:t>tudy</w:t>
      </w:r>
      <w:r w:rsidR="00A207EE">
        <w:t xml:space="preserve"> r</w:t>
      </w:r>
      <w:r w:rsidR="00AD611D">
        <w:t xml:space="preserve">equest, </w:t>
      </w:r>
      <w:r w:rsidR="009326E4">
        <w:t xml:space="preserve">NESCOE asked </w:t>
      </w:r>
      <w:r w:rsidR="00AD611D" w:rsidRPr="00A7517A">
        <w:t xml:space="preserve">the ISO </w:t>
      </w:r>
      <w:r w:rsidR="009326E4" w:rsidRPr="006B0E4C">
        <w:t xml:space="preserve">to identify </w:t>
      </w:r>
      <w:r w:rsidR="009326E4">
        <w:t xml:space="preserve">possible </w:t>
      </w:r>
      <w:r w:rsidR="009326E4" w:rsidRPr="006B0E4C">
        <w:t xml:space="preserve">new grid opportunities </w:t>
      </w:r>
      <w:r w:rsidR="00AD611D" w:rsidRPr="00A7517A">
        <w:t>as market needs change</w:t>
      </w:r>
      <w:r w:rsidR="00AD611D" w:rsidRPr="009326E4">
        <w:t xml:space="preserve"> </w:t>
      </w:r>
      <w:r w:rsidR="00AD611D" w:rsidRPr="00A7517A">
        <w:t xml:space="preserve">to address challenges, including </w:t>
      </w:r>
      <w:r>
        <w:t xml:space="preserve">the ancillary services of </w:t>
      </w:r>
      <w:r w:rsidR="00AD611D" w:rsidRPr="00A7517A">
        <w:t>load following, regulation, operating reserves, and operation during low-load periods</w:t>
      </w:r>
      <w:r w:rsidR="006B0E4C">
        <w:t>.</w:t>
      </w:r>
      <w:r w:rsidR="00AD611D" w:rsidRPr="00A7517A">
        <w:rPr>
          <w:rStyle w:val="FootnoteReference"/>
        </w:rPr>
        <w:footnoteReference w:id="40"/>
      </w:r>
      <w:r w:rsidR="00AD611D" w:rsidRPr="00A7517A">
        <w:t xml:space="preserve"> </w:t>
      </w:r>
      <w:r>
        <w:t>This ancillary services analysis deals with the many physical qualities of the grid that must be kept in balance for the grid to remain stable.</w:t>
      </w:r>
    </w:p>
    <w:p w:rsidR="00C52D11" w:rsidRDefault="00AD611D" w:rsidP="0057594B">
      <w:pPr>
        <w:keepNext/>
        <w:keepLines/>
      </w:pPr>
      <w:r w:rsidRPr="002A2543">
        <w:t>The ISO u</w:t>
      </w:r>
      <w:r w:rsidRPr="00A7517A">
        <w:t xml:space="preserve">sed the Dartmouth </w:t>
      </w:r>
      <w:r w:rsidR="00901B2F" w:rsidRPr="00A7517A">
        <w:t>Electric</w:t>
      </w:r>
      <w:r w:rsidR="009326E4" w:rsidRPr="00A7517A">
        <w:t xml:space="preserve"> </w:t>
      </w:r>
      <w:r w:rsidR="00901B2F" w:rsidRPr="00A7517A">
        <w:t>Power Enterprise Control</w:t>
      </w:r>
      <w:r w:rsidR="00901B2F">
        <w:t xml:space="preserve"> System (</w:t>
      </w:r>
      <w:r w:rsidR="003118C7">
        <w:t>EPECS</w:t>
      </w:r>
      <w:r w:rsidR="00901B2F">
        <w:t>)</w:t>
      </w:r>
      <w:r>
        <w:t xml:space="preserve"> simulation tool</w:t>
      </w:r>
      <w:r w:rsidR="00A207EE">
        <w:t xml:space="preserve"> to explore </w:t>
      </w:r>
      <w:r w:rsidR="00A17A3E">
        <w:t>NESCOE’s</w:t>
      </w:r>
      <w:r w:rsidR="00A207EE">
        <w:t xml:space="preserve"> request</w:t>
      </w:r>
      <w:r w:rsidR="00BF1EA7">
        <w:t xml:space="preserve">. </w:t>
      </w:r>
      <w:r>
        <w:t xml:space="preserve">Leveraging the results of the </w:t>
      </w:r>
      <w:r w:rsidRPr="00792DA5">
        <w:t>2016 Economic Study Phase II Study</w:t>
      </w:r>
      <w:r w:rsidR="00D2693E">
        <w:t xml:space="preserve"> (see Section </w:t>
      </w:r>
      <w:r w:rsidR="00D2693E">
        <w:fldChar w:fldCharType="begin"/>
      </w:r>
      <w:r w:rsidR="00D2693E">
        <w:instrText xml:space="preserve"> REF _Ref42689949 \n \h </w:instrText>
      </w:r>
      <w:r w:rsidR="00D2693E">
        <w:fldChar w:fldCharType="separate"/>
      </w:r>
      <w:r w:rsidR="001F5E1A">
        <w:t>5.2</w:t>
      </w:r>
      <w:r w:rsidR="00D2693E">
        <w:fldChar w:fldCharType="end"/>
      </w:r>
      <w:r w:rsidR="00D2693E">
        <w:t>)</w:t>
      </w:r>
      <w:r>
        <w:t>, the ISO was able to analyze t</w:t>
      </w:r>
      <w:r w:rsidRPr="0015418B">
        <w:t xml:space="preserve">he </w:t>
      </w:r>
      <w:r>
        <w:t>use</w:t>
      </w:r>
      <w:r w:rsidRPr="0015418B">
        <w:t xml:space="preserve"> of regulation, ramping, and reserves capability </w:t>
      </w:r>
      <w:r>
        <w:t>needed</w:t>
      </w:r>
      <w:r w:rsidRPr="0015418B">
        <w:t xml:space="preserve"> to maintain the supply/demand balance of the New England bulk electric power system.</w:t>
      </w:r>
      <w:r>
        <w:t xml:space="preserve"> </w:t>
      </w:r>
      <w:r w:rsidR="003118C7">
        <w:t xml:space="preserve">While </w:t>
      </w:r>
      <w:r w:rsidR="00D2693E">
        <w:t xml:space="preserve">the </w:t>
      </w:r>
      <w:r w:rsidR="003118C7">
        <w:t>ISO sought to simulate the NESCOE scenarios in more detai</w:t>
      </w:r>
      <w:r w:rsidR="00E4668E">
        <w:t>l, timeframe limitations precluded th</w:t>
      </w:r>
      <w:r w:rsidR="00D2693E">
        <w:t>is</w:t>
      </w:r>
      <w:r w:rsidR="00E4668E">
        <w:t xml:space="preserve"> ana</w:t>
      </w:r>
      <w:r w:rsidR="005A5B5E">
        <w:t>l</w:t>
      </w:r>
      <w:r w:rsidR="00E4668E">
        <w:t>ysis.</w:t>
      </w:r>
    </w:p>
    <w:p w:rsidR="00A17A3E" w:rsidRDefault="00A17A3E" w:rsidP="006B0E4C">
      <w:pPr>
        <w:pStyle w:val="Heading4"/>
      </w:pPr>
      <w:r>
        <w:t>Reserve</w:t>
      </w:r>
      <w:r w:rsidR="008854D0">
        <w:t xml:space="preserve"> Requirement</w:t>
      </w:r>
      <w:r>
        <w:t>s</w:t>
      </w:r>
    </w:p>
    <w:p w:rsidR="00A17A3E" w:rsidRDefault="005A5B5E" w:rsidP="00C52D11">
      <w:r>
        <w:t>The ISO c</w:t>
      </w:r>
      <w:r w:rsidR="003118C7">
        <w:t>urrent</w:t>
      </w:r>
      <w:r>
        <w:t xml:space="preserve">ly </w:t>
      </w:r>
      <w:r w:rsidR="003118C7">
        <w:t>maintains th</w:t>
      </w:r>
      <w:r w:rsidR="00A17A3E">
        <w:t>e supply/demand</w:t>
      </w:r>
      <w:r w:rsidR="003118C7">
        <w:t xml:space="preserve"> balance through reserve requirements. These requirements specify that at least a certain amount of additional supply resources </w:t>
      </w:r>
      <w:r>
        <w:t xml:space="preserve">must </w:t>
      </w:r>
      <w:r w:rsidR="003118C7">
        <w:t>be either on</w:t>
      </w:r>
      <w:r>
        <w:t xml:space="preserve"> </w:t>
      </w:r>
      <w:r w:rsidR="003118C7">
        <w:t>line (</w:t>
      </w:r>
      <w:r>
        <w:t>10-m</w:t>
      </w:r>
      <w:r w:rsidR="003118C7">
        <w:t xml:space="preserve">inute </w:t>
      </w:r>
      <w:r>
        <w:t>s</w:t>
      </w:r>
      <w:r w:rsidR="003118C7">
        <w:t xml:space="preserve">pinning </w:t>
      </w:r>
      <w:r>
        <w:t>r</w:t>
      </w:r>
      <w:r w:rsidR="003118C7">
        <w:t>eserve</w:t>
      </w:r>
      <w:r>
        <w:t xml:space="preserve">; </w:t>
      </w:r>
      <w:r w:rsidR="003118C7">
        <w:t xml:space="preserve">TMSR) or ready to synchronize within </w:t>
      </w:r>
      <w:r>
        <w:t>30</w:t>
      </w:r>
      <w:r w:rsidR="003118C7">
        <w:t xml:space="preserve"> minutes (</w:t>
      </w:r>
      <w:r>
        <w:t>30-m</w:t>
      </w:r>
      <w:r w:rsidR="003118C7">
        <w:t xml:space="preserve">inute </w:t>
      </w:r>
      <w:r w:rsidR="003F309F">
        <w:t>operating r</w:t>
      </w:r>
      <w:r w:rsidR="003118C7">
        <w:t>eserve</w:t>
      </w:r>
      <w:r w:rsidR="00A17A3E">
        <w:t>;</w:t>
      </w:r>
      <w:r w:rsidR="00767472">
        <w:t xml:space="preserve"> </w:t>
      </w:r>
      <w:r w:rsidR="003118C7">
        <w:t xml:space="preserve">TMOR) to compensate for the unexpected loss of other supply resources. </w:t>
      </w:r>
    </w:p>
    <w:p w:rsidR="003118C7" w:rsidRDefault="003118C7" w:rsidP="00C52D11">
      <w:r w:rsidRPr="00CE1B10">
        <w:rPr>
          <w:b/>
        </w:rPr>
        <w:t>With an increased amount of variable resources</w:t>
      </w:r>
      <w:r w:rsidR="003F309F" w:rsidRPr="00CE1B10">
        <w:rPr>
          <w:b/>
        </w:rPr>
        <w:t>,</w:t>
      </w:r>
      <w:r w:rsidRPr="00CE1B10">
        <w:rPr>
          <w:b/>
        </w:rPr>
        <w:t xml:space="preserve"> </w:t>
      </w:r>
      <w:r w:rsidR="006278A1" w:rsidRPr="00CE1B10">
        <w:rPr>
          <w:b/>
        </w:rPr>
        <w:t xml:space="preserve">like offshore wind, </w:t>
      </w:r>
      <w:r w:rsidRPr="00CE1B10">
        <w:rPr>
          <w:b/>
        </w:rPr>
        <w:t xml:space="preserve">an increase in reserve requirements </w:t>
      </w:r>
      <w:r w:rsidR="003F309F" w:rsidRPr="00CE1B10">
        <w:rPr>
          <w:b/>
        </w:rPr>
        <w:t xml:space="preserve">could </w:t>
      </w:r>
      <w:r w:rsidRPr="00CE1B10">
        <w:rPr>
          <w:b/>
        </w:rPr>
        <w:t xml:space="preserve">be required to maintain system stability in the 2030 system. </w:t>
      </w:r>
      <w:r>
        <w:t xml:space="preserve">This analysis finds that </w:t>
      </w:r>
      <w:r w:rsidR="003F309F">
        <w:t xml:space="preserve">the </w:t>
      </w:r>
      <w:r>
        <w:t xml:space="preserve">ISO’s current TMSR requirement, which is equal to </w:t>
      </w:r>
      <w:r w:rsidR="003F309F">
        <w:t xml:space="preserve">the </w:t>
      </w:r>
      <w:r w:rsidR="00757925" w:rsidRPr="00552000">
        <w:t>size</w:t>
      </w:r>
      <w:r w:rsidR="003F309F" w:rsidRPr="00552000">
        <w:t xml:space="preserve"> </w:t>
      </w:r>
      <w:r w:rsidRPr="00552000">
        <w:t>of the</w:t>
      </w:r>
      <w:r>
        <w:t xml:space="preserve"> system’s largest on</w:t>
      </w:r>
      <w:r w:rsidR="003F309F">
        <w:t>-</w:t>
      </w:r>
      <w:r>
        <w:t>line resource (typical</w:t>
      </w:r>
      <w:r w:rsidR="00647461">
        <w:t>ly</w:t>
      </w:r>
      <w:r>
        <w:t xml:space="preserve"> a nuclear </w:t>
      </w:r>
      <w:r w:rsidR="00B77DE2">
        <w:t>resource</w:t>
      </w:r>
      <w:r>
        <w:t>)</w:t>
      </w:r>
      <w:r w:rsidR="00A207EE">
        <w:t>,</w:t>
      </w:r>
      <w:r>
        <w:t xml:space="preserve"> </w:t>
      </w:r>
      <w:r w:rsidR="00A207EE">
        <w:t>is insufficient for the</w:t>
      </w:r>
      <w:r w:rsidR="00A17A3E" w:rsidRPr="00A17A3E">
        <w:rPr>
          <w:sz w:val="18"/>
          <w:szCs w:val="18"/>
        </w:rPr>
        <w:t xml:space="preserve"> </w:t>
      </w:r>
      <w:r w:rsidR="00A17A3E" w:rsidRPr="00767472">
        <w:rPr>
          <w:szCs w:val="20"/>
        </w:rPr>
        <w:t xml:space="preserve">System Operational Analysis and Renewable Energy Integration Study </w:t>
      </w:r>
      <w:r w:rsidR="008854D0">
        <w:t>(</w:t>
      </w:r>
      <w:r w:rsidR="00A207EE">
        <w:t>SOARES</w:t>
      </w:r>
      <w:r w:rsidR="008854D0">
        <w:t>)</w:t>
      </w:r>
      <w:r w:rsidR="00A207EE">
        <w:t xml:space="preserve"> 2030-3 scenario</w:t>
      </w:r>
      <w:r w:rsidR="00A17A3E">
        <w:t xml:space="preserve"> </w:t>
      </w:r>
      <w:r w:rsidR="008854D0">
        <w:t>(</w:t>
      </w:r>
      <w:r w:rsidR="00A17A3E">
        <w:t>see Section</w:t>
      </w:r>
      <w:r w:rsidR="008854D0">
        <w:t xml:space="preserve"> </w:t>
      </w:r>
      <w:r w:rsidR="008854D0">
        <w:fldChar w:fldCharType="begin"/>
      </w:r>
      <w:r w:rsidR="008854D0">
        <w:instrText xml:space="preserve"> REF _Ref43131463 \n \h </w:instrText>
      </w:r>
      <w:r w:rsidR="008854D0">
        <w:fldChar w:fldCharType="separate"/>
      </w:r>
      <w:r w:rsidR="001F5E1A">
        <w:t>5.2.5</w:t>
      </w:r>
      <w:r w:rsidR="008854D0">
        <w:fldChar w:fldCharType="end"/>
      </w:r>
      <w:r w:rsidR="008854D0">
        <w:t>)</w:t>
      </w:r>
      <w:r w:rsidR="003F309F">
        <w:t>,</w:t>
      </w:r>
      <w:r w:rsidR="00A207EE">
        <w:t xml:space="preserve"> which had </w:t>
      </w:r>
      <w:r w:rsidR="003F309F">
        <w:t xml:space="preserve">a </w:t>
      </w:r>
      <w:r w:rsidR="00A207EE">
        <w:t>high amount of renewables</w:t>
      </w:r>
      <w:r w:rsidR="00BF1EA7">
        <w:t xml:space="preserve">. </w:t>
      </w:r>
      <w:r w:rsidR="00A207EE">
        <w:t xml:space="preserve">Although of different renewable types, the overall </w:t>
      </w:r>
      <w:r w:rsidR="00D84A52">
        <w:t xml:space="preserve">quantity of renewables in </w:t>
      </w:r>
      <w:r w:rsidR="00A207EE">
        <w:t>the SOARES 2030-3 scenario is equiv</w:t>
      </w:r>
      <w:r w:rsidR="003F309F">
        <w:t>a</w:t>
      </w:r>
      <w:r w:rsidR="00A207EE">
        <w:t>lent to</w:t>
      </w:r>
      <w:r w:rsidR="00D84A52">
        <w:t xml:space="preserve"> those in</w:t>
      </w:r>
      <w:r w:rsidR="00A207EE">
        <w:t xml:space="preserve"> the NESCOE </w:t>
      </w:r>
      <w:r w:rsidR="00A207EE" w:rsidRPr="00A7517A">
        <w:t xml:space="preserve">8,000 </w:t>
      </w:r>
      <w:r w:rsidR="003F309F" w:rsidRPr="00767472">
        <w:t xml:space="preserve">MW </w:t>
      </w:r>
      <w:r w:rsidR="00A207EE" w:rsidRPr="00A7517A">
        <w:t>scenarios</w:t>
      </w:r>
      <w:r w:rsidR="003F309F" w:rsidRPr="00A7517A">
        <w:t>,</w:t>
      </w:r>
      <w:r w:rsidR="00A207EE" w:rsidRPr="00A7517A">
        <w:t xml:space="preserve"> a</w:t>
      </w:r>
      <w:r w:rsidR="00A207EE">
        <w:t xml:space="preserve">s seen in </w:t>
      </w:r>
      <w:r w:rsidR="00522C66" w:rsidRPr="0005623C">
        <w:fldChar w:fldCharType="begin"/>
      </w:r>
      <w:r w:rsidR="00522C66" w:rsidRPr="00A7517A">
        <w:instrText xml:space="preserve"> REF _Ref42692059 \h </w:instrText>
      </w:r>
      <w:r w:rsidR="00522C66" w:rsidRPr="00767472">
        <w:instrText xml:space="preserve"> \* MERGEFORMAT </w:instrText>
      </w:r>
      <w:r w:rsidR="00522C66" w:rsidRPr="0005623C">
        <w:fldChar w:fldCharType="separate"/>
      </w:r>
      <w:r w:rsidR="00522C66" w:rsidRPr="00E51010">
        <w:t>Figure</w:t>
      </w:r>
      <w:r w:rsidR="00522C66">
        <w:t> </w:t>
      </w:r>
      <w:r w:rsidR="00522C66">
        <w:rPr>
          <w:noProof/>
        </w:rPr>
        <w:t>6</w:t>
      </w:r>
      <w:r w:rsidR="00522C66">
        <w:rPr>
          <w:noProof/>
        </w:rPr>
        <w:noBreakHyphen/>
        <w:t>11</w:t>
      </w:r>
      <w:r w:rsidR="00522C66" w:rsidRPr="0005623C">
        <w:fldChar w:fldCharType="end"/>
      </w:r>
      <w:r w:rsidR="00A207EE">
        <w:t>.</w:t>
      </w:r>
    </w:p>
    <w:p w:rsidR="00E4668E" w:rsidRDefault="00E4668E" w:rsidP="00E712DA">
      <w:pPr>
        <w:keepNext/>
        <w:keepLines/>
        <w:spacing w:after="0" w:line="240" w:lineRule="auto"/>
        <w:jc w:val="center"/>
      </w:pPr>
      <w:r w:rsidRPr="00E4668E">
        <w:rPr>
          <w:noProof/>
        </w:rPr>
        <w:lastRenderedPageBreak/>
        <w:drawing>
          <wp:inline distT="0" distB="0" distL="0" distR="0" wp14:anchorId="06F78BAA" wp14:editId="61B59A2D">
            <wp:extent cx="4520337" cy="2222500"/>
            <wp:effectExtent l="19050" t="19050" r="13970" b="2540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0"/>
                    <a:stretch>
                      <a:fillRect/>
                    </a:stretch>
                  </pic:blipFill>
                  <pic:spPr>
                    <a:xfrm>
                      <a:off x="0" y="0"/>
                      <a:ext cx="4565288" cy="2244601"/>
                    </a:xfrm>
                    <a:prstGeom prst="rect">
                      <a:avLst/>
                    </a:prstGeom>
                    <a:ln w="3175">
                      <a:solidFill>
                        <a:srgbClr val="000000"/>
                      </a:solidFill>
                    </a:ln>
                  </pic:spPr>
                </pic:pic>
              </a:graphicData>
            </a:graphic>
          </wp:inline>
        </w:drawing>
      </w:r>
    </w:p>
    <w:p w:rsidR="00E51010" w:rsidRPr="00E712DA" w:rsidRDefault="00E51010" w:rsidP="00E712DA">
      <w:pPr>
        <w:pStyle w:val="Caption"/>
        <w:spacing w:before="120" w:after="240"/>
        <w:ind w:left="1080" w:right="1080"/>
      </w:pPr>
      <w:bookmarkStart w:id="89" w:name="_Ref42692059"/>
      <w:bookmarkStart w:id="90" w:name="_Toc43224488"/>
      <w:r w:rsidRPr="00E51010">
        <w:t xml:space="preserve">Figure </w:t>
      </w:r>
      <w:fldSimple w:instr=" STYLEREF 1 \s ">
        <w:r w:rsidR="001F5E1A">
          <w:rPr>
            <w:noProof/>
          </w:rPr>
          <w:t>6</w:t>
        </w:r>
      </w:fldSimple>
      <w:r w:rsidR="00C5246A">
        <w:noBreakHyphen/>
      </w:r>
      <w:fldSimple w:instr=" SEQ Figure \* ARABIC \s 1 ">
        <w:r w:rsidR="001F5E1A">
          <w:rPr>
            <w:noProof/>
          </w:rPr>
          <w:t>11</w:t>
        </w:r>
      </w:fldSimple>
      <w:bookmarkEnd w:id="89"/>
      <w:r w:rsidRPr="00E51010">
        <w:t>: Comparison of select 2016 Economic Study Phase II scenarios with NESCOE 8,000 MW</w:t>
      </w:r>
      <w:r w:rsidRPr="00E712DA">
        <w:t xml:space="preserve"> scenarios.</w:t>
      </w:r>
      <w:bookmarkEnd w:id="90"/>
    </w:p>
    <w:p w:rsidR="003118C7" w:rsidRDefault="003118C7" w:rsidP="00767472">
      <w:r>
        <w:t xml:space="preserve">However, the EPECS analysis also finds that increasing the resource requirement has a nonlinear relationship with decreasing </w:t>
      </w:r>
      <w:r w:rsidR="00E51010">
        <w:t xml:space="preserve">the </w:t>
      </w:r>
      <w:r w:rsidR="001E333F">
        <w:t xml:space="preserve">amount of </w:t>
      </w:r>
      <w:r>
        <w:t>time</w:t>
      </w:r>
      <w:r w:rsidR="00E51010">
        <w:t xml:space="preserve"> </w:t>
      </w:r>
      <w:r w:rsidR="001E333F">
        <w:t xml:space="preserve">that the </w:t>
      </w:r>
      <w:r>
        <w:t xml:space="preserve">system supply and demand are not in balance. Therefore, increasing </w:t>
      </w:r>
      <w:r w:rsidR="00E4668E">
        <w:t xml:space="preserve">TMSR requirements under </w:t>
      </w:r>
      <w:r w:rsidR="00E51010">
        <w:t xml:space="preserve">the </w:t>
      </w:r>
      <w:r w:rsidR="00E4668E">
        <w:t xml:space="preserve">ISO’s current operations structure will not necessarily </w:t>
      </w:r>
      <w:r w:rsidR="001E28AF">
        <w:t xml:space="preserve">improve system performance or increase reliability. </w:t>
      </w:r>
      <w:r w:rsidR="00E4668E" w:rsidRPr="00CE1B10">
        <w:rPr>
          <w:b/>
        </w:rPr>
        <w:t xml:space="preserve">More </w:t>
      </w:r>
      <w:r w:rsidR="00A207EE" w:rsidRPr="00CE1B10">
        <w:rPr>
          <w:b/>
        </w:rPr>
        <w:t>analysis</w:t>
      </w:r>
      <w:r w:rsidR="00E4668E" w:rsidRPr="00CE1B10">
        <w:rPr>
          <w:b/>
        </w:rPr>
        <w:t xml:space="preserve"> is needed to determine </w:t>
      </w:r>
      <w:r w:rsidR="00D84A52" w:rsidRPr="00CE1B10">
        <w:rPr>
          <w:b/>
        </w:rPr>
        <w:t>the</w:t>
      </w:r>
      <w:r w:rsidR="00E4668E" w:rsidRPr="00CE1B10">
        <w:rPr>
          <w:b/>
        </w:rPr>
        <w:t xml:space="preserve"> relationship between increased sy</w:t>
      </w:r>
      <w:r w:rsidR="00DA4D97" w:rsidRPr="00CE1B10">
        <w:rPr>
          <w:b/>
        </w:rPr>
        <w:t>s</w:t>
      </w:r>
      <w:r w:rsidR="00E4668E" w:rsidRPr="00CE1B10">
        <w:rPr>
          <w:b/>
        </w:rPr>
        <w:t>tem operational requirements and increased reliability.</w:t>
      </w:r>
    </w:p>
    <w:p w:rsidR="008854D0" w:rsidRDefault="008854D0" w:rsidP="00767472">
      <w:pPr>
        <w:pStyle w:val="Heading4"/>
      </w:pPr>
      <w:r>
        <w:t>Ramping</w:t>
      </w:r>
      <w:r w:rsidR="0020247B">
        <w:t>,</w:t>
      </w:r>
      <w:r>
        <w:t xml:space="preserve"> Load-Following</w:t>
      </w:r>
      <w:r w:rsidR="0020247B">
        <w:t>, and Regulation</w:t>
      </w:r>
      <w:r>
        <w:t xml:space="preserve"> Reserve</w:t>
      </w:r>
    </w:p>
    <w:p w:rsidR="00E4668E" w:rsidRDefault="00A207EE" w:rsidP="00C52D11">
      <w:r>
        <w:t>T</w:t>
      </w:r>
      <w:r w:rsidR="00E4668E">
        <w:t>his study also finds that ramping reserve</w:t>
      </w:r>
      <w:r w:rsidR="00DA4D97">
        <w:t>s</w:t>
      </w:r>
      <w:r w:rsidR="00E4668E">
        <w:t xml:space="preserve"> and load</w:t>
      </w:r>
      <w:r w:rsidR="00DA4D97">
        <w:t>-</w:t>
      </w:r>
      <w:r w:rsidR="00E4668E">
        <w:t xml:space="preserve">following reserves </w:t>
      </w:r>
      <w:r w:rsidR="005A589D">
        <w:t xml:space="preserve">(LFRs) </w:t>
      </w:r>
      <w:r w:rsidR="00E4668E">
        <w:t xml:space="preserve">have a </w:t>
      </w:r>
      <w:r w:rsidR="00AD5F99">
        <w:t xml:space="preserve">more </w:t>
      </w:r>
      <w:r w:rsidR="00E4668E">
        <w:t>significant impact on lowering system imbalan</w:t>
      </w:r>
      <w:r w:rsidR="00E4668E" w:rsidRPr="00737600">
        <w:t>c</w:t>
      </w:r>
      <w:r w:rsidR="00E4668E" w:rsidRPr="005A589D">
        <w:t>es</w:t>
      </w:r>
      <w:r w:rsidR="00950730" w:rsidRPr="005A589D">
        <w:t xml:space="preserve"> than TMSR</w:t>
      </w:r>
      <w:r w:rsidR="00E4668E" w:rsidRPr="005A589D">
        <w:t xml:space="preserve">. </w:t>
      </w:r>
      <w:r w:rsidR="00E4668E" w:rsidRPr="00737600">
        <w:rPr>
          <w:i/>
        </w:rPr>
        <w:t>Ramping reserve</w:t>
      </w:r>
      <w:r w:rsidR="00E4668E">
        <w:t xml:space="preserve"> is a physical quantity that measures the ability of current on</w:t>
      </w:r>
      <w:r w:rsidR="00DA4D97">
        <w:t>-</w:t>
      </w:r>
      <w:r w:rsidR="00E4668E">
        <w:t xml:space="preserve">line supply resources to ramp their output up or down from current </w:t>
      </w:r>
      <w:r w:rsidR="006278A1">
        <w:t>levels</w:t>
      </w:r>
      <w:r w:rsidR="00E4668E">
        <w:t xml:space="preserve"> in response to antic</w:t>
      </w:r>
      <w:r w:rsidR="00DA4D97">
        <w:t>i</w:t>
      </w:r>
      <w:r w:rsidR="00E4668E">
        <w:t xml:space="preserve">pated system needs (in addition to whatever increase or decrease the resource may be scheduled for). </w:t>
      </w:r>
      <w:r w:rsidR="00E4668E" w:rsidRPr="00737600">
        <w:rPr>
          <w:i/>
        </w:rPr>
        <w:t>Load</w:t>
      </w:r>
      <w:r w:rsidR="00DA4D97" w:rsidRPr="00737600">
        <w:rPr>
          <w:i/>
        </w:rPr>
        <w:t>-</w:t>
      </w:r>
      <w:r w:rsidR="00E4668E" w:rsidRPr="00737600">
        <w:rPr>
          <w:i/>
        </w:rPr>
        <w:t>following reserve</w:t>
      </w:r>
      <w:r w:rsidR="00E4668E" w:rsidRPr="00E810E3">
        <w:t xml:space="preserve"> is the amount of upward or downward change in output that a resource could move to from its current output.</w:t>
      </w:r>
      <w:r w:rsidR="005A589D" w:rsidRPr="005A589D">
        <w:t xml:space="preserve"> </w:t>
      </w:r>
      <w:r w:rsidR="005A589D">
        <w:t xml:space="preserve">Ramping reserve </w:t>
      </w:r>
      <w:r w:rsidR="00737600">
        <w:t xml:space="preserve">and load-following reserves are </w:t>
      </w:r>
      <w:r w:rsidR="005A589D">
        <w:t>not ISO requirement</w:t>
      </w:r>
      <w:r w:rsidR="00737600">
        <w:t>s</w:t>
      </w:r>
      <w:r w:rsidR="005A589D">
        <w:t xml:space="preserve"> but </w:t>
      </w:r>
      <w:r w:rsidR="00737600">
        <w:t xml:space="preserve">physical quantities that EPECS can </w:t>
      </w:r>
      <w:r w:rsidR="005A589D">
        <w:t>track and quantif</w:t>
      </w:r>
      <w:r w:rsidR="00737600">
        <w:t xml:space="preserve">y. </w:t>
      </w:r>
      <w:r w:rsidR="00647461" w:rsidRPr="00E810E3">
        <w:t>In other words,</w:t>
      </w:r>
      <w:r w:rsidR="00E4668E" w:rsidRPr="00E810E3">
        <w:t xml:space="preserve"> ramping reserve is how quickly system resources can move their output up or down in a given period</w:t>
      </w:r>
      <w:r w:rsidR="00DA4D97" w:rsidRPr="00E810E3">
        <w:t>,</w:t>
      </w:r>
      <w:r w:rsidR="00E4668E" w:rsidRPr="00E810E3">
        <w:t xml:space="preserve"> generally </w:t>
      </w:r>
      <w:r w:rsidR="00DA4D97" w:rsidRPr="00E810E3">
        <w:t>10</w:t>
      </w:r>
      <w:r w:rsidR="00E4668E" w:rsidRPr="00E810E3">
        <w:t xml:space="preserve"> minutes, while load</w:t>
      </w:r>
      <w:r w:rsidR="00DA4D97" w:rsidRPr="00E810E3">
        <w:t>-</w:t>
      </w:r>
      <w:r w:rsidR="00E4668E" w:rsidRPr="00E810E3">
        <w:t>following reserve is the total amount units can move up or down.</w:t>
      </w:r>
      <w:r w:rsidR="00E4668E">
        <w:t xml:space="preserve"> </w:t>
      </w:r>
    </w:p>
    <w:p w:rsidR="00647461" w:rsidRDefault="00E4668E" w:rsidP="00C52D11">
      <w:r>
        <w:t>In historical system operations</w:t>
      </w:r>
      <w:r w:rsidR="006D5D0E">
        <w:t>,</w:t>
      </w:r>
      <w:r>
        <w:t xml:space="preserve"> load following and ramping reserves are a </w:t>
      </w:r>
      <w:r w:rsidR="00D84A52">
        <w:t xml:space="preserve">byproduct </w:t>
      </w:r>
      <w:r>
        <w:t xml:space="preserve">of system commitment and dispatch to meet system demand and TMSR requirements. However, </w:t>
      </w:r>
      <w:r w:rsidR="002A2543">
        <w:t>with</w:t>
      </w:r>
      <w:r>
        <w:t xml:space="preserve"> high renewable</w:t>
      </w:r>
      <w:r w:rsidR="006D5D0E">
        <w:t>s,</w:t>
      </w:r>
      <w:r>
        <w:t xml:space="preserve"> the </w:t>
      </w:r>
      <w:r w:rsidR="00511717">
        <w:t>previously direct</w:t>
      </w:r>
      <w:r>
        <w:t xml:space="preserve"> relationship between a resource</w:t>
      </w:r>
      <w:r w:rsidR="006D5D0E">
        <w:t>’</w:t>
      </w:r>
      <w:r>
        <w:t>s ability to supply megawatts to meet demand and its ability to fluc</w:t>
      </w:r>
      <w:r w:rsidR="006D5D0E">
        <w:t>t</w:t>
      </w:r>
      <w:r>
        <w:t xml:space="preserve">uate its output as demanded for system stability </w:t>
      </w:r>
      <w:r w:rsidR="006D5D0E">
        <w:t>becomes less direct</w:t>
      </w:r>
      <w:r>
        <w:t xml:space="preserve">. </w:t>
      </w:r>
      <w:r w:rsidR="00647461">
        <w:t>This is because renewabl</w:t>
      </w:r>
      <w:r w:rsidR="006D5D0E">
        <w:t>e</w:t>
      </w:r>
      <w:r w:rsidR="00647461">
        <w:t xml:space="preserve"> resources are generally not controllable </w:t>
      </w:r>
      <w:r w:rsidR="006D5D0E">
        <w:t>like</w:t>
      </w:r>
      <w:r w:rsidR="00647461">
        <w:t xml:space="preserve"> thermal resources</w:t>
      </w:r>
      <w:r w:rsidR="00FC7921">
        <w:t>,</w:t>
      </w:r>
      <w:r w:rsidR="00647461">
        <w:t xml:space="preserve"> and </w:t>
      </w:r>
      <w:r w:rsidR="00FC7921">
        <w:t xml:space="preserve">they </w:t>
      </w:r>
      <w:r w:rsidR="006D5D0E">
        <w:t xml:space="preserve">are </w:t>
      </w:r>
      <w:r w:rsidR="00647461">
        <w:t>dispatched at maxi</w:t>
      </w:r>
      <w:r w:rsidR="006D5D0E">
        <w:t>m</w:t>
      </w:r>
      <w:r w:rsidR="00647461">
        <w:t xml:space="preserve">um output at all times. </w:t>
      </w:r>
    </w:p>
    <w:p w:rsidR="00E4668E" w:rsidRDefault="00511717" w:rsidP="00C52D11">
      <w:r>
        <w:t>Therefore, in a high</w:t>
      </w:r>
      <w:r w:rsidR="006D5D0E" w:rsidRPr="0078408B">
        <w:t>-</w:t>
      </w:r>
      <w:r w:rsidRPr="0078408B">
        <w:t>renewable system</w:t>
      </w:r>
      <w:r w:rsidR="006D5D0E" w:rsidRPr="0078408B">
        <w:t>,</w:t>
      </w:r>
      <w:r w:rsidRPr="0078408B">
        <w:t xml:space="preserve"> monitoring load following and ramping reserves becomes of interest. This analysis finds that the </w:t>
      </w:r>
      <w:r w:rsidR="00285B87" w:rsidRPr="0078408B">
        <w:t xml:space="preserve">SOARES </w:t>
      </w:r>
      <w:r w:rsidRPr="0078408B">
        <w:t>2030-3 scenario has insufficient load following “up” and ramping reserves in both directions</w:t>
      </w:r>
      <w:r w:rsidR="002A2543" w:rsidRPr="0078408B">
        <w:t xml:space="preserve">, </w:t>
      </w:r>
      <w:r w:rsidRPr="0078408B">
        <w:t>the directions refer</w:t>
      </w:r>
      <w:r w:rsidR="002A2543" w:rsidRPr="0078408B">
        <w:t>ring</w:t>
      </w:r>
      <w:r w:rsidRPr="0078408B">
        <w:t xml:space="preserve"> to whether the resource fleet </w:t>
      </w:r>
      <w:r w:rsidR="00FC7921" w:rsidRPr="00013559">
        <w:t xml:space="preserve">must </w:t>
      </w:r>
      <w:r w:rsidRPr="0078408B">
        <w:t>move from its current output point up or down to its maxi</w:t>
      </w:r>
      <w:r w:rsidR="006D5D0E" w:rsidRPr="0078408B">
        <w:t>m</w:t>
      </w:r>
      <w:r w:rsidRPr="0078408B">
        <w:t>um or minimum output</w:t>
      </w:r>
      <w:r w:rsidR="006278A1">
        <w:t xml:space="preserve"> level</w:t>
      </w:r>
      <w:r w:rsidRPr="0078408B">
        <w:t>s.</w:t>
      </w:r>
      <w:r>
        <w:t xml:space="preserve"> </w:t>
      </w:r>
    </w:p>
    <w:p w:rsidR="00511717" w:rsidRDefault="00511717" w:rsidP="00C52D11">
      <w:r w:rsidRPr="00552000">
        <w:t>The EPECS model uses instantaneous and infinite curtailment (</w:t>
      </w:r>
      <w:r w:rsidR="00243CD1" w:rsidRPr="00552000">
        <w:t xml:space="preserve">i.e., </w:t>
      </w:r>
      <w:r w:rsidRPr="00552000">
        <w:t>spillage) of re</w:t>
      </w:r>
      <w:r w:rsidR="002A2543" w:rsidRPr="00552000">
        <w:t>ne</w:t>
      </w:r>
      <w:r w:rsidRPr="00552000">
        <w:t>wables, hydro, and imports to balance the system during times of oversupply</w:t>
      </w:r>
      <w:r w:rsidR="00D84A52">
        <w:t>.</w:t>
      </w:r>
      <w:r w:rsidRPr="00552000">
        <w:t xml:space="preserve"> This severe </w:t>
      </w:r>
      <w:r w:rsidR="00285B87" w:rsidRPr="00552000">
        <w:t>restriction</w:t>
      </w:r>
      <w:r w:rsidRPr="00552000">
        <w:t xml:space="preserve"> of resou</w:t>
      </w:r>
      <w:r w:rsidR="002A2543" w:rsidRPr="00552000">
        <w:t>r</w:t>
      </w:r>
      <w:r w:rsidRPr="00552000">
        <w:t>ces acts as a type of</w:t>
      </w:r>
      <w:r>
        <w:t xml:space="preserve"> load following “down” reserve</w:t>
      </w:r>
      <w:r w:rsidR="002A2543">
        <w:t>—</w:t>
      </w:r>
      <w:r>
        <w:t>instead of thermal supply resou</w:t>
      </w:r>
      <w:r w:rsidR="002A2543">
        <w:t>r</w:t>
      </w:r>
      <w:r>
        <w:t xml:space="preserve">ces needing to ramp down to compensate </w:t>
      </w:r>
      <w:r>
        <w:lastRenderedPageBreak/>
        <w:t>for renewable vari</w:t>
      </w:r>
      <w:r w:rsidR="002A2543">
        <w:t>a</w:t>
      </w:r>
      <w:r>
        <w:t>b</w:t>
      </w:r>
      <w:r w:rsidR="002A2543">
        <w:t>i</w:t>
      </w:r>
      <w:r>
        <w:t xml:space="preserve">lity, the EPECS dispatch lessens or removes variability. If public policy or system operations </w:t>
      </w:r>
      <w:r w:rsidR="004229A4">
        <w:t xml:space="preserve">finds </w:t>
      </w:r>
      <w:r>
        <w:t xml:space="preserve">that this level of spillage is not feasible, load following “down” </w:t>
      </w:r>
      <w:r w:rsidR="00285B87">
        <w:t>reserves</w:t>
      </w:r>
      <w:r>
        <w:t xml:space="preserve"> may also be insufficient. </w:t>
      </w:r>
    </w:p>
    <w:p w:rsidR="009F5122" w:rsidRDefault="00511717" w:rsidP="00C52D11">
      <w:r>
        <w:t>This analysis also finds that forecast error in “day-ahead” commitment and other dispatch steps that occur before real</w:t>
      </w:r>
      <w:r w:rsidR="002A2543">
        <w:t xml:space="preserve"> </w:t>
      </w:r>
      <w:r>
        <w:t xml:space="preserve">time </w:t>
      </w:r>
      <w:r w:rsidR="009A51F5" w:rsidRPr="0078408B">
        <w:t>ha</w:t>
      </w:r>
      <w:r w:rsidR="009A51F5" w:rsidRPr="00013559">
        <w:t>ve</w:t>
      </w:r>
      <w:r w:rsidR="009A51F5" w:rsidRPr="0078408B">
        <w:t xml:space="preserve"> an </w:t>
      </w:r>
      <w:r w:rsidRPr="0078408B">
        <w:t>increasing impact</w:t>
      </w:r>
      <w:r w:rsidR="009A51F5" w:rsidRPr="00013559">
        <w:t xml:space="preserve"> </w:t>
      </w:r>
      <w:r w:rsidRPr="0078408B">
        <w:t>as t</w:t>
      </w:r>
      <w:r>
        <w:t>he amount of renewables increases. In short, given a fixed value of forecast error (e</w:t>
      </w:r>
      <w:r w:rsidR="009A51F5">
        <w:t xml:space="preserve">.g., </w:t>
      </w:r>
      <w:r>
        <w:t xml:space="preserve">7%), if total wind </w:t>
      </w:r>
      <w:r w:rsidR="00AB4D85">
        <w:t xml:space="preserve">resources </w:t>
      </w:r>
      <w:r>
        <w:t>increase from 1,000 MW to 10,000</w:t>
      </w:r>
      <w:r w:rsidR="00AB4D85">
        <w:t xml:space="preserve"> MW</w:t>
      </w:r>
      <w:r w:rsidR="009A51F5">
        <w:t>,</w:t>
      </w:r>
      <w:r w:rsidR="00AB4D85">
        <w:t xml:space="preserve"> the</w:t>
      </w:r>
      <w:r>
        <w:t xml:space="preserve"> resulting </w:t>
      </w:r>
      <w:r w:rsidR="00AB4D85">
        <w:t xml:space="preserve">magnitude (in </w:t>
      </w:r>
      <w:r w:rsidR="009A51F5">
        <w:t>megawatts</w:t>
      </w:r>
      <w:r w:rsidR="00AB4D85">
        <w:t xml:space="preserve">) from the </w:t>
      </w:r>
      <w:r>
        <w:t>error</w:t>
      </w:r>
      <w:r w:rsidR="00AB4D85">
        <w:t xml:space="preserve"> significantly increase</w:t>
      </w:r>
      <w:r w:rsidR="00F87B6E">
        <w:t>s</w:t>
      </w:r>
      <w:r w:rsidR="00AB4D85">
        <w:t xml:space="preserve">. </w:t>
      </w:r>
      <w:r w:rsidR="00AB4D85" w:rsidRPr="00CE1B10">
        <w:rPr>
          <w:b/>
        </w:rPr>
        <w:t>If the forecast error of solar, wind, and load move in opposite directions</w:t>
      </w:r>
      <w:r w:rsidR="00F87B6E" w:rsidRPr="00CE1B10">
        <w:rPr>
          <w:b/>
        </w:rPr>
        <w:t>,</w:t>
      </w:r>
      <w:r w:rsidR="00AB4D85" w:rsidRPr="00CE1B10">
        <w:rPr>
          <w:b/>
        </w:rPr>
        <w:t xml:space="preserve"> the resultant imbalance can be significant</w:t>
      </w:r>
      <w:r w:rsidR="00BF1EA7" w:rsidRPr="00CE1B10">
        <w:rPr>
          <w:b/>
        </w:rPr>
        <w:t xml:space="preserve">. </w:t>
      </w:r>
      <w:r w:rsidR="009F5122" w:rsidRPr="00CE1B10">
        <w:rPr>
          <w:b/>
        </w:rPr>
        <w:t xml:space="preserve">This variation can be mitigated </w:t>
      </w:r>
      <w:r w:rsidR="0020247B" w:rsidRPr="00CE1B10">
        <w:rPr>
          <w:b/>
        </w:rPr>
        <w:t xml:space="preserve">somewhat </w:t>
      </w:r>
      <w:r w:rsidR="009F5122" w:rsidRPr="00CE1B10">
        <w:rPr>
          <w:b/>
        </w:rPr>
        <w:t>through the commitment of fast-start units that can come on</w:t>
      </w:r>
      <w:r w:rsidR="00F87B6E" w:rsidRPr="00CE1B10">
        <w:rPr>
          <w:b/>
        </w:rPr>
        <w:t xml:space="preserve"> </w:t>
      </w:r>
      <w:r w:rsidR="009F5122" w:rsidRPr="00CE1B10">
        <w:rPr>
          <w:b/>
        </w:rPr>
        <w:t xml:space="preserve">line </w:t>
      </w:r>
      <w:r w:rsidR="00F87B6E" w:rsidRPr="00CE1B10">
        <w:rPr>
          <w:b/>
        </w:rPr>
        <w:t>with</w:t>
      </w:r>
      <w:r w:rsidR="009F5122" w:rsidRPr="00CE1B10">
        <w:rPr>
          <w:b/>
        </w:rPr>
        <w:t xml:space="preserve">in </w:t>
      </w:r>
      <w:r w:rsidR="00F87B6E" w:rsidRPr="00CE1B10">
        <w:rPr>
          <w:b/>
        </w:rPr>
        <w:t>30</w:t>
      </w:r>
      <w:r w:rsidR="00F54CC0">
        <w:rPr>
          <w:b/>
        </w:rPr>
        <w:t> </w:t>
      </w:r>
      <w:r w:rsidR="009F5122" w:rsidRPr="00CE1B10">
        <w:rPr>
          <w:b/>
        </w:rPr>
        <w:t>minutes.</w:t>
      </w:r>
      <w:r w:rsidR="009F5122">
        <w:t xml:space="preserve"> </w:t>
      </w:r>
      <w:r w:rsidR="00F87B6E">
        <w:t>In t</w:t>
      </w:r>
      <w:r w:rsidR="009F5122">
        <w:t>he high</w:t>
      </w:r>
      <w:r w:rsidR="00F87B6E">
        <w:t>-</w:t>
      </w:r>
      <w:r w:rsidR="009F5122">
        <w:t>re</w:t>
      </w:r>
      <w:r w:rsidR="00F87B6E">
        <w:t>ne</w:t>
      </w:r>
      <w:r w:rsidR="009F5122">
        <w:t>wables sce</w:t>
      </w:r>
      <w:r w:rsidR="00F87B6E">
        <w:t>n</w:t>
      </w:r>
      <w:r w:rsidR="009F5122">
        <w:t>ario</w:t>
      </w:r>
      <w:r w:rsidR="009F5122" w:rsidRPr="00A7517A">
        <w:t>s</w:t>
      </w:r>
      <w:r w:rsidR="00F87B6E" w:rsidRPr="00A7517A">
        <w:t>,</w:t>
      </w:r>
      <w:r w:rsidR="009F5122" w:rsidRPr="00A7517A">
        <w:t xml:space="preserve"> </w:t>
      </w:r>
      <w:r w:rsidR="009F5122">
        <w:t xml:space="preserve">three additional fast-start units </w:t>
      </w:r>
      <w:r w:rsidR="00F54CC0">
        <w:t xml:space="preserve">committed at </w:t>
      </w:r>
      <w:r w:rsidR="006278A1" w:rsidRPr="00D70BD1">
        <w:t>approximately</w:t>
      </w:r>
      <w:r w:rsidR="00D70BD1" w:rsidRPr="00D70BD1">
        <w:t xml:space="preserve"> 45</w:t>
      </w:r>
      <w:r w:rsidR="00F54CC0">
        <w:t> </w:t>
      </w:r>
      <w:r w:rsidR="006278A1" w:rsidRPr="00D70BD1">
        <w:t>MW</w:t>
      </w:r>
      <w:r w:rsidR="006278A1">
        <w:t xml:space="preserve"> </w:t>
      </w:r>
      <w:r w:rsidR="009F5122">
        <w:t>were commit</w:t>
      </w:r>
      <w:r w:rsidR="00F87B6E">
        <w:t>t</w:t>
      </w:r>
      <w:r w:rsidR="009F5122">
        <w:t xml:space="preserve">ed every hour throughout the year </w:t>
      </w:r>
      <w:r w:rsidR="00F87B6E">
        <w:t xml:space="preserve">compared with </w:t>
      </w:r>
      <w:r w:rsidR="009F5122">
        <w:t>the</w:t>
      </w:r>
      <w:r w:rsidR="00285B87">
        <w:t xml:space="preserve"> scenarios with limited renewabl</w:t>
      </w:r>
      <w:r w:rsidR="009F5122">
        <w:t xml:space="preserve">es. </w:t>
      </w:r>
    </w:p>
    <w:p w:rsidR="00077F54" w:rsidRDefault="00077F54" w:rsidP="00077F54">
      <w:r w:rsidRPr="0078408B">
        <w:t xml:space="preserve">With the constant potential for imbalances, </w:t>
      </w:r>
      <w:r w:rsidRPr="0020247B">
        <w:t xml:space="preserve">real-time resources </w:t>
      </w:r>
      <w:r w:rsidR="0020247B">
        <w:t xml:space="preserve">increase their ability </w:t>
      </w:r>
      <w:r w:rsidRPr="0020247B">
        <w:t>to fluctuate their output in response to variability</w:t>
      </w:r>
      <w:r w:rsidR="006278A1">
        <w:t xml:space="preserve"> in the second-to-second timeframe</w:t>
      </w:r>
      <w:r w:rsidRPr="0020247B">
        <w:t xml:space="preserve">, </w:t>
      </w:r>
      <w:r w:rsidR="00F87B6E" w:rsidRPr="0078408B">
        <w:t xml:space="preserve">which is </w:t>
      </w:r>
      <w:r w:rsidRPr="0078408B">
        <w:t xml:space="preserve">called regulation reserves. </w:t>
      </w:r>
      <w:r w:rsidR="00C54939">
        <w:t>S</w:t>
      </w:r>
      <w:r w:rsidRPr="0078408B">
        <w:t>pecific thermal generators commit</w:t>
      </w:r>
      <w:r w:rsidR="00383CA6" w:rsidRPr="0078408B">
        <w:t>t</w:t>
      </w:r>
      <w:r w:rsidRPr="0078408B">
        <w:t>ed for this purpose, batteries, flywheels, or other technol</w:t>
      </w:r>
      <w:r w:rsidR="00383CA6" w:rsidRPr="0078408B">
        <w:t>o</w:t>
      </w:r>
      <w:r w:rsidRPr="0078408B">
        <w:t>gies</w:t>
      </w:r>
      <w:r w:rsidR="00C54939">
        <w:t xml:space="preserve"> can supply regulation reserves</w:t>
      </w:r>
      <w:r w:rsidRPr="0078408B">
        <w:t>. This analysis has</w:t>
      </w:r>
      <w:r>
        <w:t xml:space="preserve"> </w:t>
      </w:r>
      <w:r w:rsidR="00FC3AFE">
        <w:t>+/- 122 </w:t>
      </w:r>
      <w:r>
        <w:t>MW of regulation reserves. In the SOARES 2030-3 scenario</w:t>
      </w:r>
      <w:r w:rsidR="00383CA6">
        <w:t>,</w:t>
      </w:r>
      <w:r>
        <w:t xml:space="preserve"> th</w:t>
      </w:r>
      <w:r w:rsidR="006278A1">
        <w:t>e 122 MW of</w:t>
      </w:r>
      <w:r>
        <w:t xml:space="preserve"> regulation reserve was completely exhausted </w:t>
      </w:r>
      <w:r w:rsidR="006278A1">
        <w:t xml:space="preserve">by system requirements </w:t>
      </w:r>
      <w:r w:rsidR="00383CA6">
        <w:t xml:space="preserve">in </w:t>
      </w:r>
      <w:r>
        <w:t xml:space="preserve">33% of the </w:t>
      </w:r>
      <w:r w:rsidR="00421C2A">
        <w:t xml:space="preserve">2030 study </w:t>
      </w:r>
      <w:r>
        <w:t xml:space="preserve">year. </w:t>
      </w:r>
    </w:p>
    <w:p w:rsidR="006278A1" w:rsidRPr="00CE1B10" w:rsidRDefault="006278A1" w:rsidP="00E62212">
      <w:pPr>
        <w:pStyle w:val="Heading4"/>
      </w:pPr>
      <w:r w:rsidRPr="00CE1B10">
        <w:t>Summary of Ancillary Services</w:t>
      </w:r>
    </w:p>
    <w:p w:rsidR="00950730" w:rsidRDefault="00950730" w:rsidP="00950730">
      <w:r>
        <w:t xml:space="preserve">In sum, </w:t>
      </w:r>
      <w:r w:rsidR="00EA1729">
        <w:t xml:space="preserve">the </w:t>
      </w:r>
      <w:r>
        <w:t xml:space="preserve">ancillary services analysis indicated that additional amounts of reserves are needed to support </w:t>
      </w:r>
      <w:r w:rsidR="00EA1729">
        <w:t xml:space="preserve">approximately </w:t>
      </w:r>
      <w:r>
        <w:t>8,000</w:t>
      </w:r>
      <w:r w:rsidR="00EA1729">
        <w:t xml:space="preserve"> </w:t>
      </w:r>
      <w:r>
        <w:t xml:space="preserve">MW of additional renewable resources as modeled in the 2030-3 scenario. While the 2030-3 scenario shows </w:t>
      </w:r>
      <w:r w:rsidR="00EA1729">
        <w:t xml:space="preserve">the </w:t>
      </w:r>
      <w:r>
        <w:t>need for regulation, rampin</w:t>
      </w:r>
      <w:r w:rsidRPr="00CE1B10">
        <w:t>g, LFR, and TMSR re</w:t>
      </w:r>
      <w:r>
        <w:t>serves</w:t>
      </w:r>
      <w:r w:rsidR="00EA1729">
        <w:t>,</w:t>
      </w:r>
      <w:r>
        <w:t xml:space="preserve"> the 2030-6 scenario only shows the need for more regulation and TMSR reserves. This implies some of the lesser NESCOE </w:t>
      </w:r>
      <w:r w:rsidR="00EA1729">
        <w:t xml:space="preserve">offshore wind megawatt </w:t>
      </w:r>
      <w:r>
        <w:t>scenarios will not need sig</w:t>
      </w:r>
      <w:r w:rsidR="00EA1729">
        <w:t>nificant increases in reserves.</w:t>
      </w:r>
    </w:p>
    <w:p w:rsidR="00950730" w:rsidRDefault="00950730" w:rsidP="00950730">
      <w:r>
        <w:t>Notably, the current EPECS model and ISO</w:t>
      </w:r>
      <w:r w:rsidR="00EA1729">
        <w:t xml:space="preserve"> </w:t>
      </w:r>
      <w:r>
        <w:t>system operations rely primarily on thermal resources to provide most reserves (the exception being LFR down</w:t>
      </w:r>
      <w:r w:rsidR="00EA1729">
        <w:t>,</w:t>
      </w:r>
      <w:r>
        <w:t xml:space="preserve"> which is provided via curtailment). If instead renewables are able to provide reserves via inverter control and flexible curtailment</w:t>
      </w:r>
      <w:r w:rsidR="00EA1729">
        <w:t>,</w:t>
      </w:r>
      <w:r>
        <w:t xml:space="preserve"> the results of this analysis would change.</w:t>
      </w:r>
    </w:p>
    <w:p w:rsidR="006278A1" w:rsidRDefault="00950730" w:rsidP="00FF6DB5">
      <w:r>
        <w:t xml:space="preserve">Further study is needed to identify the exact </w:t>
      </w:r>
      <w:r w:rsidR="00EA1729">
        <w:t>megawatt</w:t>
      </w:r>
      <w:r>
        <w:t xml:space="preserve"> amount of reserves. Given that the current relationship between increased TMSR and decreased imbalances in nonlinear</w:t>
      </w:r>
      <w:r w:rsidR="00EA1729">
        <w:t>,</w:t>
      </w:r>
      <w:r>
        <w:t xml:space="preserve"> specify</w:t>
      </w:r>
      <w:r w:rsidR="00EA1729">
        <w:t>ing</w:t>
      </w:r>
      <w:r>
        <w:t xml:space="preserve"> a required </w:t>
      </w:r>
      <w:r w:rsidR="00EA1729">
        <w:t xml:space="preserve">megawatt </w:t>
      </w:r>
      <w:r>
        <w:t>amount</w:t>
      </w:r>
      <w:r w:rsidR="00EA1729">
        <w:t xml:space="preserve"> is not possible. Rather, </w:t>
      </w:r>
      <w:r>
        <w:t xml:space="preserve">further study will </w:t>
      </w:r>
      <w:r w:rsidR="00EA1729">
        <w:t xml:space="preserve">evaluate </w:t>
      </w:r>
      <w:r>
        <w:t xml:space="preserve">alternate reserve products that have a </w:t>
      </w:r>
      <w:r w:rsidR="00EA1729">
        <w:t xml:space="preserve">monotonic (i.e., </w:t>
      </w:r>
      <w:r>
        <w:t>linear</w:t>
      </w:r>
      <w:r w:rsidR="00EA1729">
        <w:t xml:space="preserve">) </w:t>
      </w:r>
      <w:r>
        <w:t>relationship between the reserve product and system imbalances. Ramping reserve</w:t>
      </w:r>
      <w:r w:rsidR="00EA1729">
        <w:t>s</w:t>
      </w:r>
      <w:r>
        <w:t xml:space="preserve"> and load</w:t>
      </w:r>
      <w:r w:rsidR="00EA1729">
        <w:t>-</w:t>
      </w:r>
      <w:r>
        <w:t>following reserves have a monotonic relationship with imbalances</w:t>
      </w:r>
      <w:r w:rsidR="00EA1729">
        <w:t>,</w:t>
      </w:r>
      <w:r>
        <w:t xml:space="preserve"> and further study could explore acquiring </w:t>
      </w:r>
      <w:r w:rsidRPr="00CE1B10">
        <w:t xml:space="preserve">reserves to meet these reserve requirements instead of just tracking them as physical quantities. </w:t>
      </w:r>
      <w:r w:rsidR="00EA1729" w:rsidRPr="00CE1B10">
        <w:fldChar w:fldCharType="begin"/>
      </w:r>
      <w:r w:rsidR="00EA1729" w:rsidRPr="00CE1B10">
        <w:instrText xml:space="preserve"> REF _Ref44402456 \h </w:instrText>
      </w:r>
      <w:r w:rsidR="006156A9">
        <w:instrText xml:space="preserve"> \* MERGEFORMAT </w:instrText>
      </w:r>
      <w:r w:rsidR="00EA1729" w:rsidRPr="00CE1B10">
        <w:fldChar w:fldCharType="separate"/>
      </w:r>
      <w:r w:rsidR="00EA1729" w:rsidRPr="00CE1B10">
        <w:t xml:space="preserve">Table </w:t>
      </w:r>
      <w:r w:rsidR="00EA1729" w:rsidRPr="00CE1B10">
        <w:rPr>
          <w:noProof/>
        </w:rPr>
        <w:t>6</w:t>
      </w:r>
      <w:r w:rsidR="00EA1729" w:rsidRPr="00CE1B10">
        <w:noBreakHyphen/>
      </w:r>
      <w:r w:rsidR="00EA1729" w:rsidRPr="00CE1B10">
        <w:rPr>
          <w:noProof/>
        </w:rPr>
        <w:t>4</w:t>
      </w:r>
      <w:r w:rsidR="00EA1729" w:rsidRPr="00CE1B10">
        <w:fldChar w:fldCharType="end"/>
      </w:r>
      <w:r w:rsidR="00EA1729" w:rsidRPr="00CE1B10">
        <w:t xml:space="preserve"> </w:t>
      </w:r>
      <w:r w:rsidRPr="00CE1B10">
        <w:t>summar</w:t>
      </w:r>
      <w:r w:rsidR="00EA1729" w:rsidRPr="00CE1B10">
        <w:t>izes</w:t>
      </w:r>
      <w:r w:rsidR="00EA1729">
        <w:t xml:space="preserve"> </w:t>
      </w:r>
      <w:r>
        <w:t xml:space="preserve">the results of this study. </w:t>
      </w:r>
    </w:p>
    <w:p w:rsidR="003230C3" w:rsidRDefault="00E62212" w:rsidP="00FF6DB5">
      <w:pPr>
        <w:pStyle w:val="Caption"/>
        <w:jc w:val="center"/>
      </w:pPr>
      <w:bookmarkStart w:id="91" w:name="_Ref44402456"/>
      <w:bookmarkStart w:id="92" w:name="_Toc44412067"/>
      <w:r w:rsidRPr="00CE1B10">
        <w:lastRenderedPageBreak/>
        <w:t xml:space="preserve">Table </w:t>
      </w:r>
      <w:fldSimple w:instr=" STYLEREF 1 \s ">
        <w:r w:rsidRPr="00CE1B10">
          <w:rPr>
            <w:noProof/>
          </w:rPr>
          <w:t>6</w:t>
        </w:r>
      </w:fldSimple>
      <w:r w:rsidRPr="00CE1B10">
        <w:noBreakHyphen/>
      </w:r>
      <w:fldSimple w:instr=" SEQ Table \* ARABIC \s 1 ">
        <w:r w:rsidRPr="00CE1B10">
          <w:rPr>
            <w:noProof/>
          </w:rPr>
          <w:t>4</w:t>
        </w:r>
      </w:fldSimple>
      <w:bookmarkEnd w:id="91"/>
      <w:r w:rsidRPr="00CE1B10">
        <w:br/>
      </w:r>
      <w:r w:rsidR="003230C3" w:rsidRPr="00CE1B10">
        <w:t>Summary of Ancillary Services Analysis</w:t>
      </w:r>
      <w:r w:rsidRPr="00CE1B10">
        <w:t xml:space="preserve"> Observations</w:t>
      </w:r>
      <w:bookmarkEnd w:id="92"/>
    </w:p>
    <w:tbl>
      <w:tblPr>
        <w:tblStyle w:val="TableGrid"/>
        <w:tblW w:w="9715" w:type="dxa"/>
        <w:jc w:val="center"/>
        <w:tblCellMar>
          <w:top w:w="29" w:type="dxa"/>
          <w:left w:w="58" w:type="dxa"/>
          <w:bottom w:w="29" w:type="dxa"/>
          <w:right w:w="58" w:type="dxa"/>
        </w:tblCellMar>
        <w:tblLook w:val="04A0" w:firstRow="1" w:lastRow="0" w:firstColumn="1" w:lastColumn="0" w:noHBand="0" w:noVBand="1"/>
      </w:tblPr>
      <w:tblGrid>
        <w:gridCol w:w="2065"/>
        <w:gridCol w:w="2887"/>
        <w:gridCol w:w="2063"/>
        <w:gridCol w:w="2700"/>
      </w:tblGrid>
      <w:tr w:rsidR="003230C3" w:rsidRPr="003230C3" w:rsidTr="00CE1B10">
        <w:trPr>
          <w:trHeight w:val="288"/>
          <w:jc w:val="center"/>
        </w:trPr>
        <w:tc>
          <w:tcPr>
            <w:tcW w:w="2065" w:type="dxa"/>
            <w:shd w:val="clear" w:color="auto" w:fill="1795D2" w:themeFill="accent1"/>
            <w:vAlign w:val="center"/>
          </w:tcPr>
          <w:p w:rsidR="003230C3" w:rsidRPr="003230C3" w:rsidRDefault="003230C3" w:rsidP="00CE1B10">
            <w:pPr>
              <w:keepNext/>
              <w:keepLines/>
              <w:spacing w:after="0" w:line="240" w:lineRule="auto"/>
              <w:jc w:val="center"/>
              <w:rPr>
                <w:rFonts w:asciiTheme="majorHAnsi" w:hAnsiTheme="majorHAnsi" w:cstheme="majorHAnsi"/>
                <w:b/>
                <w:color w:val="FFFFFF" w:themeColor="background1"/>
                <w:sz w:val="18"/>
                <w:szCs w:val="18"/>
              </w:rPr>
            </w:pPr>
            <w:r w:rsidRPr="003230C3">
              <w:rPr>
                <w:rFonts w:asciiTheme="majorHAnsi" w:hAnsiTheme="majorHAnsi" w:cstheme="majorHAnsi"/>
                <w:b/>
                <w:color w:val="FFFFFF" w:themeColor="background1"/>
                <w:sz w:val="18"/>
                <w:szCs w:val="18"/>
              </w:rPr>
              <w:t>Type of Ancillary Service</w:t>
            </w:r>
          </w:p>
        </w:tc>
        <w:tc>
          <w:tcPr>
            <w:tcW w:w="2887" w:type="dxa"/>
            <w:shd w:val="clear" w:color="auto" w:fill="1795D2" w:themeFill="accent1"/>
            <w:tcMar>
              <w:left w:w="115" w:type="dxa"/>
              <w:right w:w="115" w:type="dxa"/>
            </w:tcMar>
            <w:vAlign w:val="center"/>
          </w:tcPr>
          <w:p w:rsidR="003230C3" w:rsidRPr="003230C3" w:rsidRDefault="003230C3" w:rsidP="00CE1B10">
            <w:pPr>
              <w:keepNext/>
              <w:keepLines/>
              <w:spacing w:after="0" w:line="240" w:lineRule="auto"/>
              <w:jc w:val="center"/>
              <w:rPr>
                <w:rFonts w:asciiTheme="majorHAnsi" w:hAnsiTheme="majorHAnsi" w:cstheme="majorHAnsi"/>
                <w:b/>
                <w:color w:val="FFFFFF" w:themeColor="background1"/>
                <w:sz w:val="18"/>
                <w:szCs w:val="18"/>
              </w:rPr>
            </w:pPr>
            <w:r w:rsidRPr="003230C3">
              <w:rPr>
                <w:rFonts w:asciiTheme="majorHAnsi" w:hAnsiTheme="majorHAnsi" w:cstheme="majorHAnsi"/>
                <w:b/>
                <w:color w:val="FFFFFF" w:themeColor="background1"/>
                <w:sz w:val="18"/>
                <w:szCs w:val="18"/>
              </w:rPr>
              <w:t>Description</w:t>
            </w:r>
          </w:p>
        </w:tc>
        <w:tc>
          <w:tcPr>
            <w:tcW w:w="2063" w:type="dxa"/>
            <w:shd w:val="clear" w:color="auto" w:fill="1795D2" w:themeFill="accent1"/>
            <w:tcMar>
              <w:left w:w="115" w:type="dxa"/>
              <w:right w:w="115" w:type="dxa"/>
            </w:tcMar>
            <w:vAlign w:val="center"/>
          </w:tcPr>
          <w:p w:rsidR="003230C3" w:rsidRPr="003230C3" w:rsidRDefault="003230C3" w:rsidP="00CE1B10">
            <w:pPr>
              <w:keepNext/>
              <w:keepLines/>
              <w:spacing w:after="0" w:line="240" w:lineRule="auto"/>
              <w:jc w:val="center"/>
              <w:rPr>
                <w:rFonts w:asciiTheme="majorHAnsi" w:hAnsiTheme="majorHAnsi" w:cstheme="majorHAnsi"/>
                <w:b/>
                <w:color w:val="FFFFFF" w:themeColor="background1"/>
                <w:sz w:val="18"/>
                <w:szCs w:val="18"/>
              </w:rPr>
            </w:pPr>
            <w:r w:rsidRPr="003230C3">
              <w:rPr>
                <w:rFonts w:asciiTheme="majorHAnsi" w:hAnsiTheme="majorHAnsi" w:cstheme="majorHAnsi"/>
                <w:b/>
                <w:color w:val="FFFFFF" w:themeColor="background1"/>
                <w:sz w:val="18"/>
                <w:szCs w:val="18"/>
              </w:rPr>
              <w:t>Current Market Product</w:t>
            </w:r>
          </w:p>
        </w:tc>
        <w:tc>
          <w:tcPr>
            <w:tcW w:w="2700" w:type="dxa"/>
            <w:shd w:val="clear" w:color="auto" w:fill="1795D2" w:themeFill="accent1"/>
            <w:tcMar>
              <w:left w:w="115" w:type="dxa"/>
              <w:right w:w="115" w:type="dxa"/>
            </w:tcMar>
            <w:vAlign w:val="center"/>
          </w:tcPr>
          <w:p w:rsidR="003230C3" w:rsidRPr="003230C3" w:rsidRDefault="003230C3" w:rsidP="00CE1B10">
            <w:pPr>
              <w:keepNext/>
              <w:keepLines/>
              <w:spacing w:after="0" w:line="240" w:lineRule="auto"/>
              <w:jc w:val="center"/>
              <w:rPr>
                <w:rFonts w:asciiTheme="majorHAnsi" w:hAnsiTheme="majorHAnsi" w:cstheme="majorHAnsi"/>
                <w:b/>
                <w:color w:val="FFFFFF" w:themeColor="background1"/>
                <w:sz w:val="18"/>
                <w:szCs w:val="18"/>
              </w:rPr>
            </w:pPr>
            <w:r w:rsidRPr="003230C3">
              <w:rPr>
                <w:rFonts w:asciiTheme="majorHAnsi" w:hAnsiTheme="majorHAnsi" w:cstheme="majorHAnsi"/>
                <w:b/>
                <w:color w:val="FFFFFF" w:themeColor="background1"/>
                <w:sz w:val="18"/>
                <w:szCs w:val="18"/>
              </w:rPr>
              <w:t>Results</w:t>
            </w:r>
          </w:p>
        </w:tc>
      </w:tr>
      <w:tr w:rsidR="003230C3" w:rsidRPr="003230C3" w:rsidTr="00372CA8">
        <w:trPr>
          <w:jc w:val="center"/>
        </w:trPr>
        <w:tc>
          <w:tcPr>
            <w:tcW w:w="2065" w:type="dxa"/>
            <w:tcMar>
              <w:left w:w="115" w:type="dxa"/>
            </w:tcMar>
            <w:vAlign w:val="center"/>
          </w:tcPr>
          <w:p w:rsidR="003230C3" w:rsidRPr="007653A5" w:rsidRDefault="003230C3" w:rsidP="00372CA8">
            <w:pPr>
              <w:keepNext/>
              <w:keepLines/>
              <w:spacing w:after="0" w:line="240" w:lineRule="auto"/>
              <w:rPr>
                <w:rFonts w:asciiTheme="majorHAnsi" w:hAnsiTheme="majorHAnsi" w:cstheme="majorHAnsi"/>
                <w:b/>
                <w:sz w:val="18"/>
                <w:szCs w:val="18"/>
              </w:rPr>
            </w:pPr>
            <w:r w:rsidRPr="007653A5">
              <w:rPr>
                <w:rFonts w:asciiTheme="majorHAnsi" w:hAnsiTheme="majorHAnsi" w:cstheme="majorHAnsi"/>
                <w:b/>
                <w:sz w:val="18"/>
                <w:szCs w:val="18"/>
              </w:rPr>
              <w:t>Regulation</w:t>
            </w:r>
          </w:p>
        </w:tc>
        <w:tc>
          <w:tcPr>
            <w:tcW w:w="2887" w:type="dxa"/>
            <w:tcMar>
              <w:left w:w="115" w:type="dxa"/>
              <w:right w:w="115" w:type="dxa"/>
            </w:tcMar>
            <w:vAlign w:val="center"/>
          </w:tcPr>
          <w:p w:rsidR="003230C3" w:rsidRPr="003230C3" w:rsidRDefault="003230C3" w:rsidP="00372CA8">
            <w:pPr>
              <w:keepNext/>
              <w:keepLines/>
              <w:spacing w:after="0" w:line="240" w:lineRule="auto"/>
              <w:rPr>
                <w:rFonts w:asciiTheme="majorHAnsi" w:hAnsiTheme="majorHAnsi" w:cstheme="majorHAnsi"/>
                <w:sz w:val="18"/>
                <w:szCs w:val="18"/>
              </w:rPr>
            </w:pPr>
            <w:r w:rsidRPr="003230C3">
              <w:rPr>
                <w:rFonts w:asciiTheme="majorHAnsi" w:hAnsiTheme="majorHAnsi" w:cstheme="majorHAnsi"/>
                <w:sz w:val="18"/>
                <w:szCs w:val="18"/>
              </w:rPr>
              <w:t xml:space="preserve">The capability of specially equipped generators to increase or decrease their generation output every four seconds in response to signals they receive from the ISO to balance supply levels with the second-to-second variations in demand </w:t>
            </w:r>
          </w:p>
        </w:tc>
        <w:tc>
          <w:tcPr>
            <w:tcW w:w="2063" w:type="dxa"/>
            <w:tcMar>
              <w:left w:w="115" w:type="dxa"/>
              <w:right w:w="115" w:type="dxa"/>
            </w:tcMar>
            <w:vAlign w:val="center"/>
          </w:tcPr>
          <w:p w:rsidR="003230C3" w:rsidRPr="003230C3" w:rsidRDefault="003230C3" w:rsidP="00372CA8">
            <w:pPr>
              <w:keepNext/>
              <w:keepLines/>
              <w:spacing w:after="0" w:line="240" w:lineRule="auto"/>
              <w:rPr>
                <w:rFonts w:asciiTheme="majorHAnsi" w:hAnsiTheme="majorHAnsi" w:cstheme="majorHAnsi"/>
                <w:sz w:val="18"/>
                <w:szCs w:val="18"/>
              </w:rPr>
            </w:pPr>
            <w:r w:rsidRPr="00E62212">
              <w:rPr>
                <w:rFonts w:asciiTheme="majorHAnsi" w:hAnsiTheme="majorHAnsi" w:cstheme="majorHAnsi"/>
                <w:sz w:val="18"/>
                <w:szCs w:val="18"/>
              </w:rPr>
              <w:t xml:space="preserve">Automatic generator control </w:t>
            </w:r>
            <w:r w:rsidRPr="00FF6DB5">
              <w:rPr>
                <w:rFonts w:asciiTheme="majorHAnsi" w:hAnsiTheme="majorHAnsi" w:cstheme="majorHAnsi"/>
                <w:sz w:val="18"/>
                <w:szCs w:val="18"/>
              </w:rPr>
              <w:t>(AGC)/</w:t>
            </w:r>
            <w:r w:rsidR="00566FFF">
              <w:rPr>
                <w:rFonts w:asciiTheme="majorHAnsi" w:hAnsiTheme="majorHAnsi" w:cstheme="majorHAnsi"/>
                <w:sz w:val="18"/>
                <w:szCs w:val="18"/>
              </w:rPr>
              <w:t xml:space="preserve"> </w:t>
            </w:r>
            <w:r w:rsidRPr="00FF6DB5">
              <w:rPr>
                <w:rFonts w:asciiTheme="majorHAnsi" w:hAnsiTheme="majorHAnsi" w:cstheme="majorHAnsi"/>
                <w:sz w:val="18"/>
                <w:szCs w:val="18"/>
              </w:rPr>
              <w:t>Regulation Market</w:t>
            </w:r>
          </w:p>
        </w:tc>
        <w:tc>
          <w:tcPr>
            <w:tcW w:w="2700" w:type="dxa"/>
            <w:tcMar>
              <w:left w:w="115" w:type="dxa"/>
              <w:right w:w="115" w:type="dxa"/>
            </w:tcMar>
            <w:vAlign w:val="center"/>
          </w:tcPr>
          <w:p w:rsidR="00EA1729" w:rsidRPr="00EA1729" w:rsidRDefault="003230C3" w:rsidP="00372CA8">
            <w:pPr>
              <w:keepNext/>
              <w:keepLines/>
              <w:spacing w:after="80" w:line="240" w:lineRule="auto"/>
              <w:rPr>
                <w:rFonts w:asciiTheme="majorHAnsi" w:hAnsiTheme="majorHAnsi" w:cstheme="majorHAnsi"/>
                <w:sz w:val="18"/>
                <w:szCs w:val="18"/>
              </w:rPr>
            </w:pPr>
            <w:r w:rsidRPr="003230C3">
              <w:rPr>
                <w:rFonts w:asciiTheme="majorHAnsi" w:hAnsiTheme="majorHAnsi" w:cstheme="majorHAnsi"/>
                <w:sz w:val="18"/>
                <w:szCs w:val="18"/>
              </w:rPr>
              <w:t xml:space="preserve">Regulation reserves </w:t>
            </w:r>
            <w:r w:rsidR="00F30513">
              <w:rPr>
                <w:rFonts w:asciiTheme="majorHAnsi" w:hAnsiTheme="majorHAnsi" w:cstheme="majorHAnsi"/>
                <w:sz w:val="18"/>
                <w:szCs w:val="18"/>
              </w:rPr>
              <w:t xml:space="preserve">with a </w:t>
            </w:r>
            <w:r w:rsidRPr="003230C3">
              <w:rPr>
                <w:rFonts w:asciiTheme="majorHAnsi" w:hAnsiTheme="majorHAnsi" w:cstheme="majorHAnsi"/>
                <w:sz w:val="18"/>
                <w:szCs w:val="18"/>
              </w:rPr>
              <w:t>244</w:t>
            </w:r>
            <w:r>
              <w:rPr>
                <w:rFonts w:asciiTheme="majorHAnsi" w:hAnsiTheme="majorHAnsi" w:cstheme="majorHAnsi"/>
                <w:sz w:val="18"/>
                <w:szCs w:val="18"/>
              </w:rPr>
              <w:t> </w:t>
            </w:r>
            <w:r w:rsidRPr="003230C3">
              <w:rPr>
                <w:rFonts w:asciiTheme="majorHAnsi" w:hAnsiTheme="majorHAnsi" w:cstheme="majorHAnsi"/>
                <w:sz w:val="18"/>
                <w:szCs w:val="18"/>
              </w:rPr>
              <w:t>MW range (up 122</w:t>
            </w:r>
            <w:r>
              <w:rPr>
                <w:rFonts w:asciiTheme="majorHAnsi" w:hAnsiTheme="majorHAnsi" w:cstheme="majorHAnsi"/>
                <w:sz w:val="18"/>
                <w:szCs w:val="18"/>
              </w:rPr>
              <w:t> </w:t>
            </w:r>
            <w:r w:rsidRPr="003230C3">
              <w:rPr>
                <w:rFonts w:asciiTheme="majorHAnsi" w:hAnsiTheme="majorHAnsi" w:cstheme="majorHAnsi"/>
                <w:sz w:val="18"/>
                <w:szCs w:val="18"/>
              </w:rPr>
              <w:t>MW to down 122</w:t>
            </w:r>
            <w:r>
              <w:rPr>
                <w:rFonts w:asciiTheme="majorHAnsi" w:hAnsiTheme="majorHAnsi" w:cstheme="majorHAnsi"/>
                <w:sz w:val="18"/>
                <w:szCs w:val="18"/>
              </w:rPr>
              <w:t> </w:t>
            </w:r>
            <w:r w:rsidRPr="003230C3">
              <w:rPr>
                <w:rFonts w:asciiTheme="majorHAnsi" w:hAnsiTheme="majorHAnsi" w:cstheme="majorHAnsi"/>
                <w:sz w:val="18"/>
                <w:szCs w:val="18"/>
              </w:rPr>
              <w:t>MW) are exhausted 33% of the time</w:t>
            </w:r>
            <w:r>
              <w:rPr>
                <w:rFonts w:asciiTheme="majorHAnsi" w:hAnsiTheme="majorHAnsi" w:cstheme="majorHAnsi"/>
                <w:sz w:val="18"/>
                <w:szCs w:val="18"/>
              </w:rPr>
              <w:t>.</w:t>
            </w:r>
            <w:r w:rsidRPr="003230C3">
              <w:rPr>
                <w:rFonts w:asciiTheme="majorHAnsi" w:hAnsiTheme="majorHAnsi" w:cstheme="majorHAnsi"/>
                <w:sz w:val="18"/>
                <w:szCs w:val="18"/>
              </w:rPr>
              <w:t xml:space="preserve"> </w:t>
            </w:r>
          </w:p>
          <w:p w:rsidR="007653A5" w:rsidRPr="003230C3" w:rsidRDefault="00EA1729" w:rsidP="00372CA8">
            <w:pPr>
              <w:keepNext/>
              <w:keepLines/>
              <w:spacing w:after="80" w:line="240" w:lineRule="auto"/>
              <w:rPr>
                <w:rFonts w:asciiTheme="majorHAnsi" w:hAnsiTheme="majorHAnsi" w:cstheme="majorHAnsi"/>
                <w:sz w:val="18"/>
                <w:szCs w:val="18"/>
              </w:rPr>
            </w:pPr>
            <w:r w:rsidRPr="00EA1729">
              <w:rPr>
                <w:rFonts w:asciiTheme="majorHAnsi" w:hAnsiTheme="majorHAnsi" w:cstheme="majorHAnsi"/>
                <w:sz w:val="18"/>
                <w:szCs w:val="18"/>
              </w:rPr>
              <w:t xml:space="preserve">Regulation usage increases significantly in high-renewable scenarios. </w:t>
            </w:r>
            <w:r w:rsidR="007653A5" w:rsidRPr="007653A5">
              <w:rPr>
                <w:rFonts w:asciiTheme="majorHAnsi" w:hAnsiTheme="majorHAnsi" w:cstheme="majorHAnsi"/>
                <w:sz w:val="18"/>
                <w:szCs w:val="18"/>
              </w:rPr>
              <w:t>Further study can iterate different regulation amounts to find needed amounts and system dispatch to relieve regulation.</w:t>
            </w:r>
          </w:p>
        </w:tc>
      </w:tr>
      <w:tr w:rsidR="003230C3" w:rsidRPr="003230C3" w:rsidTr="00CE1B10">
        <w:trPr>
          <w:jc w:val="center"/>
        </w:trPr>
        <w:tc>
          <w:tcPr>
            <w:tcW w:w="2065" w:type="dxa"/>
            <w:shd w:val="clear" w:color="auto" w:fill="CCEAF9" w:themeFill="accent1" w:themeFillTint="33"/>
            <w:tcMar>
              <w:left w:w="115" w:type="dxa"/>
            </w:tcMar>
            <w:vAlign w:val="center"/>
          </w:tcPr>
          <w:p w:rsidR="003230C3" w:rsidRPr="00FF6DB5" w:rsidRDefault="003230C3" w:rsidP="00566FFF">
            <w:pPr>
              <w:keepNext/>
              <w:keepLines/>
              <w:spacing w:after="0" w:line="240" w:lineRule="auto"/>
              <w:rPr>
                <w:rFonts w:asciiTheme="majorHAnsi" w:hAnsiTheme="majorHAnsi" w:cstheme="majorHAnsi"/>
                <w:b/>
                <w:sz w:val="18"/>
                <w:szCs w:val="18"/>
                <w:highlight w:val="green"/>
              </w:rPr>
            </w:pPr>
            <w:r w:rsidRPr="00FF6DB5">
              <w:rPr>
                <w:rFonts w:asciiTheme="majorHAnsi" w:hAnsiTheme="majorHAnsi" w:cstheme="majorHAnsi"/>
                <w:b/>
                <w:sz w:val="18"/>
                <w:szCs w:val="18"/>
              </w:rPr>
              <w:t>Load-following reserves</w:t>
            </w:r>
          </w:p>
        </w:tc>
        <w:tc>
          <w:tcPr>
            <w:tcW w:w="2887" w:type="dxa"/>
            <w:shd w:val="clear" w:color="auto" w:fill="CCEAF9" w:themeFill="accent1" w:themeFillTint="33"/>
            <w:tcMar>
              <w:left w:w="115" w:type="dxa"/>
              <w:right w:w="115" w:type="dxa"/>
            </w:tcMar>
            <w:vAlign w:val="center"/>
          </w:tcPr>
          <w:p w:rsidR="003230C3" w:rsidRPr="003230C3" w:rsidRDefault="00EA1729" w:rsidP="00566FFF">
            <w:pPr>
              <w:keepNext/>
              <w:keepLines/>
              <w:spacing w:after="0" w:line="240" w:lineRule="auto"/>
              <w:rPr>
                <w:rFonts w:asciiTheme="majorHAnsi" w:hAnsiTheme="majorHAnsi" w:cstheme="majorHAnsi"/>
                <w:sz w:val="18"/>
                <w:szCs w:val="18"/>
              </w:rPr>
            </w:pPr>
            <w:r w:rsidRPr="00EA1729">
              <w:rPr>
                <w:rFonts w:asciiTheme="majorHAnsi" w:hAnsiTheme="majorHAnsi" w:cstheme="majorHAnsi"/>
                <w:sz w:val="18"/>
                <w:szCs w:val="18"/>
              </w:rPr>
              <w:t xml:space="preserve">The quantity of </w:t>
            </w:r>
            <w:r w:rsidR="007653A5">
              <w:rPr>
                <w:rFonts w:asciiTheme="majorHAnsi" w:hAnsiTheme="majorHAnsi" w:cstheme="majorHAnsi"/>
                <w:sz w:val="18"/>
                <w:szCs w:val="18"/>
              </w:rPr>
              <w:t>l</w:t>
            </w:r>
            <w:r w:rsidRPr="00EA1729">
              <w:rPr>
                <w:rFonts w:asciiTheme="majorHAnsi" w:hAnsiTheme="majorHAnsi" w:cstheme="majorHAnsi"/>
                <w:sz w:val="18"/>
                <w:szCs w:val="18"/>
              </w:rPr>
              <w:t>oad</w:t>
            </w:r>
            <w:r w:rsidR="007653A5">
              <w:rPr>
                <w:rFonts w:asciiTheme="majorHAnsi" w:hAnsiTheme="majorHAnsi" w:cstheme="majorHAnsi"/>
                <w:sz w:val="18"/>
                <w:szCs w:val="18"/>
              </w:rPr>
              <w:t>-f</w:t>
            </w:r>
            <w:r w:rsidRPr="00EA1729">
              <w:rPr>
                <w:rFonts w:asciiTheme="majorHAnsi" w:hAnsiTheme="majorHAnsi" w:cstheme="majorHAnsi"/>
                <w:sz w:val="18"/>
                <w:szCs w:val="18"/>
              </w:rPr>
              <w:t xml:space="preserve">ollowing </w:t>
            </w:r>
            <w:r w:rsidR="007653A5">
              <w:rPr>
                <w:rFonts w:asciiTheme="majorHAnsi" w:hAnsiTheme="majorHAnsi" w:cstheme="majorHAnsi"/>
                <w:sz w:val="18"/>
                <w:szCs w:val="18"/>
              </w:rPr>
              <w:t>r</w:t>
            </w:r>
            <w:r w:rsidRPr="00EA1729">
              <w:rPr>
                <w:rFonts w:asciiTheme="majorHAnsi" w:hAnsiTheme="majorHAnsi" w:cstheme="majorHAnsi"/>
                <w:sz w:val="18"/>
                <w:szCs w:val="18"/>
              </w:rPr>
              <w:t xml:space="preserve">eserves is equal to the capacity of </w:t>
            </w:r>
            <w:r w:rsidR="007653A5">
              <w:rPr>
                <w:rFonts w:asciiTheme="majorHAnsi" w:hAnsiTheme="majorHAnsi" w:cstheme="majorHAnsi"/>
                <w:sz w:val="18"/>
                <w:szCs w:val="18"/>
              </w:rPr>
              <w:t xml:space="preserve">the </w:t>
            </w:r>
            <w:r w:rsidRPr="00EA1729">
              <w:rPr>
                <w:rFonts w:asciiTheme="majorHAnsi" w:hAnsiTheme="majorHAnsi" w:cstheme="majorHAnsi"/>
                <w:sz w:val="18"/>
                <w:szCs w:val="18"/>
              </w:rPr>
              <w:t>aggregate generation</w:t>
            </w:r>
            <w:r w:rsidR="007653A5">
              <w:rPr>
                <w:rFonts w:asciiTheme="majorHAnsi" w:hAnsiTheme="majorHAnsi" w:cstheme="majorHAnsi"/>
                <w:sz w:val="18"/>
                <w:szCs w:val="18"/>
              </w:rPr>
              <w:t xml:space="preserve"> fleet to move up or down (i.e., </w:t>
            </w:r>
            <w:r w:rsidRPr="00EA1729">
              <w:rPr>
                <w:rFonts w:asciiTheme="majorHAnsi" w:hAnsiTheme="majorHAnsi" w:cstheme="majorHAnsi"/>
                <w:sz w:val="18"/>
                <w:szCs w:val="18"/>
              </w:rPr>
              <w:t>economic surplus)</w:t>
            </w:r>
            <w:r w:rsidR="007653A5">
              <w:rPr>
                <w:rFonts w:asciiTheme="majorHAnsi" w:hAnsiTheme="majorHAnsi" w:cstheme="majorHAnsi"/>
                <w:sz w:val="18"/>
                <w:szCs w:val="18"/>
              </w:rPr>
              <w:t>.</w:t>
            </w:r>
          </w:p>
        </w:tc>
        <w:tc>
          <w:tcPr>
            <w:tcW w:w="2063" w:type="dxa"/>
            <w:shd w:val="clear" w:color="auto" w:fill="CCEAF9" w:themeFill="accent1" w:themeFillTint="33"/>
            <w:tcMar>
              <w:left w:w="115" w:type="dxa"/>
              <w:right w:w="115" w:type="dxa"/>
            </w:tcMar>
            <w:vAlign w:val="center"/>
          </w:tcPr>
          <w:p w:rsidR="003230C3" w:rsidRPr="003230C3" w:rsidRDefault="003230C3" w:rsidP="00566FFF">
            <w:pPr>
              <w:keepNext/>
              <w:keepLines/>
              <w:spacing w:after="0" w:line="240" w:lineRule="auto"/>
              <w:rPr>
                <w:rFonts w:asciiTheme="majorHAnsi" w:hAnsiTheme="majorHAnsi" w:cstheme="majorHAnsi"/>
                <w:sz w:val="18"/>
                <w:szCs w:val="18"/>
              </w:rPr>
            </w:pPr>
            <w:r w:rsidRPr="003230C3">
              <w:rPr>
                <w:rFonts w:asciiTheme="majorHAnsi" w:hAnsiTheme="majorHAnsi" w:cstheme="majorHAnsi"/>
                <w:sz w:val="18"/>
                <w:szCs w:val="18"/>
              </w:rPr>
              <w:t xml:space="preserve">No </w:t>
            </w:r>
            <w:r>
              <w:rPr>
                <w:rFonts w:asciiTheme="majorHAnsi" w:hAnsiTheme="majorHAnsi" w:cstheme="majorHAnsi"/>
                <w:sz w:val="18"/>
                <w:szCs w:val="18"/>
              </w:rPr>
              <w:t>c</w:t>
            </w:r>
            <w:r w:rsidRPr="003230C3">
              <w:rPr>
                <w:rFonts w:asciiTheme="majorHAnsi" w:hAnsiTheme="majorHAnsi" w:cstheme="majorHAnsi"/>
                <w:sz w:val="18"/>
                <w:szCs w:val="18"/>
              </w:rPr>
              <w:t xml:space="preserve">urrent </w:t>
            </w:r>
            <w:r>
              <w:rPr>
                <w:rFonts w:asciiTheme="majorHAnsi" w:hAnsiTheme="majorHAnsi" w:cstheme="majorHAnsi"/>
                <w:sz w:val="18"/>
                <w:szCs w:val="18"/>
              </w:rPr>
              <w:t>p</w:t>
            </w:r>
            <w:r w:rsidRPr="003230C3">
              <w:rPr>
                <w:rFonts w:asciiTheme="majorHAnsi" w:hAnsiTheme="majorHAnsi" w:cstheme="majorHAnsi"/>
                <w:sz w:val="18"/>
                <w:szCs w:val="18"/>
              </w:rPr>
              <w:t>roduct</w:t>
            </w:r>
          </w:p>
        </w:tc>
        <w:tc>
          <w:tcPr>
            <w:tcW w:w="2700" w:type="dxa"/>
            <w:shd w:val="clear" w:color="auto" w:fill="CCEAF9" w:themeFill="accent1" w:themeFillTint="33"/>
            <w:tcMar>
              <w:left w:w="115" w:type="dxa"/>
              <w:right w:w="115" w:type="dxa"/>
            </w:tcMar>
            <w:vAlign w:val="center"/>
          </w:tcPr>
          <w:p w:rsidR="00EA1729" w:rsidRPr="003230C3" w:rsidRDefault="003230C3" w:rsidP="00566FFF">
            <w:pPr>
              <w:keepNext/>
              <w:keepLines/>
              <w:spacing w:after="80" w:line="240" w:lineRule="auto"/>
              <w:rPr>
                <w:rFonts w:asciiTheme="majorHAnsi" w:hAnsiTheme="majorHAnsi" w:cstheme="majorHAnsi"/>
                <w:sz w:val="18"/>
                <w:szCs w:val="18"/>
              </w:rPr>
            </w:pPr>
            <w:r w:rsidRPr="00FF6DB5">
              <w:rPr>
                <w:rFonts w:asciiTheme="majorHAnsi" w:hAnsiTheme="majorHAnsi" w:cstheme="majorHAnsi"/>
                <w:sz w:val="18"/>
                <w:szCs w:val="18"/>
              </w:rPr>
              <w:t>A shortage</w:t>
            </w:r>
            <w:r w:rsidR="00F30513" w:rsidRPr="00FF6DB5">
              <w:rPr>
                <w:rFonts w:asciiTheme="majorHAnsi" w:hAnsiTheme="majorHAnsi" w:cstheme="majorHAnsi"/>
                <w:sz w:val="18"/>
                <w:szCs w:val="18"/>
              </w:rPr>
              <w:t xml:space="preserve"> </w:t>
            </w:r>
            <w:r w:rsidRPr="00FF6DB5">
              <w:rPr>
                <w:rFonts w:asciiTheme="majorHAnsi" w:hAnsiTheme="majorHAnsi" w:cstheme="majorHAnsi"/>
                <w:sz w:val="18"/>
                <w:szCs w:val="18"/>
              </w:rPr>
              <w:t xml:space="preserve">of upward LFR </w:t>
            </w:r>
            <w:r w:rsidR="00F30513" w:rsidRPr="00FF6DB5">
              <w:rPr>
                <w:rFonts w:asciiTheme="majorHAnsi" w:hAnsiTheme="majorHAnsi" w:cstheme="majorHAnsi"/>
                <w:sz w:val="18"/>
                <w:szCs w:val="18"/>
              </w:rPr>
              <w:t xml:space="preserve">occurred </w:t>
            </w:r>
            <w:r w:rsidRPr="00FF6DB5">
              <w:rPr>
                <w:rFonts w:asciiTheme="majorHAnsi" w:hAnsiTheme="majorHAnsi" w:cstheme="majorHAnsi"/>
                <w:sz w:val="18"/>
                <w:szCs w:val="18"/>
              </w:rPr>
              <w:t>24% of the year</w:t>
            </w:r>
            <w:r w:rsidR="00F30513" w:rsidRPr="00FF6DB5">
              <w:rPr>
                <w:rFonts w:asciiTheme="majorHAnsi" w:hAnsiTheme="majorHAnsi" w:cstheme="majorHAnsi"/>
                <w:sz w:val="18"/>
                <w:szCs w:val="18"/>
              </w:rPr>
              <w:t>,</w:t>
            </w:r>
            <w:r w:rsidRPr="00FF6DB5">
              <w:rPr>
                <w:rFonts w:asciiTheme="majorHAnsi" w:hAnsiTheme="majorHAnsi" w:cstheme="majorHAnsi"/>
                <w:sz w:val="18"/>
                <w:szCs w:val="18"/>
              </w:rPr>
              <w:t xml:space="preserve"> reflecting constrained upward dispatch. These occur primarily during low net</w:t>
            </w:r>
            <w:r w:rsidR="00F30513" w:rsidRPr="00FF6DB5">
              <w:rPr>
                <w:rFonts w:asciiTheme="majorHAnsi" w:hAnsiTheme="majorHAnsi" w:cstheme="majorHAnsi"/>
                <w:sz w:val="18"/>
                <w:szCs w:val="18"/>
              </w:rPr>
              <w:t>-</w:t>
            </w:r>
            <w:r w:rsidRPr="00FF6DB5">
              <w:rPr>
                <w:rFonts w:asciiTheme="majorHAnsi" w:hAnsiTheme="majorHAnsi" w:cstheme="majorHAnsi"/>
                <w:sz w:val="18"/>
                <w:szCs w:val="18"/>
              </w:rPr>
              <w:t xml:space="preserve">load conditions in the spring and autumn. Downward LFR reserves </w:t>
            </w:r>
            <w:r w:rsidR="00F30513" w:rsidRPr="00FF6DB5">
              <w:rPr>
                <w:rFonts w:asciiTheme="majorHAnsi" w:hAnsiTheme="majorHAnsi" w:cstheme="majorHAnsi"/>
                <w:sz w:val="18"/>
                <w:szCs w:val="18"/>
              </w:rPr>
              <w:t>were</w:t>
            </w:r>
            <w:r w:rsidRPr="00FF6DB5">
              <w:rPr>
                <w:rFonts w:asciiTheme="majorHAnsi" w:hAnsiTheme="majorHAnsi" w:cstheme="majorHAnsi"/>
                <w:sz w:val="18"/>
                <w:szCs w:val="18"/>
              </w:rPr>
              <w:t xml:space="preserve"> sufficient in all 2016 Phase II scenarios. The curtailment of semidispatchable (profiled) resources func</w:t>
            </w:r>
            <w:r w:rsidRPr="00566FFF">
              <w:rPr>
                <w:rFonts w:asciiTheme="majorHAnsi" w:hAnsiTheme="majorHAnsi" w:cstheme="majorHAnsi"/>
                <w:sz w:val="18"/>
                <w:szCs w:val="18"/>
              </w:rPr>
              <w:t xml:space="preserve">tions as a kind of </w:t>
            </w:r>
            <w:r w:rsidR="00566FFF" w:rsidRPr="00566FFF">
              <w:rPr>
                <w:rFonts w:asciiTheme="majorHAnsi" w:hAnsiTheme="majorHAnsi" w:cstheme="majorHAnsi"/>
                <w:sz w:val="18"/>
                <w:szCs w:val="18"/>
              </w:rPr>
              <w:t xml:space="preserve">downward </w:t>
            </w:r>
            <w:r w:rsidRPr="00566FFF">
              <w:rPr>
                <w:rFonts w:asciiTheme="majorHAnsi" w:hAnsiTheme="majorHAnsi" w:cstheme="majorHAnsi"/>
                <w:sz w:val="18"/>
                <w:szCs w:val="18"/>
              </w:rPr>
              <w:t>LFR.</w:t>
            </w:r>
          </w:p>
        </w:tc>
      </w:tr>
      <w:tr w:rsidR="003230C3" w:rsidRPr="00F30513" w:rsidTr="00CE1B10">
        <w:trPr>
          <w:jc w:val="center"/>
        </w:trPr>
        <w:tc>
          <w:tcPr>
            <w:tcW w:w="2065" w:type="dxa"/>
            <w:tcMar>
              <w:left w:w="115" w:type="dxa"/>
            </w:tcMar>
            <w:vAlign w:val="center"/>
          </w:tcPr>
          <w:p w:rsidR="003230C3" w:rsidRPr="00FF6DB5" w:rsidRDefault="003230C3" w:rsidP="00CE1B10">
            <w:pPr>
              <w:keepNext/>
              <w:keepLines/>
              <w:spacing w:after="0" w:line="240" w:lineRule="auto"/>
              <w:rPr>
                <w:rFonts w:asciiTheme="majorHAnsi" w:hAnsiTheme="majorHAnsi" w:cstheme="majorHAnsi"/>
                <w:b/>
                <w:sz w:val="18"/>
                <w:szCs w:val="18"/>
              </w:rPr>
            </w:pPr>
            <w:r w:rsidRPr="00FF6DB5">
              <w:rPr>
                <w:rFonts w:asciiTheme="majorHAnsi" w:hAnsiTheme="majorHAnsi" w:cstheme="majorHAnsi"/>
                <w:b/>
                <w:sz w:val="18"/>
                <w:szCs w:val="18"/>
              </w:rPr>
              <w:t>Ramping reserves</w:t>
            </w:r>
          </w:p>
        </w:tc>
        <w:tc>
          <w:tcPr>
            <w:tcW w:w="2887" w:type="dxa"/>
            <w:tcMar>
              <w:left w:w="115" w:type="dxa"/>
              <w:right w:w="115" w:type="dxa"/>
            </w:tcMar>
            <w:vAlign w:val="center"/>
          </w:tcPr>
          <w:p w:rsidR="006156A9" w:rsidRPr="003230C3" w:rsidRDefault="003230C3" w:rsidP="00CE1B10">
            <w:pPr>
              <w:keepNext/>
              <w:keepLines/>
              <w:spacing w:after="0" w:line="240" w:lineRule="auto"/>
              <w:rPr>
                <w:rFonts w:asciiTheme="majorHAnsi" w:hAnsiTheme="majorHAnsi" w:cstheme="majorHAnsi"/>
                <w:sz w:val="18"/>
                <w:szCs w:val="18"/>
              </w:rPr>
            </w:pPr>
            <w:r w:rsidRPr="003230C3">
              <w:rPr>
                <w:rFonts w:asciiTheme="majorHAnsi" w:hAnsiTheme="majorHAnsi" w:cstheme="majorHAnsi"/>
                <w:sz w:val="18"/>
                <w:szCs w:val="18"/>
              </w:rPr>
              <w:t>The rate of capacity change available (as a function of unit commitment and dispatch) to correct the anticipated imbalance in the next real-time market time step</w:t>
            </w:r>
          </w:p>
        </w:tc>
        <w:tc>
          <w:tcPr>
            <w:tcW w:w="2063" w:type="dxa"/>
            <w:tcMar>
              <w:left w:w="115" w:type="dxa"/>
              <w:right w:w="115" w:type="dxa"/>
            </w:tcMar>
            <w:vAlign w:val="center"/>
          </w:tcPr>
          <w:p w:rsidR="003230C3" w:rsidRPr="003230C3" w:rsidRDefault="003230C3" w:rsidP="00CE1B10">
            <w:pPr>
              <w:keepNext/>
              <w:keepLines/>
              <w:spacing w:after="0" w:line="240" w:lineRule="auto"/>
              <w:rPr>
                <w:rFonts w:asciiTheme="majorHAnsi" w:hAnsiTheme="majorHAnsi" w:cstheme="majorHAnsi"/>
                <w:sz w:val="18"/>
                <w:szCs w:val="18"/>
              </w:rPr>
            </w:pPr>
            <w:r w:rsidRPr="003230C3">
              <w:rPr>
                <w:rFonts w:asciiTheme="majorHAnsi" w:hAnsiTheme="majorHAnsi" w:cstheme="majorHAnsi"/>
                <w:sz w:val="18"/>
                <w:szCs w:val="18"/>
              </w:rPr>
              <w:t xml:space="preserve">No </w:t>
            </w:r>
            <w:r>
              <w:rPr>
                <w:rFonts w:asciiTheme="majorHAnsi" w:hAnsiTheme="majorHAnsi" w:cstheme="majorHAnsi"/>
                <w:sz w:val="18"/>
                <w:szCs w:val="18"/>
              </w:rPr>
              <w:t>c</w:t>
            </w:r>
            <w:r w:rsidRPr="003230C3">
              <w:rPr>
                <w:rFonts w:asciiTheme="majorHAnsi" w:hAnsiTheme="majorHAnsi" w:cstheme="majorHAnsi"/>
                <w:sz w:val="18"/>
                <w:szCs w:val="18"/>
              </w:rPr>
              <w:t xml:space="preserve">urrent </w:t>
            </w:r>
            <w:r>
              <w:rPr>
                <w:rFonts w:asciiTheme="majorHAnsi" w:hAnsiTheme="majorHAnsi" w:cstheme="majorHAnsi"/>
                <w:sz w:val="18"/>
                <w:szCs w:val="18"/>
              </w:rPr>
              <w:t>p</w:t>
            </w:r>
            <w:r w:rsidRPr="003230C3">
              <w:rPr>
                <w:rFonts w:asciiTheme="majorHAnsi" w:hAnsiTheme="majorHAnsi" w:cstheme="majorHAnsi"/>
                <w:sz w:val="18"/>
                <w:szCs w:val="18"/>
              </w:rPr>
              <w:t>roduct</w:t>
            </w:r>
          </w:p>
        </w:tc>
        <w:tc>
          <w:tcPr>
            <w:tcW w:w="2700" w:type="dxa"/>
            <w:tcMar>
              <w:left w:w="115" w:type="dxa"/>
              <w:right w:w="115" w:type="dxa"/>
            </w:tcMar>
            <w:vAlign w:val="center"/>
          </w:tcPr>
          <w:p w:rsidR="006156A9" w:rsidRPr="006156A9" w:rsidRDefault="003230C3" w:rsidP="00CE1B10">
            <w:pPr>
              <w:keepNext/>
              <w:keepLines/>
              <w:spacing w:after="80" w:line="240" w:lineRule="auto"/>
              <w:rPr>
                <w:rFonts w:asciiTheme="majorHAnsi" w:hAnsiTheme="majorHAnsi" w:cstheme="majorHAnsi"/>
                <w:sz w:val="18"/>
                <w:szCs w:val="18"/>
              </w:rPr>
            </w:pPr>
            <w:r w:rsidRPr="00FF6DB5">
              <w:rPr>
                <w:rFonts w:asciiTheme="majorHAnsi" w:hAnsiTheme="majorHAnsi" w:cstheme="majorHAnsi"/>
                <w:sz w:val="18"/>
                <w:szCs w:val="18"/>
              </w:rPr>
              <w:t xml:space="preserve">Upward ramping reserves are insufficient up to 15% of the year in the 2030-3 scenario; downward ramping reserves are only insufficient 2% of the year. </w:t>
            </w:r>
          </w:p>
        </w:tc>
      </w:tr>
      <w:tr w:rsidR="003230C3" w:rsidRPr="003230C3" w:rsidTr="00566FFF">
        <w:trPr>
          <w:jc w:val="center"/>
        </w:trPr>
        <w:tc>
          <w:tcPr>
            <w:tcW w:w="2065" w:type="dxa"/>
            <w:shd w:val="clear" w:color="auto" w:fill="CCEAF9" w:themeFill="accent1" w:themeFillTint="33"/>
            <w:tcMar>
              <w:left w:w="115" w:type="dxa"/>
            </w:tcMar>
            <w:vAlign w:val="center"/>
          </w:tcPr>
          <w:p w:rsidR="003230C3" w:rsidRPr="00FF6DB5" w:rsidRDefault="003230C3" w:rsidP="00566FFF">
            <w:pPr>
              <w:keepNext/>
              <w:keepLines/>
              <w:spacing w:after="0" w:line="240" w:lineRule="auto"/>
              <w:rPr>
                <w:rFonts w:asciiTheme="majorHAnsi" w:hAnsiTheme="majorHAnsi" w:cstheme="majorHAnsi"/>
                <w:b/>
                <w:sz w:val="18"/>
                <w:szCs w:val="18"/>
              </w:rPr>
            </w:pPr>
            <w:r w:rsidRPr="00FF6DB5">
              <w:rPr>
                <w:rFonts w:asciiTheme="majorHAnsi" w:hAnsiTheme="majorHAnsi" w:cstheme="majorHAnsi"/>
                <w:b/>
                <w:sz w:val="18"/>
                <w:szCs w:val="18"/>
              </w:rPr>
              <w:t>Operating reserves</w:t>
            </w:r>
          </w:p>
        </w:tc>
        <w:tc>
          <w:tcPr>
            <w:tcW w:w="2887" w:type="dxa"/>
            <w:shd w:val="clear" w:color="auto" w:fill="CCEAF9" w:themeFill="accent1" w:themeFillTint="33"/>
            <w:tcMar>
              <w:left w:w="115" w:type="dxa"/>
              <w:right w:w="115" w:type="dxa"/>
            </w:tcMar>
            <w:vAlign w:val="center"/>
          </w:tcPr>
          <w:p w:rsidR="006156A9" w:rsidRPr="003230C3" w:rsidRDefault="006156A9" w:rsidP="00566FFF">
            <w:pPr>
              <w:keepNext/>
              <w:keepLines/>
              <w:spacing w:after="0" w:line="240" w:lineRule="auto"/>
              <w:rPr>
                <w:rFonts w:asciiTheme="majorHAnsi" w:hAnsiTheme="majorHAnsi" w:cstheme="majorHAnsi"/>
                <w:sz w:val="18"/>
                <w:szCs w:val="18"/>
              </w:rPr>
            </w:pPr>
            <w:r w:rsidRPr="006156A9">
              <w:rPr>
                <w:rFonts w:asciiTheme="majorHAnsi" w:hAnsiTheme="majorHAnsi" w:cstheme="majorHAnsi"/>
                <w:sz w:val="18"/>
                <w:szCs w:val="18"/>
              </w:rPr>
              <w:t>Unloaded capacity of generating resources</w:t>
            </w:r>
            <w:r w:rsidR="007653A5">
              <w:rPr>
                <w:rFonts w:asciiTheme="majorHAnsi" w:hAnsiTheme="majorHAnsi" w:cstheme="majorHAnsi"/>
                <w:sz w:val="18"/>
                <w:szCs w:val="18"/>
              </w:rPr>
              <w:t>—</w:t>
            </w:r>
            <w:r w:rsidRPr="006156A9">
              <w:rPr>
                <w:rFonts w:asciiTheme="majorHAnsi" w:hAnsiTheme="majorHAnsi" w:cstheme="majorHAnsi"/>
                <w:sz w:val="18"/>
                <w:szCs w:val="18"/>
              </w:rPr>
              <w:t>either on</w:t>
            </w:r>
            <w:r w:rsidR="007653A5">
              <w:rPr>
                <w:rFonts w:asciiTheme="majorHAnsi" w:hAnsiTheme="majorHAnsi" w:cstheme="majorHAnsi"/>
                <w:sz w:val="18"/>
                <w:szCs w:val="18"/>
              </w:rPr>
              <w:t xml:space="preserve"> </w:t>
            </w:r>
            <w:r w:rsidRPr="006156A9">
              <w:rPr>
                <w:rFonts w:asciiTheme="majorHAnsi" w:hAnsiTheme="majorHAnsi" w:cstheme="majorHAnsi"/>
                <w:sz w:val="18"/>
                <w:szCs w:val="18"/>
              </w:rPr>
              <w:t>line or off</w:t>
            </w:r>
            <w:r w:rsidR="007653A5">
              <w:rPr>
                <w:rFonts w:asciiTheme="majorHAnsi" w:hAnsiTheme="majorHAnsi" w:cstheme="majorHAnsi"/>
                <w:sz w:val="18"/>
                <w:szCs w:val="18"/>
              </w:rPr>
              <w:t xml:space="preserve"> </w:t>
            </w:r>
            <w:r w:rsidRPr="006156A9">
              <w:rPr>
                <w:rFonts w:asciiTheme="majorHAnsi" w:hAnsiTheme="majorHAnsi" w:cstheme="majorHAnsi"/>
                <w:sz w:val="18"/>
                <w:szCs w:val="18"/>
              </w:rPr>
              <w:t>line</w:t>
            </w:r>
            <w:r w:rsidR="007653A5">
              <w:rPr>
                <w:rFonts w:asciiTheme="majorHAnsi" w:hAnsiTheme="majorHAnsi" w:cstheme="majorHAnsi"/>
                <w:sz w:val="18"/>
                <w:szCs w:val="18"/>
              </w:rPr>
              <w:t>—</w:t>
            </w:r>
            <w:r w:rsidRPr="006156A9">
              <w:rPr>
                <w:rFonts w:asciiTheme="majorHAnsi" w:hAnsiTheme="majorHAnsi" w:cstheme="majorHAnsi"/>
                <w:sz w:val="18"/>
                <w:szCs w:val="18"/>
              </w:rPr>
              <w:t xml:space="preserve">that can deliver electric energy within </w:t>
            </w:r>
            <w:r w:rsidR="007653A5">
              <w:rPr>
                <w:rFonts w:asciiTheme="majorHAnsi" w:hAnsiTheme="majorHAnsi" w:cstheme="majorHAnsi"/>
                <w:sz w:val="18"/>
                <w:szCs w:val="18"/>
              </w:rPr>
              <w:t xml:space="preserve">10 </w:t>
            </w:r>
            <w:r w:rsidRPr="006156A9">
              <w:rPr>
                <w:rFonts w:asciiTheme="majorHAnsi" w:hAnsiTheme="majorHAnsi" w:cstheme="majorHAnsi"/>
                <w:sz w:val="18"/>
                <w:szCs w:val="18"/>
              </w:rPr>
              <w:t xml:space="preserve">or </w:t>
            </w:r>
            <w:r w:rsidR="007653A5">
              <w:rPr>
                <w:rFonts w:asciiTheme="majorHAnsi" w:hAnsiTheme="majorHAnsi" w:cstheme="majorHAnsi"/>
                <w:sz w:val="18"/>
                <w:szCs w:val="18"/>
              </w:rPr>
              <w:t xml:space="preserve">30 </w:t>
            </w:r>
            <w:r w:rsidRPr="006156A9">
              <w:rPr>
                <w:rFonts w:asciiTheme="majorHAnsi" w:hAnsiTheme="majorHAnsi" w:cstheme="majorHAnsi"/>
                <w:sz w:val="18"/>
                <w:szCs w:val="18"/>
              </w:rPr>
              <w:t>minutes to respond to contingencies, such as those caused by unexpected outages (i.e.</w:t>
            </w:r>
            <w:r w:rsidR="00566FFF">
              <w:rPr>
                <w:rFonts w:asciiTheme="majorHAnsi" w:hAnsiTheme="majorHAnsi" w:cstheme="majorHAnsi"/>
                <w:sz w:val="18"/>
                <w:szCs w:val="18"/>
              </w:rPr>
              <w:t>,</w:t>
            </w:r>
            <w:r w:rsidRPr="006156A9">
              <w:rPr>
                <w:rFonts w:asciiTheme="majorHAnsi" w:hAnsiTheme="majorHAnsi" w:cstheme="majorHAnsi"/>
                <w:sz w:val="18"/>
                <w:szCs w:val="18"/>
              </w:rPr>
              <w:t xml:space="preserve"> </w:t>
            </w:r>
            <w:r w:rsidR="00FF6DB5">
              <w:rPr>
                <w:rFonts w:asciiTheme="majorHAnsi" w:hAnsiTheme="majorHAnsi" w:cstheme="majorHAnsi"/>
                <w:sz w:val="18"/>
                <w:szCs w:val="18"/>
              </w:rPr>
              <w:t xml:space="preserve">a </w:t>
            </w:r>
            <w:r w:rsidRPr="006156A9">
              <w:rPr>
                <w:rFonts w:asciiTheme="majorHAnsi" w:hAnsiTheme="majorHAnsi" w:cstheme="majorHAnsi"/>
                <w:sz w:val="18"/>
                <w:szCs w:val="18"/>
              </w:rPr>
              <w:t>large generator goes off</w:t>
            </w:r>
            <w:r w:rsidR="00FF6DB5">
              <w:rPr>
                <w:rFonts w:asciiTheme="majorHAnsi" w:hAnsiTheme="majorHAnsi" w:cstheme="majorHAnsi"/>
                <w:sz w:val="18"/>
                <w:szCs w:val="18"/>
              </w:rPr>
              <w:t xml:space="preserve"> </w:t>
            </w:r>
            <w:r w:rsidRPr="006156A9">
              <w:rPr>
                <w:rFonts w:asciiTheme="majorHAnsi" w:hAnsiTheme="majorHAnsi" w:cstheme="majorHAnsi"/>
                <w:sz w:val="18"/>
                <w:szCs w:val="18"/>
              </w:rPr>
              <w:t>line). Ten</w:t>
            </w:r>
            <w:r w:rsidR="00FF6DB5">
              <w:rPr>
                <w:rFonts w:asciiTheme="majorHAnsi" w:hAnsiTheme="majorHAnsi" w:cstheme="majorHAnsi"/>
                <w:sz w:val="18"/>
                <w:szCs w:val="18"/>
              </w:rPr>
              <w:t>-</w:t>
            </w:r>
            <w:r w:rsidRPr="006156A9">
              <w:rPr>
                <w:rFonts w:asciiTheme="majorHAnsi" w:hAnsiTheme="majorHAnsi" w:cstheme="majorHAnsi"/>
                <w:sz w:val="18"/>
                <w:szCs w:val="18"/>
              </w:rPr>
              <w:t>minute</w:t>
            </w:r>
            <w:r w:rsidR="00FF6DB5">
              <w:rPr>
                <w:rFonts w:asciiTheme="majorHAnsi" w:hAnsiTheme="majorHAnsi" w:cstheme="majorHAnsi"/>
                <w:sz w:val="18"/>
                <w:szCs w:val="18"/>
              </w:rPr>
              <w:t xml:space="preserve"> </w:t>
            </w:r>
            <w:r w:rsidRPr="006156A9">
              <w:rPr>
                <w:rFonts w:asciiTheme="majorHAnsi" w:hAnsiTheme="majorHAnsi" w:cstheme="majorHAnsi"/>
                <w:sz w:val="18"/>
                <w:szCs w:val="18"/>
              </w:rPr>
              <w:t>reserves mu</w:t>
            </w:r>
            <w:r w:rsidR="00FF6DB5">
              <w:rPr>
                <w:rFonts w:asciiTheme="majorHAnsi" w:hAnsiTheme="majorHAnsi" w:cstheme="majorHAnsi"/>
                <w:sz w:val="18"/>
                <w:szCs w:val="18"/>
              </w:rPr>
              <w:t>st</w:t>
            </w:r>
            <w:r w:rsidRPr="006156A9">
              <w:rPr>
                <w:rFonts w:asciiTheme="majorHAnsi" w:hAnsiTheme="majorHAnsi" w:cstheme="majorHAnsi"/>
                <w:sz w:val="18"/>
                <w:szCs w:val="18"/>
              </w:rPr>
              <w:t xml:space="preserve"> be synchronized with the grid</w:t>
            </w:r>
            <w:r w:rsidR="00566FFF">
              <w:rPr>
                <w:rFonts w:asciiTheme="majorHAnsi" w:hAnsiTheme="majorHAnsi" w:cstheme="majorHAnsi"/>
                <w:sz w:val="18"/>
                <w:szCs w:val="18"/>
              </w:rPr>
              <w:t>; 30-</w:t>
            </w:r>
            <w:r w:rsidRPr="006156A9">
              <w:rPr>
                <w:rFonts w:asciiTheme="majorHAnsi" w:hAnsiTheme="majorHAnsi" w:cstheme="majorHAnsi"/>
                <w:sz w:val="18"/>
                <w:szCs w:val="18"/>
              </w:rPr>
              <w:t xml:space="preserve">minute resources must be able to energize and synchronize with the grid within </w:t>
            </w:r>
            <w:r w:rsidR="00FF6DB5">
              <w:rPr>
                <w:rFonts w:asciiTheme="majorHAnsi" w:hAnsiTheme="majorHAnsi" w:cstheme="majorHAnsi"/>
                <w:sz w:val="18"/>
                <w:szCs w:val="18"/>
              </w:rPr>
              <w:t>30</w:t>
            </w:r>
            <w:r w:rsidRPr="006156A9">
              <w:rPr>
                <w:rFonts w:asciiTheme="majorHAnsi" w:hAnsiTheme="majorHAnsi" w:cstheme="majorHAnsi"/>
                <w:sz w:val="18"/>
                <w:szCs w:val="18"/>
              </w:rPr>
              <w:t xml:space="preserve"> minutes.</w:t>
            </w:r>
          </w:p>
        </w:tc>
        <w:tc>
          <w:tcPr>
            <w:tcW w:w="2063" w:type="dxa"/>
            <w:shd w:val="clear" w:color="auto" w:fill="CCEAF9" w:themeFill="accent1" w:themeFillTint="33"/>
            <w:tcMar>
              <w:left w:w="115" w:type="dxa"/>
              <w:right w:w="115" w:type="dxa"/>
            </w:tcMar>
            <w:vAlign w:val="center"/>
          </w:tcPr>
          <w:p w:rsidR="003230C3" w:rsidRPr="003230C3" w:rsidRDefault="003230C3" w:rsidP="00566FFF">
            <w:pPr>
              <w:keepNext/>
              <w:keepLines/>
              <w:spacing w:after="0" w:line="240" w:lineRule="auto"/>
              <w:rPr>
                <w:rFonts w:asciiTheme="majorHAnsi" w:hAnsiTheme="majorHAnsi" w:cstheme="majorHAnsi"/>
                <w:sz w:val="18"/>
                <w:szCs w:val="18"/>
              </w:rPr>
            </w:pPr>
            <w:r>
              <w:rPr>
                <w:rFonts w:asciiTheme="majorHAnsi" w:hAnsiTheme="majorHAnsi" w:cstheme="majorHAnsi"/>
                <w:sz w:val="18"/>
                <w:szCs w:val="18"/>
              </w:rPr>
              <w:t>10</w:t>
            </w:r>
            <w:r w:rsidRPr="003230C3">
              <w:rPr>
                <w:rFonts w:asciiTheme="majorHAnsi" w:hAnsiTheme="majorHAnsi" w:cstheme="majorHAnsi"/>
                <w:sz w:val="18"/>
                <w:szCs w:val="18"/>
              </w:rPr>
              <w:t>-</w:t>
            </w:r>
            <w:r>
              <w:rPr>
                <w:rFonts w:asciiTheme="majorHAnsi" w:hAnsiTheme="majorHAnsi" w:cstheme="majorHAnsi"/>
                <w:sz w:val="18"/>
                <w:szCs w:val="18"/>
              </w:rPr>
              <w:t>m</w:t>
            </w:r>
            <w:r w:rsidRPr="003230C3">
              <w:rPr>
                <w:rFonts w:asciiTheme="majorHAnsi" w:hAnsiTheme="majorHAnsi" w:cstheme="majorHAnsi"/>
                <w:sz w:val="18"/>
                <w:szCs w:val="18"/>
              </w:rPr>
              <w:t xml:space="preserve">inute </w:t>
            </w:r>
            <w:r>
              <w:rPr>
                <w:rFonts w:asciiTheme="majorHAnsi" w:hAnsiTheme="majorHAnsi" w:cstheme="majorHAnsi"/>
                <w:sz w:val="18"/>
                <w:szCs w:val="18"/>
              </w:rPr>
              <w:t>s</w:t>
            </w:r>
            <w:r w:rsidRPr="003230C3">
              <w:rPr>
                <w:rFonts w:asciiTheme="majorHAnsi" w:hAnsiTheme="majorHAnsi" w:cstheme="majorHAnsi"/>
                <w:sz w:val="18"/>
                <w:szCs w:val="18"/>
              </w:rPr>
              <w:t xml:space="preserve">pinning and </w:t>
            </w:r>
            <w:r>
              <w:rPr>
                <w:rFonts w:asciiTheme="majorHAnsi" w:hAnsiTheme="majorHAnsi" w:cstheme="majorHAnsi"/>
                <w:sz w:val="18"/>
                <w:szCs w:val="18"/>
              </w:rPr>
              <w:t>30</w:t>
            </w:r>
            <w:r w:rsidRPr="003230C3">
              <w:rPr>
                <w:rFonts w:asciiTheme="majorHAnsi" w:hAnsiTheme="majorHAnsi" w:cstheme="majorHAnsi"/>
                <w:sz w:val="18"/>
                <w:szCs w:val="18"/>
              </w:rPr>
              <w:t>-</w:t>
            </w:r>
            <w:r>
              <w:rPr>
                <w:rFonts w:asciiTheme="majorHAnsi" w:hAnsiTheme="majorHAnsi" w:cstheme="majorHAnsi"/>
                <w:sz w:val="18"/>
                <w:szCs w:val="18"/>
              </w:rPr>
              <w:t>m</w:t>
            </w:r>
            <w:r w:rsidRPr="003230C3">
              <w:rPr>
                <w:rFonts w:asciiTheme="majorHAnsi" w:hAnsiTheme="majorHAnsi" w:cstheme="majorHAnsi"/>
                <w:sz w:val="18"/>
                <w:szCs w:val="18"/>
              </w:rPr>
              <w:t xml:space="preserve">inute </w:t>
            </w:r>
            <w:r>
              <w:rPr>
                <w:rFonts w:asciiTheme="majorHAnsi" w:hAnsiTheme="majorHAnsi" w:cstheme="majorHAnsi"/>
                <w:sz w:val="18"/>
                <w:szCs w:val="18"/>
              </w:rPr>
              <w:t>o</w:t>
            </w:r>
            <w:r w:rsidRPr="003230C3">
              <w:rPr>
                <w:rFonts w:asciiTheme="majorHAnsi" w:hAnsiTheme="majorHAnsi" w:cstheme="majorHAnsi"/>
                <w:sz w:val="18"/>
                <w:szCs w:val="18"/>
              </w:rPr>
              <w:t xml:space="preserve">perating </w:t>
            </w:r>
            <w:r>
              <w:rPr>
                <w:rFonts w:asciiTheme="majorHAnsi" w:hAnsiTheme="majorHAnsi" w:cstheme="majorHAnsi"/>
                <w:sz w:val="18"/>
                <w:szCs w:val="18"/>
              </w:rPr>
              <w:t>r</w:t>
            </w:r>
            <w:r w:rsidRPr="003230C3">
              <w:rPr>
                <w:rFonts w:asciiTheme="majorHAnsi" w:hAnsiTheme="majorHAnsi" w:cstheme="majorHAnsi"/>
                <w:sz w:val="18"/>
                <w:szCs w:val="18"/>
              </w:rPr>
              <w:t xml:space="preserve">eserves </w:t>
            </w:r>
          </w:p>
        </w:tc>
        <w:tc>
          <w:tcPr>
            <w:tcW w:w="2700" w:type="dxa"/>
            <w:shd w:val="clear" w:color="auto" w:fill="CCEAF9" w:themeFill="accent1" w:themeFillTint="33"/>
            <w:tcMar>
              <w:left w:w="115" w:type="dxa"/>
              <w:right w:w="115" w:type="dxa"/>
            </w:tcMar>
            <w:vAlign w:val="center"/>
          </w:tcPr>
          <w:p w:rsidR="00FF6DB5" w:rsidRDefault="003230C3" w:rsidP="00566FFF">
            <w:pPr>
              <w:keepNext/>
              <w:keepLines/>
              <w:spacing w:after="80" w:line="240" w:lineRule="auto"/>
              <w:rPr>
                <w:rFonts w:asciiTheme="majorHAnsi" w:hAnsiTheme="majorHAnsi" w:cstheme="majorHAnsi"/>
                <w:sz w:val="18"/>
                <w:szCs w:val="18"/>
              </w:rPr>
            </w:pPr>
            <w:r w:rsidRPr="00FF6DB5">
              <w:rPr>
                <w:rFonts w:asciiTheme="majorHAnsi" w:hAnsiTheme="majorHAnsi" w:cstheme="majorHAnsi"/>
                <w:sz w:val="18"/>
                <w:szCs w:val="18"/>
              </w:rPr>
              <w:t>TMSR sho</w:t>
            </w:r>
            <w:r w:rsidRPr="003230C3">
              <w:rPr>
                <w:rFonts w:asciiTheme="majorHAnsi" w:hAnsiTheme="majorHAnsi" w:cstheme="majorHAnsi"/>
                <w:sz w:val="18"/>
                <w:szCs w:val="18"/>
              </w:rPr>
              <w:t xml:space="preserve">ws significant exhaustion in the 2030-3 </w:t>
            </w:r>
            <w:r>
              <w:rPr>
                <w:rFonts w:asciiTheme="majorHAnsi" w:hAnsiTheme="majorHAnsi" w:cstheme="majorHAnsi"/>
                <w:sz w:val="18"/>
                <w:szCs w:val="18"/>
              </w:rPr>
              <w:t>and</w:t>
            </w:r>
            <w:r w:rsidRPr="003230C3">
              <w:rPr>
                <w:rFonts w:asciiTheme="majorHAnsi" w:hAnsiTheme="majorHAnsi" w:cstheme="majorHAnsi"/>
                <w:sz w:val="18"/>
                <w:szCs w:val="18"/>
              </w:rPr>
              <w:t xml:space="preserve"> 2030-6 scenarios</w:t>
            </w:r>
            <w:r>
              <w:rPr>
                <w:rFonts w:asciiTheme="majorHAnsi" w:hAnsiTheme="majorHAnsi" w:cstheme="majorHAnsi"/>
                <w:sz w:val="18"/>
                <w:szCs w:val="18"/>
              </w:rPr>
              <w:t>.</w:t>
            </w:r>
            <w:r w:rsidR="00FF6DB5">
              <w:rPr>
                <w:rFonts w:asciiTheme="majorHAnsi" w:hAnsiTheme="majorHAnsi" w:cstheme="majorHAnsi"/>
                <w:sz w:val="18"/>
                <w:szCs w:val="18"/>
              </w:rPr>
              <w:t xml:space="preserve"> </w:t>
            </w:r>
          </w:p>
          <w:p w:rsidR="006156A9" w:rsidRPr="006156A9" w:rsidRDefault="006156A9" w:rsidP="00566FFF">
            <w:pPr>
              <w:keepNext/>
              <w:keepLines/>
              <w:spacing w:after="80" w:line="240" w:lineRule="auto"/>
              <w:rPr>
                <w:rFonts w:asciiTheme="majorHAnsi" w:hAnsiTheme="majorHAnsi" w:cstheme="majorHAnsi"/>
                <w:sz w:val="18"/>
                <w:szCs w:val="18"/>
              </w:rPr>
            </w:pPr>
            <w:r w:rsidRPr="006156A9">
              <w:rPr>
                <w:rFonts w:asciiTheme="majorHAnsi" w:hAnsiTheme="majorHAnsi" w:cstheme="majorHAnsi"/>
                <w:sz w:val="18"/>
                <w:szCs w:val="18"/>
              </w:rPr>
              <w:t xml:space="preserve">TMOR does not show exhaustion in the high-renewable scenarios. While TMOR can serve other needs, being available within </w:t>
            </w:r>
            <w:r w:rsidR="00FF6DB5">
              <w:rPr>
                <w:rFonts w:asciiTheme="majorHAnsi" w:hAnsiTheme="majorHAnsi" w:cstheme="majorHAnsi"/>
                <w:sz w:val="18"/>
                <w:szCs w:val="18"/>
              </w:rPr>
              <w:t xml:space="preserve">30 </w:t>
            </w:r>
            <w:r w:rsidRPr="006156A9">
              <w:rPr>
                <w:rFonts w:asciiTheme="majorHAnsi" w:hAnsiTheme="majorHAnsi" w:cstheme="majorHAnsi"/>
                <w:sz w:val="18"/>
                <w:szCs w:val="18"/>
              </w:rPr>
              <w:t>minutes does not assist with the moment</w:t>
            </w:r>
            <w:r w:rsidR="00FF6DB5">
              <w:rPr>
                <w:rFonts w:asciiTheme="majorHAnsi" w:hAnsiTheme="majorHAnsi" w:cstheme="majorHAnsi"/>
                <w:sz w:val="18"/>
                <w:szCs w:val="18"/>
              </w:rPr>
              <w:t>-</w:t>
            </w:r>
            <w:r w:rsidRPr="006156A9">
              <w:rPr>
                <w:rFonts w:asciiTheme="majorHAnsi" w:hAnsiTheme="majorHAnsi" w:cstheme="majorHAnsi"/>
                <w:sz w:val="18"/>
                <w:szCs w:val="18"/>
              </w:rPr>
              <w:t>to</w:t>
            </w:r>
            <w:r w:rsidR="00FF6DB5">
              <w:rPr>
                <w:rFonts w:asciiTheme="majorHAnsi" w:hAnsiTheme="majorHAnsi" w:cstheme="majorHAnsi"/>
                <w:sz w:val="18"/>
                <w:szCs w:val="18"/>
              </w:rPr>
              <w:t>-</w:t>
            </w:r>
            <w:r w:rsidRPr="006156A9">
              <w:rPr>
                <w:rFonts w:asciiTheme="majorHAnsi" w:hAnsiTheme="majorHAnsi" w:cstheme="majorHAnsi"/>
                <w:sz w:val="18"/>
                <w:szCs w:val="18"/>
              </w:rPr>
              <w:t>moment variation in variable</w:t>
            </w:r>
            <w:r w:rsidR="00FF6DB5">
              <w:rPr>
                <w:rFonts w:asciiTheme="majorHAnsi" w:hAnsiTheme="majorHAnsi" w:cstheme="majorHAnsi"/>
                <w:sz w:val="18"/>
                <w:szCs w:val="18"/>
              </w:rPr>
              <w:t>-</w:t>
            </w:r>
            <w:r w:rsidRPr="006156A9">
              <w:rPr>
                <w:rFonts w:asciiTheme="majorHAnsi" w:hAnsiTheme="majorHAnsi" w:cstheme="majorHAnsi"/>
                <w:sz w:val="18"/>
                <w:szCs w:val="18"/>
              </w:rPr>
              <w:t>resource output.</w:t>
            </w:r>
          </w:p>
          <w:p w:rsidR="006156A9" w:rsidRPr="003230C3" w:rsidRDefault="006156A9" w:rsidP="00566FFF">
            <w:pPr>
              <w:keepNext/>
              <w:keepLines/>
              <w:spacing w:after="80" w:line="240" w:lineRule="auto"/>
              <w:rPr>
                <w:rFonts w:asciiTheme="majorHAnsi" w:hAnsiTheme="majorHAnsi" w:cstheme="majorHAnsi"/>
                <w:sz w:val="18"/>
                <w:szCs w:val="18"/>
              </w:rPr>
            </w:pPr>
            <w:r w:rsidRPr="006156A9">
              <w:rPr>
                <w:rFonts w:asciiTheme="majorHAnsi" w:hAnsiTheme="majorHAnsi" w:cstheme="majorHAnsi"/>
                <w:sz w:val="18"/>
                <w:szCs w:val="18"/>
              </w:rPr>
              <w:t>The relationship of TMSR and TMOR to imbalances are nonlinear</w:t>
            </w:r>
            <w:r w:rsidR="00FF6DB5">
              <w:rPr>
                <w:rFonts w:asciiTheme="majorHAnsi" w:hAnsiTheme="majorHAnsi" w:cstheme="majorHAnsi"/>
                <w:sz w:val="18"/>
                <w:szCs w:val="18"/>
              </w:rPr>
              <w:t xml:space="preserve"> </w:t>
            </w:r>
            <w:r w:rsidRPr="006156A9">
              <w:rPr>
                <w:rFonts w:asciiTheme="majorHAnsi" w:hAnsiTheme="majorHAnsi" w:cstheme="majorHAnsi"/>
                <w:sz w:val="18"/>
                <w:szCs w:val="18"/>
              </w:rPr>
              <w:t>because the requirement is an inequality (</w:t>
            </w:r>
            <w:r w:rsidR="00FF6DB5">
              <w:rPr>
                <w:rFonts w:asciiTheme="majorHAnsi" w:hAnsiTheme="majorHAnsi" w:cstheme="majorHAnsi"/>
                <w:sz w:val="18"/>
                <w:szCs w:val="18"/>
              </w:rPr>
              <w:t xml:space="preserve">i.e., </w:t>
            </w:r>
            <w:r w:rsidRPr="006156A9">
              <w:rPr>
                <w:rFonts w:asciiTheme="majorHAnsi" w:hAnsiTheme="majorHAnsi" w:cstheme="majorHAnsi"/>
                <w:sz w:val="18"/>
                <w:szCs w:val="18"/>
              </w:rPr>
              <w:t>greater than or equal to a given value must be acquired).</w:t>
            </w:r>
          </w:p>
        </w:tc>
      </w:tr>
    </w:tbl>
    <w:p w:rsidR="006278A1" w:rsidRPr="006278A1" w:rsidRDefault="006278A1" w:rsidP="00CE1B10">
      <w:pPr>
        <w:spacing w:after="0" w:line="240" w:lineRule="auto"/>
      </w:pPr>
    </w:p>
    <w:p w:rsidR="004B6B72" w:rsidRDefault="004B6B72" w:rsidP="00D27B9E">
      <w:pPr>
        <w:pStyle w:val="Heading3"/>
      </w:pPr>
      <w:bookmarkStart w:id="93" w:name="_Toc44412057"/>
      <w:r>
        <w:t>Marginal Emissions</w:t>
      </w:r>
      <w:bookmarkEnd w:id="93"/>
    </w:p>
    <w:p w:rsidR="004B6B72" w:rsidRDefault="00F621C9" w:rsidP="00F621C9">
      <w:r>
        <w:t xml:space="preserve">During the </w:t>
      </w:r>
      <w:r w:rsidR="0020247B">
        <w:t xml:space="preserve">December 2019 </w:t>
      </w:r>
      <w:r>
        <w:t xml:space="preserve">discussions of the </w:t>
      </w:r>
      <w:r w:rsidR="0020247B">
        <w:t xml:space="preserve">preliminary results of the </w:t>
      </w:r>
      <w:r>
        <w:t>NESCOE 2019 Economic Study</w:t>
      </w:r>
      <w:r w:rsidR="0020247B">
        <w:t xml:space="preserve">, </w:t>
      </w:r>
      <w:r w:rsidR="00BA6C20">
        <w:t xml:space="preserve">the ISO </w:t>
      </w:r>
      <w:r>
        <w:t>present</w:t>
      </w:r>
      <w:r w:rsidR="00843BAF">
        <w:t>ed</w:t>
      </w:r>
      <w:r>
        <w:t xml:space="preserve"> information </w:t>
      </w:r>
      <w:r w:rsidR="00383CA6">
        <w:t xml:space="preserve">on </w:t>
      </w:r>
      <w:r>
        <w:t>marginal emissions</w:t>
      </w:r>
      <w:r w:rsidR="00C51900">
        <w:t xml:space="preserve">. </w:t>
      </w:r>
      <w:r w:rsidR="00383CA6">
        <w:t>Alt</w:t>
      </w:r>
      <w:r w:rsidR="00C51900">
        <w:t>hough not part of the original scope of work, the ISO perform</w:t>
      </w:r>
      <w:r w:rsidR="000C5333">
        <w:t>ed</w:t>
      </w:r>
      <w:r w:rsidR="00C51900">
        <w:t xml:space="preserve"> </w:t>
      </w:r>
      <w:r w:rsidR="000C5333">
        <w:t>marginal emissions</w:t>
      </w:r>
      <w:r w:rsidR="00C51900">
        <w:t xml:space="preserve"> analyses</w:t>
      </w:r>
      <w:r w:rsidR="00383CA6">
        <w:t xml:space="preserve"> </w:t>
      </w:r>
      <w:r w:rsidR="00757C56">
        <w:t>to d</w:t>
      </w:r>
      <w:r>
        <w:t>etermine the percent</w:t>
      </w:r>
      <w:r w:rsidR="00383CA6">
        <w:t>age</w:t>
      </w:r>
      <w:r>
        <w:t xml:space="preserve"> of </w:t>
      </w:r>
      <w:r w:rsidR="00A576FA">
        <w:t xml:space="preserve">time </w:t>
      </w:r>
      <w:r>
        <w:t xml:space="preserve">various </w:t>
      </w:r>
      <w:r w:rsidR="000C5333">
        <w:t xml:space="preserve">resource </w:t>
      </w:r>
      <w:r>
        <w:t xml:space="preserve">types </w:t>
      </w:r>
      <w:r w:rsidR="00383CA6">
        <w:t>would be</w:t>
      </w:r>
      <w:r w:rsidR="000C5333">
        <w:t xml:space="preserve"> </w:t>
      </w:r>
      <w:r>
        <w:lastRenderedPageBreak/>
        <w:t>marginal and how the</w:t>
      </w:r>
      <w:r w:rsidR="000C5333">
        <w:t>ir</w:t>
      </w:r>
      <w:r>
        <w:t xml:space="preserve"> </w:t>
      </w:r>
      <w:r w:rsidR="000C5333">
        <w:t xml:space="preserve">distribution </w:t>
      </w:r>
      <w:r>
        <w:t xml:space="preserve">might change under scenarios </w:t>
      </w:r>
      <w:r w:rsidR="00383CA6">
        <w:t>with</w:t>
      </w:r>
      <w:r>
        <w:t xml:space="preserve"> high renewables</w:t>
      </w:r>
      <w:r w:rsidR="00BF1EA7">
        <w:t xml:space="preserve">. </w:t>
      </w:r>
      <w:r>
        <w:t xml:space="preserve">Information about physical location (i.e., load zones) of marginal units </w:t>
      </w:r>
      <w:r w:rsidR="000C5333">
        <w:t>and</w:t>
      </w:r>
      <w:r>
        <w:t xml:space="preserve"> </w:t>
      </w:r>
      <w:r w:rsidR="00E26FDF">
        <w:t xml:space="preserve">the </w:t>
      </w:r>
      <w:r>
        <w:t xml:space="preserve">period when units are </w:t>
      </w:r>
      <w:r w:rsidR="00703947">
        <w:t>marginal</w:t>
      </w:r>
      <w:r w:rsidR="00E26FDF">
        <w:t xml:space="preserve"> could not be determined with </w:t>
      </w:r>
      <w:r w:rsidR="00703947">
        <w:t>this analysis</w:t>
      </w:r>
      <w:r w:rsidR="00E26FDF">
        <w:t xml:space="preserve">. </w:t>
      </w:r>
    </w:p>
    <w:p w:rsidR="00EE2C85" w:rsidRPr="00EE2C85" w:rsidRDefault="00E26FDF" w:rsidP="00EE2C85">
      <w:r>
        <w:t>T</w:t>
      </w:r>
      <w:r w:rsidR="00EE2C85" w:rsidRPr="00EE2C85">
        <w:t>he ISO developed two complementary analyses using outputs from the GridView model</w:t>
      </w:r>
      <w:r w:rsidR="00BF1EA7">
        <w:t xml:space="preserve">. </w:t>
      </w:r>
      <w:r>
        <w:t xml:space="preserve">These analyses vary </w:t>
      </w:r>
      <w:r w:rsidR="00EE2C85" w:rsidRPr="00EE2C85">
        <w:t>from</w:t>
      </w:r>
      <w:r w:rsidR="00EA6949">
        <w:t xml:space="preserve"> the </w:t>
      </w:r>
      <w:r w:rsidR="00EA6949" w:rsidRPr="00EE2C85">
        <w:t xml:space="preserve">annual </w:t>
      </w:r>
      <w:r w:rsidR="00EC74FC">
        <w:t>m</w:t>
      </w:r>
      <w:r w:rsidR="00EA6949" w:rsidRPr="00EE2C85">
        <w:t xml:space="preserve">arginal </w:t>
      </w:r>
      <w:r w:rsidR="00EC74FC">
        <w:t>e</w:t>
      </w:r>
      <w:r w:rsidR="00EA6949" w:rsidRPr="00EE2C85">
        <w:t xml:space="preserve">missions </w:t>
      </w:r>
      <w:r w:rsidR="00EC74FC">
        <w:t>a</w:t>
      </w:r>
      <w:r w:rsidR="00EA6949" w:rsidRPr="00EE2C85">
        <w:t>nalyse</w:t>
      </w:r>
      <w:r w:rsidR="00EA6949" w:rsidRPr="00F30513">
        <w:t>s</w:t>
      </w:r>
      <w:r w:rsidR="00736446" w:rsidRPr="00F30513">
        <w:t xml:space="preserve"> (MEAs) the ISO develops</w:t>
      </w:r>
      <w:r w:rsidR="00EA6949" w:rsidRPr="00CE1B10">
        <w:t xml:space="preserve"> in </w:t>
      </w:r>
      <w:r w:rsidR="00EE2C85" w:rsidRPr="00CE1B10">
        <w:t>how</w:t>
      </w:r>
      <w:r w:rsidR="00EE2C85" w:rsidRPr="00EE2C85">
        <w:t xml:space="preserve"> the</w:t>
      </w:r>
      <w:r w:rsidR="00EA6949">
        <w:t>y determine the</w:t>
      </w:r>
      <w:r w:rsidR="00EE2C85" w:rsidRPr="00EE2C85">
        <w:t xml:space="preserve"> marginal resource</w:t>
      </w:r>
      <w:r w:rsidR="006B7007">
        <w:t>;</w:t>
      </w:r>
      <w:r>
        <w:t xml:space="preserve"> however, </w:t>
      </w:r>
      <w:r w:rsidR="00B67403">
        <w:t>u</w:t>
      </w:r>
      <w:r w:rsidR="00EE2C85" w:rsidRPr="00EE2C85">
        <w:t>sing the GridView model allow</w:t>
      </w:r>
      <w:r w:rsidR="000C5333">
        <w:t>ed</w:t>
      </w:r>
      <w:r w:rsidR="00EE2C85" w:rsidRPr="00EE2C85">
        <w:t xml:space="preserve"> future scenarios not available via the MEA method</w:t>
      </w:r>
      <w:r w:rsidR="000C5333">
        <w:t xml:space="preserve"> to be analyzed</w:t>
      </w:r>
      <w:r w:rsidR="006B7007">
        <w:t>.</w:t>
      </w:r>
      <w:r w:rsidR="006B7007">
        <w:rPr>
          <w:rStyle w:val="FootnoteReference"/>
        </w:rPr>
        <w:footnoteReference w:id="41"/>
      </w:r>
      <w:r w:rsidR="006B7007">
        <w:t xml:space="preserve"> The two approaches</w:t>
      </w:r>
      <w:r w:rsidR="00D3540B">
        <w:t xml:space="preserve"> were as follows</w:t>
      </w:r>
      <w:r w:rsidR="006B7007">
        <w:t>:</w:t>
      </w:r>
    </w:p>
    <w:p w:rsidR="009C5C11" w:rsidRDefault="00811C15" w:rsidP="00843BAF">
      <w:pPr>
        <w:pStyle w:val="ListParagraph"/>
        <w:numPr>
          <w:ilvl w:val="0"/>
          <w:numId w:val="40"/>
        </w:numPr>
      </w:pPr>
      <w:r>
        <w:t>Approach 1</w:t>
      </w:r>
      <w:r w:rsidR="00D3540B">
        <w:t xml:space="preserve"> c</w:t>
      </w:r>
      <w:r w:rsidR="00EE2C85" w:rsidRPr="00EE2C85">
        <w:t>ompare</w:t>
      </w:r>
      <w:r w:rsidR="00D3540B">
        <w:t>d the</w:t>
      </w:r>
      <w:r w:rsidR="00EE2C85" w:rsidRPr="00EE2C85">
        <w:t xml:space="preserve"> results of two scenarios with different amounts of wind</w:t>
      </w:r>
      <w:r w:rsidR="00D3540B">
        <w:t xml:space="preserve"> </w:t>
      </w:r>
      <w:r w:rsidR="009C5C11">
        <w:t>and c</w:t>
      </w:r>
      <w:r w:rsidR="00EE2C85" w:rsidRPr="00EE2C85">
        <w:t>alculate</w:t>
      </w:r>
      <w:r w:rsidR="00D3540B">
        <w:t>d</w:t>
      </w:r>
      <w:r w:rsidR="00EE2C85" w:rsidRPr="00EE2C85">
        <w:t xml:space="preserve"> </w:t>
      </w:r>
      <w:r>
        <w:t xml:space="preserve">the </w:t>
      </w:r>
      <w:r w:rsidR="00EE2C85" w:rsidRPr="00EE2C85">
        <w:t xml:space="preserve">change in </w:t>
      </w:r>
      <w:r w:rsidR="00D3540B">
        <w:t xml:space="preserve">the </w:t>
      </w:r>
      <w:r w:rsidR="00EE2C85" w:rsidRPr="00EE2C85">
        <w:t xml:space="preserve">annual emissions per additional </w:t>
      </w:r>
      <w:r w:rsidR="00D3540B">
        <w:t xml:space="preserve">megawatt-hour </w:t>
      </w:r>
      <w:r w:rsidR="00EE2C85" w:rsidRPr="00EE2C85">
        <w:t xml:space="preserve">of </w:t>
      </w:r>
      <w:r w:rsidR="009C5C11">
        <w:t>offshore wind.</w:t>
      </w:r>
      <w:r w:rsidR="00D3540B">
        <w:rPr>
          <w:rStyle w:val="FootnoteReference"/>
        </w:rPr>
        <w:footnoteReference w:id="42"/>
      </w:r>
    </w:p>
    <w:p w:rsidR="00EE2C85" w:rsidRDefault="00811C15" w:rsidP="00843BAF">
      <w:pPr>
        <w:pStyle w:val="ListParagraph"/>
        <w:numPr>
          <w:ilvl w:val="0"/>
          <w:numId w:val="40"/>
        </w:numPr>
        <w:spacing w:after="240"/>
      </w:pPr>
      <w:r>
        <w:t>Approach 2</w:t>
      </w:r>
      <w:r w:rsidR="00D3540B">
        <w:t xml:space="preserve"> i</w:t>
      </w:r>
      <w:r w:rsidR="00347602">
        <w:t>n</w:t>
      </w:r>
      <w:r w:rsidR="00250400">
        <w:t>ferred</w:t>
      </w:r>
      <w:r w:rsidR="00EE2C85" w:rsidRPr="00EE2C85">
        <w:t xml:space="preserve"> </w:t>
      </w:r>
      <w:r>
        <w:t xml:space="preserve">the </w:t>
      </w:r>
      <w:r w:rsidR="00EE2C85" w:rsidRPr="00EE2C85">
        <w:t>marginal</w:t>
      </w:r>
      <w:r w:rsidR="009C5C11">
        <w:t xml:space="preserve"> native New England</w:t>
      </w:r>
      <w:r w:rsidR="00EE2C85" w:rsidRPr="00EE2C85">
        <w:t xml:space="preserve"> </w:t>
      </w:r>
      <w:r w:rsidR="009C5C11">
        <w:t xml:space="preserve">generation </w:t>
      </w:r>
      <w:r w:rsidR="00EE2C85" w:rsidRPr="00EE2C85">
        <w:t>in GridView simulations</w:t>
      </w:r>
      <w:r w:rsidR="00BF1EA7">
        <w:t xml:space="preserve">. </w:t>
      </w:r>
    </w:p>
    <w:p w:rsidR="00EE2C85" w:rsidRPr="00CE1B10" w:rsidRDefault="00E24A8F" w:rsidP="00EE2C85">
      <w:pPr>
        <w:rPr>
          <w:b/>
        </w:rPr>
      </w:pPr>
      <w:r w:rsidRPr="00CE1B10">
        <w:rPr>
          <w:b/>
        </w:rPr>
        <w:t>T</w:t>
      </w:r>
      <w:r w:rsidR="00811C15" w:rsidRPr="00CE1B10">
        <w:rPr>
          <w:b/>
        </w:rPr>
        <w:t xml:space="preserve">he </w:t>
      </w:r>
      <w:r w:rsidR="009C5C11" w:rsidRPr="00CE1B10">
        <w:rPr>
          <w:b/>
        </w:rPr>
        <w:t>results</w:t>
      </w:r>
      <w:r w:rsidR="00DB35BF" w:rsidRPr="00CE1B10">
        <w:rPr>
          <w:b/>
        </w:rPr>
        <w:t xml:space="preserve"> from both approach</w:t>
      </w:r>
      <w:r w:rsidRPr="00CE1B10">
        <w:rPr>
          <w:b/>
        </w:rPr>
        <w:t xml:space="preserve">es, as shown on </w:t>
      </w:r>
      <w:r w:rsidRPr="00CE1B10">
        <w:rPr>
          <w:b/>
        </w:rPr>
        <w:fldChar w:fldCharType="begin"/>
      </w:r>
      <w:r w:rsidRPr="00CE1B10">
        <w:rPr>
          <w:b/>
        </w:rPr>
        <w:instrText xml:space="preserve"> REF _Ref42699591 \h  \* MERGEFORMAT </w:instrText>
      </w:r>
      <w:r w:rsidRPr="00CE1B10">
        <w:rPr>
          <w:b/>
        </w:rPr>
      </w:r>
      <w:r w:rsidRPr="00CE1B10">
        <w:rPr>
          <w:b/>
        </w:rPr>
        <w:fldChar w:fldCharType="separate"/>
      </w:r>
      <w:r w:rsidR="001F5E1A" w:rsidRPr="00CE1B10">
        <w:rPr>
          <w:b/>
        </w:rPr>
        <w:t xml:space="preserve">Figure </w:t>
      </w:r>
      <w:r w:rsidR="001F5E1A" w:rsidRPr="00CE1B10">
        <w:rPr>
          <w:b/>
          <w:noProof/>
        </w:rPr>
        <w:t>6</w:t>
      </w:r>
      <w:r w:rsidR="001F5E1A" w:rsidRPr="00CE1B10">
        <w:rPr>
          <w:b/>
          <w:noProof/>
        </w:rPr>
        <w:noBreakHyphen/>
        <w:t>12</w:t>
      </w:r>
      <w:r w:rsidRPr="00CE1B10">
        <w:rPr>
          <w:b/>
        </w:rPr>
        <w:fldChar w:fldCharType="end"/>
      </w:r>
      <w:r w:rsidRPr="00CE1B10">
        <w:rPr>
          <w:b/>
        </w:rPr>
        <w:t xml:space="preserve">, are that </w:t>
      </w:r>
      <w:r w:rsidR="00736446" w:rsidRPr="00CE1B10">
        <w:rPr>
          <w:b/>
        </w:rPr>
        <w:t xml:space="preserve">marginal </w:t>
      </w:r>
      <w:r w:rsidR="00EE2C85" w:rsidRPr="00CE1B10">
        <w:rPr>
          <w:b/>
        </w:rPr>
        <w:t>CO</w:t>
      </w:r>
      <w:r w:rsidR="00EE2C85" w:rsidRPr="00CE1B10">
        <w:rPr>
          <w:b/>
          <w:vertAlign w:val="subscript"/>
        </w:rPr>
        <w:t>2</w:t>
      </w:r>
      <w:r w:rsidR="009C5C11" w:rsidRPr="00CE1B10">
        <w:rPr>
          <w:b/>
        </w:rPr>
        <w:t xml:space="preserve"> </w:t>
      </w:r>
      <w:r w:rsidR="00AE3C20" w:rsidRPr="00CE1B10">
        <w:rPr>
          <w:b/>
        </w:rPr>
        <w:t xml:space="preserve">emission rates </w:t>
      </w:r>
      <w:r w:rsidRPr="00CE1B10">
        <w:rPr>
          <w:b/>
        </w:rPr>
        <w:t xml:space="preserve">decrease approximately 50% </w:t>
      </w:r>
      <w:r w:rsidR="00AE3C20" w:rsidRPr="00CE1B10">
        <w:rPr>
          <w:b/>
        </w:rPr>
        <w:t xml:space="preserve">as the system </w:t>
      </w:r>
      <w:r w:rsidRPr="00CE1B10">
        <w:rPr>
          <w:b/>
        </w:rPr>
        <w:t xml:space="preserve">dispatches </w:t>
      </w:r>
      <w:r w:rsidR="00AE3C20" w:rsidRPr="00CE1B10">
        <w:rPr>
          <w:b/>
        </w:rPr>
        <w:t>fewer carbon</w:t>
      </w:r>
      <w:r w:rsidRPr="00CE1B10">
        <w:rPr>
          <w:b/>
        </w:rPr>
        <w:t>-</w:t>
      </w:r>
      <w:r w:rsidR="00AE3C20" w:rsidRPr="00CE1B10">
        <w:rPr>
          <w:b/>
        </w:rPr>
        <w:t>emitting resources.</w:t>
      </w:r>
      <w:r w:rsidR="00811C15" w:rsidRPr="00CE1B10">
        <w:rPr>
          <w:b/>
        </w:rPr>
        <w:t xml:space="preserve"> </w:t>
      </w:r>
    </w:p>
    <w:p w:rsidR="00646397" w:rsidRDefault="00646397" w:rsidP="00646397">
      <w:pPr>
        <w:spacing w:after="0" w:line="240" w:lineRule="auto"/>
        <w:jc w:val="center"/>
      </w:pPr>
      <w:r w:rsidRPr="00646397">
        <w:rPr>
          <w:noProof/>
        </w:rPr>
        <w:drawing>
          <wp:inline distT="0" distB="0" distL="0" distR="0" wp14:anchorId="0EE88AA4" wp14:editId="0A1B6456">
            <wp:extent cx="4615235" cy="2212848"/>
            <wp:effectExtent l="19050" t="19050" r="13970"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46375" cy="2227778"/>
                    </a:xfrm>
                    <a:prstGeom prst="rect">
                      <a:avLst/>
                    </a:prstGeom>
                    <a:noFill/>
                    <a:ln w="3175">
                      <a:solidFill>
                        <a:srgbClr val="000000"/>
                      </a:solidFill>
                    </a:ln>
                  </pic:spPr>
                </pic:pic>
              </a:graphicData>
            </a:graphic>
          </wp:inline>
        </w:drawing>
      </w:r>
    </w:p>
    <w:p w:rsidR="00E24A8F" w:rsidRPr="00E712DA" w:rsidRDefault="00E24A8F" w:rsidP="00C82B12">
      <w:pPr>
        <w:pStyle w:val="Caption"/>
        <w:spacing w:before="120" w:after="80"/>
        <w:ind w:left="1080" w:right="1080"/>
      </w:pPr>
      <w:bookmarkStart w:id="94" w:name="_Ref42699591"/>
      <w:bookmarkStart w:id="95" w:name="_Toc43224489"/>
      <w:r w:rsidRPr="00A7517A">
        <w:t xml:space="preserve">Figure </w:t>
      </w:r>
      <w:fldSimple w:instr=" STYLEREF 1 \s ">
        <w:r w:rsidR="001F5E1A">
          <w:rPr>
            <w:noProof/>
          </w:rPr>
          <w:t>6</w:t>
        </w:r>
      </w:fldSimple>
      <w:r w:rsidR="00C5246A">
        <w:noBreakHyphen/>
      </w:r>
      <w:fldSimple w:instr=" SEQ Figure \* ARABIC \s 1 ">
        <w:r w:rsidR="001F5E1A">
          <w:rPr>
            <w:noProof/>
          </w:rPr>
          <w:t>12</w:t>
        </w:r>
      </w:fldSimple>
      <w:bookmarkEnd w:id="94"/>
      <w:r w:rsidRPr="00A7517A">
        <w:t xml:space="preserve">: </w:t>
      </w:r>
      <w:r w:rsidRPr="00E24A8F">
        <w:t>CO</w:t>
      </w:r>
      <w:r w:rsidRPr="00E712DA">
        <w:rPr>
          <w:vertAlign w:val="subscript"/>
        </w:rPr>
        <w:t>2</w:t>
      </w:r>
      <w:r w:rsidRPr="00E712DA">
        <w:t xml:space="preserve"> emission rates for the two marginal emissions analyses. </w:t>
      </w:r>
      <w:bookmarkEnd w:id="95"/>
    </w:p>
    <w:p w:rsidR="00811C15" w:rsidRPr="00E712DA" w:rsidRDefault="00E24A8F" w:rsidP="00E90B15">
      <w:pPr>
        <w:tabs>
          <w:tab w:val="left" w:pos="8190"/>
        </w:tabs>
        <w:spacing w:line="240" w:lineRule="auto"/>
        <w:ind w:left="1080" w:right="1080"/>
        <w:rPr>
          <w:rFonts w:asciiTheme="majorHAnsi" w:hAnsiTheme="majorHAnsi" w:cstheme="majorHAnsi"/>
          <w:sz w:val="18"/>
          <w:szCs w:val="18"/>
        </w:rPr>
      </w:pPr>
      <w:r w:rsidRPr="00E712DA">
        <w:rPr>
          <w:rFonts w:asciiTheme="majorHAnsi" w:hAnsiTheme="majorHAnsi" w:cstheme="majorHAnsi"/>
          <w:b/>
          <w:sz w:val="18"/>
          <w:szCs w:val="18"/>
        </w:rPr>
        <w:t xml:space="preserve">Note: </w:t>
      </w:r>
      <w:r w:rsidR="00811C15" w:rsidRPr="00E712DA">
        <w:rPr>
          <w:rFonts w:asciiTheme="majorHAnsi" w:hAnsiTheme="majorHAnsi" w:cstheme="majorHAnsi"/>
          <w:sz w:val="18"/>
          <w:szCs w:val="18"/>
        </w:rPr>
        <w:t>* Estimates of this metric cannot be calculated from the annual simulations due to</w:t>
      </w:r>
      <w:r w:rsidR="001E28AF">
        <w:rPr>
          <w:rFonts w:asciiTheme="majorHAnsi" w:hAnsiTheme="majorHAnsi" w:cstheme="majorHAnsi"/>
          <w:sz w:val="18"/>
          <w:szCs w:val="18"/>
        </w:rPr>
        <w:t xml:space="preserve"> increased amounts of</w:t>
      </w:r>
      <w:r w:rsidR="00811C15" w:rsidRPr="00E712DA">
        <w:rPr>
          <w:rFonts w:asciiTheme="majorHAnsi" w:hAnsiTheme="majorHAnsi" w:cstheme="majorHAnsi"/>
          <w:sz w:val="18"/>
          <w:szCs w:val="18"/>
        </w:rPr>
        <w:t xml:space="preserve"> heat pumps an</w:t>
      </w:r>
      <w:r w:rsidR="00811C15" w:rsidRPr="00C82B12">
        <w:rPr>
          <w:rFonts w:asciiTheme="majorHAnsi" w:hAnsiTheme="majorHAnsi" w:cstheme="majorHAnsi"/>
          <w:sz w:val="18"/>
          <w:szCs w:val="18"/>
        </w:rPr>
        <w:t xml:space="preserve">d </w:t>
      </w:r>
      <w:r w:rsidR="001E28AF">
        <w:rPr>
          <w:rFonts w:asciiTheme="majorHAnsi" w:hAnsiTheme="majorHAnsi" w:cstheme="majorHAnsi"/>
          <w:sz w:val="18"/>
          <w:szCs w:val="18"/>
        </w:rPr>
        <w:t>offshore wind</w:t>
      </w:r>
      <w:r w:rsidR="00811C15" w:rsidRPr="00E712DA">
        <w:rPr>
          <w:rFonts w:asciiTheme="majorHAnsi" w:hAnsiTheme="majorHAnsi" w:cstheme="majorHAnsi"/>
          <w:sz w:val="18"/>
          <w:szCs w:val="18"/>
        </w:rPr>
        <w:t xml:space="preserve"> energy</w:t>
      </w:r>
      <w:r w:rsidRPr="00E712DA">
        <w:rPr>
          <w:rFonts w:asciiTheme="majorHAnsi" w:hAnsiTheme="majorHAnsi" w:cstheme="majorHAnsi"/>
          <w:sz w:val="18"/>
          <w:szCs w:val="18"/>
        </w:rPr>
        <w:t>.</w:t>
      </w:r>
    </w:p>
    <w:p w:rsidR="004B6B72" w:rsidRPr="002823E4" w:rsidRDefault="004B6B72" w:rsidP="00D27B9E">
      <w:pPr>
        <w:pStyle w:val="Heading3"/>
      </w:pPr>
      <w:bookmarkStart w:id="96" w:name="_Ref42767184"/>
      <w:bookmarkStart w:id="97" w:name="_Toc44412058"/>
      <w:r w:rsidRPr="002823E4">
        <w:t>Transmission Interconnection</w:t>
      </w:r>
      <w:bookmarkEnd w:id="96"/>
      <w:bookmarkEnd w:id="97"/>
      <w:r w:rsidRPr="002823E4">
        <w:t xml:space="preserve"> </w:t>
      </w:r>
    </w:p>
    <w:p w:rsidR="00A7198B" w:rsidRDefault="00A7198B" w:rsidP="00A7198B">
      <w:r w:rsidRPr="0078408B">
        <w:t>For the NESCOE 2019 Economic Study, the ISO developed future interconnection scenarios for offshore win</w:t>
      </w:r>
      <w:r w:rsidRPr="002823E4">
        <w:t>d</w:t>
      </w:r>
      <w:r w:rsidR="00BF1EA7" w:rsidRPr="002823E4">
        <w:t xml:space="preserve">. </w:t>
      </w:r>
      <w:r w:rsidRPr="0078408B">
        <w:t>T</w:t>
      </w:r>
      <w:r w:rsidRPr="00A7198B">
        <w:t>he ISO focused on the interconnection points identified by</w:t>
      </w:r>
      <w:r>
        <w:t xml:space="preserve"> </w:t>
      </w:r>
      <w:r w:rsidRPr="00A7198B">
        <w:t>offshore wind interconnection customers with interconnection</w:t>
      </w:r>
      <w:r>
        <w:t xml:space="preserve"> </w:t>
      </w:r>
      <w:r w:rsidRPr="00A7198B">
        <w:t>requests in the ISO queue</w:t>
      </w:r>
      <w:r w:rsidR="00BF1EA7">
        <w:t xml:space="preserve">. </w:t>
      </w:r>
      <w:r w:rsidR="00AC4C6A" w:rsidRPr="00281330">
        <w:t xml:space="preserve">Using </w:t>
      </w:r>
      <w:r w:rsidRPr="00281330">
        <w:t>t</w:t>
      </w:r>
      <w:r w:rsidRPr="00A7198B">
        <w:t xml:space="preserve">he </w:t>
      </w:r>
      <w:r w:rsidR="00803D63">
        <w:t xml:space="preserve">results and observations from </w:t>
      </w:r>
      <w:r w:rsidRPr="00A7198B">
        <w:t>several</w:t>
      </w:r>
      <w:r>
        <w:t xml:space="preserve"> </w:t>
      </w:r>
      <w:r w:rsidRPr="00A7198B">
        <w:t xml:space="preserve">of the interconnection studies </w:t>
      </w:r>
      <w:r w:rsidR="00AE3C20">
        <w:t>associated with</w:t>
      </w:r>
      <w:r w:rsidR="00AE3C20" w:rsidRPr="00A7198B">
        <w:t xml:space="preserve"> </w:t>
      </w:r>
      <w:r w:rsidRPr="00A7198B">
        <w:t>th</w:t>
      </w:r>
      <w:r w:rsidR="00367387">
        <w:t>e</w:t>
      </w:r>
      <w:r w:rsidRPr="00A7198B">
        <w:t>se requests, the ISO identified</w:t>
      </w:r>
      <w:r>
        <w:t xml:space="preserve"> </w:t>
      </w:r>
      <w:r w:rsidRPr="00A7198B">
        <w:t xml:space="preserve">the approximate </w:t>
      </w:r>
      <w:r w:rsidR="00367387">
        <w:t>megawatt</w:t>
      </w:r>
      <w:r w:rsidRPr="00A7198B">
        <w:t xml:space="preserve"> quantities </w:t>
      </w:r>
      <w:r w:rsidR="00AE3C20">
        <w:t>of inverter</w:t>
      </w:r>
      <w:r w:rsidR="00367387">
        <w:t>-</w:t>
      </w:r>
      <w:r w:rsidR="00AE3C20">
        <w:t xml:space="preserve">based resources </w:t>
      </w:r>
      <w:r w:rsidR="00736446">
        <w:t xml:space="preserve">(e.g., offshore wind) </w:t>
      </w:r>
      <w:r w:rsidRPr="00A7198B">
        <w:t>that could interconnect without</w:t>
      </w:r>
      <w:r>
        <w:t xml:space="preserve"> </w:t>
      </w:r>
      <w:r w:rsidRPr="00A7198B">
        <w:t>major transmission upgrades beyond these local points</w:t>
      </w:r>
      <w:r w:rsidR="00BF1EA7">
        <w:t xml:space="preserve">. </w:t>
      </w:r>
      <w:r w:rsidRPr="00A7198B">
        <w:t xml:space="preserve">The ISO then sought to identify the upgrades that would be </w:t>
      </w:r>
      <w:r w:rsidRPr="00A7198B">
        <w:lastRenderedPageBreak/>
        <w:t>needed</w:t>
      </w:r>
      <w:r>
        <w:t xml:space="preserve"> </w:t>
      </w:r>
      <w:r w:rsidRPr="00A7198B">
        <w:t>to continue to increase the interconnection levels beyo</w:t>
      </w:r>
      <w:r w:rsidRPr="0078408B">
        <w:t>nd th</w:t>
      </w:r>
      <w:r w:rsidR="00367387" w:rsidRPr="0078408B">
        <w:t>e</w:t>
      </w:r>
      <w:r w:rsidRPr="0078408B">
        <w:t xml:space="preserve"> in</w:t>
      </w:r>
      <w:r w:rsidRPr="00A7198B">
        <w:t xml:space="preserve">itial </w:t>
      </w:r>
      <w:r w:rsidR="000407F3">
        <w:t xml:space="preserve">“base scenario” </w:t>
      </w:r>
      <w:r w:rsidRPr="00A7198B">
        <w:t>amounts</w:t>
      </w:r>
      <w:r w:rsidR="000407F3">
        <w:t xml:space="preserve"> of</w:t>
      </w:r>
      <w:r w:rsidR="00367387">
        <w:t xml:space="preserve"> the following</w:t>
      </w:r>
      <w:r w:rsidR="000407F3">
        <w:t>:</w:t>
      </w:r>
      <w:r w:rsidR="00E90B15" w:rsidDel="00E90B15">
        <w:rPr>
          <w:rStyle w:val="FootnoteReference"/>
        </w:rPr>
        <w:t xml:space="preserve"> </w:t>
      </w:r>
    </w:p>
    <w:p w:rsidR="00244700" w:rsidRDefault="00244700" w:rsidP="00244700">
      <w:pPr>
        <w:pStyle w:val="ListParagraph"/>
        <w:numPr>
          <w:ilvl w:val="0"/>
          <w:numId w:val="10"/>
        </w:numPr>
      </w:pPr>
      <w:r>
        <w:t>Cape Cod (</w:t>
      </w:r>
      <w:r w:rsidRPr="00ED3967">
        <w:t>Bourne/Canal/Pilgrim</w:t>
      </w:r>
      <w:r>
        <w:t>)</w:t>
      </w:r>
      <w:r w:rsidRPr="00ED3967">
        <w:t xml:space="preserve"> (MA): 2,400 MW</w:t>
      </w:r>
    </w:p>
    <w:p w:rsidR="00244700" w:rsidRPr="00ED3967" w:rsidRDefault="00244700" w:rsidP="00244700">
      <w:pPr>
        <w:pStyle w:val="ListParagraph"/>
        <w:numPr>
          <w:ilvl w:val="0"/>
          <w:numId w:val="10"/>
        </w:numPr>
      </w:pPr>
      <w:r w:rsidRPr="00ED3967">
        <w:t>Brayton Point (MA): 1,600 MW</w:t>
      </w:r>
    </w:p>
    <w:p w:rsidR="000407F3" w:rsidRDefault="000407F3" w:rsidP="000407F3">
      <w:pPr>
        <w:pStyle w:val="ListParagraph"/>
        <w:numPr>
          <w:ilvl w:val="0"/>
          <w:numId w:val="10"/>
        </w:numPr>
      </w:pPr>
      <w:r w:rsidRPr="00ED3967">
        <w:t>Montville (CT): 800 MW</w:t>
      </w:r>
    </w:p>
    <w:p w:rsidR="000407F3" w:rsidRPr="00ED3967" w:rsidRDefault="000407F3" w:rsidP="000407F3">
      <w:pPr>
        <w:pStyle w:val="ListParagraph"/>
        <w:numPr>
          <w:ilvl w:val="0"/>
          <w:numId w:val="10"/>
        </w:numPr>
      </w:pPr>
      <w:r w:rsidRPr="00ED3967">
        <w:t>Kent County/Davisville (RI): 1,000 MW</w:t>
      </w:r>
    </w:p>
    <w:p w:rsidR="000407F3" w:rsidRDefault="000407F3" w:rsidP="000407F3">
      <w:pPr>
        <w:pStyle w:val="ListParagraph"/>
        <w:numPr>
          <w:ilvl w:val="0"/>
          <w:numId w:val="10"/>
        </w:numPr>
      </w:pPr>
      <w:r w:rsidRPr="00ED3967">
        <w:t>Mystic (MA): 1,200 MW</w:t>
      </w:r>
    </w:p>
    <w:p w:rsidR="00A7198B" w:rsidRPr="00804082" w:rsidRDefault="00AE3C20" w:rsidP="00804082">
      <w:r w:rsidRPr="00D73DFE">
        <w:rPr>
          <w:b/>
        </w:rPr>
        <w:t xml:space="preserve">In a significant finding, </w:t>
      </w:r>
      <w:r w:rsidR="00B11C0E" w:rsidRPr="00D73DFE">
        <w:rPr>
          <w:b/>
        </w:rPr>
        <w:t xml:space="preserve">the ISO determined that with </w:t>
      </w:r>
      <w:r w:rsidR="00804082" w:rsidRPr="00D73DFE">
        <w:rPr>
          <w:b/>
        </w:rPr>
        <w:t>the expected transmission topology for the 2030 study year, approximately 7,000 MW</w:t>
      </w:r>
      <w:r w:rsidR="00367387" w:rsidRPr="00D73DFE">
        <w:rPr>
          <w:b/>
        </w:rPr>
        <w:t xml:space="preserve"> </w:t>
      </w:r>
      <w:r w:rsidR="00804082" w:rsidRPr="00D73DFE">
        <w:rPr>
          <w:b/>
        </w:rPr>
        <w:t>of new offshore wind</w:t>
      </w:r>
      <w:r w:rsidR="002823E4" w:rsidRPr="00D73DFE">
        <w:rPr>
          <w:b/>
        </w:rPr>
        <w:t xml:space="preserve"> </w:t>
      </w:r>
      <w:r w:rsidR="0098293E" w:rsidRPr="00D73DFE">
        <w:rPr>
          <w:b/>
        </w:rPr>
        <w:t xml:space="preserve">(5,800 MW connected to the southern </w:t>
      </w:r>
      <w:r w:rsidR="0098293E" w:rsidRPr="00CE1B10">
        <w:rPr>
          <w:b/>
        </w:rPr>
        <w:t>shore substations and 1,200 MW connected to Mystic)</w:t>
      </w:r>
      <w:r w:rsidR="00804082" w:rsidRPr="00CE1B10">
        <w:rPr>
          <w:b/>
        </w:rPr>
        <w:t xml:space="preserve"> has the potential to be interconnect</w:t>
      </w:r>
      <w:r w:rsidR="00367387" w:rsidRPr="00CE1B10">
        <w:rPr>
          <w:b/>
        </w:rPr>
        <w:t>ed</w:t>
      </w:r>
      <w:r w:rsidR="00804082" w:rsidRPr="00CE1B10">
        <w:rPr>
          <w:b/>
        </w:rPr>
        <w:t xml:space="preserve"> without major additional 345 kV reinforcements</w:t>
      </w:r>
      <w:r w:rsidR="00367387" w:rsidRPr="00CE1B10">
        <w:rPr>
          <w:b/>
        </w:rPr>
        <w:t>,</w:t>
      </w:r>
      <w:r w:rsidR="00804082" w:rsidRPr="00CE1B10">
        <w:rPr>
          <w:b/>
        </w:rPr>
        <w:t xml:space="preserve"> as illustrated in </w:t>
      </w:r>
      <w:r w:rsidR="00367387" w:rsidRPr="00CE1B10">
        <w:rPr>
          <w:b/>
        </w:rPr>
        <w:fldChar w:fldCharType="begin"/>
      </w:r>
      <w:r w:rsidR="00367387" w:rsidRPr="00CE1B10">
        <w:rPr>
          <w:b/>
        </w:rPr>
        <w:instrText xml:space="preserve"> REF _Ref42701183 \h </w:instrText>
      </w:r>
      <w:r w:rsidR="00736446" w:rsidRPr="00CE1B10">
        <w:rPr>
          <w:b/>
        </w:rPr>
        <w:instrText xml:space="preserve"> \* MERGEFORMAT </w:instrText>
      </w:r>
      <w:r w:rsidR="00367387" w:rsidRPr="00CE1B10">
        <w:rPr>
          <w:b/>
        </w:rPr>
      </w:r>
      <w:r w:rsidR="00367387" w:rsidRPr="00CE1B10">
        <w:rPr>
          <w:b/>
        </w:rPr>
        <w:fldChar w:fldCharType="separate"/>
      </w:r>
      <w:r w:rsidR="001F5E1A" w:rsidRPr="00CE1B10">
        <w:rPr>
          <w:b/>
        </w:rPr>
        <w:t xml:space="preserve">Figure </w:t>
      </w:r>
      <w:r w:rsidR="001F5E1A" w:rsidRPr="00CE1B10">
        <w:rPr>
          <w:b/>
          <w:noProof/>
        </w:rPr>
        <w:t>6</w:t>
      </w:r>
      <w:r w:rsidR="001F5E1A" w:rsidRPr="00CE1B10">
        <w:rPr>
          <w:b/>
        </w:rPr>
        <w:noBreakHyphen/>
      </w:r>
      <w:r w:rsidR="001F5E1A" w:rsidRPr="00CE1B10">
        <w:rPr>
          <w:b/>
          <w:noProof/>
        </w:rPr>
        <w:t>13</w:t>
      </w:r>
      <w:r w:rsidR="00367387" w:rsidRPr="00CE1B10">
        <w:rPr>
          <w:b/>
        </w:rPr>
        <w:fldChar w:fldCharType="end"/>
      </w:r>
      <w:r w:rsidR="00804082" w:rsidRPr="00CE1B10">
        <w:rPr>
          <w:b/>
        </w:rPr>
        <w:t>.</w:t>
      </w:r>
      <w:r w:rsidR="00367387" w:rsidRPr="00CE1B10">
        <w:rPr>
          <w:rStyle w:val="FootnoteReference"/>
          <w:b/>
        </w:rPr>
        <w:footnoteReference w:id="43"/>
      </w:r>
    </w:p>
    <w:p w:rsidR="004B6B72" w:rsidRDefault="00A235C6" w:rsidP="00266E50">
      <w:pPr>
        <w:spacing w:after="0" w:line="240" w:lineRule="auto"/>
        <w:jc w:val="center"/>
      </w:pPr>
      <w:r w:rsidRPr="00A235C6">
        <w:rPr>
          <w:noProof/>
        </w:rPr>
        <w:drawing>
          <wp:inline distT="0" distB="0" distL="0" distR="0" wp14:anchorId="57E4F7E7" wp14:editId="06074FC2">
            <wp:extent cx="5425440" cy="2659380"/>
            <wp:effectExtent l="0" t="0" r="381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25440" cy="2659380"/>
                    </a:xfrm>
                    <a:prstGeom prst="rect">
                      <a:avLst/>
                    </a:prstGeom>
                    <a:noFill/>
                    <a:ln>
                      <a:noFill/>
                    </a:ln>
                  </pic:spPr>
                </pic:pic>
              </a:graphicData>
            </a:graphic>
          </wp:inline>
        </w:drawing>
      </w:r>
    </w:p>
    <w:p w:rsidR="00367387" w:rsidRPr="00C82B12" w:rsidRDefault="00367387" w:rsidP="00C82B12">
      <w:pPr>
        <w:pStyle w:val="Caption"/>
        <w:spacing w:before="120" w:after="80"/>
        <w:ind w:left="446" w:right="1800"/>
        <w:rPr>
          <w:b w:val="0"/>
          <w:bCs w:val="0"/>
        </w:rPr>
      </w:pPr>
      <w:bookmarkStart w:id="98" w:name="_Ref42701183"/>
      <w:bookmarkStart w:id="99" w:name="_Toc43224490"/>
      <w:r w:rsidRPr="00C82B12">
        <w:t xml:space="preserve">Figure </w:t>
      </w:r>
      <w:fldSimple w:instr=" STYLEREF 1 \s ">
        <w:r w:rsidR="001F5E1A">
          <w:rPr>
            <w:noProof/>
          </w:rPr>
          <w:t>6</w:t>
        </w:r>
      </w:fldSimple>
      <w:r w:rsidR="00C5246A" w:rsidRPr="00C82B12">
        <w:noBreakHyphen/>
      </w:r>
      <w:fldSimple w:instr=" SEQ Figure \* ARABIC \s 1 ">
        <w:r w:rsidR="001F5E1A">
          <w:rPr>
            <w:noProof/>
          </w:rPr>
          <w:t>13</w:t>
        </w:r>
      </w:fldSimple>
      <w:bookmarkEnd w:id="98"/>
      <w:r w:rsidRPr="00C82B12">
        <w:t xml:space="preserve">: </w:t>
      </w:r>
      <w:r w:rsidRPr="00C82B12">
        <w:rPr>
          <w:bCs w:val="0"/>
        </w:rPr>
        <w:t>Anticipated injection ca</w:t>
      </w:r>
      <w:r w:rsidRPr="00EF514D">
        <w:rPr>
          <w:bCs w:val="0"/>
        </w:rPr>
        <w:t xml:space="preserve">pabilities </w:t>
      </w:r>
      <w:r w:rsidRPr="00C82B12">
        <w:rPr>
          <w:bCs w:val="0"/>
        </w:rPr>
        <w:t>without major transmission reinforcements.</w:t>
      </w:r>
      <w:bookmarkEnd w:id="99"/>
    </w:p>
    <w:p w:rsidR="00A235C6" w:rsidRDefault="00367387" w:rsidP="00C82B12">
      <w:pPr>
        <w:spacing w:line="240" w:lineRule="auto"/>
        <w:ind w:left="446" w:right="1800"/>
        <w:jc w:val="both"/>
        <w:rPr>
          <w:sz w:val="16"/>
        </w:rPr>
      </w:pPr>
      <w:r w:rsidRPr="00C82B12">
        <w:rPr>
          <w:rFonts w:asciiTheme="minorHAnsi" w:hAnsiTheme="minorHAnsi" w:cstheme="minorHAnsi"/>
          <w:b/>
          <w:sz w:val="18"/>
          <w:szCs w:val="18"/>
        </w:rPr>
        <w:t>Note:</w:t>
      </w:r>
      <w:r w:rsidRPr="00C82B12">
        <w:rPr>
          <w:rFonts w:asciiTheme="minorHAnsi" w:hAnsiTheme="minorHAnsi" w:cstheme="minorHAnsi"/>
          <w:b/>
          <w:bCs/>
          <w:sz w:val="18"/>
          <w:szCs w:val="18"/>
        </w:rPr>
        <w:t xml:space="preserve"> </w:t>
      </w:r>
      <w:r w:rsidR="00215290" w:rsidRPr="00C82B12">
        <w:rPr>
          <w:sz w:val="18"/>
          <w:szCs w:val="18"/>
        </w:rPr>
        <w:t xml:space="preserve">Assumes FCA 13 retirements have occurred, including the retirement of Mystic 8 </w:t>
      </w:r>
      <w:r w:rsidRPr="00C82B12">
        <w:rPr>
          <w:sz w:val="18"/>
          <w:szCs w:val="18"/>
        </w:rPr>
        <w:t>and</w:t>
      </w:r>
      <w:r w:rsidR="00215290" w:rsidRPr="00C82B12">
        <w:rPr>
          <w:sz w:val="18"/>
          <w:szCs w:val="18"/>
        </w:rPr>
        <w:t xml:space="preserve"> 9</w:t>
      </w:r>
      <w:r w:rsidRPr="00C82B12">
        <w:rPr>
          <w:sz w:val="18"/>
          <w:szCs w:val="18"/>
        </w:rPr>
        <w:t>.</w:t>
      </w:r>
    </w:p>
    <w:p w:rsidR="00215290" w:rsidRPr="00A235C6" w:rsidRDefault="00215290" w:rsidP="00A235C6">
      <w:r>
        <w:t>The ISO studied each of the five co</w:t>
      </w:r>
      <w:r w:rsidR="00EF514D">
        <w:t>a</w:t>
      </w:r>
      <w:r>
        <w:t>stal injection locations to determine potential transmission reinforcements. S</w:t>
      </w:r>
      <w:r w:rsidR="00A235C6" w:rsidRPr="00A235C6">
        <w:t>ome 345 kV reinforcement</w:t>
      </w:r>
      <w:r w:rsidR="008E16E6">
        <w:t xml:space="preserve"> or </w:t>
      </w:r>
      <w:r w:rsidR="00A235C6" w:rsidRPr="00A235C6">
        <w:t xml:space="preserve">expansion may still be needed for this </w:t>
      </w:r>
      <w:r>
        <w:t>interconnection configuration</w:t>
      </w:r>
      <w:r w:rsidR="008E16E6">
        <w:t>,</w:t>
      </w:r>
      <w:r>
        <w:t xml:space="preserve"> and</w:t>
      </w:r>
      <w:r w:rsidR="008E16E6">
        <w:t xml:space="preserve"> the ISO</w:t>
      </w:r>
      <w:r>
        <w:t xml:space="preserve"> does </w:t>
      </w:r>
      <w:r w:rsidR="00A235C6" w:rsidRPr="00A235C6">
        <w:t xml:space="preserve">not anticipate </w:t>
      </w:r>
      <w:r w:rsidR="008E16E6">
        <w:t xml:space="preserve">that </w:t>
      </w:r>
      <w:r w:rsidR="00A235C6" w:rsidRPr="00A235C6">
        <w:t xml:space="preserve">all </w:t>
      </w:r>
      <w:r>
        <w:t xml:space="preserve">offshore wind projects </w:t>
      </w:r>
      <w:r w:rsidR="008E16E6">
        <w:t xml:space="preserve">will </w:t>
      </w:r>
      <w:r>
        <w:t>be</w:t>
      </w:r>
      <w:r w:rsidR="008E16E6">
        <w:t xml:space="preserve"> </w:t>
      </w:r>
      <w:r w:rsidR="00A235C6" w:rsidRPr="00A235C6">
        <w:t xml:space="preserve">able to run </w:t>
      </w:r>
      <w:r w:rsidR="00A235C6" w:rsidRPr="00372CA8">
        <w:t>simultaneously at nameplate levels at all times on the system</w:t>
      </w:r>
      <w:r w:rsidR="00BF1EA7" w:rsidRPr="00372CA8">
        <w:t xml:space="preserve">. </w:t>
      </w:r>
      <w:r w:rsidRPr="00372CA8">
        <w:rPr>
          <w:b/>
        </w:rPr>
        <w:t xml:space="preserve">Additional offshore wind </w:t>
      </w:r>
      <w:r w:rsidR="008E16E6" w:rsidRPr="00372CA8">
        <w:rPr>
          <w:b/>
        </w:rPr>
        <w:t>megawatt</w:t>
      </w:r>
      <w:r w:rsidRPr="00372CA8">
        <w:rPr>
          <w:b/>
        </w:rPr>
        <w:t xml:space="preserve"> </w:t>
      </w:r>
      <w:r w:rsidRPr="00CE1B10">
        <w:rPr>
          <w:b/>
        </w:rPr>
        <w:t xml:space="preserve">injections, at the interconnection points on the southern shore above the levels shown in </w:t>
      </w:r>
      <w:r w:rsidR="008E16E6" w:rsidRPr="00CE1B10">
        <w:rPr>
          <w:b/>
        </w:rPr>
        <w:fldChar w:fldCharType="begin"/>
      </w:r>
      <w:r w:rsidR="008E16E6" w:rsidRPr="00CE1B10">
        <w:rPr>
          <w:b/>
        </w:rPr>
        <w:instrText xml:space="preserve"> REF _Ref42701183 \h </w:instrText>
      </w:r>
      <w:r w:rsidR="00167366">
        <w:rPr>
          <w:b/>
        </w:rPr>
        <w:instrText xml:space="preserve"> \* MERGEFORMAT </w:instrText>
      </w:r>
      <w:r w:rsidR="008E16E6" w:rsidRPr="00CE1B10">
        <w:rPr>
          <w:b/>
        </w:rPr>
      </w:r>
      <w:r w:rsidR="008E16E6" w:rsidRPr="00CE1B10">
        <w:rPr>
          <w:b/>
        </w:rPr>
        <w:fldChar w:fldCharType="separate"/>
      </w:r>
      <w:r w:rsidR="001F5E1A" w:rsidRPr="00CE1B10">
        <w:rPr>
          <w:b/>
        </w:rPr>
        <w:t xml:space="preserve">Figure </w:t>
      </w:r>
      <w:r w:rsidR="001F5E1A" w:rsidRPr="00CE1B10">
        <w:rPr>
          <w:b/>
          <w:noProof/>
        </w:rPr>
        <w:t>6</w:t>
      </w:r>
      <w:r w:rsidR="001F5E1A" w:rsidRPr="00CE1B10">
        <w:rPr>
          <w:b/>
        </w:rPr>
        <w:noBreakHyphen/>
      </w:r>
      <w:r w:rsidR="001F5E1A" w:rsidRPr="00CE1B10">
        <w:rPr>
          <w:b/>
          <w:noProof/>
        </w:rPr>
        <w:t>13</w:t>
      </w:r>
      <w:r w:rsidR="008E16E6" w:rsidRPr="00CE1B10">
        <w:rPr>
          <w:b/>
        </w:rPr>
        <w:fldChar w:fldCharType="end"/>
      </w:r>
      <w:r w:rsidRPr="00CE1B10">
        <w:rPr>
          <w:b/>
        </w:rPr>
        <w:t>, would require significant transmission reinforcements</w:t>
      </w:r>
      <w:r w:rsidR="008E16E6" w:rsidRPr="00CE1B10">
        <w:rPr>
          <w:b/>
        </w:rPr>
        <w:t>,</w:t>
      </w:r>
      <w:r w:rsidRPr="00CE1B10">
        <w:rPr>
          <w:b/>
        </w:rPr>
        <w:t xml:space="preserve"> as represented conceptually in </w:t>
      </w:r>
      <w:r w:rsidR="008E16E6" w:rsidRPr="00CE1B10">
        <w:rPr>
          <w:b/>
        </w:rPr>
        <w:fldChar w:fldCharType="begin"/>
      </w:r>
      <w:r w:rsidR="008E16E6" w:rsidRPr="00CE1B10">
        <w:rPr>
          <w:b/>
        </w:rPr>
        <w:instrText xml:space="preserve"> REF _Ref42701481 \h </w:instrText>
      </w:r>
      <w:r w:rsidR="00F30513" w:rsidRPr="00CE1B10">
        <w:rPr>
          <w:b/>
        </w:rPr>
        <w:instrText xml:space="preserve"> \* MERGEFORMAT </w:instrText>
      </w:r>
      <w:r w:rsidR="008E16E6" w:rsidRPr="00CE1B10">
        <w:rPr>
          <w:b/>
        </w:rPr>
      </w:r>
      <w:r w:rsidR="008E16E6" w:rsidRPr="00CE1B10">
        <w:rPr>
          <w:b/>
        </w:rPr>
        <w:fldChar w:fldCharType="separate"/>
      </w:r>
      <w:r w:rsidR="001F5E1A" w:rsidRPr="00CE1B10">
        <w:rPr>
          <w:b/>
        </w:rPr>
        <w:t xml:space="preserve">Figure </w:t>
      </w:r>
      <w:r w:rsidR="001F5E1A" w:rsidRPr="00CE1B10">
        <w:rPr>
          <w:b/>
          <w:noProof/>
        </w:rPr>
        <w:t>6</w:t>
      </w:r>
      <w:r w:rsidR="001F5E1A" w:rsidRPr="00CE1B10">
        <w:rPr>
          <w:b/>
        </w:rPr>
        <w:noBreakHyphen/>
      </w:r>
      <w:r w:rsidR="001F5E1A" w:rsidRPr="00CE1B10">
        <w:rPr>
          <w:b/>
          <w:noProof/>
        </w:rPr>
        <w:t>14</w:t>
      </w:r>
      <w:r w:rsidR="008E16E6" w:rsidRPr="00CE1B10">
        <w:rPr>
          <w:b/>
        </w:rPr>
        <w:fldChar w:fldCharType="end"/>
      </w:r>
      <w:r w:rsidRPr="00CE1B10">
        <w:rPr>
          <w:b/>
        </w:rPr>
        <w:t>.</w:t>
      </w:r>
      <w:r>
        <w:t xml:space="preserve"> </w:t>
      </w:r>
    </w:p>
    <w:p w:rsidR="00B1090A" w:rsidRDefault="00B1090A" w:rsidP="00514D96">
      <w:pPr>
        <w:keepNext/>
        <w:keepLines/>
        <w:spacing w:after="0" w:line="240" w:lineRule="auto"/>
        <w:jc w:val="center"/>
        <w:rPr>
          <w:b/>
          <w:bCs/>
        </w:rPr>
      </w:pPr>
      <w:r>
        <w:rPr>
          <w:noProof/>
        </w:rPr>
        <w:lastRenderedPageBreak/>
        <w:drawing>
          <wp:inline distT="0" distB="0" distL="0" distR="0" wp14:anchorId="618B7C19" wp14:editId="1E656A6E">
            <wp:extent cx="5707123" cy="2739542"/>
            <wp:effectExtent l="19050" t="19050" r="27305" b="2286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22233" cy="2746795"/>
                    </a:xfrm>
                    <a:prstGeom prst="rect">
                      <a:avLst/>
                    </a:prstGeom>
                    <a:ln w="3175">
                      <a:solidFill>
                        <a:srgbClr val="000000"/>
                      </a:solidFill>
                    </a:ln>
                  </pic:spPr>
                </pic:pic>
              </a:graphicData>
            </a:graphic>
          </wp:inline>
        </w:drawing>
      </w:r>
    </w:p>
    <w:p w:rsidR="008E16E6" w:rsidRPr="00EF514D" w:rsidRDefault="008E16E6" w:rsidP="00CE1B10">
      <w:pPr>
        <w:pStyle w:val="Caption"/>
        <w:keepNext w:val="0"/>
        <w:keepLines w:val="0"/>
        <w:spacing w:before="120" w:after="240"/>
        <w:ind w:left="187"/>
        <w:rPr>
          <w:b w:val="0"/>
          <w:bCs w:val="0"/>
        </w:rPr>
      </w:pPr>
      <w:bookmarkStart w:id="100" w:name="_Ref42701481"/>
      <w:bookmarkStart w:id="101" w:name="_Toc43224491"/>
      <w:r w:rsidRPr="0005623C">
        <w:t xml:space="preserve">Figure </w:t>
      </w:r>
      <w:fldSimple w:instr=" STYLEREF 1 \s ">
        <w:r w:rsidR="001F5E1A">
          <w:rPr>
            <w:noProof/>
          </w:rPr>
          <w:t>6</w:t>
        </w:r>
      </w:fldSimple>
      <w:r w:rsidR="00C5246A">
        <w:noBreakHyphen/>
      </w:r>
      <w:fldSimple w:instr=" SEQ Figure \* ARABIC \s 1 ">
        <w:r w:rsidR="001F5E1A">
          <w:rPr>
            <w:noProof/>
          </w:rPr>
          <w:t>14</w:t>
        </w:r>
      </w:fldSimple>
      <w:bookmarkEnd w:id="100"/>
      <w:r w:rsidRPr="00EF514D">
        <w:t xml:space="preserve">: </w:t>
      </w:r>
      <w:r w:rsidR="00EF514D">
        <w:rPr>
          <w:bCs w:val="0"/>
        </w:rPr>
        <w:t>L</w:t>
      </w:r>
      <w:r w:rsidRPr="0005623C">
        <w:rPr>
          <w:bCs w:val="0"/>
        </w:rPr>
        <w:t>ikely significant reinforcements</w:t>
      </w:r>
      <w:r w:rsidR="00EF514D">
        <w:rPr>
          <w:bCs w:val="0"/>
        </w:rPr>
        <w:t xml:space="preserve"> for additional injections</w:t>
      </w:r>
      <w:r w:rsidRPr="0005623C">
        <w:rPr>
          <w:bCs w:val="0"/>
        </w:rPr>
        <w:t>.</w:t>
      </w:r>
      <w:bookmarkEnd w:id="101"/>
    </w:p>
    <w:p w:rsidR="005A78E5" w:rsidRDefault="003252DA" w:rsidP="00514D96">
      <w:r>
        <w:t xml:space="preserve">Exploring each of the </w:t>
      </w:r>
      <w:r w:rsidR="006960B1">
        <w:t xml:space="preserve">four southern coastal </w:t>
      </w:r>
      <w:r>
        <w:t xml:space="preserve">injection locations </w:t>
      </w:r>
      <w:r w:rsidR="000407F3">
        <w:t xml:space="preserve">further to determine </w:t>
      </w:r>
      <w:r w:rsidR="008E16E6">
        <w:t xml:space="preserve">whether </w:t>
      </w:r>
      <w:r w:rsidR="000407F3">
        <w:t xml:space="preserve">additional </w:t>
      </w:r>
      <w:r w:rsidR="008E16E6">
        <w:t>megawatts</w:t>
      </w:r>
      <w:r w:rsidR="000407F3">
        <w:t xml:space="preserve"> of offshore wind could be added</w:t>
      </w:r>
      <w:r w:rsidR="00031D2C">
        <w:t xml:space="preserve"> above the base scenario amounts</w:t>
      </w:r>
      <w:r w:rsidR="000407F3">
        <w:t xml:space="preserve"> </w:t>
      </w:r>
      <w:r>
        <w:t>reveal</w:t>
      </w:r>
      <w:r w:rsidR="000407F3">
        <w:t xml:space="preserve">ed that </w:t>
      </w:r>
      <w:r w:rsidR="006960B1">
        <w:t>significant upgrades to the onshore</w:t>
      </w:r>
      <w:r w:rsidR="000407F3">
        <w:t xml:space="preserve"> New England transmission </w:t>
      </w:r>
      <w:r w:rsidR="00031D2C">
        <w:t xml:space="preserve">system </w:t>
      </w:r>
      <w:r w:rsidR="00AE3C20">
        <w:t xml:space="preserve">would be </w:t>
      </w:r>
      <w:r w:rsidR="006960B1">
        <w:t>needed for these additional injections</w:t>
      </w:r>
      <w:r w:rsidR="00DD3D6D">
        <w:t xml:space="preserve">. The transmission reinforcements needed to interconnect the additional </w:t>
      </w:r>
      <w:r w:rsidR="008E16E6">
        <w:t>megawatts</w:t>
      </w:r>
      <w:r w:rsidR="000B3D38">
        <w:t xml:space="preserve"> above the base scenario</w:t>
      </w:r>
      <w:r w:rsidR="00DD3D6D">
        <w:t xml:space="preserve"> may be difficult to site and expensive</w:t>
      </w:r>
      <w:r w:rsidR="000B3D38">
        <w:t xml:space="preserve"> to build</w:t>
      </w:r>
      <w:r w:rsidR="00BF1EA7">
        <w:t xml:space="preserve">. </w:t>
      </w:r>
    </w:p>
    <w:p w:rsidR="003252DA" w:rsidRPr="003252DA" w:rsidRDefault="003252DA" w:rsidP="00F30127">
      <w:pPr>
        <w:pStyle w:val="Heading4"/>
      </w:pPr>
      <w:r w:rsidRPr="003252DA">
        <w:t>Cape Cod Area</w:t>
      </w:r>
    </w:p>
    <w:p w:rsidR="003252DA" w:rsidRDefault="003252DA" w:rsidP="003252DA">
      <w:r>
        <w:t xml:space="preserve">Screening analysis of the addition of 3,200 MW </w:t>
      </w:r>
      <w:r w:rsidRPr="005A78E5">
        <w:t>(i.e.</w:t>
      </w:r>
      <w:r w:rsidR="00A42110" w:rsidRPr="00E712DA">
        <w:t>,</w:t>
      </w:r>
      <w:r w:rsidRPr="00E712DA">
        <w:t xml:space="preserve"> 800 MW more than</w:t>
      </w:r>
      <w:r>
        <w:t xml:space="preserve"> the 2,400 MW indicated in the base scenario) to the Cape Cod area identified the following limitations with the existing transmission system:</w:t>
      </w:r>
    </w:p>
    <w:p w:rsidR="003252DA" w:rsidRDefault="003252DA" w:rsidP="003252DA">
      <w:pPr>
        <w:pStyle w:val="ListParagraph"/>
        <w:numPr>
          <w:ilvl w:val="0"/>
          <w:numId w:val="23"/>
        </w:numPr>
      </w:pPr>
      <w:r>
        <w:t>Thermal limitations, particularly the Stoughton K Street 345 kV cables</w:t>
      </w:r>
    </w:p>
    <w:p w:rsidR="003252DA" w:rsidRDefault="0098293E" w:rsidP="003252DA">
      <w:pPr>
        <w:pStyle w:val="ListParagraph"/>
        <w:numPr>
          <w:ilvl w:val="0"/>
          <w:numId w:val="23"/>
        </w:numPr>
      </w:pPr>
      <w:r w:rsidRPr="0078408B">
        <w:t>S</w:t>
      </w:r>
      <w:r w:rsidR="003252DA" w:rsidRPr="0078408B">
        <w:t>igni</w:t>
      </w:r>
      <w:r w:rsidR="003252DA">
        <w:t>ficant exposure to problematic loss</w:t>
      </w:r>
      <w:r w:rsidR="00E2103A">
        <w:t>-</w:t>
      </w:r>
      <w:r w:rsidR="003252DA">
        <w:t>of</w:t>
      </w:r>
      <w:r w:rsidR="00E2103A">
        <w:t>-</w:t>
      </w:r>
      <w:r w:rsidR="003252DA">
        <w:t>right</w:t>
      </w:r>
      <w:r w:rsidR="00E2103A">
        <w:t>-</w:t>
      </w:r>
      <w:r w:rsidR="003252DA">
        <w:t>of</w:t>
      </w:r>
      <w:r w:rsidR="00E2103A">
        <w:t>-</w:t>
      </w:r>
      <w:r w:rsidR="003252DA">
        <w:t>way extreme contingencies</w:t>
      </w:r>
    </w:p>
    <w:p w:rsidR="003252DA" w:rsidRDefault="00934092" w:rsidP="003252DA">
      <w:pPr>
        <w:pStyle w:val="ListParagraph"/>
        <w:numPr>
          <w:ilvl w:val="0"/>
          <w:numId w:val="23"/>
        </w:numPr>
      </w:pPr>
      <w:r>
        <w:t>Expected manifestation of v</w:t>
      </w:r>
      <w:r w:rsidR="003252DA">
        <w:t>ery low short</w:t>
      </w:r>
      <w:r>
        <w:t>-</w:t>
      </w:r>
      <w:r w:rsidR="003252DA">
        <w:t>circuit ratios (relatively low system strength)</w:t>
      </w:r>
      <w:r>
        <w:t>,</w:t>
      </w:r>
      <w:r w:rsidR="003252DA">
        <w:t xml:space="preserve"> indicating weak grid conditions</w:t>
      </w:r>
      <w:r>
        <w:t>,</w:t>
      </w:r>
      <w:r w:rsidR="003252DA">
        <w:t xml:space="preserve"> as unstable behavior of the wind farms</w:t>
      </w:r>
    </w:p>
    <w:p w:rsidR="00E87F85" w:rsidRDefault="003252DA" w:rsidP="00C82B12">
      <w:pPr>
        <w:pStyle w:val="ListParagraph"/>
        <w:numPr>
          <w:ilvl w:val="0"/>
          <w:numId w:val="23"/>
        </w:numPr>
        <w:spacing w:after="240"/>
      </w:pPr>
      <w:r>
        <w:t>Stability issues</w:t>
      </w:r>
      <w:r w:rsidR="00934092">
        <w:t>,</w:t>
      </w:r>
      <w:r>
        <w:t xml:space="preserve"> suc</w:t>
      </w:r>
      <w:r w:rsidRPr="00266E50">
        <w:t xml:space="preserve">h as </w:t>
      </w:r>
      <w:r w:rsidRPr="0078408B">
        <w:t>undamped</w:t>
      </w:r>
      <w:r>
        <w:t xml:space="preserve"> oscillations and degraded bulk power system behavior</w:t>
      </w:r>
      <w:r w:rsidR="00934092">
        <w:t>,</w:t>
      </w:r>
      <w:r w:rsidR="00AE3C20">
        <w:t xml:space="preserve"> as defined by </w:t>
      </w:r>
      <w:r w:rsidR="00934092">
        <w:t xml:space="preserve">Northeast Power Coordinating Council </w:t>
      </w:r>
      <w:r w:rsidR="00934092" w:rsidRPr="00F82BC4">
        <w:t>(</w:t>
      </w:r>
      <w:r w:rsidR="00AE3C20" w:rsidRPr="00F82BC4">
        <w:t>NPCC</w:t>
      </w:r>
      <w:r w:rsidR="00934092" w:rsidRPr="00F82BC4">
        <w:t>)</w:t>
      </w:r>
      <w:r w:rsidR="00AE3C20" w:rsidRPr="00F82BC4">
        <w:t xml:space="preserve"> c</w:t>
      </w:r>
      <w:r w:rsidR="00AE3C20">
        <w:t>riteria</w:t>
      </w:r>
      <w:r w:rsidR="00934092">
        <w:rPr>
          <w:rStyle w:val="FootnoteReference"/>
        </w:rPr>
        <w:footnoteReference w:id="44"/>
      </w:r>
    </w:p>
    <w:p w:rsidR="00E87F85" w:rsidRDefault="00122734" w:rsidP="00122734">
      <w:r>
        <w:t>The nature of the limitations found in the 3,200 MW case indicate that 2,400 MW of injection appears to represent a “hard ceiling” of the amount that can readily be interconnected to the Cape Cod area</w:t>
      </w:r>
      <w:r w:rsidR="00BF1EA7">
        <w:t xml:space="preserve">. </w:t>
      </w:r>
      <w:r>
        <w:t xml:space="preserve">Not only would new transmission be needed to address both the weak grid issues and the thermal issues on the Stoughton to K Street 345 kV lines, </w:t>
      </w:r>
      <w:r w:rsidR="002558B7">
        <w:t>it</w:t>
      </w:r>
      <w:r>
        <w:t xml:space="preserve"> would </w:t>
      </w:r>
      <w:r w:rsidR="00AE3C20">
        <w:t xml:space="preserve">need </w:t>
      </w:r>
      <w:r>
        <w:t xml:space="preserve">to be in its own right of way to avoid an unacceptable exposure to </w:t>
      </w:r>
      <w:r w:rsidR="007645AB">
        <w:t xml:space="preserve">the </w:t>
      </w:r>
      <w:r>
        <w:t>loss of supply (</w:t>
      </w:r>
      <w:r w:rsidR="002558B7">
        <w:t xml:space="preserve">i.e., the </w:t>
      </w:r>
      <w:r>
        <w:t xml:space="preserve">loss of up to 3,200 MW of connected offshore wind) for the loss of the right of way. See </w:t>
      </w:r>
      <w:r w:rsidR="007645AB" w:rsidRPr="001E1A83">
        <w:fldChar w:fldCharType="begin"/>
      </w:r>
      <w:r w:rsidR="007645AB" w:rsidRPr="00F82BC4">
        <w:instrText xml:space="preserve"> REF _Ref42765483 \h </w:instrText>
      </w:r>
      <w:r w:rsidR="007645AB" w:rsidRPr="00E712DA">
        <w:instrText xml:space="preserve"> \* MERGEFORMAT </w:instrText>
      </w:r>
      <w:r w:rsidR="007645AB" w:rsidRPr="001E1A83">
        <w:fldChar w:fldCharType="separate"/>
      </w:r>
      <w:r w:rsidR="001F5E1A" w:rsidRPr="007645AB">
        <w:t xml:space="preserve">Figure </w:t>
      </w:r>
      <w:r w:rsidR="001F5E1A">
        <w:rPr>
          <w:noProof/>
        </w:rPr>
        <w:t>6</w:t>
      </w:r>
      <w:r w:rsidR="001F5E1A">
        <w:rPr>
          <w:noProof/>
        </w:rPr>
        <w:noBreakHyphen/>
        <w:t>15</w:t>
      </w:r>
      <w:r w:rsidR="007645AB" w:rsidRPr="001E1A83">
        <w:fldChar w:fldCharType="end"/>
      </w:r>
      <w:r w:rsidRPr="00F82BC4">
        <w:t>.</w:t>
      </w:r>
    </w:p>
    <w:p w:rsidR="00122734" w:rsidRDefault="00122734" w:rsidP="00514D96">
      <w:pPr>
        <w:keepNext/>
        <w:keepLines/>
        <w:spacing w:after="0" w:line="240" w:lineRule="auto"/>
        <w:jc w:val="center"/>
      </w:pPr>
      <w:r>
        <w:rPr>
          <w:noProof/>
        </w:rPr>
        <w:lastRenderedPageBreak/>
        <w:drawing>
          <wp:inline distT="0" distB="0" distL="0" distR="0" wp14:anchorId="7E3C07DB" wp14:editId="600660E1">
            <wp:extent cx="4517948" cy="2871021"/>
            <wp:effectExtent l="19050" t="19050" r="16510" b="2476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31089" cy="2879371"/>
                    </a:xfrm>
                    <a:prstGeom prst="rect">
                      <a:avLst/>
                    </a:prstGeom>
                    <a:ln w="3175">
                      <a:solidFill>
                        <a:srgbClr val="000000"/>
                      </a:solidFill>
                    </a:ln>
                  </pic:spPr>
                </pic:pic>
              </a:graphicData>
            </a:graphic>
          </wp:inline>
        </w:drawing>
      </w:r>
    </w:p>
    <w:p w:rsidR="007645AB" w:rsidRPr="00E712DA" w:rsidRDefault="007645AB" w:rsidP="00CE1B10">
      <w:pPr>
        <w:pStyle w:val="Caption"/>
        <w:keepNext w:val="0"/>
        <w:keepLines w:val="0"/>
        <w:spacing w:before="120" w:after="240"/>
        <w:ind w:firstLine="1166"/>
      </w:pPr>
      <w:bookmarkStart w:id="102" w:name="_Ref42765483"/>
      <w:bookmarkStart w:id="103" w:name="_Toc43224492"/>
      <w:r w:rsidRPr="007645AB">
        <w:t xml:space="preserve">Figure </w:t>
      </w:r>
      <w:fldSimple w:instr=" STYLEREF 1 \s ">
        <w:r w:rsidR="001F5E1A">
          <w:rPr>
            <w:noProof/>
          </w:rPr>
          <w:t>6</w:t>
        </w:r>
      </w:fldSimple>
      <w:r w:rsidR="00C5246A">
        <w:noBreakHyphen/>
      </w:r>
      <w:fldSimple w:instr=" SEQ Figure \* ARABIC \s 1 ">
        <w:r w:rsidR="001F5E1A">
          <w:rPr>
            <w:noProof/>
          </w:rPr>
          <w:t>15</w:t>
        </w:r>
      </w:fldSimple>
      <w:bookmarkEnd w:id="102"/>
      <w:r w:rsidRPr="007645AB">
        <w:t xml:space="preserve">: </w:t>
      </w:r>
      <w:r w:rsidRPr="00E712DA">
        <w:t xml:space="preserve">Potential </w:t>
      </w:r>
      <w:r>
        <w:t>t</w:t>
      </w:r>
      <w:r w:rsidRPr="00E712DA">
        <w:t xml:space="preserve">ransmission </w:t>
      </w:r>
      <w:r>
        <w:t>s</w:t>
      </w:r>
      <w:r w:rsidRPr="00E712DA">
        <w:t xml:space="preserve">olution for the Cape Cod </w:t>
      </w:r>
      <w:r>
        <w:t>a</w:t>
      </w:r>
      <w:r w:rsidRPr="00E712DA">
        <w:t>rea</w:t>
      </w:r>
      <w:r w:rsidR="005C469B">
        <w:t>.</w:t>
      </w:r>
      <w:bookmarkEnd w:id="103"/>
    </w:p>
    <w:p w:rsidR="00DD3D6D" w:rsidRPr="00F30127" w:rsidRDefault="000B3D38" w:rsidP="00B226ED">
      <w:pPr>
        <w:pStyle w:val="Heading4"/>
      </w:pPr>
      <w:r w:rsidRPr="00F30127">
        <w:t>Brayton Point Area</w:t>
      </w:r>
    </w:p>
    <w:p w:rsidR="000B3D38" w:rsidRDefault="000B3D38" w:rsidP="00B226ED">
      <w:pPr>
        <w:keepNext/>
        <w:keepLines/>
      </w:pPr>
      <w:r>
        <w:t>Screening analysis of the addition of 2,400 MW (i.e.</w:t>
      </w:r>
      <w:r w:rsidR="00A42110">
        <w:t>,</w:t>
      </w:r>
      <w:r>
        <w:t xml:space="preserve"> 800 MW</w:t>
      </w:r>
      <w:r w:rsidR="007645AB">
        <w:t xml:space="preserve"> </w:t>
      </w:r>
      <w:r>
        <w:t>more than the 1,600 MW indicated in the base scenario) to the Brayton Point area identified the following limitations with the existing transmission syste</w:t>
      </w:r>
      <w:r w:rsidRPr="00E90B15">
        <w:t>m:</w:t>
      </w:r>
    </w:p>
    <w:p w:rsidR="000B3D38" w:rsidRDefault="000B3D38" w:rsidP="00071B6A">
      <w:pPr>
        <w:pStyle w:val="ListParagraph"/>
        <w:numPr>
          <w:ilvl w:val="0"/>
          <w:numId w:val="24"/>
        </w:numPr>
      </w:pPr>
      <w:r>
        <w:t xml:space="preserve">Numerous </w:t>
      </w:r>
      <w:r w:rsidRPr="00E712DA">
        <w:t>N-1 and N-1-1 t</w:t>
      </w:r>
      <w:r>
        <w:t xml:space="preserve">hermal violations in the areas surrounding Brayton Point and Grand Army substations </w:t>
      </w:r>
    </w:p>
    <w:p w:rsidR="000B3D38" w:rsidRDefault="000B3D38" w:rsidP="00071B6A">
      <w:pPr>
        <w:pStyle w:val="ListParagraph"/>
        <w:numPr>
          <w:ilvl w:val="0"/>
          <w:numId w:val="24"/>
        </w:numPr>
      </w:pPr>
      <w:r>
        <w:t>Introduc</w:t>
      </w:r>
      <w:r w:rsidR="00E2103A">
        <w:t>tion of</w:t>
      </w:r>
      <w:r>
        <w:t xml:space="preserve"> significant exposure to problematic loss</w:t>
      </w:r>
      <w:r w:rsidR="00E2103A">
        <w:t>-</w:t>
      </w:r>
      <w:r>
        <w:t>of</w:t>
      </w:r>
      <w:r w:rsidR="00E2103A">
        <w:t>-</w:t>
      </w:r>
      <w:r>
        <w:t>right</w:t>
      </w:r>
      <w:r w:rsidR="00E2103A">
        <w:t>-</w:t>
      </w:r>
      <w:r>
        <w:t>of</w:t>
      </w:r>
      <w:r w:rsidR="00E2103A">
        <w:t>-</w:t>
      </w:r>
      <w:r>
        <w:t>way extreme contingencies</w:t>
      </w:r>
    </w:p>
    <w:p w:rsidR="000B3D38" w:rsidRDefault="00E2103A" w:rsidP="00E712DA">
      <w:pPr>
        <w:pStyle w:val="ListParagraph"/>
        <w:numPr>
          <w:ilvl w:val="0"/>
          <w:numId w:val="24"/>
        </w:numPr>
        <w:spacing w:after="240"/>
      </w:pPr>
      <w:r>
        <w:t>Expected manifestation of v</w:t>
      </w:r>
      <w:r w:rsidR="000B3D38">
        <w:t>ery low short</w:t>
      </w:r>
      <w:r>
        <w:t>-</w:t>
      </w:r>
      <w:r w:rsidR="000B3D38">
        <w:t>circuit ratios (relatively low system strength)</w:t>
      </w:r>
      <w:r>
        <w:t>,</w:t>
      </w:r>
      <w:r w:rsidR="000B3D38">
        <w:t xml:space="preserve"> indicating weak grid conditions</w:t>
      </w:r>
      <w:r>
        <w:t>,</w:t>
      </w:r>
      <w:r w:rsidR="000B3D38">
        <w:t xml:space="preserve"> as unstable behavior of the wind farms</w:t>
      </w:r>
    </w:p>
    <w:p w:rsidR="00E87F85" w:rsidRDefault="006A76EF" w:rsidP="00636B5A">
      <w:r>
        <w:t xml:space="preserve">The nature of the limitations found in the 2,400 MW case indicated several problems that proved very difficult to </w:t>
      </w:r>
      <w:r w:rsidR="00BC491D">
        <w:t xml:space="preserve">address </w:t>
      </w:r>
      <w:r>
        <w:t>effectively with new transmission upgrades</w:t>
      </w:r>
      <w:r w:rsidR="00BF1EA7">
        <w:t xml:space="preserve">. </w:t>
      </w:r>
      <w:r>
        <w:t>New 345 kV connections from Brayton Point to Millbury, West Medway</w:t>
      </w:r>
      <w:r w:rsidR="00BC491D">
        <w:t>,</w:t>
      </w:r>
      <w:r>
        <w:t xml:space="preserve"> or West Walpole substations introduced or exacerbated thermal overloads along these 345 kV sections and on the Stoughton to K Street 345 kV lines</w:t>
      </w:r>
      <w:r w:rsidR="00BF1EA7">
        <w:t xml:space="preserve">. </w:t>
      </w:r>
      <w:r w:rsidR="00E12E37">
        <w:t>High</w:t>
      </w:r>
      <w:r>
        <w:t xml:space="preserve"> density of existing circuits makes it more difficult to find separate rights of way</w:t>
      </w:r>
      <w:r w:rsidR="00BF1EA7">
        <w:t xml:space="preserve">. </w:t>
      </w:r>
      <w:r w:rsidR="00636B5A">
        <w:t xml:space="preserve">A potential solution </w:t>
      </w:r>
      <w:r w:rsidR="008D0304">
        <w:t xml:space="preserve">that the ISO considered </w:t>
      </w:r>
      <w:r w:rsidR="00636B5A">
        <w:t xml:space="preserve">would be </w:t>
      </w:r>
      <w:r w:rsidR="00BC491D">
        <w:t xml:space="preserve">a </w:t>
      </w:r>
      <w:r w:rsidR="00636B5A">
        <w:t xml:space="preserve">new </w:t>
      </w:r>
      <w:r w:rsidR="00CE1B10">
        <w:t>345 </w:t>
      </w:r>
      <w:r w:rsidR="00636B5A">
        <w:t xml:space="preserve">kV circuit from Brayton Point to K Street or Mystic substation (if already adding injection at the K Street substation). </w:t>
      </w:r>
      <w:r>
        <w:t xml:space="preserve">See </w:t>
      </w:r>
      <w:r w:rsidR="00BC491D">
        <w:fldChar w:fldCharType="begin"/>
      </w:r>
      <w:r w:rsidR="00BC491D">
        <w:instrText xml:space="preserve"> REF _Ref42766862 \h </w:instrText>
      </w:r>
      <w:r w:rsidR="00BC491D">
        <w:fldChar w:fldCharType="separate"/>
      </w:r>
      <w:r w:rsidR="001F5E1A" w:rsidRPr="00266E50">
        <w:t xml:space="preserve">Figure </w:t>
      </w:r>
      <w:r w:rsidR="001F5E1A">
        <w:rPr>
          <w:noProof/>
        </w:rPr>
        <w:t>6</w:t>
      </w:r>
      <w:r w:rsidR="001F5E1A" w:rsidRPr="00266E50">
        <w:noBreakHyphen/>
      </w:r>
      <w:r w:rsidR="001F5E1A">
        <w:rPr>
          <w:noProof/>
        </w:rPr>
        <w:t>16</w:t>
      </w:r>
      <w:r w:rsidR="00BC491D">
        <w:fldChar w:fldCharType="end"/>
      </w:r>
      <w:r w:rsidR="00222F3F" w:rsidRPr="00266E50">
        <w:t>.</w:t>
      </w:r>
      <w:r w:rsidR="00222F3F">
        <w:rPr>
          <w:color w:val="FF0000"/>
        </w:rPr>
        <w:t xml:space="preserve"> </w:t>
      </w:r>
    </w:p>
    <w:p w:rsidR="006A76EF" w:rsidRPr="00DD3D6D" w:rsidRDefault="006A76EF" w:rsidP="006A76EF">
      <w:pPr>
        <w:spacing w:after="0"/>
        <w:jc w:val="center"/>
        <w:rPr>
          <w:b/>
        </w:rPr>
      </w:pPr>
    </w:p>
    <w:p w:rsidR="006A76EF" w:rsidRDefault="00636B5A" w:rsidP="00E712DA">
      <w:pPr>
        <w:spacing w:after="0" w:line="240" w:lineRule="auto"/>
        <w:jc w:val="center"/>
      </w:pPr>
      <w:r>
        <w:rPr>
          <w:noProof/>
        </w:rPr>
        <w:lastRenderedPageBreak/>
        <w:drawing>
          <wp:inline distT="0" distB="0" distL="0" distR="0" wp14:anchorId="6FBF8F8C" wp14:editId="22F2D8B6">
            <wp:extent cx="4786632" cy="3063240"/>
            <wp:effectExtent l="19050" t="19050" r="13970" b="2286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92389" cy="3066924"/>
                    </a:xfrm>
                    <a:prstGeom prst="rect">
                      <a:avLst/>
                    </a:prstGeom>
                    <a:ln w="3175">
                      <a:solidFill>
                        <a:srgbClr val="000000"/>
                      </a:solidFill>
                    </a:ln>
                  </pic:spPr>
                </pic:pic>
              </a:graphicData>
            </a:graphic>
          </wp:inline>
        </w:drawing>
      </w:r>
    </w:p>
    <w:p w:rsidR="006A76EF" w:rsidRPr="0078408B" w:rsidRDefault="00BC491D" w:rsidP="00266E50">
      <w:pPr>
        <w:pStyle w:val="Caption"/>
        <w:spacing w:before="120" w:after="240"/>
        <w:ind w:firstLine="900"/>
      </w:pPr>
      <w:bookmarkStart w:id="104" w:name="_Ref42766862"/>
      <w:bookmarkStart w:id="105" w:name="_Toc43224493"/>
      <w:r w:rsidRPr="00266E50">
        <w:t xml:space="preserve">Figure </w:t>
      </w:r>
      <w:fldSimple w:instr=" STYLEREF 1 \s ">
        <w:r w:rsidR="001F5E1A">
          <w:rPr>
            <w:noProof/>
          </w:rPr>
          <w:t>6</w:t>
        </w:r>
      </w:fldSimple>
      <w:r w:rsidR="00C5246A" w:rsidRPr="00266E50">
        <w:noBreakHyphen/>
      </w:r>
      <w:fldSimple w:instr=" SEQ Figure \* ARABIC \s 1 ">
        <w:r w:rsidR="001F5E1A">
          <w:rPr>
            <w:noProof/>
          </w:rPr>
          <w:t>16</w:t>
        </w:r>
      </w:fldSimple>
      <w:bookmarkEnd w:id="104"/>
      <w:r w:rsidRPr="00266E50">
        <w:t xml:space="preserve">: </w:t>
      </w:r>
      <w:r w:rsidRPr="00E712DA">
        <w:t>Potential transmission solution for the Brayton Point area.</w:t>
      </w:r>
      <w:bookmarkEnd w:id="105"/>
    </w:p>
    <w:p w:rsidR="006A76EF" w:rsidRDefault="00636B5A" w:rsidP="00F30127">
      <w:pPr>
        <w:pStyle w:val="Heading4"/>
      </w:pPr>
      <w:r w:rsidRPr="00636B5A">
        <w:t>Montville Area</w:t>
      </w:r>
    </w:p>
    <w:p w:rsidR="00636B5A" w:rsidRDefault="00636B5A" w:rsidP="00636B5A">
      <w:r>
        <w:t>Screening analysis of the addition of 1,600 MW (i.e.</w:t>
      </w:r>
      <w:r w:rsidR="00A42110">
        <w:t>,</w:t>
      </w:r>
      <w:r>
        <w:t xml:space="preserve"> 800 MW more than the 800 MW indicated in the base scenario) to the </w:t>
      </w:r>
      <w:r w:rsidR="0098293E">
        <w:t>Montville</w:t>
      </w:r>
      <w:r>
        <w:t xml:space="preserve"> area identified the following limitations with the existing transmission system:</w:t>
      </w:r>
    </w:p>
    <w:p w:rsidR="00636B5A" w:rsidRDefault="00636B5A" w:rsidP="00636B5A">
      <w:pPr>
        <w:pStyle w:val="ListParagraph"/>
        <w:numPr>
          <w:ilvl w:val="0"/>
          <w:numId w:val="26"/>
        </w:numPr>
      </w:pPr>
      <w:r>
        <w:t xml:space="preserve">Numerous N-1 </w:t>
      </w:r>
      <w:r w:rsidR="00A42110">
        <w:t>and</w:t>
      </w:r>
      <w:r>
        <w:t xml:space="preserve"> N-1-1 thermal violations in the areas surrounding the Montville substation</w:t>
      </w:r>
    </w:p>
    <w:p w:rsidR="00636B5A" w:rsidRDefault="00A42110" w:rsidP="00636B5A">
      <w:pPr>
        <w:pStyle w:val="ListParagraph"/>
        <w:numPr>
          <w:ilvl w:val="0"/>
          <w:numId w:val="26"/>
        </w:numPr>
      </w:pPr>
      <w:r>
        <w:t>Expected manifestation of v</w:t>
      </w:r>
      <w:r w:rsidR="00636B5A">
        <w:t>ery low short</w:t>
      </w:r>
      <w:r>
        <w:t>-</w:t>
      </w:r>
      <w:r w:rsidR="00636B5A">
        <w:t>circuit ratios (relatively low system strength)</w:t>
      </w:r>
      <w:r>
        <w:t>,</w:t>
      </w:r>
      <w:r w:rsidR="00636B5A">
        <w:t xml:space="preserve"> indicating weak grid conditions</w:t>
      </w:r>
      <w:r>
        <w:t>,</w:t>
      </w:r>
      <w:r w:rsidR="00636B5A">
        <w:t xml:space="preserve"> as unstable behavior of the wind farms</w:t>
      </w:r>
    </w:p>
    <w:p w:rsidR="006A76EF" w:rsidRDefault="00EE433C" w:rsidP="00EE433C">
      <w:r>
        <w:t xml:space="preserve">The ISO evaluated the addition of a new 345 kV line between Kent County and Montville substations. System performance was poor with the new line and several overloads </w:t>
      </w:r>
      <w:r w:rsidR="00A42110">
        <w:t xml:space="preserve">occurred </w:t>
      </w:r>
      <w:r>
        <w:t>on existing facilities after adding more offshore wind at Montvi</w:t>
      </w:r>
      <w:r w:rsidRPr="00CE1B10">
        <w:t>lle</w:t>
      </w:r>
      <w:r w:rsidR="00BF1EA7" w:rsidRPr="00CE1B10">
        <w:t xml:space="preserve">. </w:t>
      </w:r>
      <w:r w:rsidR="008C3EFF" w:rsidRPr="00CE1B10">
        <w:t xml:space="preserve">See </w:t>
      </w:r>
      <w:r w:rsidR="00266E50" w:rsidRPr="00CE1B10">
        <w:fldChar w:fldCharType="begin"/>
      </w:r>
      <w:r w:rsidR="00266E50" w:rsidRPr="00CE1B10">
        <w:instrText xml:space="preserve"> REF _Ref43136905 \h </w:instrText>
      </w:r>
      <w:r w:rsidR="002558B7" w:rsidRPr="00CE1B10">
        <w:instrText xml:space="preserve"> \* MERGEFORMAT </w:instrText>
      </w:r>
      <w:r w:rsidR="00266E50" w:rsidRPr="00CE1B10">
        <w:fldChar w:fldCharType="separate"/>
      </w:r>
      <w:r w:rsidR="001F5E1A" w:rsidRPr="00CE1B10">
        <w:t xml:space="preserve">Figure </w:t>
      </w:r>
      <w:r w:rsidR="001F5E1A" w:rsidRPr="00CE1B10">
        <w:rPr>
          <w:noProof/>
        </w:rPr>
        <w:t>6</w:t>
      </w:r>
      <w:r w:rsidR="001F5E1A" w:rsidRPr="00CE1B10">
        <w:noBreakHyphen/>
      </w:r>
      <w:r w:rsidR="001F5E1A" w:rsidRPr="00CE1B10">
        <w:rPr>
          <w:noProof/>
        </w:rPr>
        <w:t>17</w:t>
      </w:r>
      <w:r w:rsidR="00266E50" w:rsidRPr="00CE1B10">
        <w:fldChar w:fldCharType="end"/>
      </w:r>
      <w:r w:rsidR="008C3EFF" w:rsidRPr="00CE1B10">
        <w:t>.</w:t>
      </w:r>
    </w:p>
    <w:p w:rsidR="008C3EFF" w:rsidRPr="008C3EFF" w:rsidRDefault="008C3EFF" w:rsidP="00CE1B10">
      <w:pPr>
        <w:spacing w:after="0"/>
        <w:rPr>
          <w:b/>
        </w:rPr>
      </w:pPr>
    </w:p>
    <w:p w:rsidR="006A76EF" w:rsidRDefault="00EE433C" w:rsidP="00E712DA">
      <w:pPr>
        <w:spacing w:after="0" w:line="240" w:lineRule="auto"/>
        <w:jc w:val="center"/>
      </w:pPr>
      <w:r>
        <w:rPr>
          <w:noProof/>
        </w:rPr>
        <w:lastRenderedPageBreak/>
        <w:drawing>
          <wp:inline distT="0" distB="0" distL="0" distR="0" wp14:anchorId="5970727E" wp14:editId="49E52457">
            <wp:extent cx="5943600" cy="2650490"/>
            <wp:effectExtent l="19050" t="19050" r="19050" b="1651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650490"/>
                    </a:xfrm>
                    <a:prstGeom prst="rect">
                      <a:avLst/>
                    </a:prstGeom>
                    <a:ln w="3175">
                      <a:solidFill>
                        <a:srgbClr val="000000"/>
                      </a:solidFill>
                    </a:ln>
                  </pic:spPr>
                </pic:pic>
              </a:graphicData>
            </a:graphic>
          </wp:inline>
        </w:drawing>
      </w:r>
    </w:p>
    <w:p w:rsidR="008C3EFF" w:rsidRPr="00F82BC4" w:rsidRDefault="00A42110" w:rsidP="00E712DA">
      <w:pPr>
        <w:pStyle w:val="Caption"/>
        <w:spacing w:before="120" w:after="240"/>
        <w:ind w:left="90"/>
        <w:rPr>
          <w:u w:val="single"/>
        </w:rPr>
      </w:pPr>
      <w:bookmarkStart w:id="106" w:name="_Ref43136905"/>
      <w:bookmarkStart w:id="107" w:name="_Toc43224494"/>
      <w:r w:rsidRPr="00A42110">
        <w:t xml:space="preserve">Figure </w:t>
      </w:r>
      <w:fldSimple w:instr=" STYLEREF 1 \s ">
        <w:r w:rsidR="001F5E1A">
          <w:rPr>
            <w:noProof/>
          </w:rPr>
          <w:t>6</w:t>
        </w:r>
      </w:fldSimple>
      <w:r w:rsidR="00C5246A">
        <w:noBreakHyphen/>
      </w:r>
      <w:fldSimple w:instr=" SEQ Figure \* ARABIC \s 1 ">
        <w:r w:rsidR="001F5E1A">
          <w:rPr>
            <w:noProof/>
          </w:rPr>
          <w:t>17</w:t>
        </w:r>
      </w:fldSimple>
      <w:bookmarkEnd w:id="106"/>
      <w:r w:rsidRPr="00F82BC4">
        <w:t xml:space="preserve">: </w:t>
      </w:r>
      <w:r w:rsidRPr="00266E50">
        <w:t>M</w:t>
      </w:r>
      <w:r w:rsidRPr="00E712DA">
        <w:t>ontville area overloads.</w:t>
      </w:r>
      <w:bookmarkEnd w:id="107"/>
    </w:p>
    <w:p w:rsidR="008C3EFF" w:rsidRDefault="008C3EFF" w:rsidP="00F30127">
      <w:pPr>
        <w:pStyle w:val="Heading4"/>
      </w:pPr>
      <w:r w:rsidRPr="00636B5A">
        <w:t>Kent County</w:t>
      </w:r>
      <w:r w:rsidR="005163F9" w:rsidRPr="00ED3967">
        <w:t>/Davisville</w:t>
      </w:r>
      <w:r w:rsidRPr="00636B5A">
        <w:t xml:space="preserve"> Area</w:t>
      </w:r>
    </w:p>
    <w:p w:rsidR="008C3EFF" w:rsidRDefault="008C3EFF" w:rsidP="008C3EFF">
      <w:r>
        <w:t>Screening analysis of the addition of 1,800 MW (i.e.</w:t>
      </w:r>
      <w:r w:rsidR="00A42110">
        <w:t>,</w:t>
      </w:r>
      <w:r>
        <w:t xml:space="preserve"> 800 MW</w:t>
      </w:r>
      <w:r w:rsidR="007357CF">
        <w:t xml:space="preserve"> </w:t>
      </w:r>
      <w:r>
        <w:t>more than the 1,000 MW indicated in the base scenario) to the Kent County area identified the following limitations with the existing transmission system:</w:t>
      </w:r>
    </w:p>
    <w:p w:rsidR="008C3EFF" w:rsidRDefault="008C3EFF" w:rsidP="008C3EFF">
      <w:pPr>
        <w:pStyle w:val="ListParagraph"/>
        <w:numPr>
          <w:ilvl w:val="0"/>
          <w:numId w:val="25"/>
        </w:numPr>
      </w:pPr>
      <w:r>
        <w:t xml:space="preserve">Numerous N-1 </w:t>
      </w:r>
      <w:r w:rsidR="007357CF">
        <w:t>and</w:t>
      </w:r>
      <w:r>
        <w:t xml:space="preserve"> N-1-1 thermal violations in the areas surrounding the Kent County substation</w:t>
      </w:r>
    </w:p>
    <w:p w:rsidR="008C3EFF" w:rsidRDefault="008C3EFF" w:rsidP="008C3EFF">
      <w:pPr>
        <w:pStyle w:val="ListParagraph"/>
        <w:numPr>
          <w:ilvl w:val="0"/>
          <w:numId w:val="25"/>
        </w:numPr>
      </w:pPr>
      <w:r>
        <w:t>Introduc</w:t>
      </w:r>
      <w:r w:rsidR="007357CF">
        <w:t>tion of</w:t>
      </w:r>
      <w:r>
        <w:t xml:space="preserve"> significant exposure to problematic loss</w:t>
      </w:r>
      <w:r w:rsidR="007357CF">
        <w:t>-</w:t>
      </w:r>
      <w:r>
        <w:t>of</w:t>
      </w:r>
      <w:r w:rsidR="007357CF">
        <w:t>-</w:t>
      </w:r>
      <w:r>
        <w:t>right</w:t>
      </w:r>
      <w:r w:rsidR="007357CF">
        <w:t>-</w:t>
      </w:r>
      <w:r>
        <w:t>of</w:t>
      </w:r>
      <w:r w:rsidR="007357CF">
        <w:t>-</w:t>
      </w:r>
      <w:r>
        <w:t>way extreme contingencies</w:t>
      </w:r>
    </w:p>
    <w:p w:rsidR="008C3EFF" w:rsidRDefault="007357CF" w:rsidP="00E712DA">
      <w:pPr>
        <w:pStyle w:val="ListParagraph"/>
        <w:numPr>
          <w:ilvl w:val="0"/>
          <w:numId w:val="25"/>
        </w:numPr>
        <w:spacing w:after="240"/>
      </w:pPr>
      <w:r>
        <w:t>Expected manifestation of v</w:t>
      </w:r>
      <w:r w:rsidR="008C3EFF">
        <w:t>ery low short</w:t>
      </w:r>
      <w:r>
        <w:t>-</w:t>
      </w:r>
      <w:r w:rsidR="008C3EFF">
        <w:t>circuit ratios (relatively low system strength)</w:t>
      </w:r>
      <w:r>
        <w:t>,</w:t>
      </w:r>
      <w:r w:rsidR="008C3EFF">
        <w:t xml:space="preserve"> indicating weak grid conditions</w:t>
      </w:r>
      <w:r>
        <w:t>,</w:t>
      </w:r>
      <w:r w:rsidR="008C3EFF">
        <w:t xml:space="preserve"> as unstable behavior of the wind farms</w:t>
      </w:r>
    </w:p>
    <w:p w:rsidR="008C3EFF" w:rsidRDefault="008C3EFF" w:rsidP="008C3EFF">
      <w:r>
        <w:t xml:space="preserve">To resolve the overloads in the Kent County area, transmission improvements would need to be completed in concert with </w:t>
      </w:r>
      <w:r w:rsidR="00703947">
        <w:t>transmission</w:t>
      </w:r>
      <w:r>
        <w:t xml:space="preserve"> upgrades in the Montville area </w:t>
      </w:r>
      <w:r w:rsidR="00E12E37">
        <w:t xml:space="preserve">as </w:t>
      </w:r>
      <w:r>
        <w:t>described above</w:t>
      </w:r>
      <w:r w:rsidR="00BF1EA7" w:rsidRPr="00E90B15">
        <w:t>.</w:t>
      </w:r>
      <w:r w:rsidR="00E90B15">
        <w:t xml:space="preserve"> </w:t>
      </w:r>
      <w:r w:rsidR="007357CF" w:rsidRPr="00E90B15">
        <w:t>Even with t</w:t>
      </w:r>
      <w:r w:rsidRPr="00E90B15">
        <w:t>he</w:t>
      </w:r>
      <w:r>
        <w:t xml:space="preserve"> addition of the new </w:t>
      </w:r>
      <w:r w:rsidR="008D0304">
        <w:t xml:space="preserve">hypothetical </w:t>
      </w:r>
      <w:r>
        <w:t xml:space="preserve">345 kV line between Kent County and Montville substations, system performance remained poor and overloads of existing facilities </w:t>
      </w:r>
      <w:r w:rsidR="007357CF">
        <w:t xml:space="preserve">occurred </w:t>
      </w:r>
      <w:r>
        <w:t>after adding more offshore wind at Kent County</w:t>
      </w:r>
      <w:r w:rsidR="007357CF" w:rsidRPr="00CE1B10">
        <w:t>,</w:t>
      </w:r>
      <w:r w:rsidRPr="00CE1B10">
        <w:t xml:space="preserve"> as well</w:t>
      </w:r>
      <w:r w:rsidR="00BF1EA7" w:rsidRPr="00CE1B10">
        <w:t xml:space="preserve">. </w:t>
      </w:r>
      <w:r w:rsidRPr="00CE1B10">
        <w:t xml:space="preserve">See </w:t>
      </w:r>
      <w:r w:rsidR="007357CF" w:rsidRPr="00CE1B10">
        <w:fldChar w:fldCharType="begin"/>
      </w:r>
      <w:r w:rsidR="007357CF" w:rsidRPr="00CE1B10">
        <w:instrText xml:space="preserve"> REF _Ref42768716 \h  \* MERGEFORMAT </w:instrText>
      </w:r>
      <w:r w:rsidR="007357CF" w:rsidRPr="00CE1B10">
        <w:fldChar w:fldCharType="separate"/>
      </w:r>
      <w:r w:rsidR="001E333F" w:rsidRPr="00CE1B10">
        <w:t xml:space="preserve">Figure </w:t>
      </w:r>
      <w:r w:rsidR="001E333F" w:rsidRPr="00CE1B10">
        <w:rPr>
          <w:noProof/>
        </w:rPr>
        <w:t>6</w:t>
      </w:r>
      <w:r w:rsidR="001E333F" w:rsidRPr="00CE1B10">
        <w:rPr>
          <w:noProof/>
        </w:rPr>
        <w:noBreakHyphen/>
        <w:t>18</w:t>
      </w:r>
      <w:r w:rsidR="007357CF" w:rsidRPr="00CE1B10">
        <w:fldChar w:fldCharType="end"/>
      </w:r>
      <w:r w:rsidRPr="00CE1B10">
        <w:t>.</w:t>
      </w:r>
    </w:p>
    <w:p w:rsidR="008C3EFF" w:rsidRDefault="008C3EFF" w:rsidP="00E712DA">
      <w:pPr>
        <w:tabs>
          <w:tab w:val="left" w:pos="2700"/>
        </w:tabs>
        <w:spacing w:after="0" w:line="240" w:lineRule="auto"/>
        <w:jc w:val="center"/>
      </w:pPr>
      <w:r>
        <w:rPr>
          <w:noProof/>
        </w:rPr>
        <w:lastRenderedPageBreak/>
        <w:drawing>
          <wp:inline distT="0" distB="0" distL="0" distR="0" wp14:anchorId="76AFEBE7" wp14:editId="55F9F600">
            <wp:extent cx="5943600" cy="2665095"/>
            <wp:effectExtent l="19050" t="19050" r="19050" b="2095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665095"/>
                    </a:xfrm>
                    <a:prstGeom prst="rect">
                      <a:avLst/>
                    </a:prstGeom>
                    <a:ln w="3175">
                      <a:solidFill>
                        <a:srgbClr val="000000"/>
                      </a:solidFill>
                    </a:ln>
                  </pic:spPr>
                </pic:pic>
              </a:graphicData>
            </a:graphic>
          </wp:inline>
        </w:drawing>
      </w:r>
    </w:p>
    <w:p w:rsidR="007357CF" w:rsidRPr="00F82BC4" w:rsidRDefault="007357CF" w:rsidP="00E712DA">
      <w:pPr>
        <w:pStyle w:val="Caption"/>
        <w:spacing w:before="120" w:after="240"/>
        <w:ind w:firstLine="90"/>
      </w:pPr>
      <w:bookmarkStart w:id="108" w:name="_Ref42768716"/>
      <w:bookmarkStart w:id="109" w:name="_Toc43224495"/>
      <w:r w:rsidRPr="007357CF">
        <w:t xml:space="preserve">Figure </w:t>
      </w:r>
      <w:fldSimple w:instr=" STYLEREF 1 \s ">
        <w:r w:rsidR="001F5E1A">
          <w:rPr>
            <w:noProof/>
          </w:rPr>
          <w:t>6</w:t>
        </w:r>
      </w:fldSimple>
      <w:r w:rsidR="00C5246A">
        <w:noBreakHyphen/>
      </w:r>
      <w:fldSimple w:instr=" SEQ Figure \* ARABIC \s 1 ">
        <w:r w:rsidR="001F5E1A">
          <w:rPr>
            <w:noProof/>
          </w:rPr>
          <w:t>18</w:t>
        </w:r>
      </w:fldSimple>
      <w:bookmarkEnd w:id="108"/>
      <w:r w:rsidRPr="007357CF">
        <w:t xml:space="preserve">: </w:t>
      </w:r>
      <w:r w:rsidRPr="00E712DA">
        <w:t>Kent County area overloads.</w:t>
      </w:r>
      <w:bookmarkEnd w:id="109"/>
    </w:p>
    <w:p w:rsidR="00F0090B" w:rsidRDefault="00F0090B" w:rsidP="00F0090B">
      <w:r w:rsidRPr="00F0090B">
        <w:t>A</w:t>
      </w:r>
      <w:r>
        <w:t>n a</w:t>
      </w:r>
      <w:r w:rsidRPr="00F0090B">
        <w:t xml:space="preserve">lternative </w:t>
      </w:r>
      <w:r>
        <w:t xml:space="preserve">transmission solution was also considered to the aforementioned </w:t>
      </w:r>
      <w:r w:rsidR="00241D21">
        <w:t xml:space="preserve">Montville-Kent County </w:t>
      </w:r>
      <w:r w:rsidR="007357CF">
        <w:t>345 </w:t>
      </w:r>
      <w:r w:rsidR="00241D21">
        <w:t>kV transmission line</w:t>
      </w:r>
      <w:r w:rsidR="00AB2BE3">
        <w:t>—s</w:t>
      </w:r>
      <w:r>
        <w:t>pecifically, a new 345 kV circuit, in separate right of way, from Kent County to the Sherman Road substation</w:t>
      </w:r>
      <w:r w:rsidRPr="00F0090B">
        <w:t xml:space="preserve"> </w:t>
      </w:r>
      <w:r>
        <w:t>and a new 345 kV transmission line from Montville substation to the Southwest Connecticut area</w:t>
      </w:r>
      <w:r w:rsidR="00AB2BE3">
        <w:t xml:space="preserve">. See </w:t>
      </w:r>
      <w:r w:rsidR="002B7E3F" w:rsidRPr="00E712DA">
        <w:fldChar w:fldCharType="begin"/>
      </w:r>
      <w:r w:rsidR="002B7E3F" w:rsidRPr="0078408B">
        <w:instrText xml:space="preserve"> REF _Ref43137167 \h </w:instrText>
      </w:r>
      <w:r w:rsidR="002B7E3F">
        <w:instrText xml:space="preserve"> \* MERGEFORMAT </w:instrText>
      </w:r>
      <w:r w:rsidR="002B7E3F" w:rsidRPr="00E712DA">
        <w:fldChar w:fldCharType="separate"/>
      </w:r>
      <w:r w:rsidR="001F5E1A" w:rsidRPr="0078408B">
        <w:t xml:space="preserve">Figure </w:t>
      </w:r>
      <w:r w:rsidR="001F5E1A">
        <w:rPr>
          <w:noProof/>
        </w:rPr>
        <w:t>6</w:t>
      </w:r>
      <w:r w:rsidR="001F5E1A" w:rsidRPr="00E712DA">
        <w:rPr>
          <w:noProof/>
        </w:rPr>
        <w:noBreakHyphen/>
      </w:r>
      <w:r w:rsidR="001F5E1A">
        <w:rPr>
          <w:noProof/>
        </w:rPr>
        <w:t>19</w:t>
      </w:r>
      <w:r w:rsidR="002B7E3F" w:rsidRPr="00E712DA">
        <w:fldChar w:fldCharType="end"/>
      </w:r>
      <w:r w:rsidR="00BF1EA7" w:rsidRPr="0078408B">
        <w:t>.</w:t>
      </w:r>
      <w:r w:rsidR="00BF1EA7">
        <w:t xml:space="preserve"> </w:t>
      </w:r>
      <w:r w:rsidR="00AD60A8">
        <w:t xml:space="preserve">Note that </w:t>
      </w:r>
      <w:r>
        <w:t xml:space="preserve">significant congestion would be </w:t>
      </w:r>
      <w:r w:rsidR="00AB2BE3">
        <w:t xml:space="preserve">anticipated </w:t>
      </w:r>
      <w:r>
        <w:t xml:space="preserve">with this </w:t>
      </w:r>
      <w:r w:rsidR="00AD60A8">
        <w:t xml:space="preserve">Kent County </w:t>
      </w:r>
      <w:r>
        <w:t>offshore wind injection due to the existing combined</w:t>
      </w:r>
      <w:r w:rsidR="00AB2BE3">
        <w:t>-</w:t>
      </w:r>
      <w:r>
        <w:t>cycle facilities</w:t>
      </w:r>
      <w:r w:rsidR="00135192">
        <w:t xml:space="preserve"> in this are</w:t>
      </w:r>
      <w:r w:rsidR="00135192" w:rsidRPr="002B7E3F">
        <w:t>a</w:t>
      </w:r>
      <w:r w:rsidRPr="0078408B">
        <w:t>.</w:t>
      </w:r>
      <w:r w:rsidR="0098293E" w:rsidRPr="0078408B">
        <w:t xml:space="preserve"> </w:t>
      </w:r>
      <w:r w:rsidR="0098293E" w:rsidRPr="002B7E3F">
        <w:t xml:space="preserve">For the Montville </w:t>
      </w:r>
      <w:r w:rsidR="00E712DA" w:rsidRPr="002B7E3F">
        <w:t>345</w:t>
      </w:r>
      <w:r w:rsidR="00E712DA">
        <w:t> </w:t>
      </w:r>
      <w:r w:rsidR="0098293E" w:rsidRPr="002B7E3F">
        <w:t xml:space="preserve">kV interconnection, an alternative transmission solution was identified using a new 345 KV circuit connecting Montville to </w:t>
      </w:r>
      <w:r w:rsidR="002B7E3F">
        <w:t>S</w:t>
      </w:r>
      <w:r w:rsidR="0098293E" w:rsidRPr="002B7E3F">
        <w:t xml:space="preserve">outhwest </w:t>
      </w:r>
      <w:r w:rsidR="0098293E" w:rsidRPr="00E712DA">
        <w:t>Connecti</w:t>
      </w:r>
      <w:r w:rsidR="002B7E3F" w:rsidRPr="00E712DA">
        <w:t>cut</w:t>
      </w:r>
      <w:r w:rsidR="0098293E" w:rsidRPr="00E712DA">
        <w:t>.</w:t>
      </w:r>
    </w:p>
    <w:p w:rsidR="00F0090B" w:rsidRDefault="00F0090B" w:rsidP="00E712DA">
      <w:pPr>
        <w:spacing w:after="0" w:line="240" w:lineRule="auto"/>
        <w:jc w:val="center"/>
      </w:pPr>
      <w:r>
        <w:rPr>
          <w:noProof/>
        </w:rPr>
        <w:drawing>
          <wp:inline distT="0" distB="0" distL="0" distR="0" wp14:anchorId="715F4C38" wp14:editId="6FFBE199">
            <wp:extent cx="5242560" cy="3252516"/>
            <wp:effectExtent l="19050" t="19050" r="15240" b="2413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45647" cy="3254431"/>
                    </a:xfrm>
                    <a:prstGeom prst="rect">
                      <a:avLst/>
                    </a:prstGeom>
                    <a:ln w="3175">
                      <a:solidFill>
                        <a:srgbClr val="000000"/>
                      </a:solidFill>
                    </a:ln>
                  </pic:spPr>
                </pic:pic>
              </a:graphicData>
            </a:graphic>
          </wp:inline>
        </w:drawing>
      </w:r>
    </w:p>
    <w:p w:rsidR="00AB2BE3" w:rsidRPr="00E712DA" w:rsidRDefault="00AB2BE3" w:rsidP="00E712DA">
      <w:pPr>
        <w:pStyle w:val="Caption"/>
        <w:spacing w:before="120"/>
        <w:ind w:left="634"/>
      </w:pPr>
      <w:bookmarkStart w:id="110" w:name="_Ref43137167"/>
      <w:bookmarkStart w:id="111" w:name="_Toc43224496"/>
      <w:r w:rsidRPr="0078408B">
        <w:t xml:space="preserve">Figure </w:t>
      </w:r>
      <w:fldSimple w:instr=" STYLEREF 1 \s ">
        <w:r w:rsidR="001F5E1A">
          <w:rPr>
            <w:noProof/>
          </w:rPr>
          <w:t>6</w:t>
        </w:r>
      </w:fldSimple>
      <w:r w:rsidR="00C5246A" w:rsidRPr="00E712DA">
        <w:noBreakHyphen/>
      </w:r>
      <w:fldSimple w:instr=" SEQ Figure \* ARABIC \s 1 ">
        <w:r w:rsidR="001F5E1A">
          <w:rPr>
            <w:noProof/>
          </w:rPr>
          <w:t>19</w:t>
        </w:r>
      </w:fldSimple>
      <w:bookmarkEnd w:id="110"/>
      <w:r w:rsidRPr="0078408B">
        <w:t xml:space="preserve">: </w:t>
      </w:r>
      <w:r w:rsidRPr="00E712DA">
        <w:t>Alternative 345 kV upgrades.</w:t>
      </w:r>
      <w:bookmarkEnd w:id="111"/>
    </w:p>
    <w:p w:rsidR="00AB2BE3" w:rsidRDefault="00AB2BE3" w:rsidP="00F0090B">
      <w:pPr>
        <w:jc w:val="center"/>
      </w:pPr>
    </w:p>
    <w:p w:rsidR="000424D5" w:rsidRDefault="000424D5" w:rsidP="00F30127">
      <w:pPr>
        <w:pStyle w:val="Heading4"/>
      </w:pPr>
      <w:r w:rsidRPr="000424D5">
        <w:lastRenderedPageBreak/>
        <w:t>Mystic Area</w:t>
      </w:r>
    </w:p>
    <w:p w:rsidR="00B1090A" w:rsidRDefault="000424D5" w:rsidP="00B1090A">
      <w:r>
        <w:t>T</w:t>
      </w:r>
      <w:r w:rsidR="00B21031">
        <w:t xml:space="preserve">he ISO considered alternatives using </w:t>
      </w:r>
      <w:r w:rsidR="00D125C6">
        <w:t>AC</w:t>
      </w:r>
      <w:r w:rsidR="00AB2BE3">
        <w:t xml:space="preserve">, </w:t>
      </w:r>
      <w:r w:rsidR="00D125C6">
        <w:t>DC</w:t>
      </w:r>
      <w:r w:rsidR="00AB2BE3">
        <w:t>, or both</w:t>
      </w:r>
      <w:r w:rsidR="00D125C6">
        <w:t xml:space="preserve"> </w:t>
      </w:r>
      <w:r w:rsidR="00AB2BE3">
        <w:t xml:space="preserve">types of </w:t>
      </w:r>
      <w:r w:rsidR="00B21031">
        <w:t>submarine cable</w:t>
      </w:r>
      <w:r>
        <w:t xml:space="preserve"> for interconnectin</w:t>
      </w:r>
      <w:r w:rsidR="00AB2BE3">
        <w:t>g</w:t>
      </w:r>
      <w:r>
        <w:t xml:space="preserve"> offshore wind to the Mystic and K </w:t>
      </w:r>
      <w:r w:rsidR="00703947">
        <w:t>Street</w:t>
      </w:r>
      <w:r>
        <w:t xml:space="preserve"> substations in Boston</w:t>
      </w:r>
      <w:r w:rsidR="00BF1EA7" w:rsidRPr="00372CA8">
        <w:t xml:space="preserve">. </w:t>
      </w:r>
      <w:r w:rsidR="00E80759" w:rsidRPr="00372CA8">
        <w:t>M</w:t>
      </w:r>
      <w:r w:rsidR="00E23A88" w:rsidRPr="00372CA8">
        <w:t xml:space="preserve">any offshore wind developers </w:t>
      </w:r>
      <w:r w:rsidR="00E80759" w:rsidRPr="00372CA8">
        <w:t xml:space="preserve">initially </w:t>
      </w:r>
      <w:r w:rsidR="00E23A88" w:rsidRPr="00372CA8">
        <w:t>prefer to use AC cable connections from the proposed wind farm lease areas to coastal 345 kV substations</w:t>
      </w:r>
      <w:r w:rsidR="00E80759" w:rsidRPr="00372CA8">
        <w:t>. However</w:t>
      </w:r>
      <w:r w:rsidR="00E23A88" w:rsidRPr="00372CA8">
        <w:t>, t</w:t>
      </w:r>
      <w:r w:rsidR="00D125C6" w:rsidRPr="00372CA8">
        <w:t>he ISO determined that a</w:t>
      </w:r>
      <w:r w:rsidR="00B1090A" w:rsidRPr="00372CA8">
        <w:t>dditional offshore wind could be connected using HVDC connections from the offshore wind farms to load center substations</w:t>
      </w:r>
      <w:r w:rsidR="00E80759" w:rsidRPr="00372CA8">
        <w:t>, avoiding significant onshore transmission upgrades.</w:t>
      </w:r>
      <w:r w:rsidR="00BF1EA7" w:rsidRPr="00372CA8">
        <w:t xml:space="preserve"> </w:t>
      </w:r>
      <w:r w:rsidR="00B1090A" w:rsidRPr="00372CA8">
        <w:t>For t</w:t>
      </w:r>
      <w:r w:rsidR="00B1090A">
        <w:t xml:space="preserve">he 2019 NESCOE Economic Study, </w:t>
      </w:r>
      <w:r w:rsidR="00E23A88">
        <w:t xml:space="preserve">the </w:t>
      </w:r>
      <w:r w:rsidR="00B1090A">
        <w:t xml:space="preserve">ISO considered Mystic </w:t>
      </w:r>
      <w:r w:rsidR="00AB2BE3">
        <w:t>and</w:t>
      </w:r>
      <w:r w:rsidR="00B1090A">
        <w:t xml:space="preserve"> K Street substations as examples</w:t>
      </w:r>
      <w:r w:rsidR="00135192">
        <w:t xml:space="preserve"> of candidate sites for</w:t>
      </w:r>
      <w:r w:rsidR="00B1090A">
        <w:t xml:space="preserve"> </w:t>
      </w:r>
      <w:r w:rsidR="00AB2BE3">
        <w:t>the</w:t>
      </w:r>
      <w:r w:rsidR="00B1090A">
        <w:t xml:space="preserve"> HVDC connections</w:t>
      </w:r>
      <w:r w:rsidR="00AB2BE3">
        <w:t>,</w:t>
      </w:r>
      <w:r w:rsidR="00EC0073">
        <w:t xml:space="preserve"> as illustrated in </w:t>
      </w:r>
      <w:r w:rsidR="002B7E3F">
        <w:fldChar w:fldCharType="begin"/>
      </w:r>
      <w:r w:rsidR="002B7E3F">
        <w:instrText xml:space="preserve"> REF _Ref43137403 \h </w:instrText>
      </w:r>
      <w:r w:rsidR="002B7E3F">
        <w:fldChar w:fldCharType="separate"/>
      </w:r>
      <w:r w:rsidR="001F5E1A">
        <w:t xml:space="preserve">Figure </w:t>
      </w:r>
      <w:r w:rsidR="001F5E1A">
        <w:rPr>
          <w:noProof/>
        </w:rPr>
        <w:t>6</w:t>
      </w:r>
      <w:r w:rsidR="001F5E1A">
        <w:noBreakHyphen/>
      </w:r>
      <w:r w:rsidR="001F5E1A">
        <w:rPr>
          <w:noProof/>
        </w:rPr>
        <w:t>20</w:t>
      </w:r>
      <w:r w:rsidR="002B7E3F">
        <w:fldChar w:fldCharType="end"/>
      </w:r>
      <w:r w:rsidR="001A6BC5">
        <w:t>.</w:t>
      </w:r>
      <w:r w:rsidR="00B1090A" w:rsidRPr="00EC0073">
        <w:rPr>
          <w:color w:val="FF0000"/>
        </w:rPr>
        <w:t xml:space="preserve"> </w:t>
      </w:r>
      <w:r w:rsidR="00B1090A">
        <w:t>Other load</w:t>
      </w:r>
      <w:r w:rsidR="00AB2BE3">
        <w:t>-</w:t>
      </w:r>
      <w:r w:rsidR="00B1090A">
        <w:t>center substations</w:t>
      </w:r>
      <w:r w:rsidR="00AD60A8">
        <w:t xml:space="preserve">, such as </w:t>
      </w:r>
      <w:r w:rsidR="00AB2BE3">
        <w:t>S</w:t>
      </w:r>
      <w:r w:rsidR="00AD60A8">
        <w:t>outhwest Connecticut,</w:t>
      </w:r>
      <w:r w:rsidR="00B1090A">
        <w:t xml:space="preserve"> could be considered</w:t>
      </w:r>
      <w:r w:rsidR="00EC0073">
        <w:t xml:space="preserve"> as well.</w:t>
      </w:r>
    </w:p>
    <w:p w:rsidR="00220C46" w:rsidRDefault="00EC0073" w:rsidP="00E712DA">
      <w:pPr>
        <w:spacing w:after="0" w:line="240" w:lineRule="auto"/>
        <w:jc w:val="center"/>
      </w:pPr>
      <w:r>
        <w:rPr>
          <w:noProof/>
        </w:rPr>
        <w:drawing>
          <wp:inline distT="0" distB="0" distL="0" distR="0" wp14:anchorId="2D0AA218" wp14:editId="0BF941C6">
            <wp:extent cx="5943600" cy="2698115"/>
            <wp:effectExtent l="19050" t="19050" r="19050" b="2603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698115"/>
                    </a:xfrm>
                    <a:prstGeom prst="rect">
                      <a:avLst/>
                    </a:prstGeom>
                    <a:ln w="3175">
                      <a:solidFill>
                        <a:srgbClr val="000000"/>
                      </a:solidFill>
                    </a:ln>
                  </pic:spPr>
                </pic:pic>
              </a:graphicData>
            </a:graphic>
          </wp:inline>
        </w:drawing>
      </w:r>
    </w:p>
    <w:p w:rsidR="002A6D54" w:rsidRDefault="00AB2BE3" w:rsidP="00E712DA">
      <w:pPr>
        <w:pStyle w:val="Caption"/>
        <w:spacing w:before="120" w:after="240"/>
      </w:pPr>
      <w:bookmarkStart w:id="112" w:name="_Ref43137403"/>
      <w:bookmarkStart w:id="113" w:name="_Toc43224497"/>
      <w:r>
        <w:t xml:space="preserve">Figure </w:t>
      </w:r>
      <w:fldSimple w:instr=" STYLEREF 1 \s ">
        <w:r w:rsidR="001F5E1A">
          <w:rPr>
            <w:noProof/>
          </w:rPr>
          <w:t>6</w:t>
        </w:r>
      </w:fldSimple>
      <w:r w:rsidR="00C5246A">
        <w:noBreakHyphen/>
      </w:r>
      <w:fldSimple w:instr=" SEQ Figure \* ARABIC \s 1 ">
        <w:r w:rsidR="001F5E1A">
          <w:rPr>
            <w:noProof/>
          </w:rPr>
          <w:t>20</w:t>
        </w:r>
      </w:fldSimple>
      <w:bookmarkEnd w:id="112"/>
      <w:r>
        <w:t>: HVDC alternatives into the Mystic and K Street substations.</w:t>
      </w:r>
      <w:bookmarkEnd w:id="113"/>
    </w:p>
    <w:p w:rsidR="00E87F85" w:rsidRDefault="00E87F85" w:rsidP="00E87F85">
      <w:r>
        <w:t>Submarine DC cable can also be used to connect from an offshore collector substation to the interconnection point at the onshore substation</w:t>
      </w:r>
      <w:r w:rsidR="00BF1EA7">
        <w:t>.</w:t>
      </w:r>
      <w:r w:rsidR="008D0304">
        <w:t xml:space="preserve"> </w:t>
      </w:r>
      <w:r>
        <w:t>Submarine DC technology can be used for very long distances (hundreds of miles)</w:t>
      </w:r>
      <w:r w:rsidR="00BF1EA7">
        <w:t xml:space="preserve">. </w:t>
      </w:r>
      <w:r>
        <w:t>Converter stations are needed at both ends (one at the offshore collector substation and one at the onshore interconnection point) to convert from DC back to AC</w:t>
      </w:r>
      <w:r w:rsidR="002B7E3F">
        <w:t xml:space="preserve"> and </w:t>
      </w:r>
      <w:r>
        <w:t>add significantly to the overall cost</w:t>
      </w:r>
      <w:r w:rsidR="00BF1EA7">
        <w:t xml:space="preserve">. </w:t>
      </w:r>
      <w:r>
        <w:t>A single HVDC cable can be used to connect up to 1,200 MW of generation.</w:t>
      </w:r>
    </w:p>
    <w:p w:rsidR="002A6D54" w:rsidRDefault="00E87F85" w:rsidP="00A235C6">
      <w:r w:rsidRPr="00E80759">
        <w:t>Submarine AC cable from an offshore collector substation to the interconnection point at the onshore substation</w:t>
      </w:r>
      <w:r w:rsidR="00BF1EA7" w:rsidRPr="00E80759">
        <w:t xml:space="preserve"> </w:t>
      </w:r>
      <w:r w:rsidRPr="00E80759">
        <w:t>can be used for dist</w:t>
      </w:r>
      <w:r w:rsidR="003252DA" w:rsidRPr="00E80759">
        <w:t>ances of up to approximately</w:t>
      </w:r>
      <w:r w:rsidR="003252DA">
        <w:t xml:space="preserve"> 40</w:t>
      </w:r>
      <w:r w:rsidR="00C5246A">
        <w:t xml:space="preserve"> to </w:t>
      </w:r>
      <w:r>
        <w:t>60 miles</w:t>
      </w:r>
      <w:r w:rsidR="003252DA">
        <w:t>.</w:t>
      </w:r>
      <w:r>
        <w:t xml:space="preserve"> Typical applications are operated at 225</w:t>
      </w:r>
      <w:r w:rsidR="00C5246A">
        <w:t xml:space="preserve"> to </w:t>
      </w:r>
      <w:r>
        <w:t xml:space="preserve">275 kV and are rated to carry approximately </w:t>
      </w:r>
      <w:r w:rsidR="00C5246A">
        <w:t>400 </w:t>
      </w:r>
      <w:r>
        <w:t>MW for each (</w:t>
      </w:r>
      <w:r w:rsidR="00703947">
        <w:t>three-phase</w:t>
      </w:r>
      <w:r>
        <w:t xml:space="preserve">) cable. Very commonly, developers have proposed projects </w:t>
      </w:r>
      <w:r w:rsidR="00FC6390">
        <w:t>that</w:t>
      </w:r>
      <w:r>
        <w:t xml:space="preserve"> use two AC cables for an 800 MW project</w:t>
      </w:r>
      <w:r w:rsidR="00250400">
        <w:t>.</w:t>
      </w:r>
      <w:r>
        <w:t xml:space="preserve"> </w:t>
      </w:r>
    </w:p>
    <w:p w:rsidR="002A6D54" w:rsidRDefault="00E87F85" w:rsidP="00A235C6">
      <w:r>
        <w:t>Again, considering the 8000_1 scenario, a conceptual application of offshore cable t</w:t>
      </w:r>
      <w:r w:rsidRPr="00E87F85">
        <w:t>echnology</w:t>
      </w:r>
      <w:r>
        <w:t xml:space="preserve"> was examined</w:t>
      </w:r>
      <w:r w:rsidR="00BF1EA7">
        <w:t xml:space="preserve">. </w:t>
      </w:r>
      <w:r w:rsidR="00C5246A">
        <w:fldChar w:fldCharType="begin"/>
      </w:r>
      <w:r w:rsidR="00C5246A">
        <w:instrText xml:space="preserve"> REF _Ref42771766 \h </w:instrText>
      </w:r>
      <w:r w:rsidR="00C5246A">
        <w:fldChar w:fldCharType="separate"/>
      </w:r>
      <w:r w:rsidR="001F5E1A" w:rsidRPr="002B7E3F">
        <w:t xml:space="preserve">Figure </w:t>
      </w:r>
      <w:r w:rsidR="001F5E1A">
        <w:rPr>
          <w:noProof/>
        </w:rPr>
        <w:t>6</w:t>
      </w:r>
      <w:r w:rsidR="001F5E1A" w:rsidRPr="002B7E3F">
        <w:noBreakHyphen/>
      </w:r>
      <w:r w:rsidR="001F5E1A">
        <w:rPr>
          <w:noProof/>
        </w:rPr>
        <w:t>21</w:t>
      </w:r>
      <w:r w:rsidR="00C5246A">
        <w:fldChar w:fldCharType="end"/>
      </w:r>
      <w:r w:rsidRPr="00E87F85">
        <w:rPr>
          <w:color w:val="FF0000"/>
        </w:rPr>
        <w:t xml:space="preserve"> </w:t>
      </w:r>
      <w:r>
        <w:t>illustrate</w:t>
      </w:r>
      <w:r w:rsidR="00D53A05">
        <w:t>s</w:t>
      </w:r>
      <w:r>
        <w:t xml:space="preserve"> a potential configuration, compris</w:t>
      </w:r>
      <w:r w:rsidR="00D53A05">
        <w:t>ing</w:t>
      </w:r>
      <w:r>
        <w:t xml:space="preserve"> both AC and DC submarine cable technology</w:t>
      </w:r>
      <w:r w:rsidR="00D53A05">
        <w:t>,</w:t>
      </w:r>
      <w:r>
        <w:t xml:space="preserve"> to deliver offshore wind to load pockets </w:t>
      </w:r>
      <w:r w:rsidR="00D53A05">
        <w:t>in</w:t>
      </w:r>
      <w:r>
        <w:t xml:space="preserve"> New England with minimal additional transmission </w:t>
      </w:r>
      <w:r w:rsidR="00703947">
        <w:t>reinforcements</w:t>
      </w:r>
      <w:r>
        <w:t xml:space="preserve">. </w:t>
      </w:r>
    </w:p>
    <w:p w:rsidR="008B16B4" w:rsidRPr="00E87F85" w:rsidRDefault="008B16B4" w:rsidP="00E87F85">
      <w:pPr>
        <w:spacing w:after="0"/>
        <w:jc w:val="center"/>
        <w:rPr>
          <w:b/>
        </w:rPr>
      </w:pPr>
    </w:p>
    <w:p w:rsidR="00E87F85" w:rsidRDefault="00E87F85" w:rsidP="00A235C6"/>
    <w:p w:rsidR="002A6D54" w:rsidRDefault="00E87F85" w:rsidP="002B7E3F">
      <w:pPr>
        <w:spacing w:after="0" w:line="240" w:lineRule="auto"/>
      </w:pPr>
      <w:r>
        <w:rPr>
          <w:noProof/>
        </w:rPr>
        <w:lastRenderedPageBreak/>
        <w:drawing>
          <wp:inline distT="0" distB="0" distL="0" distR="0" wp14:anchorId="745CEE3E" wp14:editId="2C2CABE6">
            <wp:extent cx="5943600" cy="3506470"/>
            <wp:effectExtent l="19050" t="19050" r="19050" b="1778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506470"/>
                    </a:xfrm>
                    <a:prstGeom prst="rect">
                      <a:avLst/>
                    </a:prstGeom>
                    <a:ln w="3175">
                      <a:solidFill>
                        <a:srgbClr val="000000"/>
                      </a:solidFill>
                    </a:ln>
                  </pic:spPr>
                </pic:pic>
              </a:graphicData>
            </a:graphic>
          </wp:inline>
        </w:drawing>
      </w:r>
    </w:p>
    <w:p w:rsidR="002A6D54" w:rsidRPr="002B7E3F" w:rsidRDefault="00C5246A" w:rsidP="002B7E3F">
      <w:pPr>
        <w:pStyle w:val="Caption"/>
        <w:spacing w:before="120" w:after="240"/>
      </w:pPr>
      <w:bookmarkStart w:id="114" w:name="_Ref42771766"/>
      <w:bookmarkStart w:id="115" w:name="_Toc43224498"/>
      <w:r w:rsidRPr="002B7E3F">
        <w:t xml:space="preserve">Figure </w:t>
      </w:r>
      <w:fldSimple w:instr=" STYLEREF 1 \s ">
        <w:r w:rsidR="001F5E1A">
          <w:rPr>
            <w:noProof/>
          </w:rPr>
          <w:t>6</w:t>
        </w:r>
      </w:fldSimple>
      <w:r w:rsidRPr="002B7E3F">
        <w:noBreakHyphen/>
      </w:r>
      <w:fldSimple w:instr=" SEQ Figure \* ARABIC \s 1 ">
        <w:r w:rsidR="001F5E1A">
          <w:rPr>
            <w:noProof/>
          </w:rPr>
          <w:t>21</w:t>
        </w:r>
      </w:fldSimple>
      <w:bookmarkEnd w:id="114"/>
      <w:r w:rsidRPr="002B7E3F">
        <w:t>: Conceptual application of offshore cable technology using AC and DC submarine cables.</w:t>
      </w:r>
      <w:bookmarkEnd w:id="115"/>
    </w:p>
    <w:p w:rsidR="002A6D54" w:rsidRDefault="002A6D54" w:rsidP="00F30127">
      <w:pPr>
        <w:pStyle w:val="Heading4"/>
      </w:pPr>
      <w:r w:rsidRPr="000424D5">
        <w:t>Infrastructure Summary</w:t>
      </w:r>
    </w:p>
    <w:p w:rsidR="000424D5" w:rsidRDefault="002A6D54" w:rsidP="00A235C6">
      <w:r>
        <w:t xml:space="preserve">As summarized in </w:t>
      </w:r>
      <w:r w:rsidR="00D53A05" w:rsidRPr="001E1A83">
        <w:fldChar w:fldCharType="begin"/>
      </w:r>
      <w:r w:rsidR="00D53A05" w:rsidRPr="00F82BC4">
        <w:instrText xml:space="preserve"> REF _Ref42772230 \h </w:instrText>
      </w:r>
      <w:r w:rsidR="00D53A05" w:rsidRPr="00E712DA">
        <w:instrText xml:space="preserve"> \* MERGEFORMAT </w:instrText>
      </w:r>
      <w:r w:rsidR="00D53A05" w:rsidRPr="001E1A83">
        <w:fldChar w:fldCharType="separate"/>
      </w:r>
      <w:r w:rsidR="001F5E1A" w:rsidRPr="00D13443">
        <w:t xml:space="preserve">Table </w:t>
      </w:r>
      <w:r w:rsidR="001F5E1A">
        <w:rPr>
          <w:noProof/>
        </w:rPr>
        <w:t>6</w:t>
      </w:r>
      <w:r w:rsidR="001F5E1A" w:rsidRPr="0078408B">
        <w:rPr>
          <w:noProof/>
        </w:rPr>
        <w:noBreakHyphen/>
      </w:r>
      <w:r w:rsidR="001F5E1A">
        <w:rPr>
          <w:noProof/>
        </w:rPr>
        <w:t>4</w:t>
      </w:r>
      <w:r w:rsidR="00D53A05" w:rsidRPr="001E1A83">
        <w:fldChar w:fldCharType="end"/>
      </w:r>
      <w:r>
        <w:t xml:space="preserve">, approximately 5,800 MW of offshore wind can be interconnected using AC cable </w:t>
      </w:r>
      <w:r w:rsidRPr="001A6BC5">
        <w:t xml:space="preserve">connections to interconnection points along the southern New England </w:t>
      </w:r>
      <w:r w:rsidR="004E104C" w:rsidRPr="001A6BC5">
        <w:t>c</w:t>
      </w:r>
      <w:r w:rsidRPr="001A6BC5">
        <w:t xml:space="preserve">oast without </w:t>
      </w:r>
      <w:r w:rsidR="004E104C" w:rsidRPr="00E90B15">
        <w:t>needing</w:t>
      </w:r>
      <w:r w:rsidR="004E104C" w:rsidRPr="001A6BC5">
        <w:t xml:space="preserve"> </w:t>
      </w:r>
      <w:r w:rsidRPr="001A6BC5">
        <w:t>significant</w:t>
      </w:r>
      <w:r>
        <w:t xml:space="preserve"> upgrades to the onshore transmission network</w:t>
      </w:r>
      <w:r w:rsidR="00BF1EA7">
        <w:t xml:space="preserve">. </w:t>
      </w:r>
      <w:r>
        <w:t>Note that some local 345 kV reinforcement/expansion is still likely to be needed for this scenario</w:t>
      </w:r>
      <w:r w:rsidR="00BF1EA7">
        <w:t xml:space="preserve">. </w:t>
      </w:r>
      <w:r>
        <w:t xml:space="preserve">Additional interconnections </w:t>
      </w:r>
      <w:r w:rsidR="00135192">
        <w:t xml:space="preserve">above 5,800 MW </w:t>
      </w:r>
      <w:r>
        <w:t>to the</w:t>
      </w:r>
      <w:r w:rsidR="00135192">
        <w:t xml:space="preserve"> southern New England coast</w:t>
      </w:r>
      <w:r>
        <w:t xml:space="preserve"> would drive the need for significant</w:t>
      </w:r>
      <w:r w:rsidR="00AD60A8" w:rsidRPr="00AD60A8">
        <w:t xml:space="preserve"> </w:t>
      </w:r>
      <w:r w:rsidR="00AD60A8">
        <w:t>onshore</w:t>
      </w:r>
      <w:r>
        <w:t xml:space="preserve"> network upgrades</w:t>
      </w:r>
      <w:r w:rsidR="00BF1EA7">
        <w:t xml:space="preserve">. </w:t>
      </w:r>
      <w:r>
        <w:t xml:space="preserve">Alternatively, HVDC connections could be used to continue to travel further distances and connect additional offshore wind </w:t>
      </w:r>
      <w:r w:rsidRPr="001A6BC5">
        <w:t>directly to the load centers</w:t>
      </w:r>
      <w:r w:rsidR="00BF1EA7" w:rsidRPr="001A6BC5">
        <w:t xml:space="preserve">. </w:t>
      </w:r>
      <w:r w:rsidR="004E104C" w:rsidRPr="001A6BC5">
        <w:t>The c</w:t>
      </w:r>
      <w:r w:rsidRPr="001A6BC5">
        <w:t xml:space="preserve">onnection of 2,200 MW using offshore HVDC was identified </w:t>
      </w:r>
      <w:r w:rsidR="004E104C" w:rsidRPr="001A6BC5">
        <w:t>a</w:t>
      </w:r>
      <w:r w:rsidR="004E104C" w:rsidRPr="00E90B15">
        <w:t xml:space="preserve">s not requiring </w:t>
      </w:r>
      <w:r>
        <w:t>major onshore transmission upgrades</w:t>
      </w:r>
      <w:r w:rsidR="00BF1EA7">
        <w:t xml:space="preserve">. </w:t>
      </w:r>
      <w:r>
        <w:t xml:space="preserve">In addition to the 5,800 </w:t>
      </w:r>
      <w:r w:rsidR="00703947">
        <w:t>MW</w:t>
      </w:r>
      <w:r>
        <w:t xml:space="preserve"> connected using AC cables to the </w:t>
      </w:r>
      <w:r w:rsidR="00977DD4">
        <w:t>s</w:t>
      </w:r>
      <w:r>
        <w:t xml:space="preserve">outhern New England </w:t>
      </w:r>
      <w:r w:rsidR="004E104C">
        <w:t>c</w:t>
      </w:r>
      <w:r>
        <w:t>oast</w:t>
      </w:r>
      <w:r w:rsidR="00977DD4">
        <w:t>,</w:t>
      </w:r>
      <w:r>
        <w:t xml:space="preserve"> </w:t>
      </w:r>
      <w:r w:rsidR="00977DD4">
        <w:t>the 2,200 MW using offshore HV</w:t>
      </w:r>
      <w:r w:rsidR="00977DD4" w:rsidRPr="0078408B">
        <w:t>DC</w:t>
      </w:r>
      <w:r w:rsidR="00977DD4" w:rsidRPr="00E712DA">
        <w:t xml:space="preserve"> would provide</w:t>
      </w:r>
      <w:r w:rsidRPr="0078408B">
        <w:t xml:space="preserve"> </w:t>
      </w:r>
      <w:r w:rsidR="00703947" w:rsidRPr="0078408B">
        <w:t>8,000</w:t>
      </w:r>
      <w:r w:rsidRPr="0078408B">
        <w:t xml:space="preserve"> MW of connected offshore wind</w:t>
      </w:r>
      <w:r w:rsidR="00BF1EA7" w:rsidRPr="0078408B">
        <w:t>.</w:t>
      </w:r>
      <w:r w:rsidR="00BF1EA7">
        <w:t xml:space="preserve"> </w:t>
      </w:r>
    </w:p>
    <w:p w:rsidR="00643D1C" w:rsidRDefault="00D53A05" w:rsidP="00643D1C">
      <w:pPr>
        <w:pStyle w:val="Caption"/>
        <w:jc w:val="center"/>
      </w:pPr>
      <w:bookmarkStart w:id="116" w:name="_Ref42772230"/>
      <w:bookmarkStart w:id="117" w:name="_Toc43224506"/>
      <w:bookmarkStart w:id="118" w:name="_Toc44412068"/>
      <w:r w:rsidRPr="00E712DA">
        <w:lastRenderedPageBreak/>
        <w:t xml:space="preserve">Table </w:t>
      </w:r>
      <w:fldSimple w:instr=" STYLEREF 1 \s ">
        <w:r w:rsidR="00E62212">
          <w:rPr>
            <w:noProof/>
          </w:rPr>
          <w:t>6</w:t>
        </w:r>
      </w:fldSimple>
      <w:r w:rsidR="00E62212">
        <w:noBreakHyphen/>
      </w:r>
      <w:fldSimple w:instr=" SEQ Table \* ARABIC \s 1 ">
        <w:r w:rsidR="00E62212">
          <w:rPr>
            <w:noProof/>
          </w:rPr>
          <w:t>5</w:t>
        </w:r>
      </w:fldSimple>
      <w:bookmarkEnd w:id="116"/>
      <w:r w:rsidRPr="0078408B">
        <w:br/>
      </w:r>
      <w:r w:rsidR="00F30127" w:rsidRPr="00E712DA">
        <w:t xml:space="preserve">Summary </w:t>
      </w:r>
      <w:r w:rsidR="00643D1C" w:rsidRPr="00643D1C">
        <w:t>of Megawatt Injection Levels (MW) for Offshore Wind by Interconnection Point</w:t>
      </w:r>
      <w:r w:rsidR="00643D1C">
        <w:br/>
      </w:r>
      <w:r w:rsidR="00643D1C" w:rsidRPr="00643D1C">
        <w:t>and Associated Transmission Infrastructur</w:t>
      </w:r>
      <w:r w:rsidR="00643D1C">
        <w:t>e</w:t>
      </w:r>
      <w:bookmarkEnd w:id="117"/>
      <w:bookmarkEnd w:id="118"/>
    </w:p>
    <w:tbl>
      <w:tblPr>
        <w:tblW w:w="1142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257"/>
        <w:gridCol w:w="1021"/>
        <w:gridCol w:w="1022"/>
        <w:gridCol w:w="1021"/>
        <w:gridCol w:w="1022"/>
        <w:gridCol w:w="747"/>
        <w:gridCol w:w="747"/>
        <w:gridCol w:w="855"/>
        <w:gridCol w:w="855"/>
        <w:gridCol w:w="2880"/>
      </w:tblGrid>
      <w:tr w:rsidR="00643D1C" w:rsidRPr="00643D1C" w:rsidTr="00CE1B10">
        <w:trPr>
          <w:trHeight w:val="288"/>
          <w:jc w:val="center"/>
        </w:trPr>
        <w:tc>
          <w:tcPr>
            <w:tcW w:w="1257" w:type="dxa"/>
            <w:vMerge w:val="restart"/>
            <w:tcBorders>
              <w:left w:val="single" w:sz="2" w:space="0" w:color="auto"/>
              <w:right w:val="triple" w:sz="4" w:space="0" w:color="auto"/>
            </w:tcBorders>
            <w:shd w:val="clear" w:color="auto" w:fill="DEE4E6" w:themeFill="text1" w:themeFillTint="33"/>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b/>
                <w:bCs/>
                <w:color w:val="000000"/>
                <w:sz w:val="16"/>
                <w:szCs w:val="16"/>
              </w:rPr>
            </w:pPr>
            <w:r w:rsidRPr="00643D1C">
              <w:rPr>
                <w:rFonts w:asciiTheme="majorHAnsi" w:hAnsiTheme="majorHAnsi" w:cstheme="majorHAnsi"/>
                <w:b/>
                <w:color w:val="000000"/>
                <w:sz w:val="16"/>
                <w:szCs w:val="16"/>
              </w:rPr>
              <w:t>Total Offshore Wind Injection Scenario (MW)</w:t>
            </w:r>
          </w:p>
        </w:tc>
        <w:tc>
          <w:tcPr>
            <w:tcW w:w="4086" w:type="dxa"/>
            <w:gridSpan w:val="4"/>
            <w:tcBorders>
              <w:left w:val="triple" w:sz="4" w:space="0" w:color="auto"/>
              <w:right w:val="single" w:sz="2" w:space="0" w:color="auto"/>
            </w:tcBorders>
            <w:shd w:val="clear" w:color="auto" w:fill="DEE4E6" w:themeFill="text1" w:themeFillTint="33"/>
            <w:tcMar>
              <w:left w:w="58" w:type="dxa"/>
              <w:right w:w="58" w:type="dxa"/>
            </w:tcMar>
            <w:vAlign w:val="center"/>
            <w:hideMark/>
          </w:tcPr>
          <w:p w:rsidR="00643D1C" w:rsidRPr="00E80759" w:rsidRDefault="00643D1C" w:rsidP="00643D1C">
            <w:pPr>
              <w:keepNext/>
              <w:keepLines/>
              <w:adjustRightInd/>
              <w:spacing w:before="20" w:after="20" w:line="240" w:lineRule="auto"/>
              <w:jc w:val="center"/>
              <w:textAlignment w:val="auto"/>
              <w:rPr>
                <w:rFonts w:asciiTheme="majorHAnsi" w:hAnsiTheme="majorHAnsi" w:cstheme="majorHAnsi"/>
                <w:b/>
                <w:color w:val="000000"/>
                <w:sz w:val="16"/>
                <w:szCs w:val="16"/>
              </w:rPr>
            </w:pPr>
            <w:r w:rsidRPr="00E80759">
              <w:rPr>
                <w:rFonts w:asciiTheme="majorHAnsi" w:hAnsiTheme="majorHAnsi" w:cstheme="majorHAnsi"/>
                <w:b/>
                <w:color w:val="000000"/>
                <w:sz w:val="16"/>
                <w:szCs w:val="16"/>
              </w:rPr>
              <w:t>Southern Shore Connection Points</w:t>
            </w:r>
            <w:r w:rsidRPr="00E80759">
              <w:rPr>
                <w:rFonts w:asciiTheme="majorHAnsi" w:hAnsiTheme="majorHAnsi" w:cstheme="majorHAnsi"/>
                <w:b/>
                <w:color w:val="000000"/>
                <w:sz w:val="16"/>
                <w:szCs w:val="16"/>
              </w:rPr>
              <w:br/>
              <w:t>and Amounts (MW) Using AC Cables</w:t>
            </w:r>
          </w:p>
        </w:tc>
        <w:tc>
          <w:tcPr>
            <w:tcW w:w="1494" w:type="dxa"/>
            <w:gridSpan w:val="2"/>
            <w:tcBorders>
              <w:top w:val="single" w:sz="2" w:space="0" w:color="auto"/>
              <w:left w:val="single" w:sz="2" w:space="0" w:color="auto"/>
              <w:bottom w:val="single" w:sz="2" w:space="0" w:color="auto"/>
              <w:right w:val="triple" w:sz="4" w:space="0" w:color="auto"/>
            </w:tcBorders>
            <w:shd w:val="clear" w:color="auto" w:fill="E1F5FD" w:themeFill="background2" w:themeFillTint="33"/>
            <w:tcMar>
              <w:left w:w="58" w:type="dxa"/>
              <w:right w:w="58" w:type="dxa"/>
            </w:tcMar>
            <w:vAlign w:val="center"/>
            <w:hideMark/>
          </w:tcPr>
          <w:p w:rsidR="00643D1C" w:rsidRPr="00E80759" w:rsidRDefault="00643D1C" w:rsidP="00E80759">
            <w:pPr>
              <w:keepNext/>
              <w:keepLines/>
              <w:adjustRightInd/>
              <w:spacing w:before="20" w:after="20" w:line="240" w:lineRule="auto"/>
              <w:jc w:val="center"/>
              <w:textAlignment w:val="auto"/>
              <w:rPr>
                <w:rFonts w:asciiTheme="majorHAnsi" w:hAnsiTheme="majorHAnsi" w:cstheme="majorHAnsi"/>
                <w:b/>
                <w:color w:val="000000"/>
                <w:sz w:val="16"/>
                <w:szCs w:val="16"/>
              </w:rPr>
            </w:pPr>
            <w:r w:rsidRPr="00E80759">
              <w:rPr>
                <w:rFonts w:asciiTheme="majorHAnsi" w:hAnsiTheme="majorHAnsi" w:cstheme="majorHAnsi"/>
                <w:b/>
                <w:color w:val="000000"/>
                <w:sz w:val="16"/>
                <w:szCs w:val="16"/>
              </w:rPr>
              <w:t xml:space="preserve">Onshore Connection Points and Amounts </w:t>
            </w:r>
            <w:r w:rsidR="00250400" w:rsidRPr="00E80759">
              <w:rPr>
                <w:rFonts w:asciiTheme="majorHAnsi" w:hAnsiTheme="majorHAnsi" w:cstheme="majorHAnsi"/>
                <w:b/>
                <w:color w:val="000000"/>
                <w:sz w:val="16"/>
                <w:szCs w:val="16"/>
              </w:rPr>
              <w:t xml:space="preserve">(MW) </w:t>
            </w:r>
            <w:r w:rsidRPr="00E80759">
              <w:rPr>
                <w:rFonts w:asciiTheme="majorHAnsi" w:hAnsiTheme="majorHAnsi" w:cstheme="majorHAnsi"/>
                <w:b/>
                <w:color w:val="000000"/>
                <w:sz w:val="16"/>
                <w:szCs w:val="16"/>
              </w:rPr>
              <w:t>Using</w:t>
            </w:r>
            <w:r w:rsidR="00E80759">
              <w:rPr>
                <w:rFonts w:asciiTheme="majorHAnsi" w:hAnsiTheme="majorHAnsi" w:cstheme="majorHAnsi"/>
                <w:b/>
                <w:color w:val="000000"/>
                <w:sz w:val="16"/>
                <w:szCs w:val="16"/>
              </w:rPr>
              <w:br/>
            </w:r>
            <w:r w:rsidRPr="00E80759">
              <w:rPr>
                <w:rFonts w:asciiTheme="majorHAnsi" w:hAnsiTheme="majorHAnsi" w:cstheme="majorHAnsi"/>
                <w:b/>
                <w:color w:val="000000"/>
                <w:sz w:val="16"/>
                <w:szCs w:val="16"/>
              </w:rPr>
              <w:t>HVDC Cables</w:t>
            </w:r>
          </w:p>
        </w:tc>
        <w:tc>
          <w:tcPr>
            <w:tcW w:w="1710" w:type="dxa"/>
            <w:gridSpan w:val="2"/>
            <w:tcBorders>
              <w:left w:val="triple" w:sz="4" w:space="0" w:color="auto"/>
              <w:right w:val="triple" w:sz="4" w:space="0" w:color="auto"/>
            </w:tcBorders>
            <w:shd w:val="clear" w:color="auto" w:fill="DEE4E6" w:themeFill="text1" w:themeFillTint="33"/>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b/>
                <w:color w:val="000000"/>
                <w:sz w:val="16"/>
                <w:szCs w:val="16"/>
              </w:rPr>
            </w:pPr>
            <w:r w:rsidRPr="00643D1C">
              <w:rPr>
                <w:rFonts w:asciiTheme="majorHAnsi" w:hAnsiTheme="majorHAnsi" w:cstheme="majorHAnsi"/>
                <w:b/>
                <w:color w:val="000000"/>
                <w:sz w:val="16"/>
                <w:szCs w:val="16"/>
              </w:rPr>
              <w:t>Offshore Infrastructure</w:t>
            </w:r>
          </w:p>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b/>
                <w:color w:val="000000"/>
                <w:sz w:val="16"/>
                <w:szCs w:val="16"/>
              </w:rPr>
            </w:pPr>
            <w:r w:rsidRPr="00643D1C">
              <w:rPr>
                <w:rFonts w:asciiTheme="majorHAnsi" w:hAnsiTheme="majorHAnsi" w:cstheme="majorHAnsi"/>
                <w:b/>
                <w:color w:val="000000"/>
                <w:sz w:val="16"/>
                <w:szCs w:val="16"/>
              </w:rPr>
              <w:t>(Number of Cables</w:t>
            </w:r>
            <w:r>
              <w:rPr>
                <w:rFonts w:asciiTheme="majorHAnsi" w:hAnsiTheme="majorHAnsi" w:cstheme="majorHAnsi"/>
                <w:b/>
                <w:color w:val="000000"/>
                <w:sz w:val="16"/>
                <w:szCs w:val="16"/>
              </w:rPr>
              <w:t>)</w:t>
            </w:r>
          </w:p>
        </w:tc>
        <w:tc>
          <w:tcPr>
            <w:tcW w:w="2880" w:type="dxa"/>
            <w:vMerge w:val="restart"/>
            <w:tcBorders>
              <w:left w:val="triple" w:sz="4" w:space="0" w:color="auto"/>
            </w:tcBorders>
            <w:shd w:val="clear" w:color="auto" w:fill="DEE4E6" w:themeFill="text1" w:themeFillTint="33"/>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b/>
                <w:color w:val="000000"/>
                <w:sz w:val="16"/>
                <w:szCs w:val="16"/>
              </w:rPr>
            </w:pPr>
            <w:r w:rsidRPr="00643D1C">
              <w:rPr>
                <w:rFonts w:asciiTheme="majorHAnsi" w:hAnsiTheme="majorHAnsi" w:cstheme="majorHAnsi"/>
                <w:b/>
                <w:color w:val="000000"/>
                <w:sz w:val="16"/>
                <w:szCs w:val="16"/>
              </w:rPr>
              <w:t>Major Additional Onshore Transmission Infrastructure Identified to Accommodate Interconnection Scenario</w:t>
            </w:r>
            <w:r w:rsidRPr="00643D1C">
              <w:rPr>
                <w:rFonts w:asciiTheme="majorHAnsi" w:hAnsiTheme="majorHAnsi" w:cstheme="majorHAnsi"/>
                <w:b/>
                <w:color w:val="000000"/>
                <w:sz w:val="16"/>
                <w:szCs w:val="16"/>
                <w:vertAlign w:val="superscript"/>
              </w:rPr>
              <w:t>(c)</w:t>
            </w:r>
          </w:p>
        </w:tc>
      </w:tr>
      <w:tr w:rsidR="00643D1C" w:rsidRPr="00643D1C" w:rsidTr="00CE1B10">
        <w:trPr>
          <w:trHeight w:val="288"/>
          <w:jc w:val="center"/>
        </w:trPr>
        <w:tc>
          <w:tcPr>
            <w:tcW w:w="1257" w:type="dxa"/>
            <w:vMerge/>
            <w:tcBorders>
              <w:left w:val="single" w:sz="2" w:space="0" w:color="auto"/>
              <w:right w:val="triple" w:sz="4" w:space="0" w:color="auto"/>
            </w:tcBorders>
            <w:shd w:val="clear" w:color="auto" w:fill="DEE4E6" w:themeFill="text1" w:themeFillTint="33"/>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b/>
                <w:color w:val="000000"/>
                <w:sz w:val="16"/>
                <w:szCs w:val="16"/>
              </w:rPr>
            </w:pPr>
          </w:p>
        </w:tc>
        <w:tc>
          <w:tcPr>
            <w:tcW w:w="1021" w:type="dxa"/>
            <w:tcBorders>
              <w:left w:val="triple" w:sz="4" w:space="0" w:color="auto"/>
              <w:bottom w:val="triple" w:sz="4" w:space="0" w:color="auto"/>
            </w:tcBorders>
            <w:shd w:val="clear" w:color="auto" w:fill="DEE4E6" w:themeFill="text1" w:themeFillTint="33"/>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b/>
                <w:color w:val="000000"/>
                <w:sz w:val="16"/>
                <w:szCs w:val="16"/>
              </w:rPr>
            </w:pPr>
            <w:r w:rsidRPr="00643D1C">
              <w:rPr>
                <w:rFonts w:asciiTheme="majorHAnsi" w:hAnsiTheme="majorHAnsi" w:cstheme="majorHAnsi"/>
                <w:b/>
                <w:color w:val="000000"/>
                <w:sz w:val="16"/>
                <w:szCs w:val="16"/>
              </w:rPr>
              <w:t>#1</w:t>
            </w:r>
            <w:r w:rsidRPr="00643D1C">
              <w:rPr>
                <w:rFonts w:asciiTheme="majorHAnsi" w:hAnsiTheme="majorHAnsi" w:cstheme="majorHAnsi"/>
                <w:b/>
                <w:color w:val="000000"/>
                <w:sz w:val="16"/>
                <w:szCs w:val="16"/>
              </w:rPr>
              <w:br/>
              <w:t>Bourne/ Barnstable</w:t>
            </w:r>
          </w:p>
        </w:tc>
        <w:tc>
          <w:tcPr>
            <w:tcW w:w="1022" w:type="dxa"/>
            <w:tcBorders>
              <w:bottom w:val="triple" w:sz="4" w:space="0" w:color="auto"/>
            </w:tcBorders>
            <w:shd w:val="clear" w:color="auto" w:fill="DEE4E6" w:themeFill="text1" w:themeFillTint="33"/>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b/>
                <w:color w:val="000000"/>
                <w:sz w:val="16"/>
                <w:szCs w:val="16"/>
              </w:rPr>
            </w:pPr>
            <w:r w:rsidRPr="00643D1C">
              <w:rPr>
                <w:rFonts w:asciiTheme="majorHAnsi" w:hAnsiTheme="majorHAnsi" w:cstheme="majorHAnsi"/>
                <w:b/>
                <w:color w:val="000000"/>
                <w:sz w:val="16"/>
                <w:szCs w:val="16"/>
              </w:rPr>
              <w:t>#2</w:t>
            </w:r>
            <w:r w:rsidRPr="00643D1C">
              <w:rPr>
                <w:rFonts w:asciiTheme="majorHAnsi" w:hAnsiTheme="majorHAnsi" w:cstheme="majorHAnsi"/>
                <w:b/>
                <w:color w:val="000000"/>
                <w:sz w:val="16"/>
                <w:szCs w:val="16"/>
              </w:rPr>
              <w:br/>
              <w:t>Brayton Point</w:t>
            </w:r>
          </w:p>
        </w:tc>
        <w:tc>
          <w:tcPr>
            <w:tcW w:w="1021" w:type="dxa"/>
            <w:tcBorders>
              <w:bottom w:val="triple" w:sz="4" w:space="0" w:color="auto"/>
            </w:tcBorders>
            <w:shd w:val="clear" w:color="auto" w:fill="DEE4E6" w:themeFill="text1" w:themeFillTint="33"/>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b/>
                <w:color w:val="000000"/>
                <w:sz w:val="16"/>
                <w:szCs w:val="16"/>
              </w:rPr>
            </w:pPr>
            <w:r w:rsidRPr="00643D1C">
              <w:rPr>
                <w:rFonts w:asciiTheme="majorHAnsi" w:hAnsiTheme="majorHAnsi" w:cstheme="majorHAnsi"/>
                <w:b/>
                <w:color w:val="000000"/>
                <w:sz w:val="16"/>
                <w:szCs w:val="16"/>
              </w:rPr>
              <w:t>#3</w:t>
            </w:r>
            <w:r w:rsidRPr="00643D1C">
              <w:rPr>
                <w:rFonts w:asciiTheme="majorHAnsi" w:hAnsiTheme="majorHAnsi" w:cstheme="majorHAnsi"/>
                <w:b/>
                <w:color w:val="000000"/>
                <w:sz w:val="16"/>
                <w:szCs w:val="16"/>
              </w:rPr>
              <w:br/>
              <w:t>Kent Co/ Davisville</w:t>
            </w:r>
          </w:p>
        </w:tc>
        <w:tc>
          <w:tcPr>
            <w:tcW w:w="1022" w:type="dxa"/>
            <w:tcBorders>
              <w:bottom w:val="triple" w:sz="4" w:space="0" w:color="auto"/>
            </w:tcBorders>
            <w:shd w:val="clear" w:color="auto" w:fill="DEE4E6" w:themeFill="text1" w:themeFillTint="33"/>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b/>
                <w:color w:val="000000"/>
                <w:sz w:val="16"/>
                <w:szCs w:val="16"/>
              </w:rPr>
            </w:pPr>
            <w:r w:rsidRPr="00643D1C">
              <w:rPr>
                <w:rFonts w:asciiTheme="majorHAnsi" w:hAnsiTheme="majorHAnsi" w:cstheme="majorHAnsi"/>
                <w:b/>
                <w:color w:val="000000"/>
                <w:sz w:val="16"/>
                <w:szCs w:val="16"/>
              </w:rPr>
              <w:t>#4</w:t>
            </w:r>
            <w:r w:rsidRPr="00643D1C">
              <w:rPr>
                <w:rFonts w:asciiTheme="majorHAnsi" w:hAnsiTheme="majorHAnsi" w:cstheme="majorHAnsi"/>
                <w:b/>
                <w:color w:val="000000"/>
                <w:sz w:val="16"/>
                <w:szCs w:val="16"/>
              </w:rPr>
              <w:br/>
              <w:t>Montville</w:t>
            </w:r>
          </w:p>
        </w:tc>
        <w:tc>
          <w:tcPr>
            <w:tcW w:w="747" w:type="dxa"/>
            <w:tcBorders>
              <w:top w:val="single" w:sz="2" w:space="0" w:color="auto"/>
              <w:bottom w:val="triple" w:sz="4" w:space="0" w:color="auto"/>
              <w:right w:val="single" w:sz="2" w:space="0" w:color="auto"/>
            </w:tcBorders>
            <w:shd w:val="clear" w:color="auto" w:fill="E1F5FD" w:themeFill="background2" w:themeFillTint="33"/>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b/>
                <w:color w:val="000000"/>
                <w:sz w:val="16"/>
                <w:szCs w:val="16"/>
                <w:highlight w:val="cyan"/>
              </w:rPr>
            </w:pPr>
            <w:r w:rsidRPr="00643D1C">
              <w:rPr>
                <w:rFonts w:asciiTheme="majorHAnsi" w:hAnsiTheme="majorHAnsi" w:cstheme="majorHAnsi"/>
                <w:b/>
                <w:color w:val="000000"/>
                <w:sz w:val="16"/>
                <w:szCs w:val="16"/>
              </w:rPr>
              <w:t>#A</w:t>
            </w:r>
            <w:r w:rsidRPr="00643D1C">
              <w:rPr>
                <w:rFonts w:asciiTheme="majorHAnsi" w:hAnsiTheme="majorHAnsi" w:cstheme="majorHAnsi"/>
                <w:b/>
                <w:color w:val="000000"/>
                <w:sz w:val="16"/>
                <w:szCs w:val="16"/>
              </w:rPr>
              <w:br/>
              <w:t>Mystic</w:t>
            </w:r>
          </w:p>
        </w:tc>
        <w:tc>
          <w:tcPr>
            <w:tcW w:w="747" w:type="dxa"/>
            <w:tcBorders>
              <w:top w:val="single" w:sz="2" w:space="0" w:color="auto"/>
              <w:left w:val="single" w:sz="2" w:space="0" w:color="auto"/>
              <w:bottom w:val="triple" w:sz="4" w:space="0" w:color="auto"/>
              <w:right w:val="triple" w:sz="4" w:space="0" w:color="auto"/>
            </w:tcBorders>
            <w:shd w:val="clear" w:color="auto" w:fill="E1F5FD" w:themeFill="background2" w:themeFillTint="33"/>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b/>
                <w:color w:val="000000"/>
                <w:sz w:val="16"/>
                <w:szCs w:val="16"/>
              </w:rPr>
            </w:pPr>
            <w:r w:rsidRPr="00643D1C">
              <w:rPr>
                <w:rFonts w:asciiTheme="majorHAnsi" w:hAnsiTheme="majorHAnsi" w:cstheme="majorHAnsi"/>
                <w:b/>
                <w:color w:val="000000"/>
                <w:sz w:val="16"/>
                <w:szCs w:val="16"/>
              </w:rPr>
              <w:t>#B</w:t>
            </w:r>
            <w:r w:rsidRPr="00643D1C">
              <w:rPr>
                <w:rFonts w:asciiTheme="majorHAnsi" w:hAnsiTheme="majorHAnsi" w:cstheme="majorHAnsi"/>
                <w:b/>
                <w:color w:val="000000"/>
                <w:sz w:val="16"/>
                <w:szCs w:val="16"/>
              </w:rPr>
              <w:br/>
              <w:t>K Street</w:t>
            </w:r>
          </w:p>
        </w:tc>
        <w:tc>
          <w:tcPr>
            <w:tcW w:w="855" w:type="dxa"/>
            <w:tcBorders>
              <w:left w:val="triple" w:sz="4" w:space="0" w:color="auto"/>
              <w:bottom w:val="triple" w:sz="4" w:space="0" w:color="auto"/>
            </w:tcBorders>
            <w:shd w:val="clear" w:color="auto" w:fill="DEE4E6" w:themeFill="text1" w:themeFillTint="33"/>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b/>
                <w:color w:val="000000"/>
                <w:sz w:val="16"/>
                <w:szCs w:val="16"/>
              </w:rPr>
            </w:pPr>
            <w:r w:rsidRPr="00643D1C">
              <w:rPr>
                <w:rFonts w:asciiTheme="majorHAnsi" w:hAnsiTheme="majorHAnsi" w:cstheme="majorHAnsi"/>
                <w:b/>
                <w:color w:val="000000"/>
                <w:sz w:val="16"/>
                <w:szCs w:val="16"/>
              </w:rPr>
              <w:t>Offshore AC Cables</w:t>
            </w:r>
            <w:r w:rsidRPr="00643D1C">
              <w:rPr>
                <w:rFonts w:asciiTheme="majorHAnsi" w:hAnsiTheme="majorHAnsi" w:cstheme="majorHAnsi"/>
                <w:b/>
                <w:color w:val="000000"/>
                <w:sz w:val="16"/>
                <w:szCs w:val="16"/>
                <w:vertAlign w:val="superscript"/>
              </w:rPr>
              <w:t>(a)</w:t>
            </w:r>
          </w:p>
        </w:tc>
        <w:tc>
          <w:tcPr>
            <w:tcW w:w="855" w:type="dxa"/>
            <w:tcBorders>
              <w:bottom w:val="triple" w:sz="4" w:space="0" w:color="auto"/>
              <w:right w:val="triple" w:sz="4" w:space="0" w:color="auto"/>
            </w:tcBorders>
            <w:shd w:val="clear" w:color="auto" w:fill="E1F5FD" w:themeFill="background2" w:themeFillTint="33"/>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b/>
                <w:color w:val="000000"/>
                <w:sz w:val="16"/>
                <w:szCs w:val="16"/>
              </w:rPr>
            </w:pPr>
            <w:r w:rsidRPr="00643D1C">
              <w:rPr>
                <w:rFonts w:asciiTheme="majorHAnsi" w:hAnsiTheme="majorHAnsi" w:cstheme="majorHAnsi"/>
                <w:b/>
                <w:color w:val="000000"/>
                <w:sz w:val="16"/>
                <w:szCs w:val="16"/>
                <w:shd w:val="clear" w:color="auto" w:fill="E1F5FD" w:themeFill="background2" w:themeFillTint="33"/>
              </w:rPr>
              <w:t>Offshore HVDC Cables</w:t>
            </w:r>
            <w:r w:rsidRPr="00643D1C">
              <w:rPr>
                <w:rFonts w:asciiTheme="majorHAnsi" w:hAnsiTheme="majorHAnsi" w:cstheme="majorHAnsi"/>
                <w:b/>
                <w:color w:val="000000"/>
                <w:sz w:val="16"/>
                <w:szCs w:val="16"/>
                <w:shd w:val="clear" w:color="auto" w:fill="E1F5FD" w:themeFill="background2" w:themeFillTint="33"/>
                <w:vertAlign w:val="superscript"/>
              </w:rPr>
              <w:t>(b)</w:t>
            </w:r>
          </w:p>
        </w:tc>
        <w:tc>
          <w:tcPr>
            <w:tcW w:w="2880" w:type="dxa"/>
            <w:vMerge/>
            <w:tcBorders>
              <w:left w:val="triple" w:sz="4" w:space="0" w:color="auto"/>
              <w:bottom w:val="triple" w:sz="4" w:space="0" w:color="auto"/>
            </w:tcBorders>
            <w:shd w:val="clear" w:color="auto" w:fill="DEE4E6" w:themeFill="text1" w:themeFillTint="33"/>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b/>
                <w:color w:val="000000"/>
                <w:sz w:val="16"/>
                <w:szCs w:val="16"/>
              </w:rPr>
            </w:pPr>
          </w:p>
        </w:tc>
      </w:tr>
      <w:tr w:rsidR="00643D1C" w:rsidRPr="00643D1C" w:rsidTr="00CE1B10">
        <w:trPr>
          <w:trHeight w:val="288"/>
          <w:jc w:val="center"/>
        </w:trPr>
        <w:tc>
          <w:tcPr>
            <w:tcW w:w="1257" w:type="dxa"/>
            <w:tcBorders>
              <w:left w:val="single" w:sz="2" w:space="0" w:color="auto"/>
              <w:right w:val="triple" w:sz="4" w:space="0" w:color="auto"/>
            </w:tcBorders>
            <w:shd w:val="clear" w:color="auto" w:fill="DEE4E6" w:themeFill="text1" w:themeFillTint="33"/>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b/>
                <w:color w:val="000000"/>
                <w:sz w:val="16"/>
                <w:szCs w:val="16"/>
              </w:rPr>
            </w:pPr>
            <w:r w:rsidRPr="00643D1C">
              <w:rPr>
                <w:rFonts w:asciiTheme="majorHAnsi" w:hAnsiTheme="majorHAnsi" w:cstheme="majorHAnsi"/>
                <w:b/>
                <w:color w:val="000000"/>
                <w:sz w:val="16"/>
                <w:szCs w:val="16"/>
              </w:rPr>
              <w:t>2,000</w:t>
            </w:r>
          </w:p>
        </w:tc>
        <w:tc>
          <w:tcPr>
            <w:tcW w:w="1021" w:type="dxa"/>
            <w:tcBorders>
              <w:top w:val="triple" w:sz="4" w:space="0" w:color="auto"/>
              <w:left w:val="triple" w:sz="4" w:space="0" w:color="auto"/>
            </w:tcBorders>
            <w:shd w:val="clear" w:color="auto" w:fill="C8EAA3" w:themeFill="accent3" w:themeFillTint="6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800</w:t>
            </w:r>
          </w:p>
        </w:tc>
        <w:tc>
          <w:tcPr>
            <w:tcW w:w="1022" w:type="dxa"/>
            <w:tcBorders>
              <w:top w:val="triple" w:sz="4" w:space="0" w:color="auto"/>
            </w:tcBorders>
            <w:shd w:val="clear" w:color="auto" w:fill="C8EAA3" w:themeFill="accent3" w:themeFillTint="6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500</w:t>
            </w:r>
          </w:p>
        </w:tc>
        <w:tc>
          <w:tcPr>
            <w:tcW w:w="1021" w:type="dxa"/>
            <w:tcBorders>
              <w:top w:val="triple" w:sz="4" w:space="0" w:color="auto"/>
            </w:tcBorders>
            <w:shd w:val="clear" w:color="auto" w:fill="C8EAA3" w:themeFill="accent3" w:themeFillTint="6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700</w:t>
            </w:r>
          </w:p>
        </w:tc>
        <w:tc>
          <w:tcPr>
            <w:tcW w:w="1022" w:type="dxa"/>
            <w:tcBorders>
              <w:top w:val="triple" w:sz="4" w:space="0" w:color="auto"/>
            </w:tcBorders>
            <w:shd w:val="clear" w:color="auto" w:fill="auto"/>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w:t>
            </w:r>
          </w:p>
        </w:tc>
        <w:tc>
          <w:tcPr>
            <w:tcW w:w="747" w:type="dxa"/>
            <w:tcBorders>
              <w:top w:val="triple" w:sz="4" w:space="0" w:color="auto"/>
              <w:right w:val="single" w:sz="2" w:space="0" w:color="auto"/>
            </w:tcBorders>
            <w:shd w:val="clear" w:color="auto" w:fill="auto"/>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w:t>
            </w:r>
          </w:p>
        </w:tc>
        <w:tc>
          <w:tcPr>
            <w:tcW w:w="747" w:type="dxa"/>
            <w:tcBorders>
              <w:top w:val="triple" w:sz="4" w:space="0" w:color="auto"/>
              <w:left w:val="single" w:sz="2" w:space="0" w:color="auto"/>
              <w:bottom w:val="single" w:sz="2" w:space="0" w:color="auto"/>
              <w:right w:val="triple" w:sz="4" w:space="0" w:color="auto"/>
            </w:tcBorders>
            <w:shd w:val="clear" w:color="auto" w:fill="auto"/>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b/>
                <w:color w:val="000000"/>
                <w:sz w:val="16"/>
                <w:szCs w:val="16"/>
              </w:rPr>
            </w:pPr>
            <w:r w:rsidRPr="00643D1C">
              <w:rPr>
                <w:rFonts w:asciiTheme="majorHAnsi" w:hAnsiTheme="majorHAnsi" w:cstheme="majorHAnsi"/>
                <w:b/>
                <w:color w:val="000000"/>
                <w:sz w:val="16"/>
                <w:szCs w:val="16"/>
              </w:rPr>
              <w:t>-</w:t>
            </w:r>
          </w:p>
        </w:tc>
        <w:tc>
          <w:tcPr>
            <w:tcW w:w="855" w:type="dxa"/>
            <w:tcBorders>
              <w:top w:val="triple" w:sz="4" w:space="0" w:color="auto"/>
              <w:left w:val="triple" w:sz="4" w:space="0" w:color="auto"/>
            </w:tcBorders>
            <w:shd w:val="clear" w:color="auto" w:fill="auto"/>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5</w:t>
            </w:r>
          </w:p>
        </w:tc>
        <w:tc>
          <w:tcPr>
            <w:tcW w:w="855" w:type="dxa"/>
            <w:tcBorders>
              <w:top w:val="triple" w:sz="4" w:space="0" w:color="auto"/>
              <w:right w:val="triple" w:sz="4" w:space="0" w:color="auto"/>
            </w:tcBorders>
            <w:shd w:val="clear" w:color="auto" w:fill="auto"/>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w:t>
            </w:r>
          </w:p>
        </w:tc>
        <w:tc>
          <w:tcPr>
            <w:tcW w:w="2880" w:type="dxa"/>
            <w:tcBorders>
              <w:top w:val="triple" w:sz="4" w:space="0" w:color="auto"/>
              <w:left w:val="triple" w:sz="4" w:space="0" w:color="auto"/>
            </w:tcBorders>
            <w:shd w:val="clear" w:color="auto" w:fill="auto"/>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None</w:t>
            </w:r>
          </w:p>
        </w:tc>
      </w:tr>
      <w:tr w:rsidR="00643D1C" w:rsidRPr="00643D1C" w:rsidTr="00CE1B10">
        <w:trPr>
          <w:trHeight w:val="288"/>
          <w:jc w:val="center"/>
        </w:trPr>
        <w:tc>
          <w:tcPr>
            <w:tcW w:w="1257" w:type="dxa"/>
            <w:tcBorders>
              <w:left w:val="single" w:sz="2" w:space="0" w:color="auto"/>
              <w:right w:val="triple" w:sz="4" w:space="0" w:color="auto"/>
            </w:tcBorders>
            <w:shd w:val="clear" w:color="auto" w:fill="DEE4E6" w:themeFill="text1" w:themeFillTint="33"/>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b/>
                <w:color w:val="000000"/>
                <w:sz w:val="16"/>
                <w:szCs w:val="16"/>
              </w:rPr>
            </w:pPr>
            <w:r w:rsidRPr="00643D1C">
              <w:rPr>
                <w:rFonts w:asciiTheme="majorHAnsi" w:hAnsiTheme="majorHAnsi" w:cstheme="majorHAnsi"/>
                <w:b/>
                <w:color w:val="000000"/>
                <w:sz w:val="16"/>
                <w:szCs w:val="16"/>
              </w:rPr>
              <w:t>3,000</w:t>
            </w:r>
          </w:p>
        </w:tc>
        <w:tc>
          <w:tcPr>
            <w:tcW w:w="1021" w:type="dxa"/>
            <w:tcBorders>
              <w:left w:val="triple" w:sz="4" w:space="0" w:color="auto"/>
            </w:tcBorders>
            <w:shd w:val="clear" w:color="auto" w:fill="C8EAA3" w:themeFill="accent3" w:themeFillTint="6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1,500</w:t>
            </w:r>
          </w:p>
        </w:tc>
        <w:tc>
          <w:tcPr>
            <w:tcW w:w="1022" w:type="dxa"/>
            <w:shd w:val="clear" w:color="auto" w:fill="C8EAA3" w:themeFill="accent3" w:themeFillTint="6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800</w:t>
            </w:r>
          </w:p>
        </w:tc>
        <w:tc>
          <w:tcPr>
            <w:tcW w:w="1021" w:type="dxa"/>
            <w:shd w:val="clear" w:color="auto" w:fill="C8EAA3" w:themeFill="accent3" w:themeFillTint="6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700</w:t>
            </w:r>
          </w:p>
        </w:tc>
        <w:tc>
          <w:tcPr>
            <w:tcW w:w="1022" w:type="dxa"/>
            <w:shd w:val="clear" w:color="auto" w:fill="auto"/>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w:t>
            </w:r>
          </w:p>
        </w:tc>
        <w:tc>
          <w:tcPr>
            <w:tcW w:w="747" w:type="dxa"/>
            <w:tcBorders>
              <w:right w:val="single" w:sz="2" w:space="0" w:color="auto"/>
            </w:tcBorders>
            <w:shd w:val="clear" w:color="auto" w:fill="auto"/>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w:t>
            </w:r>
          </w:p>
        </w:tc>
        <w:tc>
          <w:tcPr>
            <w:tcW w:w="747" w:type="dxa"/>
            <w:tcBorders>
              <w:top w:val="single" w:sz="2" w:space="0" w:color="auto"/>
              <w:left w:val="single" w:sz="2" w:space="0" w:color="auto"/>
              <w:bottom w:val="single" w:sz="2" w:space="0" w:color="auto"/>
              <w:right w:val="triple" w:sz="4" w:space="0" w:color="auto"/>
            </w:tcBorders>
            <w:shd w:val="clear" w:color="auto" w:fill="auto"/>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b/>
                <w:color w:val="000000"/>
                <w:sz w:val="16"/>
                <w:szCs w:val="16"/>
              </w:rPr>
            </w:pPr>
            <w:r w:rsidRPr="00643D1C">
              <w:rPr>
                <w:rFonts w:asciiTheme="majorHAnsi" w:hAnsiTheme="majorHAnsi" w:cstheme="majorHAnsi"/>
                <w:b/>
                <w:color w:val="000000"/>
                <w:sz w:val="16"/>
                <w:szCs w:val="16"/>
              </w:rPr>
              <w:t>-</w:t>
            </w:r>
          </w:p>
        </w:tc>
        <w:tc>
          <w:tcPr>
            <w:tcW w:w="855" w:type="dxa"/>
            <w:tcBorders>
              <w:left w:val="triple" w:sz="4" w:space="0" w:color="auto"/>
            </w:tcBorders>
            <w:shd w:val="clear" w:color="auto" w:fill="auto"/>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8</w:t>
            </w:r>
          </w:p>
        </w:tc>
        <w:tc>
          <w:tcPr>
            <w:tcW w:w="855" w:type="dxa"/>
            <w:tcBorders>
              <w:right w:val="triple" w:sz="4" w:space="0" w:color="auto"/>
            </w:tcBorders>
            <w:shd w:val="clear" w:color="auto" w:fill="auto"/>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w:t>
            </w:r>
          </w:p>
        </w:tc>
        <w:tc>
          <w:tcPr>
            <w:tcW w:w="2880" w:type="dxa"/>
            <w:tcBorders>
              <w:left w:val="triple" w:sz="4" w:space="0" w:color="auto"/>
            </w:tcBorders>
            <w:shd w:val="clear" w:color="auto" w:fill="auto"/>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None</w:t>
            </w:r>
          </w:p>
        </w:tc>
      </w:tr>
      <w:tr w:rsidR="00643D1C" w:rsidRPr="00643D1C" w:rsidTr="00CE1B10">
        <w:trPr>
          <w:trHeight w:val="288"/>
          <w:jc w:val="center"/>
        </w:trPr>
        <w:tc>
          <w:tcPr>
            <w:tcW w:w="1257" w:type="dxa"/>
            <w:tcBorders>
              <w:left w:val="single" w:sz="2" w:space="0" w:color="auto"/>
              <w:right w:val="triple" w:sz="4" w:space="0" w:color="auto"/>
            </w:tcBorders>
            <w:shd w:val="clear" w:color="auto" w:fill="DEE4E6" w:themeFill="text1" w:themeFillTint="33"/>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b/>
                <w:color w:val="000000"/>
                <w:sz w:val="16"/>
                <w:szCs w:val="16"/>
              </w:rPr>
            </w:pPr>
            <w:r w:rsidRPr="00643D1C">
              <w:rPr>
                <w:rFonts w:asciiTheme="majorHAnsi" w:hAnsiTheme="majorHAnsi" w:cstheme="majorHAnsi"/>
                <w:b/>
                <w:color w:val="000000"/>
                <w:sz w:val="16"/>
                <w:szCs w:val="16"/>
              </w:rPr>
              <w:t>5,000</w:t>
            </w:r>
          </w:p>
        </w:tc>
        <w:tc>
          <w:tcPr>
            <w:tcW w:w="1021" w:type="dxa"/>
            <w:tcBorders>
              <w:left w:val="triple" w:sz="4" w:space="0" w:color="auto"/>
            </w:tcBorders>
            <w:shd w:val="clear" w:color="auto" w:fill="FDE2AB" w:themeFill="accent4" w:themeFillTint="6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2,400</w:t>
            </w:r>
          </w:p>
        </w:tc>
        <w:tc>
          <w:tcPr>
            <w:tcW w:w="1022" w:type="dxa"/>
            <w:shd w:val="clear" w:color="auto" w:fill="C8EAA3" w:themeFill="accent3" w:themeFillTint="6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800</w:t>
            </w:r>
          </w:p>
        </w:tc>
        <w:tc>
          <w:tcPr>
            <w:tcW w:w="1021" w:type="dxa"/>
            <w:shd w:val="clear" w:color="auto" w:fill="FDE2AB" w:themeFill="accent4" w:themeFillTint="6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1,000</w:t>
            </w:r>
          </w:p>
        </w:tc>
        <w:tc>
          <w:tcPr>
            <w:tcW w:w="1022" w:type="dxa"/>
            <w:shd w:val="clear" w:color="auto" w:fill="FDE2AB" w:themeFill="accent4" w:themeFillTint="6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800</w:t>
            </w:r>
          </w:p>
        </w:tc>
        <w:tc>
          <w:tcPr>
            <w:tcW w:w="747" w:type="dxa"/>
            <w:tcBorders>
              <w:right w:val="single" w:sz="2" w:space="0" w:color="auto"/>
            </w:tcBorders>
            <w:shd w:val="clear" w:color="auto" w:fill="auto"/>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w:t>
            </w:r>
          </w:p>
        </w:tc>
        <w:tc>
          <w:tcPr>
            <w:tcW w:w="747" w:type="dxa"/>
            <w:tcBorders>
              <w:top w:val="single" w:sz="2" w:space="0" w:color="auto"/>
              <w:left w:val="single" w:sz="2" w:space="0" w:color="auto"/>
              <w:bottom w:val="single" w:sz="2" w:space="0" w:color="auto"/>
              <w:right w:val="triple" w:sz="4" w:space="0" w:color="auto"/>
            </w:tcBorders>
            <w:shd w:val="clear" w:color="auto" w:fill="auto"/>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b/>
                <w:color w:val="000000"/>
                <w:sz w:val="16"/>
                <w:szCs w:val="16"/>
              </w:rPr>
            </w:pPr>
            <w:r w:rsidRPr="00643D1C">
              <w:rPr>
                <w:rFonts w:asciiTheme="majorHAnsi" w:hAnsiTheme="majorHAnsi" w:cstheme="majorHAnsi"/>
                <w:b/>
                <w:color w:val="000000"/>
                <w:sz w:val="16"/>
                <w:szCs w:val="16"/>
              </w:rPr>
              <w:t>-</w:t>
            </w:r>
          </w:p>
        </w:tc>
        <w:tc>
          <w:tcPr>
            <w:tcW w:w="855" w:type="dxa"/>
            <w:tcBorders>
              <w:left w:val="triple" w:sz="4" w:space="0" w:color="auto"/>
            </w:tcBorders>
            <w:shd w:val="clear" w:color="auto" w:fill="auto"/>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13</w:t>
            </w:r>
          </w:p>
        </w:tc>
        <w:tc>
          <w:tcPr>
            <w:tcW w:w="855" w:type="dxa"/>
            <w:tcBorders>
              <w:right w:val="triple" w:sz="4" w:space="0" w:color="auto"/>
            </w:tcBorders>
            <w:shd w:val="clear" w:color="auto" w:fill="auto"/>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w:t>
            </w:r>
          </w:p>
        </w:tc>
        <w:tc>
          <w:tcPr>
            <w:tcW w:w="2880" w:type="dxa"/>
            <w:tcBorders>
              <w:left w:val="triple" w:sz="4" w:space="0" w:color="auto"/>
            </w:tcBorders>
            <w:shd w:val="clear" w:color="auto" w:fill="auto"/>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None</w:t>
            </w:r>
          </w:p>
        </w:tc>
      </w:tr>
      <w:tr w:rsidR="00643D1C" w:rsidRPr="00643D1C" w:rsidTr="00CE1B10">
        <w:trPr>
          <w:trHeight w:val="288"/>
          <w:jc w:val="center"/>
        </w:trPr>
        <w:tc>
          <w:tcPr>
            <w:tcW w:w="1257" w:type="dxa"/>
            <w:tcBorders>
              <w:left w:val="single" w:sz="2" w:space="0" w:color="auto"/>
              <w:right w:val="triple" w:sz="4" w:space="0" w:color="auto"/>
            </w:tcBorders>
            <w:shd w:val="clear" w:color="auto" w:fill="DEE4E6" w:themeFill="text1" w:themeFillTint="33"/>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b/>
                <w:color w:val="000000"/>
                <w:sz w:val="16"/>
                <w:szCs w:val="16"/>
              </w:rPr>
            </w:pPr>
            <w:r w:rsidRPr="00643D1C">
              <w:rPr>
                <w:rFonts w:asciiTheme="majorHAnsi" w:hAnsiTheme="majorHAnsi" w:cstheme="majorHAnsi"/>
                <w:b/>
                <w:color w:val="000000"/>
                <w:sz w:val="16"/>
                <w:szCs w:val="16"/>
              </w:rPr>
              <w:t>5,800</w:t>
            </w:r>
          </w:p>
        </w:tc>
        <w:tc>
          <w:tcPr>
            <w:tcW w:w="1021" w:type="dxa"/>
            <w:tcBorders>
              <w:left w:val="triple" w:sz="4" w:space="0" w:color="auto"/>
            </w:tcBorders>
            <w:shd w:val="clear" w:color="auto" w:fill="FDE2AB" w:themeFill="accent4" w:themeFillTint="6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2,400</w:t>
            </w:r>
          </w:p>
        </w:tc>
        <w:tc>
          <w:tcPr>
            <w:tcW w:w="1022" w:type="dxa"/>
            <w:shd w:val="clear" w:color="auto" w:fill="FDE2AB" w:themeFill="accent4" w:themeFillTint="6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1,600</w:t>
            </w:r>
          </w:p>
        </w:tc>
        <w:tc>
          <w:tcPr>
            <w:tcW w:w="1021" w:type="dxa"/>
            <w:shd w:val="clear" w:color="auto" w:fill="FDE2AB" w:themeFill="accent4" w:themeFillTint="6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1,000</w:t>
            </w:r>
          </w:p>
        </w:tc>
        <w:tc>
          <w:tcPr>
            <w:tcW w:w="1022" w:type="dxa"/>
            <w:shd w:val="clear" w:color="auto" w:fill="FDE2AB" w:themeFill="accent4" w:themeFillTint="6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800</w:t>
            </w:r>
          </w:p>
        </w:tc>
        <w:tc>
          <w:tcPr>
            <w:tcW w:w="747" w:type="dxa"/>
            <w:tcBorders>
              <w:right w:val="single" w:sz="2" w:space="0" w:color="auto"/>
            </w:tcBorders>
            <w:shd w:val="clear" w:color="auto" w:fill="auto"/>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w:t>
            </w:r>
          </w:p>
        </w:tc>
        <w:tc>
          <w:tcPr>
            <w:tcW w:w="747" w:type="dxa"/>
            <w:tcBorders>
              <w:top w:val="single" w:sz="2" w:space="0" w:color="auto"/>
              <w:left w:val="single" w:sz="2" w:space="0" w:color="auto"/>
              <w:bottom w:val="single" w:sz="2" w:space="0" w:color="auto"/>
              <w:right w:val="triple" w:sz="4" w:space="0" w:color="auto"/>
            </w:tcBorders>
            <w:shd w:val="clear" w:color="auto" w:fill="auto"/>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b/>
                <w:color w:val="000000"/>
                <w:sz w:val="16"/>
                <w:szCs w:val="16"/>
              </w:rPr>
            </w:pPr>
            <w:r w:rsidRPr="00643D1C">
              <w:rPr>
                <w:rFonts w:asciiTheme="majorHAnsi" w:hAnsiTheme="majorHAnsi" w:cstheme="majorHAnsi"/>
                <w:b/>
                <w:color w:val="000000"/>
                <w:sz w:val="16"/>
                <w:szCs w:val="16"/>
              </w:rPr>
              <w:t>-</w:t>
            </w:r>
          </w:p>
        </w:tc>
        <w:tc>
          <w:tcPr>
            <w:tcW w:w="855" w:type="dxa"/>
            <w:tcBorders>
              <w:left w:val="triple" w:sz="4" w:space="0" w:color="auto"/>
            </w:tcBorders>
            <w:shd w:val="clear" w:color="auto" w:fill="auto"/>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15</w:t>
            </w:r>
          </w:p>
        </w:tc>
        <w:tc>
          <w:tcPr>
            <w:tcW w:w="855" w:type="dxa"/>
            <w:tcBorders>
              <w:right w:val="triple" w:sz="4" w:space="0" w:color="auto"/>
            </w:tcBorders>
            <w:shd w:val="clear" w:color="auto" w:fill="auto"/>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w:t>
            </w:r>
          </w:p>
        </w:tc>
        <w:tc>
          <w:tcPr>
            <w:tcW w:w="2880" w:type="dxa"/>
            <w:tcBorders>
              <w:left w:val="triple" w:sz="4" w:space="0" w:color="auto"/>
            </w:tcBorders>
            <w:shd w:val="clear" w:color="auto" w:fill="auto"/>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None</w:t>
            </w:r>
          </w:p>
        </w:tc>
      </w:tr>
      <w:tr w:rsidR="00643D1C" w:rsidRPr="00643D1C" w:rsidTr="00CE1B10">
        <w:trPr>
          <w:trHeight w:val="288"/>
          <w:jc w:val="center"/>
        </w:trPr>
        <w:tc>
          <w:tcPr>
            <w:tcW w:w="1257" w:type="dxa"/>
            <w:tcBorders>
              <w:left w:val="single" w:sz="2" w:space="0" w:color="auto"/>
              <w:right w:val="triple" w:sz="4" w:space="0" w:color="auto"/>
            </w:tcBorders>
            <w:shd w:val="clear" w:color="auto" w:fill="DEE4E6" w:themeFill="text1" w:themeFillTint="33"/>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b/>
                <w:color w:val="000000"/>
                <w:sz w:val="16"/>
                <w:szCs w:val="16"/>
              </w:rPr>
            </w:pPr>
            <w:r w:rsidRPr="00643D1C">
              <w:rPr>
                <w:rFonts w:asciiTheme="majorHAnsi" w:hAnsiTheme="majorHAnsi" w:cstheme="majorHAnsi"/>
                <w:b/>
                <w:color w:val="000000"/>
                <w:sz w:val="16"/>
                <w:szCs w:val="16"/>
              </w:rPr>
              <w:t>7,000</w:t>
            </w:r>
          </w:p>
        </w:tc>
        <w:tc>
          <w:tcPr>
            <w:tcW w:w="1021" w:type="dxa"/>
            <w:tcBorders>
              <w:left w:val="triple" w:sz="4" w:space="0" w:color="auto"/>
            </w:tcBorders>
            <w:shd w:val="clear" w:color="auto" w:fill="FDE2AB" w:themeFill="accent4" w:themeFillTint="6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2,400</w:t>
            </w:r>
          </w:p>
        </w:tc>
        <w:tc>
          <w:tcPr>
            <w:tcW w:w="1022" w:type="dxa"/>
            <w:shd w:val="clear" w:color="auto" w:fill="FDE2AB" w:themeFill="accent4" w:themeFillTint="6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1,600</w:t>
            </w:r>
          </w:p>
        </w:tc>
        <w:tc>
          <w:tcPr>
            <w:tcW w:w="1021" w:type="dxa"/>
            <w:shd w:val="clear" w:color="auto" w:fill="FDE2AB" w:themeFill="accent4" w:themeFillTint="6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1,000</w:t>
            </w:r>
          </w:p>
        </w:tc>
        <w:tc>
          <w:tcPr>
            <w:tcW w:w="1022" w:type="dxa"/>
            <w:shd w:val="clear" w:color="auto" w:fill="FDE2AB" w:themeFill="accent4" w:themeFillTint="6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800</w:t>
            </w:r>
          </w:p>
        </w:tc>
        <w:tc>
          <w:tcPr>
            <w:tcW w:w="747" w:type="dxa"/>
            <w:tcBorders>
              <w:right w:val="single" w:sz="2" w:space="0" w:color="auto"/>
            </w:tcBorders>
            <w:shd w:val="clear" w:color="auto" w:fill="C8EAA3" w:themeFill="accent3" w:themeFillTint="6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1,200</w:t>
            </w:r>
          </w:p>
        </w:tc>
        <w:tc>
          <w:tcPr>
            <w:tcW w:w="747" w:type="dxa"/>
            <w:tcBorders>
              <w:top w:val="single" w:sz="2" w:space="0" w:color="auto"/>
              <w:left w:val="single" w:sz="2" w:space="0" w:color="auto"/>
              <w:bottom w:val="single" w:sz="2" w:space="0" w:color="auto"/>
              <w:right w:val="triple" w:sz="4" w:space="0" w:color="auto"/>
            </w:tcBorders>
            <w:shd w:val="clear" w:color="auto" w:fill="auto"/>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b/>
                <w:color w:val="000000"/>
                <w:sz w:val="16"/>
                <w:szCs w:val="16"/>
              </w:rPr>
            </w:pPr>
            <w:r w:rsidRPr="00643D1C">
              <w:rPr>
                <w:rFonts w:asciiTheme="majorHAnsi" w:hAnsiTheme="majorHAnsi" w:cstheme="majorHAnsi"/>
                <w:b/>
                <w:color w:val="000000"/>
                <w:sz w:val="16"/>
                <w:szCs w:val="16"/>
              </w:rPr>
              <w:t>-</w:t>
            </w:r>
          </w:p>
        </w:tc>
        <w:tc>
          <w:tcPr>
            <w:tcW w:w="855" w:type="dxa"/>
            <w:tcBorders>
              <w:left w:val="triple" w:sz="4" w:space="0" w:color="auto"/>
            </w:tcBorders>
            <w:shd w:val="clear" w:color="auto" w:fill="auto"/>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15</w:t>
            </w:r>
          </w:p>
        </w:tc>
        <w:tc>
          <w:tcPr>
            <w:tcW w:w="855" w:type="dxa"/>
            <w:tcBorders>
              <w:right w:val="triple" w:sz="4" w:space="0" w:color="auto"/>
            </w:tcBorders>
            <w:shd w:val="clear" w:color="auto" w:fill="auto"/>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1</w:t>
            </w:r>
          </w:p>
        </w:tc>
        <w:tc>
          <w:tcPr>
            <w:tcW w:w="2880" w:type="dxa"/>
            <w:tcBorders>
              <w:left w:val="triple" w:sz="4" w:space="0" w:color="auto"/>
            </w:tcBorders>
            <w:shd w:val="clear" w:color="auto" w:fill="auto"/>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None</w:t>
            </w:r>
          </w:p>
        </w:tc>
      </w:tr>
      <w:tr w:rsidR="00643D1C" w:rsidRPr="00643D1C" w:rsidTr="00CE1B10">
        <w:trPr>
          <w:trHeight w:val="288"/>
          <w:jc w:val="center"/>
        </w:trPr>
        <w:tc>
          <w:tcPr>
            <w:tcW w:w="1257" w:type="dxa"/>
            <w:tcBorders>
              <w:left w:val="single" w:sz="2" w:space="0" w:color="auto"/>
              <w:right w:val="triple" w:sz="4" w:space="0" w:color="auto"/>
            </w:tcBorders>
            <w:shd w:val="clear" w:color="auto" w:fill="DEE4E6" w:themeFill="text1" w:themeFillTint="33"/>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b/>
                <w:color w:val="000000"/>
                <w:sz w:val="16"/>
                <w:szCs w:val="16"/>
              </w:rPr>
            </w:pPr>
            <w:r w:rsidRPr="00643D1C">
              <w:rPr>
                <w:rFonts w:asciiTheme="majorHAnsi" w:hAnsiTheme="majorHAnsi" w:cstheme="majorHAnsi"/>
                <w:b/>
                <w:color w:val="000000"/>
                <w:sz w:val="16"/>
                <w:szCs w:val="16"/>
              </w:rPr>
              <w:t>8,000_1</w:t>
            </w:r>
          </w:p>
        </w:tc>
        <w:tc>
          <w:tcPr>
            <w:tcW w:w="1021" w:type="dxa"/>
            <w:tcBorders>
              <w:left w:val="triple" w:sz="4" w:space="0" w:color="auto"/>
            </w:tcBorders>
            <w:shd w:val="clear" w:color="auto" w:fill="FDE2AB" w:themeFill="accent4" w:themeFillTint="6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2,400</w:t>
            </w:r>
          </w:p>
        </w:tc>
        <w:tc>
          <w:tcPr>
            <w:tcW w:w="1022" w:type="dxa"/>
            <w:shd w:val="clear" w:color="auto" w:fill="FDE2AB" w:themeFill="accent4" w:themeFillTint="6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1,600</w:t>
            </w:r>
          </w:p>
        </w:tc>
        <w:tc>
          <w:tcPr>
            <w:tcW w:w="1021" w:type="dxa"/>
            <w:shd w:val="clear" w:color="auto" w:fill="FDE2AB" w:themeFill="accent4" w:themeFillTint="6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1,000</w:t>
            </w:r>
          </w:p>
        </w:tc>
        <w:tc>
          <w:tcPr>
            <w:tcW w:w="1022" w:type="dxa"/>
            <w:shd w:val="clear" w:color="auto" w:fill="FDE2AB" w:themeFill="accent4" w:themeFillTint="6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800</w:t>
            </w:r>
          </w:p>
        </w:tc>
        <w:tc>
          <w:tcPr>
            <w:tcW w:w="747" w:type="dxa"/>
            <w:tcBorders>
              <w:right w:val="single" w:sz="2" w:space="0" w:color="auto"/>
            </w:tcBorders>
            <w:shd w:val="clear" w:color="auto" w:fill="C8EAA3" w:themeFill="accent3" w:themeFillTint="6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1,200</w:t>
            </w:r>
          </w:p>
        </w:tc>
        <w:tc>
          <w:tcPr>
            <w:tcW w:w="747" w:type="dxa"/>
            <w:tcBorders>
              <w:top w:val="single" w:sz="2" w:space="0" w:color="auto"/>
              <w:left w:val="single" w:sz="2" w:space="0" w:color="auto"/>
              <w:bottom w:val="single" w:sz="2" w:space="0" w:color="auto"/>
              <w:right w:val="triple" w:sz="4" w:space="0" w:color="auto"/>
            </w:tcBorders>
            <w:shd w:val="clear" w:color="auto" w:fill="FDE2AB" w:themeFill="accent4" w:themeFillTint="6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1,000</w:t>
            </w:r>
          </w:p>
        </w:tc>
        <w:tc>
          <w:tcPr>
            <w:tcW w:w="855" w:type="dxa"/>
            <w:tcBorders>
              <w:left w:val="triple" w:sz="4" w:space="0" w:color="auto"/>
            </w:tcBorders>
            <w:shd w:val="clear" w:color="auto" w:fill="FDE2AB" w:themeFill="accent4" w:themeFillTint="6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15</w:t>
            </w:r>
          </w:p>
        </w:tc>
        <w:tc>
          <w:tcPr>
            <w:tcW w:w="855" w:type="dxa"/>
            <w:tcBorders>
              <w:right w:val="triple" w:sz="4" w:space="0" w:color="auto"/>
            </w:tcBorders>
            <w:shd w:val="clear" w:color="auto" w:fill="auto"/>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2</w:t>
            </w:r>
          </w:p>
        </w:tc>
        <w:tc>
          <w:tcPr>
            <w:tcW w:w="2880" w:type="dxa"/>
            <w:tcBorders>
              <w:left w:val="triple" w:sz="4" w:space="0" w:color="auto"/>
            </w:tcBorders>
            <w:shd w:val="clear" w:color="auto" w:fill="auto"/>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None</w:t>
            </w:r>
          </w:p>
        </w:tc>
      </w:tr>
      <w:tr w:rsidR="00643D1C" w:rsidRPr="00643D1C" w:rsidTr="00CE1B10">
        <w:trPr>
          <w:trHeight w:val="288"/>
          <w:jc w:val="center"/>
        </w:trPr>
        <w:tc>
          <w:tcPr>
            <w:tcW w:w="1257" w:type="dxa"/>
            <w:tcBorders>
              <w:left w:val="single" w:sz="2" w:space="0" w:color="auto"/>
              <w:right w:val="triple" w:sz="4" w:space="0" w:color="auto"/>
            </w:tcBorders>
            <w:shd w:val="clear" w:color="auto" w:fill="DEE4E6" w:themeFill="text1" w:themeFillTint="33"/>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b/>
                <w:color w:val="000000"/>
                <w:sz w:val="16"/>
                <w:szCs w:val="16"/>
              </w:rPr>
            </w:pPr>
            <w:r w:rsidRPr="00643D1C">
              <w:rPr>
                <w:rFonts w:asciiTheme="majorHAnsi" w:hAnsiTheme="majorHAnsi" w:cstheme="majorHAnsi"/>
                <w:b/>
                <w:color w:val="000000"/>
                <w:sz w:val="16"/>
                <w:szCs w:val="16"/>
              </w:rPr>
              <w:t>8,000_2</w:t>
            </w:r>
          </w:p>
        </w:tc>
        <w:tc>
          <w:tcPr>
            <w:tcW w:w="1021" w:type="dxa"/>
            <w:tcBorders>
              <w:left w:val="triple" w:sz="4" w:space="0" w:color="auto"/>
            </w:tcBorders>
            <w:shd w:val="clear" w:color="auto" w:fill="EC1F25" w:themeFill="accent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3,400</w:t>
            </w:r>
          </w:p>
        </w:tc>
        <w:tc>
          <w:tcPr>
            <w:tcW w:w="1022" w:type="dxa"/>
            <w:shd w:val="clear" w:color="auto" w:fill="FDE2AB" w:themeFill="accent4" w:themeFillTint="6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1,600</w:t>
            </w:r>
          </w:p>
        </w:tc>
        <w:tc>
          <w:tcPr>
            <w:tcW w:w="1021" w:type="dxa"/>
            <w:shd w:val="clear" w:color="auto" w:fill="FDE2AB" w:themeFill="accent4" w:themeFillTint="6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1,000</w:t>
            </w:r>
          </w:p>
        </w:tc>
        <w:tc>
          <w:tcPr>
            <w:tcW w:w="1022" w:type="dxa"/>
            <w:shd w:val="clear" w:color="auto" w:fill="FDE2AB" w:themeFill="accent4" w:themeFillTint="6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800</w:t>
            </w:r>
          </w:p>
        </w:tc>
        <w:tc>
          <w:tcPr>
            <w:tcW w:w="747" w:type="dxa"/>
            <w:tcBorders>
              <w:right w:val="single" w:sz="2" w:space="0" w:color="auto"/>
            </w:tcBorders>
            <w:shd w:val="clear" w:color="auto" w:fill="C8EAA3" w:themeFill="accent3" w:themeFillTint="6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1,200</w:t>
            </w:r>
          </w:p>
        </w:tc>
        <w:tc>
          <w:tcPr>
            <w:tcW w:w="747" w:type="dxa"/>
            <w:tcBorders>
              <w:top w:val="single" w:sz="2" w:space="0" w:color="auto"/>
              <w:left w:val="single" w:sz="2" w:space="0" w:color="auto"/>
              <w:bottom w:val="single" w:sz="2" w:space="0" w:color="auto"/>
              <w:right w:val="triple" w:sz="4" w:space="0" w:color="auto"/>
            </w:tcBorders>
            <w:shd w:val="clear" w:color="auto" w:fill="auto"/>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b/>
                <w:color w:val="000000"/>
                <w:sz w:val="16"/>
                <w:szCs w:val="16"/>
              </w:rPr>
            </w:pPr>
            <w:r w:rsidRPr="00643D1C">
              <w:rPr>
                <w:rFonts w:asciiTheme="majorHAnsi" w:hAnsiTheme="majorHAnsi" w:cstheme="majorHAnsi"/>
                <w:b/>
                <w:color w:val="000000"/>
                <w:sz w:val="16"/>
                <w:szCs w:val="16"/>
              </w:rPr>
              <w:t>-</w:t>
            </w:r>
          </w:p>
        </w:tc>
        <w:tc>
          <w:tcPr>
            <w:tcW w:w="855" w:type="dxa"/>
            <w:tcBorders>
              <w:left w:val="triple" w:sz="4" w:space="0" w:color="auto"/>
            </w:tcBorders>
            <w:shd w:val="clear" w:color="auto" w:fill="auto"/>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17</w:t>
            </w:r>
          </w:p>
        </w:tc>
        <w:tc>
          <w:tcPr>
            <w:tcW w:w="855" w:type="dxa"/>
            <w:tcBorders>
              <w:right w:val="triple" w:sz="4" w:space="0" w:color="auto"/>
            </w:tcBorders>
            <w:shd w:val="clear" w:color="auto" w:fill="auto"/>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1</w:t>
            </w:r>
          </w:p>
        </w:tc>
        <w:tc>
          <w:tcPr>
            <w:tcW w:w="2880" w:type="dxa"/>
            <w:tcBorders>
              <w:left w:val="triple" w:sz="4" w:space="0" w:color="auto"/>
            </w:tcBorders>
            <w:shd w:val="clear" w:color="auto" w:fill="auto"/>
            <w:vAlign w:val="center"/>
            <w:hideMark/>
          </w:tcPr>
          <w:p w:rsidR="00643D1C" w:rsidRPr="00643D1C" w:rsidRDefault="00643D1C" w:rsidP="00643D1C">
            <w:pPr>
              <w:keepNext/>
              <w:keepLines/>
              <w:adjustRightInd/>
              <w:spacing w:before="20" w:after="20" w:line="240" w:lineRule="auto"/>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New approximately 60-mile 345 kV line in separate right-of-way from Barnstable, MA, to K Street substation</w:t>
            </w:r>
          </w:p>
        </w:tc>
      </w:tr>
      <w:tr w:rsidR="00643D1C" w:rsidRPr="00643D1C" w:rsidTr="00CE1B10">
        <w:trPr>
          <w:trHeight w:val="288"/>
          <w:jc w:val="center"/>
        </w:trPr>
        <w:tc>
          <w:tcPr>
            <w:tcW w:w="1257" w:type="dxa"/>
            <w:tcBorders>
              <w:left w:val="single" w:sz="2" w:space="0" w:color="auto"/>
              <w:right w:val="triple" w:sz="4" w:space="0" w:color="auto"/>
            </w:tcBorders>
            <w:shd w:val="clear" w:color="auto" w:fill="DEE4E6" w:themeFill="text1" w:themeFillTint="33"/>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b/>
                <w:color w:val="000000"/>
                <w:sz w:val="16"/>
                <w:szCs w:val="16"/>
              </w:rPr>
            </w:pPr>
            <w:r w:rsidRPr="00643D1C">
              <w:rPr>
                <w:rFonts w:asciiTheme="majorHAnsi" w:hAnsiTheme="majorHAnsi" w:cstheme="majorHAnsi"/>
                <w:b/>
                <w:color w:val="000000"/>
                <w:sz w:val="16"/>
                <w:szCs w:val="16"/>
              </w:rPr>
              <w:t>8,000_3</w:t>
            </w:r>
          </w:p>
        </w:tc>
        <w:tc>
          <w:tcPr>
            <w:tcW w:w="1021" w:type="dxa"/>
            <w:tcBorders>
              <w:left w:val="triple" w:sz="4" w:space="0" w:color="auto"/>
            </w:tcBorders>
            <w:shd w:val="clear" w:color="auto" w:fill="FDE2AB" w:themeFill="accent4" w:themeFillTint="6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2,400</w:t>
            </w:r>
          </w:p>
        </w:tc>
        <w:tc>
          <w:tcPr>
            <w:tcW w:w="1022" w:type="dxa"/>
            <w:shd w:val="clear" w:color="auto" w:fill="EC1F25" w:themeFill="accent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2,600</w:t>
            </w:r>
          </w:p>
        </w:tc>
        <w:tc>
          <w:tcPr>
            <w:tcW w:w="1021" w:type="dxa"/>
            <w:shd w:val="clear" w:color="auto" w:fill="FDE2AB" w:themeFill="accent4" w:themeFillTint="6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1,000</w:t>
            </w:r>
          </w:p>
        </w:tc>
        <w:tc>
          <w:tcPr>
            <w:tcW w:w="1022" w:type="dxa"/>
            <w:shd w:val="clear" w:color="auto" w:fill="FDE2AB" w:themeFill="accent4" w:themeFillTint="6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800</w:t>
            </w:r>
          </w:p>
        </w:tc>
        <w:tc>
          <w:tcPr>
            <w:tcW w:w="747" w:type="dxa"/>
            <w:tcBorders>
              <w:right w:val="single" w:sz="2" w:space="0" w:color="auto"/>
            </w:tcBorders>
            <w:shd w:val="clear" w:color="auto" w:fill="C8EAA3" w:themeFill="accent3" w:themeFillTint="6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1,200</w:t>
            </w:r>
          </w:p>
        </w:tc>
        <w:tc>
          <w:tcPr>
            <w:tcW w:w="747" w:type="dxa"/>
            <w:tcBorders>
              <w:top w:val="single" w:sz="2" w:space="0" w:color="auto"/>
              <w:left w:val="single" w:sz="2" w:space="0" w:color="auto"/>
              <w:bottom w:val="single" w:sz="2" w:space="0" w:color="auto"/>
              <w:right w:val="triple" w:sz="4" w:space="0" w:color="auto"/>
            </w:tcBorders>
            <w:shd w:val="clear" w:color="auto" w:fill="auto"/>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b/>
                <w:color w:val="000000"/>
                <w:sz w:val="16"/>
                <w:szCs w:val="16"/>
              </w:rPr>
            </w:pPr>
            <w:r w:rsidRPr="00643D1C">
              <w:rPr>
                <w:rFonts w:asciiTheme="majorHAnsi" w:hAnsiTheme="majorHAnsi" w:cstheme="majorHAnsi"/>
                <w:b/>
                <w:color w:val="000000"/>
                <w:sz w:val="16"/>
                <w:szCs w:val="16"/>
              </w:rPr>
              <w:t>-</w:t>
            </w:r>
          </w:p>
        </w:tc>
        <w:tc>
          <w:tcPr>
            <w:tcW w:w="855" w:type="dxa"/>
            <w:tcBorders>
              <w:left w:val="triple" w:sz="4" w:space="0" w:color="auto"/>
            </w:tcBorders>
            <w:shd w:val="clear" w:color="auto" w:fill="auto"/>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17</w:t>
            </w:r>
          </w:p>
        </w:tc>
        <w:tc>
          <w:tcPr>
            <w:tcW w:w="855" w:type="dxa"/>
            <w:tcBorders>
              <w:right w:val="triple" w:sz="4" w:space="0" w:color="auto"/>
            </w:tcBorders>
            <w:shd w:val="clear" w:color="auto" w:fill="auto"/>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1</w:t>
            </w:r>
          </w:p>
        </w:tc>
        <w:tc>
          <w:tcPr>
            <w:tcW w:w="2880" w:type="dxa"/>
            <w:tcBorders>
              <w:left w:val="triple" w:sz="4" w:space="0" w:color="auto"/>
            </w:tcBorders>
            <w:shd w:val="clear" w:color="auto" w:fill="auto"/>
            <w:vAlign w:val="center"/>
            <w:hideMark/>
          </w:tcPr>
          <w:p w:rsidR="00643D1C" w:rsidRPr="00643D1C" w:rsidRDefault="00643D1C" w:rsidP="00643D1C">
            <w:pPr>
              <w:keepNext/>
              <w:keepLines/>
              <w:adjustRightInd/>
              <w:spacing w:before="20" w:after="20" w:line="240" w:lineRule="auto"/>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New approximately 50-mile 345 kV line in separate right-of-way from Brayton Point to K Street substation (or Mystic, if injection is already added at K Street)</w:t>
            </w:r>
          </w:p>
        </w:tc>
      </w:tr>
      <w:tr w:rsidR="00643D1C" w:rsidRPr="00643D1C" w:rsidTr="00CE1B10">
        <w:trPr>
          <w:trHeight w:val="288"/>
          <w:jc w:val="center"/>
        </w:trPr>
        <w:tc>
          <w:tcPr>
            <w:tcW w:w="1257" w:type="dxa"/>
            <w:tcBorders>
              <w:left w:val="single" w:sz="2" w:space="0" w:color="auto"/>
              <w:right w:val="triple" w:sz="4" w:space="0" w:color="auto"/>
            </w:tcBorders>
            <w:shd w:val="clear" w:color="auto" w:fill="DEE4E6" w:themeFill="text1" w:themeFillTint="33"/>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b/>
                <w:color w:val="000000"/>
                <w:sz w:val="16"/>
                <w:szCs w:val="16"/>
              </w:rPr>
            </w:pPr>
            <w:r w:rsidRPr="00643D1C">
              <w:rPr>
                <w:rFonts w:asciiTheme="majorHAnsi" w:hAnsiTheme="majorHAnsi" w:cstheme="majorHAnsi"/>
                <w:b/>
                <w:color w:val="000000"/>
                <w:sz w:val="16"/>
                <w:szCs w:val="16"/>
              </w:rPr>
              <w:t>8,000_4</w:t>
            </w:r>
          </w:p>
        </w:tc>
        <w:tc>
          <w:tcPr>
            <w:tcW w:w="1021" w:type="dxa"/>
            <w:tcBorders>
              <w:left w:val="triple" w:sz="4" w:space="0" w:color="auto"/>
            </w:tcBorders>
            <w:shd w:val="clear" w:color="auto" w:fill="FDE2AB" w:themeFill="accent4" w:themeFillTint="6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2,400</w:t>
            </w:r>
          </w:p>
        </w:tc>
        <w:tc>
          <w:tcPr>
            <w:tcW w:w="1022" w:type="dxa"/>
            <w:shd w:val="clear" w:color="auto" w:fill="FDE2AB" w:themeFill="accent4" w:themeFillTint="6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1,600</w:t>
            </w:r>
          </w:p>
        </w:tc>
        <w:tc>
          <w:tcPr>
            <w:tcW w:w="1021" w:type="dxa"/>
            <w:shd w:val="clear" w:color="auto" w:fill="EC1F25" w:themeFill="accent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2,000</w:t>
            </w:r>
          </w:p>
        </w:tc>
        <w:tc>
          <w:tcPr>
            <w:tcW w:w="1022" w:type="dxa"/>
            <w:shd w:val="clear" w:color="auto" w:fill="FDE2AB" w:themeFill="accent4" w:themeFillTint="6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800</w:t>
            </w:r>
          </w:p>
        </w:tc>
        <w:tc>
          <w:tcPr>
            <w:tcW w:w="747" w:type="dxa"/>
            <w:tcBorders>
              <w:right w:val="single" w:sz="2" w:space="0" w:color="auto"/>
            </w:tcBorders>
            <w:shd w:val="clear" w:color="auto" w:fill="C8EAA3" w:themeFill="accent3" w:themeFillTint="6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1,200</w:t>
            </w:r>
          </w:p>
        </w:tc>
        <w:tc>
          <w:tcPr>
            <w:tcW w:w="747" w:type="dxa"/>
            <w:tcBorders>
              <w:top w:val="single" w:sz="2" w:space="0" w:color="auto"/>
              <w:left w:val="single" w:sz="2" w:space="0" w:color="auto"/>
              <w:bottom w:val="single" w:sz="2" w:space="0" w:color="auto"/>
              <w:right w:val="triple" w:sz="4" w:space="0" w:color="auto"/>
            </w:tcBorders>
            <w:shd w:val="clear" w:color="auto" w:fill="auto"/>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b/>
                <w:color w:val="000000"/>
                <w:sz w:val="16"/>
                <w:szCs w:val="16"/>
              </w:rPr>
            </w:pPr>
            <w:r w:rsidRPr="00643D1C">
              <w:rPr>
                <w:rFonts w:asciiTheme="majorHAnsi" w:hAnsiTheme="majorHAnsi" w:cstheme="majorHAnsi"/>
                <w:b/>
                <w:color w:val="000000"/>
                <w:sz w:val="16"/>
                <w:szCs w:val="16"/>
              </w:rPr>
              <w:t>-</w:t>
            </w:r>
          </w:p>
        </w:tc>
        <w:tc>
          <w:tcPr>
            <w:tcW w:w="855" w:type="dxa"/>
            <w:tcBorders>
              <w:left w:val="triple" w:sz="4" w:space="0" w:color="auto"/>
            </w:tcBorders>
            <w:shd w:val="clear" w:color="auto" w:fill="auto"/>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17</w:t>
            </w:r>
          </w:p>
        </w:tc>
        <w:tc>
          <w:tcPr>
            <w:tcW w:w="855" w:type="dxa"/>
            <w:tcBorders>
              <w:right w:val="triple" w:sz="4" w:space="0" w:color="auto"/>
            </w:tcBorders>
            <w:shd w:val="clear" w:color="auto" w:fill="auto"/>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1</w:t>
            </w:r>
          </w:p>
        </w:tc>
        <w:tc>
          <w:tcPr>
            <w:tcW w:w="2880" w:type="dxa"/>
            <w:tcBorders>
              <w:left w:val="triple" w:sz="4" w:space="0" w:color="auto"/>
            </w:tcBorders>
            <w:shd w:val="clear" w:color="auto" w:fill="auto"/>
            <w:vAlign w:val="center"/>
            <w:hideMark/>
          </w:tcPr>
          <w:p w:rsidR="00643D1C" w:rsidRPr="00643D1C" w:rsidRDefault="00643D1C" w:rsidP="00643D1C">
            <w:pPr>
              <w:keepNext/>
              <w:keepLines/>
              <w:adjustRightInd/>
              <w:spacing w:before="20" w:after="20" w:line="240" w:lineRule="auto"/>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New approximately 30-mile 345 kV line in separate right-of-way from Kent Co, RI, to Sherman Road substation</w:t>
            </w:r>
            <w:r w:rsidRPr="00643D1C">
              <w:rPr>
                <w:rFonts w:asciiTheme="majorHAnsi" w:hAnsiTheme="majorHAnsi" w:cstheme="majorHAnsi"/>
                <w:color w:val="000000"/>
                <w:sz w:val="16"/>
                <w:szCs w:val="16"/>
                <w:vertAlign w:val="superscript"/>
              </w:rPr>
              <w:t>(d)</w:t>
            </w:r>
          </w:p>
        </w:tc>
      </w:tr>
      <w:tr w:rsidR="00643D1C" w:rsidRPr="00643D1C" w:rsidTr="00CE1B10">
        <w:trPr>
          <w:trHeight w:val="288"/>
          <w:jc w:val="center"/>
        </w:trPr>
        <w:tc>
          <w:tcPr>
            <w:tcW w:w="1257" w:type="dxa"/>
            <w:tcBorders>
              <w:left w:val="single" w:sz="2" w:space="0" w:color="auto"/>
              <w:right w:val="triple" w:sz="4" w:space="0" w:color="auto"/>
            </w:tcBorders>
            <w:shd w:val="clear" w:color="auto" w:fill="DEE4E6" w:themeFill="text1" w:themeFillTint="33"/>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b/>
                <w:color w:val="000000"/>
                <w:sz w:val="16"/>
                <w:szCs w:val="16"/>
              </w:rPr>
            </w:pPr>
            <w:r w:rsidRPr="00643D1C">
              <w:rPr>
                <w:rFonts w:asciiTheme="majorHAnsi" w:hAnsiTheme="majorHAnsi" w:cstheme="majorHAnsi"/>
                <w:b/>
                <w:color w:val="000000"/>
                <w:sz w:val="16"/>
                <w:szCs w:val="16"/>
              </w:rPr>
              <w:t>8,000_5</w:t>
            </w:r>
          </w:p>
        </w:tc>
        <w:tc>
          <w:tcPr>
            <w:tcW w:w="1021" w:type="dxa"/>
            <w:tcBorders>
              <w:left w:val="triple" w:sz="4" w:space="0" w:color="auto"/>
            </w:tcBorders>
            <w:shd w:val="clear" w:color="auto" w:fill="FDE2AB" w:themeFill="accent4" w:themeFillTint="6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2,400</w:t>
            </w:r>
          </w:p>
        </w:tc>
        <w:tc>
          <w:tcPr>
            <w:tcW w:w="1022" w:type="dxa"/>
            <w:shd w:val="clear" w:color="auto" w:fill="FDE2AB" w:themeFill="accent4" w:themeFillTint="6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1,600</w:t>
            </w:r>
          </w:p>
        </w:tc>
        <w:tc>
          <w:tcPr>
            <w:tcW w:w="1021" w:type="dxa"/>
            <w:shd w:val="clear" w:color="auto" w:fill="FDE2AB" w:themeFill="accent4" w:themeFillTint="6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1,000</w:t>
            </w:r>
          </w:p>
        </w:tc>
        <w:tc>
          <w:tcPr>
            <w:tcW w:w="1022" w:type="dxa"/>
            <w:shd w:val="clear" w:color="auto" w:fill="EC1F25" w:themeFill="accent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1,800</w:t>
            </w:r>
          </w:p>
        </w:tc>
        <w:tc>
          <w:tcPr>
            <w:tcW w:w="747" w:type="dxa"/>
            <w:tcBorders>
              <w:right w:val="single" w:sz="2" w:space="0" w:color="auto"/>
            </w:tcBorders>
            <w:shd w:val="clear" w:color="auto" w:fill="C8EAA3" w:themeFill="accent3" w:themeFillTint="66"/>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1,200</w:t>
            </w:r>
          </w:p>
        </w:tc>
        <w:tc>
          <w:tcPr>
            <w:tcW w:w="747" w:type="dxa"/>
            <w:tcBorders>
              <w:top w:val="single" w:sz="2" w:space="0" w:color="auto"/>
              <w:left w:val="single" w:sz="2" w:space="0" w:color="auto"/>
              <w:bottom w:val="single" w:sz="2" w:space="0" w:color="auto"/>
              <w:right w:val="triple" w:sz="4" w:space="0" w:color="auto"/>
            </w:tcBorders>
            <w:shd w:val="clear" w:color="auto" w:fill="auto"/>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b/>
                <w:color w:val="000000"/>
                <w:sz w:val="16"/>
                <w:szCs w:val="16"/>
              </w:rPr>
            </w:pPr>
            <w:r w:rsidRPr="00643D1C">
              <w:rPr>
                <w:rFonts w:asciiTheme="majorHAnsi" w:hAnsiTheme="majorHAnsi" w:cstheme="majorHAnsi"/>
                <w:b/>
                <w:color w:val="000000"/>
                <w:sz w:val="16"/>
                <w:szCs w:val="16"/>
              </w:rPr>
              <w:t>-</w:t>
            </w:r>
          </w:p>
        </w:tc>
        <w:tc>
          <w:tcPr>
            <w:tcW w:w="855" w:type="dxa"/>
            <w:tcBorders>
              <w:left w:val="triple" w:sz="4" w:space="0" w:color="auto"/>
            </w:tcBorders>
            <w:shd w:val="clear" w:color="auto" w:fill="auto"/>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17</w:t>
            </w:r>
          </w:p>
        </w:tc>
        <w:tc>
          <w:tcPr>
            <w:tcW w:w="855" w:type="dxa"/>
            <w:tcBorders>
              <w:right w:val="triple" w:sz="4" w:space="0" w:color="auto"/>
            </w:tcBorders>
            <w:shd w:val="clear" w:color="auto" w:fill="auto"/>
            <w:noWrap/>
            <w:vAlign w:val="center"/>
            <w:hideMark/>
          </w:tcPr>
          <w:p w:rsidR="00643D1C" w:rsidRPr="00643D1C" w:rsidRDefault="00643D1C" w:rsidP="00643D1C">
            <w:pPr>
              <w:keepNext/>
              <w:keepLines/>
              <w:adjustRightInd/>
              <w:spacing w:before="20" w:after="20" w:line="240" w:lineRule="auto"/>
              <w:jc w:val="center"/>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1</w:t>
            </w:r>
          </w:p>
        </w:tc>
        <w:tc>
          <w:tcPr>
            <w:tcW w:w="2880" w:type="dxa"/>
            <w:tcBorders>
              <w:left w:val="triple" w:sz="4" w:space="0" w:color="auto"/>
            </w:tcBorders>
            <w:shd w:val="clear" w:color="auto" w:fill="auto"/>
            <w:vAlign w:val="center"/>
            <w:hideMark/>
          </w:tcPr>
          <w:p w:rsidR="00643D1C" w:rsidRPr="00643D1C" w:rsidRDefault="00643D1C" w:rsidP="00643D1C">
            <w:pPr>
              <w:keepNext/>
              <w:keepLines/>
              <w:adjustRightInd/>
              <w:spacing w:before="20" w:after="20" w:line="240" w:lineRule="auto"/>
              <w:textAlignment w:val="auto"/>
              <w:rPr>
                <w:rFonts w:asciiTheme="majorHAnsi" w:hAnsiTheme="majorHAnsi" w:cstheme="majorHAnsi"/>
                <w:color w:val="000000"/>
                <w:sz w:val="16"/>
                <w:szCs w:val="16"/>
              </w:rPr>
            </w:pPr>
            <w:r w:rsidRPr="00643D1C">
              <w:rPr>
                <w:rFonts w:asciiTheme="majorHAnsi" w:hAnsiTheme="majorHAnsi" w:cstheme="majorHAnsi"/>
                <w:color w:val="000000"/>
                <w:sz w:val="16"/>
                <w:szCs w:val="16"/>
              </w:rPr>
              <w:t>New approximately 60-mile 345 kV line from Montville CT, to Southwest CT</w:t>
            </w:r>
          </w:p>
        </w:tc>
      </w:tr>
    </w:tbl>
    <w:p w:rsidR="00643D1C" w:rsidRPr="00643D1C" w:rsidRDefault="00643D1C" w:rsidP="00643D1C">
      <w:pPr>
        <w:keepNext/>
        <w:keepLines/>
        <w:adjustRightInd/>
        <w:spacing w:before="120" w:after="80" w:line="240" w:lineRule="auto"/>
        <w:ind w:left="-990"/>
        <w:textAlignment w:val="auto"/>
        <w:rPr>
          <w:rFonts w:asciiTheme="minorHAnsi" w:eastAsiaTheme="minorHAnsi" w:hAnsiTheme="minorHAnsi" w:cstheme="minorBidi"/>
          <w:sz w:val="16"/>
          <w:szCs w:val="16"/>
        </w:rPr>
      </w:pPr>
      <w:r w:rsidRPr="00643D1C">
        <w:rPr>
          <w:rFonts w:asciiTheme="minorHAnsi" w:eastAsiaTheme="minorHAnsi" w:hAnsiTheme="minorHAnsi" w:cstheme="minorBidi"/>
          <w:sz w:val="16"/>
          <w:szCs w:val="16"/>
        </w:rPr>
        <w:t>(a) Each offshore three-phase AC cable is assumed to be approximately 40–60 miles long and rated for approximately 400 MW, operating at 230–280 kV.</w:t>
      </w:r>
    </w:p>
    <w:p w:rsidR="00643D1C" w:rsidRPr="00643D1C" w:rsidRDefault="00643D1C" w:rsidP="00643D1C">
      <w:pPr>
        <w:keepNext/>
        <w:keepLines/>
        <w:adjustRightInd/>
        <w:spacing w:after="80" w:line="240" w:lineRule="auto"/>
        <w:ind w:left="-990"/>
        <w:textAlignment w:val="auto"/>
        <w:rPr>
          <w:rFonts w:asciiTheme="minorHAnsi" w:eastAsiaTheme="minorHAnsi" w:hAnsiTheme="minorHAnsi" w:cstheme="minorBidi"/>
          <w:sz w:val="16"/>
          <w:szCs w:val="16"/>
        </w:rPr>
      </w:pPr>
      <w:r w:rsidRPr="00643D1C">
        <w:rPr>
          <w:rFonts w:asciiTheme="minorHAnsi" w:eastAsiaTheme="minorHAnsi" w:hAnsiTheme="minorHAnsi" w:cstheme="minorBidi"/>
          <w:sz w:val="16"/>
          <w:szCs w:val="16"/>
        </w:rPr>
        <w:t>(b) Each offshore HVDC cable is assumed to be approximately 150–200 miles long and rated for up to 1,200 MW.</w:t>
      </w:r>
    </w:p>
    <w:p w:rsidR="00643D1C" w:rsidRPr="00643D1C" w:rsidRDefault="00643D1C" w:rsidP="00643D1C">
      <w:pPr>
        <w:keepNext/>
        <w:keepLines/>
        <w:adjustRightInd/>
        <w:spacing w:after="80" w:line="240" w:lineRule="auto"/>
        <w:ind w:left="-990"/>
        <w:textAlignment w:val="auto"/>
        <w:rPr>
          <w:rFonts w:asciiTheme="minorHAnsi" w:eastAsiaTheme="minorHAnsi" w:hAnsiTheme="minorHAnsi" w:cstheme="minorBidi"/>
          <w:sz w:val="16"/>
          <w:szCs w:val="16"/>
        </w:rPr>
      </w:pPr>
      <w:r w:rsidRPr="00643D1C">
        <w:rPr>
          <w:rFonts w:asciiTheme="minorHAnsi" w:eastAsiaTheme="minorHAnsi" w:hAnsiTheme="minorHAnsi" w:cstheme="minorBidi"/>
          <w:sz w:val="16"/>
          <w:szCs w:val="16"/>
        </w:rPr>
        <w:t>(c) Some local 345 kV reinforcement/expansion is still likely to be needed for all interconnection scenarios.</w:t>
      </w:r>
    </w:p>
    <w:p w:rsidR="00643D1C" w:rsidRPr="00643D1C" w:rsidRDefault="00643D1C" w:rsidP="00643D1C">
      <w:pPr>
        <w:keepNext/>
        <w:keepLines/>
        <w:adjustRightInd/>
        <w:spacing w:after="80" w:line="240" w:lineRule="auto"/>
        <w:ind w:left="-990"/>
        <w:textAlignment w:val="auto"/>
        <w:rPr>
          <w:rFonts w:asciiTheme="minorHAnsi" w:eastAsiaTheme="minorHAnsi" w:hAnsiTheme="minorHAnsi" w:cstheme="minorBidi"/>
          <w:sz w:val="16"/>
          <w:szCs w:val="16"/>
        </w:rPr>
      </w:pPr>
      <w:r w:rsidRPr="00643D1C">
        <w:rPr>
          <w:rFonts w:asciiTheme="minorHAnsi" w:eastAsiaTheme="minorHAnsi" w:hAnsiTheme="minorHAnsi" w:cstheme="minorBidi"/>
          <w:sz w:val="16"/>
          <w:szCs w:val="16"/>
        </w:rPr>
        <w:t>(d) Significant congestion would be observed with this offshore wind injection and upgrade when the existing combined-cycle facilities in this part of the system are running.</w:t>
      </w:r>
    </w:p>
    <w:p w:rsidR="00643D1C" w:rsidRPr="00643D1C" w:rsidRDefault="00643D1C" w:rsidP="00643D1C">
      <w:pPr>
        <w:keepNext/>
        <w:keepLines/>
        <w:adjustRightInd/>
        <w:spacing w:before="120" w:after="80" w:line="240" w:lineRule="auto"/>
        <w:ind w:left="-990"/>
        <w:textAlignment w:val="auto"/>
        <w:rPr>
          <w:rFonts w:asciiTheme="minorHAnsi" w:eastAsiaTheme="minorHAnsi" w:hAnsiTheme="minorHAnsi" w:cstheme="minorBidi"/>
          <w:b/>
          <w:sz w:val="16"/>
          <w:szCs w:val="16"/>
        </w:rPr>
      </w:pPr>
      <w:r w:rsidRPr="00643D1C">
        <w:rPr>
          <w:rFonts w:asciiTheme="minorHAnsi" w:eastAsiaTheme="minorHAnsi" w:hAnsiTheme="minorHAnsi" w:cstheme="minorBidi"/>
          <w:b/>
          <w:sz w:val="16"/>
          <w:szCs w:val="16"/>
        </w:rPr>
        <w:t>Injection Level Color Code</w:t>
      </w:r>
    </w:p>
    <w:p w:rsidR="00643D1C" w:rsidRPr="00643D1C" w:rsidRDefault="00643D1C" w:rsidP="00643D1C">
      <w:pPr>
        <w:keepNext/>
        <w:keepLines/>
        <w:adjustRightInd/>
        <w:spacing w:after="80" w:line="240" w:lineRule="auto"/>
        <w:ind w:left="-990"/>
        <w:textAlignment w:val="auto"/>
        <w:rPr>
          <w:rFonts w:asciiTheme="minorHAnsi" w:eastAsiaTheme="minorHAnsi" w:hAnsiTheme="minorHAnsi" w:cstheme="minorBidi"/>
          <w:sz w:val="16"/>
          <w:szCs w:val="16"/>
        </w:rPr>
      </w:pPr>
      <w:r w:rsidRPr="00643D1C">
        <w:rPr>
          <w:rFonts w:asciiTheme="minorHAnsi" w:eastAsiaTheme="minorHAnsi" w:hAnsiTheme="minorHAnsi" w:cstheme="minorBidi"/>
          <w:noProof/>
          <w:sz w:val="16"/>
          <w:szCs w:val="16"/>
        </w:rPr>
        <mc:AlternateContent>
          <mc:Choice Requires="wps">
            <w:drawing>
              <wp:inline distT="0" distB="0" distL="0" distR="0" wp14:anchorId="48CB5545" wp14:editId="3B93132E">
                <wp:extent cx="234086" cy="102413"/>
                <wp:effectExtent l="0" t="0" r="13970" b="1206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86" cy="102413"/>
                        </a:xfrm>
                        <a:prstGeom prst="rect">
                          <a:avLst/>
                        </a:prstGeom>
                        <a:solidFill>
                          <a:srgbClr val="77BD2A">
                            <a:lumMod val="40000"/>
                            <a:lumOff val="60000"/>
                          </a:srgbClr>
                        </a:solidFill>
                        <a:ln w="9525">
                          <a:solidFill>
                            <a:srgbClr val="000000"/>
                          </a:solidFill>
                          <a:miter lim="800000"/>
                          <a:headEnd/>
                          <a:tailEnd/>
                        </a:ln>
                      </wps:spPr>
                      <wps:txbx>
                        <w:txbxContent>
                          <w:sdt>
                            <w:sdtPr>
                              <w:id w:val="568603642"/>
                              <w:temporary/>
                              <w:showingPlcHdr/>
                              <w15:appearance w15:val="hidden"/>
                            </w:sdtPr>
                            <w:sdtEndPr/>
                            <w:sdtContent>
                              <w:p w:rsidR="00FB1216" w:rsidRDefault="00FB1216" w:rsidP="00643D1C">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ctr" anchorCtr="0">
                        <a:noAutofit/>
                      </wps:bodyPr>
                    </wps:wsp>
                  </a:graphicData>
                </a:graphic>
              </wp:inline>
            </w:drawing>
          </mc:Choice>
          <mc:Fallback>
            <w:pict>
              <v:shape w14:anchorId="48CB5545" id="Text Box 2" o:spid="_x0000_s1031" type="#_x0000_t202" style="width:18.45pt;height:8.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HNpRgIAAIcEAAAOAAAAZHJzL2Uyb0RvYy54bWysVNtu2zAMfR+wfxD0vvjSXFqjTpEm6zCg&#10;uwDtPkCR5ViYJHqSErv7+lFSkmUb9jLMD4JIUYfUOaRv70atyEFYJ8HUtJjklAjDoZFmV9Mvzw9v&#10;rilxnpmGKTCipi/C0bvl61e3Q1+JEjpQjbAEQYyrhr6mnfd9lWWOd0IzN4FeGDxswWrm0bS7rLFs&#10;QHStsjLP59kAtuktcOEcejfpkC4jftsK7j+1rROeqJpibT6uNq7bsGbLW1btLOs7yY9lsH+oQjNp&#10;MOkZasM8I3sr/4DSkltw0PoJB51B20ou4hvwNUX+22ueOtaL+BYkx/Vnmtz/g+UfD58tkU1Ny2JB&#10;iWEaRXoWoyf3MJIy8DP0rsKwpx4D/Yhu1Dm+1fWPwL86YmDdMbMTK2th6ARrsL4i3MwuriYcF0C2&#10;wwdoMA3be4hAY2t1IA/pIIiOOr2ctQmlcHSWV9P8ek4Jx6MiL6fFVczAqtPl3jr/ToAmYVNTi9JH&#10;cHZ4dD4Uw6pTSMjlQMnmQSoVDbvbrpUlB4Ztsljcb8pVvKv2GktN7mmOX+oXdGNXJff85EZ8l2Bi&#10;rl/wlSFDTW9m5SwR99fcASxlCXCXYVp6HBQldU2vz0GsCnS/NU1sY8+kSnu8rMyR/0B5It+P2zFJ&#10;fZJ1C80LCmIhzQXOMW46sN8pGXAmauq+7ZkVlKj3BkW9KabTMETRmM4WJRr28mR7ecIMR6iacm8p&#10;Scbax9ELlBtYofytjNKEPkm1HIvGbo8sHiczjNOlHaN+/j+WPwAAAP//AwBQSwMEFAAGAAgAAAAh&#10;APXxMEXZAAAAAwEAAA8AAABkcnMvZG93bnJldi54bWxMj0FLxDAQhe+C/yGM4M1NV6Vobbosgih4&#10;ELd62Nu0GZtiMylNdlv/vaMXvTwY3uO9b8rN4gd1pCn2gQ2sVxko4jbYnjsDb/XDxQ2omJAtDoHJ&#10;wBdF2FSnJyUWNsz8Ssdd6pSUcCzQgEtpLLSOrSOPcRVGYvE+wuQxyTl12k44S7kf9GWW5dpjz7Lg&#10;cKR7R+3n7uAN1Nf7Rj89Dsm9BP28d/V2ecfZmPOzZXsHKtGS/sLwgy/oUAlTEw5soxoMyCPpV8W7&#10;ym9BNZLJ16CrUv9nr74BAAD//wMAUEsBAi0AFAAGAAgAAAAhALaDOJL+AAAA4QEAABMAAAAAAAAA&#10;AAAAAAAAAAAAAFtDb250ZW50X1R5cGVzXS54bWxQSwECLQAUAAYACAAAACEAOP0h/9YAAACUAQAA&#10;CwAAAAAAAAAAAAAAAAAvAQAAX3JlbHMvLnJlbHNQSwECLQAUAAYACAAAACEA5RhzaUYCAACHBAAA&#10;DgAAAAAAAAAAAAAAAAAuAgAAZHJzL2Uyb0RvYy54bWxQSwECLQAUAAYACAAAACEA9fEwRdkAAAAD&#10;AQAADwAAAAAAAAAAAAAAAACgBAAAZHJzL2Rvd25yZXYueG1sUEsFBgAAAAAEAAQA8wAAAKYFAAAA&#10;AA==&#10;" fillcolor="#c9eba4">
                <v:textbox>
                  <w:txbxContent>
                    <w:sdt>
                      <w:sdtPr>
                        <w:id w:val="568603642"/>
                        <w:temporary/>
                        <w:showingPlcHdr/>
                        <w15:appearance w15:val="hidden"/>
                      </w:sdtPr>
                      <w:sdtContent>
                        <w:p w:rsidR="00FB1216" w:rsidRDefault="00FB1216" w:rsidP="00643D1C">
                          <w:r>
                            <w:t>[Grab your reader’s attention with a great quote from the document or use this space to emphasize a key point. To place this text box anywhere on the page, just drag it.]</w:t>
                          </w:r>
                        </w:p>
                      </w:sdtContent>
                    </w:sdt>
                  </w:txbxContent>
                </v:textbox>
                <w10:anchorlock/>
              </v:shape>
            </w:pict>
          </mc:Fallback>
        </mc:AlternateContent>
      </w:r>
      <w:r w:rsidRPr="00643D1C">
        <w:rPr>
          <w:rFonts w:asciiTheme="minorHAnsi" w:eastAsiaTheme="minorHAnsi" w:hAnsiTheme="minorHAnsi" w:cstheme="minorBidi"/>
          <w:sz w:val="16"/>
          <w:szCs w:val="16"/>
        </w:rPr>
        <w:t xml:space="preserve"> Injection level is below the level where major infrastructure beyond the local interconnection area would be needed.</w:t>
      </w:r>
    </w:p>
    <w:p w:rsidR="00643D1C" w:rsidRDefault="00643D1C" w:rsidP="00643D1C">
      <w:pPr>
        <w:keepNext/>
        <w:keepLines/>
        <w:adjustRightInd/>
        <w:spacing w:after="80" w:line="240" w:lineRule="auto"/>
        <w:ind w:left="-990"/>
        <w:textAlignment w:val="auto"/>
        <w:rPr>
          <w:rFonts w:asciiTheme="minorHAnsi" w:eastAsiaTheme="minorHAnsi" w:hAnsiTheme="minorHAnsi" w:cstheme="minorBidi"/>
          <w:sz w:val="16"/>
          <w:szCs w:val="16"/>
        </w:rPr>
      </w:pPr>
      <w:r w:rsidRPr="00643D1C">
        <w:rPr>
          <w:rFonts w:asciiTheme="minorHAnsi" w:eastAsiaTheme="minorHAnsi" w:hAnsiTheme="minorHAnsi" w:cstheme="minorBidi"/>
          <w:noProof/>
          <w:sz w:val="16"/>
          <w:szCs w:val="16"/>
        </w:rPr>
        <mc:AlternateContent>
          <mc:Choice Requires="wps">
            <w:drawing>
              <wp:inline distT="0" distB="0" distL="0" distR="0" wp14:anchorId="1453A0C2" wp14:editId="674AEC2B">
                <wp:extent cx="234086" cy="102413"/>
                <wp:effectExtent l="0" t="0" r="13970" b="1206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86" cy="102413"/>
                        </a:xfrm>
                        <a:prstGeom prst="rect">
                          <a:avLst/>
                        </a:prstGeom>
                        <a:solidFill>
                          <a:schemeClr val="accent4">
                            <a:lumMod val="40000"/>
                            <a:lumOff val="60000"/>
                          </a:schemeClr>
                        </a:solidFill>
                        <a:ln w="9525">
                          <a:solidFill>
                            <a:srgbClr val="000000"/>
                          </a:solidFill>
                          <a:miter lim="800000"/>
                          <a:headEnd/>
                          <a:tailEnd/>
                        </a:ln>
                      </wps:spPr>
                      <wps:txbx>
                        <w:txbxContent>
                          <w:sdt>
                            <w:sdtPr>
                              <w:id w:val="-1631546515"/>
                              <w:temporary/>
                              <w:showingPlcHdr/>
                              <w15:appearance w15:val="hidden"/>
                            </w:sdtPr>
                            <w:sdtEndPr/>
                            <w:sdtContent>
                              <w:p w:rsidR="00FB1216" w:rsidRDefault="00FB1216" w:rsidP="00643D1C">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ctr" anchorCtr="0">
                        <a:noAutofit/>
                      </wps:bodyPr>
                    </wps:wsp>
                  </a:graphicData>
                </a:graphic>
              </wp:inline>
            </w:drawing>
          </mc:Choice>
          <mc:Fallback>
            <w:pict>
              <v:shape w14:anchorId="1453A0C2" id="_x0000_s1032" type="#_x0000_t202" style="width:18.45pt;height:8.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38USQIAAIoEAAAOAAAAZHJzL2Uyb0RvYy54bWysVNtu2zAMfR+wfxD0vthxnSw16hRduw4D&#10;ugvQ7gMYWY6FSaInKbGzrx8lp1m6vQ3zgyCS4uHlkL66Ho1me+m8Qlvz+SznTFqBjbLbmn97un+z&#10;4swHsA1otLLmB+n59fr1q6uhr2SBHepGOkYg1ldDX/MuhL7KMi86acDPsJeWjC06A4FEt80aBwOh&#10;G50Veb7MBnRN71BI70l7Nxn5OuG3rRThS9t6GZiuOeUW0unSuYlntr6Cauug75Q4pgH/kIUBZSno&#10;CeoOArCdU39BGSUcemzDTKDJsG2VkKkGqmae/1HNYwe9TLVQc3x/apP/f7Di8/6rY6qp+QVnFgxR&#10;9CTHwN7hyIrYnaH3FT167OlZGElNLKdKff+A4rtnFm87sFt54xwOnYSGsptHz+zMdcLxEWQzfMKG&#10;wsAuYAIaW2di66gZjNCJpcOJmZiKIGVxUearJWeCTPO8KOcXKQJUz8698+GDRMPipeaOiE/gsH/w&#10;ISYD1fOTGMujVs290joJcdjkrXZsDzQmIIS0oUzuemco20lf5vRNA0NqGqtJvXxWU4g0thEpBXwR&#10;RFs21PxyUSwS8Aubd9vNKXyEm+JEwPM8jQq0K1qZmq9Oj6CKPX9vmzTJAZSe7uSs7ZGE2PeJgTBu&#10;xiPbR2432ByIFYfTatAq06VD95Ozgdai5v7HDpzkTH+0xOzlvCzjHiWhXLwtSHDnls25BawgqJqL&#10;4DibhNuQti/23eINzUCrEj9xWKZcjknTwKcuHpczbtS5nF79/oWsfwEAAP//AwBQSwMEFAAGAAgA&#10;AAAhABFKVJ3YAAAAAwEAAA8AAABkcnMvZG93bnJldi54bWxMjkFLw0AQhe9C/8MyBW92U4WoMZtS&#10;iiIiCG29eJtmxySanY3ZbZP8e0cvehl4vI83X74aXatO1IfGs4HlIgFFXHrbcGXgdf9wcQMqRGSL&#10;rWcyMFGAVTE7yzGzfuAtnXaxUjLCIUMDdYxdpnUoa3IYFr4jlu7d9w6jxL7StsdBxl2rL5Mk1Q4b&#10;lg81drSpqfzcHZ2B5MtfR/304bfPNEyPb/cT7l8mY87n4/oOVKQx/sHwoy/qUIjTwR/ZBtXKhnC/&#10;V7qr9BbUQZh0CbrI9X/34hsAAP//AwBQSwECLQAUAAYACAAAACEAtoM4kv4AAADhAQAAEwAAAAAA&#10;AAAAAAAAAAAAAAAAW0NvbnRlbnRfVHlwZXNdLnhtbFBLAQItABQABgAIAAAAIQA4/SH/1gAAAJQB&#10;AAALAAAAAAAAAAAAAAAAAC8BAABfcmVscy8ucmVsc1BLAQItABQABgAIAAAAIQAtn38USQIAAIoE&#10;AAAOAAAAAAAAAAAAAAAAAC4CAABkcnMvZTJvRG9jLnhtbFBLAQItABQABgAIAAAAIQARSlSd2AAA&#10;AAMBAAAPAAAAAAAAAAAAAAAAAKMEAABkcnMvZG93bnJldi54bWxQSwUGAAAAAAQABADzAAAAqAUA&#10;AAAA&#10;" fillcolor="#fde2ab [1303]">
                <v:textbox>
                  <w:txbxContent>
                    <w:sdt>
                      <w:sdtPr>
                        <w:id w:val="-1631546515"/>
                        <w:temporary/>
                        <w:showingPlcHdr/>
                        <w15:appearance w15:val="hidden"/>
                      </w:sdtPr>
                      <w:sdtContent>
                        <w:p w:rsidR="00FB1216" w:rsidRDefault="00FB1216" w:rsidP="00643D1C">
                          <w:r>
                            <w:t>[Grab your reader’s attention with a great quote from the document or use this space to emphasize a key point. To place this text box anywhere on the page, just drag it.]</w:t>
                          </w:r>
                        </w:p>
                      </w:sdtContent>
                    </w:sdt>
                  </w:txbxContent>
                </v:textbox>
                <w10:anchorlock/>
              </v:shape>
            </w:pict>
          </mc:Fallback>
        </mc:AlternateContent>
      </w:r>
      <w:r w:rsidRPr="00643D1C">
        <w:rPr>
          <w:rFonts w:asciiTheme="minorHAnsi" w:eastAsiaTheme="minorHAnsi" w:hAnsiTheme="minorHAnsi" w:cstheme="minorBidi"/>
          <w:sz w:val="16"/>
          <w:szCs w:val="16"/>
        </w:rPr>
        <w:t xml:space="preserve"> Injection level is at the limit above which major infrastructure beyond the local interconnection area would be needed for additional injections</w:t>
      </w:r>
    </w:p>
    <w:p w:rsidR="002A6D54" w:rsidRDefault="00643D1C" w:rsidP="00643D1C">
      <w:pPr>
        <w:keepNext/>
        <w:keepLines/>
        <w:adjustRightInd/>
        <w:spacing w:after="80" w:line="240" w:lineRule="auto"/>
        <w:ind w:left="-990"/>
        <w:textAlignment w:val="auto"/>
        <w:rPr>
          <w:rFonts w:asciiTheme="minorHAnsi" w:eastAsiaTheme="minorHAnsi" w:hAnsiTheme="minorHAnsi" w:cstheme="minorBidi"/>
          <w:sz w:val="16"/>
          <w:szCs w:val="16"/>
        </w:rPr>
      </w:pPr>
      <w:r w:rsidRPr="00643D1C">
        <w:rPr>
          <w:rFonts w:asciiTheme="minorHAnsi" w:eastAsiaTheme="minorHAnsi" w:hAnsiTheme="minorHAnsi" w:cstheme="minorBidi"/>
          <w:noProof/>
          <w:sz w:val="16"/>
          <w:szCs w:val="16"/>
        </w:rPr>
        <mc:AlternateContent>
          <mc:Choice Requires="wps">
            <w:drawing>
              <wp:inline distT="0" distB="0" distL="0" distR="0" wp14:anchorId="40532894" wp14:editId="51489260">
                <wp:extent cx="234086" cy="102413"/>
                <wp:effectExtent l="0" t="0" r="13970" b="1206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86" cy="102413"/>
                        </a:xfrm>
                        <a:prstGeom prst="rect">
                          <a:avLst/>
                        </a:prstGeom>
                        <a:solidFill>
                          <a:srgbClr val="EC1F25"/>
                        </a:solidFill>
                        <a:ln w="9525">
                          <a:solidFill>
                            <a:srgbClr val="000000"/>
                          </a:solidFill>
                          <a:miter lim="800000"/>
                          <a:headEnd/>
                          <a:tailEnd/>
                        </a:ln>
                      </wps:spPr>
                      <wps:txbx>
                        <w:txbxContent>
                          <w:sdt>
                            <w:sdtPr>
                              <w:id w:val="-2074115923"/>
                              <w:temporary/>
                              <w:showingPlcHdr/>
                              <w15:appearance w15:val="hidden"/>
                            </w:sdtPr>
                            <w:sdtEndPr/>
                            <w:sdtContent>
                              <w:p w:rsidR="00FB1216" w:rsidRDefault="00FB1216" w:rsidP="00643D1C">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ctr" anchorCtr="0">
                        <a:noAutofit/>
                      </wps:bodyPr>
                    </wps:wsp>
                  </a:graphicData>
                </a:graphic>
              </wp:inline>
            </w:drawing>
          </mc:Choice>
          <mc:Fallback>
            <w:pict>
              <v:shape w14:anchorId="40532894" id="_x0000_s1033" type="#_x0000_t202" style="width:18.45pt;height:8.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EbKAIAAEwEAAAOAAAAZHJzL2Uyb0RvYy54bWysVNtu2zAMfR+wfxD0vvhSp0uNOEWXNsOA&#10;7gK0+wBZlmNhkuhJSuzs60vJaZpdsIdhfhBEkTo8PKS8vB61InthnQRT0WyWUiIMh0aabUW/Pm7e&#10;LChxnpmGKTCiogfh6PXq9avl0Jcihw5UIyxBEOPKoa9o531fJonjndDMzaAXBp0tWM08mnabNJYN&#10;iK5VkqfpZTKAbXoLXDiHp7eTk64iftsK7j+3rROeqIoiNx9XG9c6rMlqycqtZX0n+ZEG+wcWmkmD&#10;SU9Qt8wzsrPyNygtuQUHrZ9x0Am0reQi1oDVZOkv1Tx0rBexFhTH9SeZ3P+D5Z/2XyyRTUVzSgzT&#10;2KJHMXryDkaSB3WG3pUY9NBjmB/xGLscK3X9PfBvjhhYd8xsxY21MHSCNcguCzeTs6sTjgsg9fAR&#10;GkzDdh4i0NhaHaRDMQiiY5cOp84EKhwP84siXVxSwtGVpXmRXcQMrHy+3Fvn3wvQJGwqarHxEZzt&#10;750PZFj5HBJyOVCy2UilomG39VpZsmc4JHfrbJPPj+g/hSlDhopezdH7d4g0fn+C0NLjtCupK7o4&#10;BbEyqHZnmjiLnkk17ZGyMkcZg3KThn6sx9ivIiQIEtfQHFBXC9Nw42PETQf2ByUDDnZF3fcds4IS&#10;9cFgb66yoggvIRrF/G2Ohj331OceZjhCVZR7S8lkrH18P0EDAzfYxVZGhV+4HEnjyEbhj88rvIlz&#10;O0a9/ARWTwAAAP//AwBQSwMEFAAGAAgAAAAhAGyFI73dAAAAAwEAAA8AAABkcnMvZG93bnJldi54&#10;bWxMj0FrwkAQhe8F/8Myhd7qRoVQ02xEtMUeCkUrgrc1O92EZmfT7Kqxv77TXuzlwfAe732Tz3rX&#10;iBN2ofakYDRMQCCV3tRkFWzfn+8fQISoyejGEyq4YIBZMbjJdWb8mdZ42kQruIRCphVUMbaZlKGs&#10;0Okw9C0Sex++czry2VlpOn3mctfIcZKk0umaeKHSLS4qLD83R6fgzX6/PG1X7rL6mk9q+7pb7hdy&#10;qdTdbT9/BBGxj9cw/OIzOhTMdPBHMkE0CviR+KfsTdIpiANn0hHIIpf/2YsfAAAA//8DAFBLAQIt&#10;ABQABgAIAAAAIQC2gziS/gAAAOEBAAATAAAAAAAAAAAAAAAAAAAAAABbQ29udGVudF9UeXBlc10u&#10;eG1sUEsBAi0AFAAGAAgAAAAhADj9If/WAAAAlAEAAAsAAAAAAAAAAAAAAAAALwEAAF9yZWxzLy5y&#10;ZWxzUEsBAi0AFAAGAAgAAAAhAECTMRsoAgAATAQAAA4AAAAAAAAAAAAAAAAALgIAAGRycy9lMm9E&#10;b2MueG1sUEsBAi0AFAAGAAgAAAAhAGyFI73dAAAAAwEAAA8AAAAAAAAAAAAAAAAAggQAAGRycy9k&#10;b3ducmV2LnhtbFBLBQYAAAAABAAEAPMAAACMBQAAAAA=&#10;" fillcolor="#ec1f25">
                <v:textbox>
                  <w:txbxContent>
                    <w:sdt>
                      <w:sdtPr>
                        <w:id w:val="-2074115923"/>
                        <w:temporary/>
                        <w:showingPlcHdr/>
                        <w15:appearance w15:val="hidden"/>
                      </w:sdtPr>
                      <w:sdtContent>
                        <w:p w:rsidR="00FB1216" w:rsidRDefault="00FB1216" w:rsidP="00643D1C">
                          <w:r>
                            <w:t>[Grab your reader’s attention with a great quote from the document or use this space to emphasize a key point. To place this text box anywhere on the page, just drag it.]</w:t>
                          </w:r>
                        </w:p>
                      </w:sdtContent>
                    </w:sdt>
                  </w:txbxContent>
                </v:textbox>
                <w10:anchorlock/>
              </v:shape>
            </w:pict>
          </mc:Fallback>
        </mc:AlternateContent>
      </w:r>
      <w:r w:rsidRPr="00643D1C">
        <w:rPr>
          <w:rFonts w:asciiTheme="minorHAnsi" w:eastAsiaTheme="minorHAnsi" w:hAnsiTheme="minorHAnsi" w:cstheme="minorBidi"/>
          <w:sz w:val="16"/>
          <w:szCs w:val="16"/>
        </w:rPr>
        <w:t xml:space="preserve"> Injection level is above the level where major infrastructure beyond the local interconnection area would be needed.</w:t>
      </w:r>
    </w:p>
    <w:p w:rsidR="00643D1C" w:rsidRPr="00566F24" w:rsidRDefault="00643D1C" w:rsidP="00643D1C">
      <w:pPr>
        <w:keepNext/>
        <w:keepLines/>
        <w:adjustRightInd/>
        <w:spacing w:after="80" w:line="240" w:lineRule="auto"/>
        <w:ind w:left="-990"/>
        <w:textAlignment w:val="auto"/>
      </w:pPr>
    </w:p>
    <w:p w:rsidR="00220C46" w:rsidRPr="00566F24" w:rsidRDefault="002B53C4" w:rsidP="00B5661F">
      <w:pPr>
        <w:pStyle w:val="Heading4"/>
      </w:pPr>
      <w:r w:rsidRPr="00566F24">
        <w:t>Alternatives in the Marketplace</w:t>
      </w:r>
    </w:p>
    <w:p w:rsidR="00076F5F" w:rsidRPr="00E712DA" w:rsidRDefault="00076F5F" w:rsidP="00076F5F">
      <w:r w:rsidRPr="00E712DA">
        <w:t xml:space="preserve">The offshore wind sector is in a very dynamic phase of evolution and limited component cost data </w:t>
      </w:r>
      <w:r w:rsidR="002B53C4" w:rsidRPr="00E712DA">
        <w:t>are</w:t>
      </w:r>
      <w:r w:rsidRPr="00E712DA">
        <w:t xml:space="preserve"> available. Recent procurement announcements have signaled continued reductions in overall project costs. The ISO has no reliable data on current projects o</w:t>
      </w:r>
      <w:r w:rsidR="00D939AB">
        <w:t>n the scale of what is modeled in this study</w:t>
      </w:r>
      <w:r w:rsidRPr="00E712DA">
        <w:t>.</w:t>
      </w:r>
    </w:p>
    <w:p w:rsidR="00076F5F" w:rsidRPr="00E712DA" w:rsidRDefault="00076F5F" w:rsidP="00076F5F">
      <w:r w:rsidRPr="00E712DA">
        <w:t>This study explored two alternative approaches for continued interconnection beyond the initial 5,800 MW</w:t>
      </w:r>
      <w:r w:rsidR="002B53C4" w:rsidRPr="00E712DA">
        <w:t>:</w:t>
      </w:r>
    </w:p>
    <w:p w:rsidR="00076F5F" w:rsidRPr="00E712DA" w:rsidRDefault="00076F5F" w:rsidP="002B53C4">
      <w:pPr>
        <w:pStyle w:val="ListParagraph"/>
        <w:numPr>
          <w:ilvl w:val="0"/>
          <w:numId w:val="36"/>
        </w:numPr>
      </w:pPr>
      <w:r w:rsidRPr="00E712DA">
        <w:t>Additional offshore AC connections with significant onshore transmission upgrades</w:t>
      </w:r>
    </w:p>
    <w:p w:rsidR="00076F5F" w:rsidRPr="00E712DA" w:rsidRDefault="00076F5F" w:rsidP="00E712DA">
      <w:pPr>
        <w:pStyle w:val="ListParagraph"/>
        <w:numPr>
          <w:ilvl w:val="0"/>
          <w:numId w:val="36"/>
        </w:numPr>
        <w:spacing w:after="240"/>
      </w:pPr>
      <w:r w:rsidRPr="00E712DA">
        <w:t>Offshore HVDC connections that bypass onshore grid constraints</w:t>
      </w:r>
    </w:p>
    <w:p w:rsidR="00076F5F" w:rsidRPr="00E712DA" w:rsidRDefault="00076F5F" w:rsidP="00076F5F">
      <w:r w:rsidRPr="00E712DA">
        <w:t xml:space="preserve">The overall cost of each approach could be comparable. Under each approach, estimates of the overall transmission component could be $1 </w:t>
      </w:r>
      <w:r w:rsidR="00E348BC" w:rsidRPr="00E712DA">
        <w:t>b</w:t>
      </w:r>
      <w:r w:rsidRPr="00E712DA">
        <w:t>illion or more</w:t>
      </w:r>
      <w:r w:rsidR="002B53C4" w:rsidRPr="00E712DA">
        <w:t xml:space="preserve"> </w:t>
      </w:r>
      <w:r w:rsidRPr="00E712DA">
        <w:t xml:space="preserve">for each 1,200 MW addition. But actual costs are highly </w:t>
      </w:r>
      <w:r w:rsidRPr="00E712DA">
        <w:lastRenderedPageBreak/>
        <w:t>dependent on the specific circumstances of each project, especially for the onshore AC expansion, which will be location-specific</w:t>
      </w:r>
      <w:r w:rsidR="002B53C4" w:rsidRPr="00E712DA">
        <w:t>.</w:t>
      </w:r>
    </w:p>
    <w:p w:rsidR="00FF1DDA" w:rsidRPr="00FF1DDA" w:rsidRDefault="001A6BC5" w:rsidP="00076F5F">
      <w:r>
        <w:t>C</w:t>
      </w:r>
      <w:r w:rsidR="00076F5F" w:rsidRPr="00E712DA">
        <w:t>onsider</w:t>
      </w:r>
      <w:r>
        <w:t>ing</w:t>
      </w:r>
      <w:r w:rsidR="00076F5F" w:rsidRPr="00E712DA">
        <w:t xml:space="preserve"> both alternatives for any prospective project </w:t>
      </w:r>
      <w:r>
        <w:t xml:space="preserve">is appropriate </w:t>
      </w:r>
      <w:r w:rsidR="00076F5F" w:rsidRPr="00E712DA">
        <w:t>because of the project-specific costs and the continued rapid evolution of offshore wind development costs.</w:t>
      </w:r>
    </w:p>
    <w:p w:rsidR="00803F1A" w:rsidRPr="00BD2B3A" w:rsidRDefault="00977DD4">
      <w:pPr>
        <w:pStyle w:val="Heading1"/>
      </w:pPr>
      <w:bookmarkStart w:id="119" w:name="_Ref166224595"/>
      <w:bookmarkStart w:id="120" w:name="_Toc173682315"/>
      <w:bookmarkStart w:id="121" w:name="_Ref462056355"/>
      <w:bookmarkStart w:id="122" w:name="_Ref476319046"/>
      <w:r>
        <w:lastRenderedPageBreak/>
        <w:br/>
      </w:r>
      <w:bookmarkStart w:id="123" w:name="_Toc44412059"/>
      <w:bookmarkEnd w:id="119"/>
      <w:bookmarkEnd w:id="120"/>
      <w:bookmarkEnd w:id="121"/>
      <w:bookmarkEnd w:id="122"/>
      <w:r w:rsidR="001E44EB">
        <w:t>Summary</w:t>
      </w:r>
      <w:bookmarkEnd w:id="123"/>
      <w:r w:rsidR="00803F1A" w:rsidRPr="00BD2B3A">
        <w:t xml:space="preserve"> </w:t>
      </w:r>
    </w:p>
    <w:p w:rsidR="001E44EB" w:rsidRPr="001572F2" w:rsidRDefault="001E44EB" w:rsidP="001E44EB">
      <w:r w:rsidRPr="009A0A73">
        <w:t xml:space="preserve">This section summarizes the </w:t>
      </w:r>
      <w:r w:rsidR="003B1495">
        <w:t xml:space="preserve">results of the </w:t>
      </w:r>
      <w:r>
        <w:t xml:space="preserve">NESCOE 2019 Economic Study that </w:t>
      </w:r>
      <w:r w:rsidRPr="007175D2">
        <w:t>assess</w:t>
      </w:r>
      <w:r>
        <w:t>ed</w:t>
      </w:r>
      <w:r w:rsidRPr="007175D2">
        <w:t xml:space="preserve"> </w:t>
      </w:r>
      <w:r w:rsidRPr="001E1293">
        <w:t>the effects of</w:t>
      </w:r>
      <w:r>
        <w:t xml:space="preserve"> different offshore </w:t>
      </w:r>
      <w:r w:rsidRPr="00843BAF">
        <w:t>wind-expansion scen</w:t>
      </w:r>
      <w:r>
        <w:t>arios</w:t>
      </w:r>
      <w:r w:rsidRPr="001E1293">
        <w:t xml:space="preserve"> on the future electric power system</w:t>
      </w:r>
      <w:r>
        <w:t xml:space="preserve"> in New </w:t>
      </w:r>
      <w:r w:rsidRPr="00BD2B3A">
        <w:t xml:space="preserve">England. </w:t>
      </w:r>
      <w:r>
        <w:t xml:space="preserve">The results </w:t>
      </w:r>
      <w:r w:rsidR="003B1495">
        <w:t>for</w:t>
      </w:r>
      <w:r w:rsidRPr="001572F2">
        <w:t xml:space="preserve"> </w:t>
      </w:r>
      <w:r>
        <w:t xml:space="preserve">several </w:t>
      </w:r>
      <w:r w:rsidRPr="001572F2">
        <w:t>scenarios</w:t>
      </w:r>
      <w:r>
        <w:t xml:space="preserve"> and four sensitives</w:t>
      </w:r>
      <w:r w:rsidRPr="001572F2">
        <w:t xml:space="preserve"> provide useful information when considered as a whole</w:t>
      </w:r>
      <w:r w:rsidR="00D939AB">
        <w:t>. The most relevant observations of the NESCOE 2019 Economic Study are as follows</w:t>
      </w:r>
      <w:r w:rsidRPr="001572F2">
        <w:t>:</w:t>
      </w:r>
    </w:p>
    <w:p w:rsidR="001E44EB" w:rsidRPr="001572F2" w:rsidRDefault="00255289" w:rsidP="00843BAF">
      <w:pPr>
        <w:pStyle w:val="ListParagraph"/>
        <w:numPr>
          <w:ilvl w:val="0"/>
          <w:numId w:val="21"/>
        </w:numPr>
        <w:spacing w:line="240" w:lineRule="auto"/>
      </w:pPr>
      <w:r>
        <w:t>T</w:t>
      </w:r>
      <w:r w:rsidR="001E44EB" w:rsidRPr="001572F2">
        <w:t xml:space="preserve">he significant potential for spilling </w:t>
      </w:r>
      <w:r w:rsidR="001E44EB">
        <w:t>offshore wind</w:t>
      </w:r>
      <w:r w:rsidR="001E44EB" w:rsidRPr="001572F2">
        <w:t xml:space="preserve"> energy </w:t>
      </w:r>
    </w:p>
    <w:p w:rsidR="00D939AB" w:rsidRDefault="00255289" w:rsidP="00843BAF">
      <w:pPr>
        <w:pStyle w:val="ListParagraph"/>
        <w:numPr>
          <w:ilvl w:val="0"/>
          <w:numId w:val="21"/>
        </w:numPr>
        <w:spacing w:line="240" w:lineRule="auto"/>
      </w:pPr>
      <w:r>
        <w:t>T</w:t>
      </w:r>
      <w:r w:rsidR="001E44EB" w:rsidRPr="001572F2">
        <w:t>he degree of resource development capable of achieving carbon</w:t>
      </w:r>
      <w:r>
        <w:t>-</w:t>
      </w:r>
      <w:r w:rsidR="001E44EB" w:rsidRPr="001572F2">
        <w:t>reduction goals</w:t>
      </w:r>
    </w:p>
    <w:p w:rsidR="001E44EB" w:rsidRDefault="00D939AB" w:rsidP="00843BAF">
      <w:pPr>
        <w:pStyle w:val="ListParagraph"/>
        <w:numPr>
          <w:ilvl w:val="0"/>
          <w:numId w:val="21"/>
        </w:numPr>
        <w:spacing w:after="240" w:line="240" w:lineRule="auto"/>
      </w:pPr>
      <w:r>
        <w:t>Transmission interconnection alternatives for as much as 8,000 M</w:t>
      </w:r>
      <w:r w:rsidR="00843BAF">
        <w:t>W</w:t>
      </w:r>
      <w:r>
        <w:t xml:space="preserve"> of offshore wind</w:t>
      </w:r>
      <w:r w:rsidR="001E44EB">
        <w:t xml:space="preserve"> </w:t>
      </w:r>
    </w:p>
    <w:p w:rsidR="001E44EB" w:rsidRDefault="00D939AB" w:rsidP="001E44EB">
      <w:r>
        <w:t>T</w:t>
      </w:r>
      <w:r w:rsidR="001E44EB">
        <w:t xml:space="preserve">he </w:t>
      </w:r>
      <w:r w:rsidR="003B1495">
        <w:t xml:space="preserve">results </w:t>
      </w:r>
      <w:r w:rsidR="001E44EB">
        <w:t>revealed that s</w:t>
      </w:r>
      <w:r w:rsidR="001E44EB" w:rsidRPr="00B13496">
        <w:t>pillage is very similar</w:t>
      </w:r>
      <w:r w:rsidR="00255289">
        <w:t>,</w:t>
      </w:r>
      <w:r w:rsidR="001E44EB" w:rsidRPr="00B13496">
        <w:t xml:space="preserve"> regardless of </w:t>
      </w:r>
      <w:r w:rsidR="001E44EB">
        <w:t xml:space="preserve">the </w:t>
      </w:r>
      <w:r w:rsidR="001E44EB" w:rsidRPr="00B13496">
        <w:t xml:space="preserve">interconnection points </w:t>
      </w:r>
      <w:r w:rsidR="001E44EB">
        <w:t>in southern New England</w:t>
      </w:r>
      <w:r w:rsidR="0036470B">
        <w:t>, with t</w:t>
      </w:r>
      <w:r w:rsidR="001E44EB" w:rsidRPr="00A235C6">
        <w:t>he rate of spillage increas</w:t>
      </w:r>
      <w:r w:rsidR="0036470B">
        <w:t>ing</w:t>
      </w:r>
      <w:r w:rsidR="001E44EB" w:rsidRPr="00A235C6">
        <w:t xml:space="preserve"> as offshore wind buildout increases</w:t>
      </w:r>
      <w:r w:rsidR="00BF1EA7">
        <w:t xml:space="preserve">. </w:t>
      </w:r>
      <w:r w:rsidR="0036470B">
        <w:t>M</w:t>
      </w:r>
      <w:r w:rsidR="001E44EB">
        <w:t>ost s</w:t>
      </w:r>
      <w:r w:rsidR="001E44EB" w:rsidRPr="00A235C6">
        <w:t xml:space="preserve">pillage </w:t>
      </w:r>
      <w:r w:rsidR="001E44EB">
        <w:t xml:space="preserve">is </w:t>
      </w:r>
      <w:r w:rsidR="001E44EB" w:rsidRPr="00A235C6">
        <w:t>attributed to oversupply</w:t>
      </w:r>
      <w:r w:rsidR="001E44EB">
        <w:t xml:space="preserve"> when loads are lower, not transmission congestion</w:t>
      </w:r>
      <w:r w:rsidR="00BF1EA7">
        <w:t xml:space="preserve">. </w:t>
      </w:r>
      <w:r w:rsidR="001E44EB">
        <w:t>S</w:t>
      </w:r>
      <w:r w:rsidR="001E44EB" w:rsidRPr="00B46E4F">
        <w:t xml:space="preserve">pillage varies </w:t>
      </w:r>
      <w:r w:rsidR="001E44EB" w:rsidRPr="007D6CCB">
        <w:t>significantly</w:t>
      </w:r>
      <w:r w:rsidR="001E44EB">
        <w:t xml:space="preserve"> by month</w:t>
      </w:r>
      <w:r w:rsidR="0036470B">
        <w:t>,</w:t>
      </w:r>
      <w:r w:rsidR="001E44EB">
        <w:t xml:space="preserve"> from 0.15 to 2.</w:t>
      </w:r>
      <w:r w:rsidR="0036470B">
        <w:t>69 </w:t>
      </w:r>
      <w:r w:rsidR="001E44EB">
        <w:t>TWh</w:t>
      </w:r>
      <w:r w:rsidR="003B1495">
        <w:t>,</w:t>
      </w:r>
      <w:r w:rsidR="001E44EB">
        <w:t xml:space="preserve"> due to the </w:t>
      </w:r>
      <w:r w:rsidR="001E44EB" w:rsidRPr="000E66CA">
        <w:t>interaction of wind, solar, and load profiles</w:t>
      </w:r>
      <w:r w:rsidR="00BF1EA7">
        <w:t xml:space="preserve">. </w:t>
      </w:r>
      <w:r w:rsidR="001E44EB">
        <w:t xml:space="preserve">The </w:t>
      </w:r>
      <w:r w:rsidR="001E44EB" w:rsidRPr="007D6CCB">
        <w:t>least</w:t>
      </w:r>
      <w:r w:rsidR="001E44EB">
        <w:t xml:space="preserve"> amount of spillage in the 8,</w:t>
      </w:r>
      <w:r w:rsidR="0036470B">
        <w:t>000 </w:t>
      </w:r>
      <w:r w:rsidR="001E44EB">
        <w:t>MW</w:t>
      </w:r>
      <w:r w:rsidR="001E44EB" w:rsidRPr="00B46E4F">
        <w:t xml:space="preserve"> scenario </w:t>
      </w:r>
      <w:r w:rsidR="001E44EB">
        <w:t xml:space="preserve">occurred in the summer months of July and </w:t>
      </w:r>
      <w:r w:rsidR="001E44EB" w:rsidRPr="00A235C6">
        <w:t>August</w:t>
      </w:r>
      <w:r w:rsidR="001E44EB">
        <w:t xml:space="preserve"> when demand is generally high. </w:t>
      </w:r>
      <w:r>
        <w:t xml:space="preserve">The </w:t>
      </w:r>
      <w:r w:rsidR="00843BAF">
        <w:t>s</w:t>
      </w:r>
      <w:r>
        <w:t>tudy did not consider measures to address spillage of offshore wind energy. However, when New England has oversupply, using energy storage or selling energy to neighboring control a</w:t>
      </w:r>
      <w:r w:rsidRPr="00843BAF">
        <w:t xml:space="preserve">reas may be an alternative </w:t>
      </w:r>
      <w:r w:rsidR="00E771CF" w:rsidRPr="00843BAF">
        <w:t xml:space="preserve">to </w:t>
      </w:r>
      <w:r w:rsidRPr="00843BAF">
        <w:t>reduc</w:t>
      </w:r>
      <w:r w:rsidR="00E771CF" w:rsidRPr="00843BAF">
        <w:t xml:space="preserve">e </w:t>
      </w:r>
      <w:r w:rsidRPr="00843BAF">
        <w:t>spillage.</w:t>
      </w:r>
    </w:p>
    <w:p w:rsidR="00E771CF" w:rsidRPr="00E771CF" w:rsidRDefault="00E771CF" w:rsidP="001E44EB">
      <w:r>
        <w:t>The study of environmental impacts associated with different levels of offshore wind additions provide insight on future emission trends. The total CO</w:t>
      </w:r>
      <w:r w:rsidRPr="00843BAF">
        <w:rPr>
          <w:vertAlign w:val="subscript"/>
        </w:rPr>
        <w:t>2</w:t>
      </w:r>
      <w:r w:rsidRPr="00843BAF">
        <w:t xml:space="preserve"> </w:t>
      </w:r>
      <w:r>
        <w:t>emissions associated with the different scenarios analyzed in this study are directly tied to the type and amount of fossil fuels modeled. Carbon dioxide emissions were reduced by approximately one-third in the 8,000 MW offshore wind scenarios compared with the Reference Case of 0 MW of offshore wind. Additionally, the results indicated that CO</w:t>
      </w:r>
      <w:r w:rsidRPr="00843BAF">
        <w:rPr>
          <w:vertAlign w:val="subscript"/>
        </w:rPr>
        <w:t>2</w:t>
      </w:r>
      <w:r>
        <w:t xml:space="preserve"> emissions are highest in July and August when wind and solar production are lowest and loads are at their highest.</w:t>
      </w:r>
    </w:p>
    <w:p w:rsidR="00731545" w:rsidRDefault="00E771CF" w:rsidP="001E44EB">
      <w:r>
        <w:t xml:space="preserve">Another important </w:t>
      </w:r>
      <w:r w:rsidR="001E44EB">
        <w:t>finding of this study was that</w:t>
      </w:r>
      <w:r w:rsidR="00FC6390">
        <w:t>,</w:t>
      </w:r>
      <w:r w:rsidR="001E44EB">
        <w:t xml:space="preserve"> based on the expected transmission topology for the 2030 study year, approximately 5,800 MW of new offshore wind has the potential to be interconnected in southern New England without </w:t>
      </w:r>
      <w:r w:rsidR="0036470B">
        <w:t xml:space="preserve">needing </w:t>
      </w:r>
      <w:r w:rsidR="001E44EB">
        <w:t xml:space="preserve">major additional 345 kV reinforcements. Adding additional offshore wind (above the base scenario of 5,800 MW) would require significant transmission reinforcements that may be difficult to site and expensive to build. However, </w:t>
      </w:r>
      <w:r w:rsidR="0036470B">
        <w:t xml:space="preserve">the study </w:t>
      </w:r>
      <w:r w:rsidR="003B1495">
        <w:t xml:space="preserve">also </w:t>
      </w:r>
      <w:r w:rsidR="0036470B">
        <w:t>explore</w:t>
      </w:r>
      <w:r w:rsidR="0036470B" w:rsidRPr="00F82BC4">
        <w:t xml:space="preserve">d </w:t>
      </w:r>
      <w:r w:rsidR="001E44EB" w:rsidRPr="00F82BC4">
        <w:t>options to interconnect offshore wind to the Mystic and K Street substations in Boston</w:t>
      </w:r>
      <w:r w:rsidR="00BF1EA7">
        <w:t xml:space="preserve">. </w:t>
      </w:r>
      <w:r w:rsidR="001E44EB">
        <w:t xml:space="preserve">The ISO determined </w:t>
      </w:r>
      <w:r w:rsidR="0036470B">
        <w:t xml:space="preserve">that </w:t>
      </w:r>
      <w:r w:rsidR="001E44EB">
        <w:t>the use of HVDC connections into Boston could avoid significant onshore transmission upgrades</w:t>
      </w:r>
      <w:r w:rsidR="0036470B">
        <w:t>,</w:t>
      </w:r>
      <w:r w:rsidR="001E44EB">
        <w:t xml:space="preserve"> and an additional 2,2</w:t>
      </w:r>
      <w:r w:rsidR="001E44EB" w:rsidRPr="00566F24">
        <w:t xml:space="preserve">00 MW could </w:t>
      </w:r>
      <w:r w:rsidR="0036470B" w:rsidRPr="00566F24">
        <w:t xml:space="preserve">be </w:t>
      </w:r>
      <w:r w:rsidR="001E44EB" w:rsidRPr="00566F24">
        <w:t>interconnected to key area</w:t>
      </w:r>
      <w:r w:rsidR="0036470B" w:rsidRPr="00566F24">
        <w:t>s</w:t>
      </w:r>
      <w:r w:rsidR="001E44EB" w:rsidRPr="00566F24">
        <w:t xml:space="preserve"> </w:t>
      </w:r>
      <w:r w:rsidR="0036470B" w:rsidRPr="00566F24">
        <w:t>in</w:t>
      </w:r>
      <w:r w:rsidR="001E44EB" w:rsidRPr="00566F24">
        <w:t xml:space="preserve"> the region. </w:t>
      </w:r>
    </w:p>
    <w:p w:rsidR="001E44EB" w:rsidRDefault="00E771CF" w:rsidP="00731545">
      <w:r>
        <w:t>Because the offshore wind sector is evolving, and component cost data are not readily available, the ISO had no reliable data to estimate interconnection costs as NESCOE requested.</w:t>
      </w:r>
      <w:r w:rsidR="00731545">
        <w:t xml:space="preserve"> However, the ISO believes the overall cost of each interconnection approach is comparable and may cost $1 billion or more for each 1,200 MW addition</w:t>
      </w:r>
      <w:r w:rsidR="008D0304">
        <w:t xml:space="preserve"> above 5,800 MW of installed offshore wind capacity</w:t>
      </w:r>
      <w:r w:rsidR="00731545">
        <w:t>. But actual costs are highly dependent on the specific circumstances of each project, especially for the onshore AC expansion, which will be location-specific.</w:t>
      </w:r>
      <w:r w:rsidR="00076F5F" w:rsidRPr="00076F5F">
        <w:t xml:space="preserve"> </w:t>
      </w:r>
    </w:p>
    <w:p w:rsidR="00635C26" w:rsidRPr="00675A2D" w:rsidRDefault="001E44EB" w:rsidP="00E712DA">
      <w:r>
        <w:t xml:space="preserve">Offshore wind additions are beneficial to reduce the New England carbon footprint but are less flexible </w:t>
      </w:r>
      <w:r w:rsidR="00731545">
        <w:t xml:space="preserve">and </w:t>
      </w:r>
      <w:r>
        <w:t>weather depende</w:t>
      </w:r>
      <w:r w:rsidRPr="00BE77E5">
        <w:t>nt</w:t>
      </w:r>
      <w:r w:rsidRPr="00E712DA">
        <w:t>.</w:t>
      </w:r>
      <w:r>
        <w:t xml:space="preserve"> Renewables are anticipated to replace fossil-fuel resources as they retire</w:t>
      </w:r>
      <w:r w:rsidR="00731545">
        <w:t xml:space="preserve">. Understanding the feasibility and market impacts of offshore wind expansion in New England is essential. </w:t>
      </w:r>
      <w:r>
        <w:t>The 2019 NESCOE Economic Study illustrates that as much as 8,</w:t>
      </w:r>
      <w:r w:rsidR="00B1742A">
        <w:t>000 </w:t>
      </w:r>
      <w:r>
        <w:t>MW of offshore wind can be interconnected with</w:t>
      </w:r>
      <w:r w:rsidR="00731545">
        <w:t xml:space="preserve">out the </w:t>
      </w:r>
      <w:r w:rsidR="00731545">
        <w:lastRenderedPageBreak/>
        <w:t xml:space="preserve">need for significant </w:t>
      </w:r>
      <w:r>
        <w:t xml:space="preserve">transmission reinforcements and </w:t>
      </w:r>
      <w:r w:rsidR="00731545">
        <w:t xml:space="preserve">would result in </w:t>
      </w:r>
      <w:r>
        <w:t xml:space="preserve">minimal spillage during the summer months when demand is high. </w:t>
      </w:r>
    </w:p>
    <w:sectPr w:rsidR="00635C26" w:rsidRPr="00675A2D" w:rsidSect="00222C81">
      <w:footerReference w:type="default" r:id="rId51"/>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49E3" w:rsidRDefault="00CC49E3">
      <w:r>
        <w:separator/>
      </w:r>
    </w:p>
    <w:p w:rsidR="00CC49E3" w:rsidRDefault="00CC49E3"/>
    <w:p w:rsidR="00CC49E3" w:rsidRDefault="00CC49E3"/>
    <w:p w:rsidR="00CC49E3" w:rsidRDefault="00CC49E3"/>
    <w:p w:rsidR="00CC49E3" w:rsidRDefault="00CC49E3"/>
    <w:p w:rsidR="00CC49E3" w:rsidRDefault="00CC49E3"/>
    <w:p w:rsidR="00CC49E3" w:rsidRDefault="00CC49E3"/>
    <w:p w:rsidR="00CC49E3" w:rsidRDefault="00CC49E3"/>
    <w:p w:rsidR="00CC49E3" w:rsidRDefault="00CC49E3"/>
    <w:p w:rsidR="00CC49E3" w:rsidRDefault="00CC49E3"/>
    <w:p w:rsidR="00CC49E3" w:rsidRDefault="00CC49E3"/>
    <w:p w:rsidR="00CC49E3" w:rsidRDefault="00CC49E3"/>
    <w:p w:rsidR="00CC49E3" w:rsidRDefault="00CC49E3"/>
    <w:p w:rsidR="00CC49E3" w:rsidRDefault="00CC49E3"/>
    <w:p w:rsidR="00CC49E3" w:rsidRDefault="00CC49E3"/>
    <w:p w:rsidR="00CC49E3" w:rsidRDefault="00CC49E3"/>
    <w:p w:rsidR="00CC49E3" w:rsidRDefault="00CC49E3"/>
    <w:p w:rsidR="00CC49E3" w:rsidRDefault="00CC49E3"/>
    <w:p w:rsidR="00CC49E3" w:rsidRDefault="00CC49E3"/>
    <w:p w:rsidR="00CC49E3" w:rsidRDefault="00CC49E3"/>
    <w:p w:rsidR="00CC49E3" w:rsidRDefault="00CC49E3"/>
    <w:p w:rsidR="00CC49E3" w:rsidRDefault="00CC49E3"/>
    <w:p w:rsidR="00CC49E3" w:rsidRDefault="00CC49E3"/>
    <w:p w:rsidR="00CC49E3" w:rsidRDefault="00CC49E3"/>
  </w:endnote>
  <w:endnote w:type="continuationSeparator" w:id="0">
    <w:p w:rsidR="00CC49E3" w:rsidRDefault="00CC49E3">
      <w:r>
        <w:continuationSeparator/>
      </w:r>
    </w:p>
    <w:p w:rsidR="00CC49E3" w:rsidRDefault="00CC49E3"/>
    <w:p w:rsidR="00CC49E3" w:rsidRDefault="00CC49E3"/>
    <w:p w:rsidR="00CC49E3" w:rsidRDefault="00CC49E3"/>
    <w:p w:rsidR="00CC49E3" w:rsidRDefault="00CC49E3"/>
    <w:p w:rsidR="00CC49E3" w:rsidRDefault="00CC49E3"/>
    <w:p w:rsidR="00CC49E3" w:rsidRDefault="00CC49E3"/>
    <w:p w:rsidR="00CC49E3" w:rsidRDefault="00CC49E3"/>
    <w:p w:rsidR="00CC49E3" w:rsidRDefault="00CC49E3"/>
    <w:p w:rsidR="00CC49E3" w:rsidRDefault="00CC49E3"/>
    <w:p w:rsidR="00CC49E3" w:rsidRDefault="00CC49E3"/>
    <w:p w:rsidR="00CC49E3" w:rsidRDefault="00CC49E3"/>
    <w:p w:rsidR="00CC49E3" w:rsidRDefault="00CC49E3"/>
    <w:p w:rsidR="00CC49E3" w:rsidRDefault="00CC49E3"/>
    <w:p w:rsidR="00CC49E3" w:rsidRDefault="00CC49E3"/>
    <w:p w:rsidR="00CC49E3" w:rsidRDefault="00CC49E3"/>
    <w:p w:rsidR="00CC49E3" w:rsidRDefault="00CC49E3"/>
    <w:p w:rsidR="00CC49E3" w:rsidRDefault="00CC49E3"/>
    <w:p w:rsidR="00CC49E3" w:rsidRDefault="00CC49E3"/>
    <w:p w:rsidR="00CC49E3" w:rsidRDefault="00CC49E3"/>
    <w:p w:rsidR="00CC49E3" w:rsidRDefault="00CC49E3"/>
    <w:p w:rsidR="00CC49E3" w:rsidRDefault="00CC49E3"/>
    <w:p w:rsidR="00CC49E3" w:rsidRDefault="00CC49E3"/>
    <w:p w:rsidR="00CC49E3" w:rsidRDefault="00CC49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hitney-Book">
    <w:altName w:val="Whitney Book"/>
    <w:panose1 w:val="00000000000000000000"/>
    <w:charset w:val="4D"/>
    <w:family w:val="auto"/>
    <w:notTrueType/>
    <w:pitch w:val="default"/>
    <w:sig w:usb0="00000003" w:usb1="00000000" w:usb2="00000000" w:usb3="00000000" w:csb0="00000001" w:csb1="00000000"/>
  </w:font>
  <w:font w:name="OpenSans-Bold">
    <w:altName w:val="Open Sans"/>
    <w:charset w:val="00"/>
    <w:family w:val="auto"/>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32A6" w:rsidRDefault="00B032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216" w:rsidRPr="00E1050A" w:rsidRDefault="00FB1216" w:rsidP="00D85494">
    <w:pPr>
      <w:tabs>
        <w:tab w:val="left" w:pos="1480"/>
      </w:tabs>
      <w:adjustRightInd/>
      <w:spacing w:after="0" w:line="240" w:lineRule="auto"/>
      <w:textAlignment w:val="auto"/>
      <w:rPr>
        <w:rFonts w:eastAsia="Calibr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32A6" w:rsidRDefault="00B032A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216" w:rsidRPr="00E1050A" w:rsidRDefault="00FB1216" w:rsidP="00D85494">
    <w:pPr>
      <w:tabs>
        <w:tab w:val="center" w:pos="4680"/>
        <w:tab w:val="right" w:pos="9360"/>
      </w:tabs>
      <w:adjustRightInd/>
      <w:spacing w:after="0" w:line="240" w:lineRule="auto"/>
      <w:jc w:val="center"/>
      <w:textAlignment w:val="auto"/>
      <w:rPr>
        <w:rFonts w:eastAsia="Calibri"/>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216" w:rsidRDefault="00FB1216" w:rsidP="00A7198B">
    <w:pPr>
      <w:tabs>
        <w:tab w:val="center" w:pos="7200"/>
        <w:tab w:val="right" w:pos="9000"/>
      </w:tabs>
      <w:adjustRightInd/>
      <w:spacing w:after="0" w:line="240" w:lineRule="auto"/>
      <w:textAlignment w:val="auto"/>
      <w:rPr>
        <w:rFonts w:eastAsia="Calibri"/>
        <w:sz w:val="16"/>
        <w:szCs w:val="16"/>
      </w:rPr>
    </w:pPr>
    <w:r w:rsidRPr="00A7198B">
      <w:rPr>
        <w:rFonts w:eastAsia="Calibri"/>
        <w:i/>
        <w:sz w:val="16"/>
        <w:szCs w:val="16"/>
      </w:rPr>
      <w:t>2019 Economic Study:</w:t>
    </w:r>
    <w:r>
      <w:rPr>
        <w:rFonts w:eastAsia="Calibri"/>
        <w:i/>
        <w:sz w:val="16"/>
        <w:szCs w:val="16"/>
      </w:rPr>
      <w:t xml:space="preserve">  </w:t>
    </w:r>
    <w:r w:rsidRPr="00A7198B">
      <w:rPr>
        <w:rFonts w:eastAsia="Calibri"/>
        <w:i/>
        <w:sz w:val="16"/>
        <w:szCs w:val="16"/>
      </w:rPr>
      <w:t>Offshore Wind Integration</w:t>
    </w:r>
    <w:r w:rsidDel="00381209">
      <w:rPr>
        <w:rFonts w:eastAsia="Calibri"/>
        <w:i/>
        <w:sz w:val="16"/>
        <w:szCs w:val="16"/>
      </w:rPr>
      <w:t xml:space="preserve"> </w:t>
    </w:r>
    <w:r>
      <w:rPr>
        <w:rFonts w:eastAsia="Calibri"/>
        <w:i/>
        <w:sz w:val="16"/>
        <w:szCs w:val="16"/>
      </w:rPr>
      <w:t xml:space="preserve"> </w:t>
    </w:r>
    <w:r>
      <w:rPr>
        <w:rFonts w:eastAsia="Calibri"/>
        <w:i/>
        <w:sz w:val="16"/>
        <w:szCs w:val="16"/>
      </w:rPr>
      <w:tab/>
      <w:t xml:space="preserve">                                                                                      </w:t>
    </w:r>
    <w:r w:rsidRPr="00AB7EAC">
      <w:rPr>
        <w:rFonts w:eastAsia="Calibri"/>
        <w:sz w:val="16"/>
        <w:szCs w:val="16"/>
      </w:rPr>
      <w:t>pag</w:t>
    </w:r>
    <w:r>
      <w:rPr>
        <w:rFonts w:eastAsia="Calibri"/>
        <w:sz w:val="16"/>
        <w:szCs w:val="16"/>
      </w:rPr>
      <w:t>e</w:t>
    </w:r>
    <w:r w:rsidRPr="00AB7EAC">
      <w:rPr>
        <w:rFonts w:eastAsia="Calibri"/>
        <w:sz w:val="16"/>
        <w:szCs w:val="16"/>
      </w:rPr>
      <w:t xml:space="preserve"> </w:t>
    </w:r>
    <w:r w:rsidRPr="00AB7EAC">
      <w:rPr>
        <w:rFonts w:eastAsia="Calibri"/>
        <w:sz w:val="16"/>
        <w:szCs w:val="16"/>
      </w:rPr>
      <w:fldChar w:fldCharType="begin"/>
    </w:r>
    <w:r w:rsidRPr="00AB7EAC">
      <w:rPr>
        <w:rFonts w:eastAsia="Calibri"/>
        <w:sz w:val="16"/>
        <w:szCs w:val="16"/>
      </w:rPr>
      <w:instrText xml:space="preserve"> PAGE   \* MERGEFORMAT </w:instrText>
    </w:r>
    <w:r w:rsidRPr="00AB7EAC">
      <w:rPr>
        <w:rFonts w:eastAsia="Calibri"/>
        <w:sz w:val="16"/>
        <w:szCs w:val="16"/>
      </w:rPr>
      <w:fldChar w:fldCharType="separate"/>
    </w:r>
    <w:r w:rsidR="00B032A6">
      <w:rPr>
        <w:rFonts w:eastAsia="Calibri"/>
        <w:noProof/>
        <w:sz w:val="16"/>
        <w:szCs w:val="16"/>
      </w:rPr>
      <w:t>iii</w:t>
    </w:r>
    <w:r w:rsidRPr="00AB7EAC">
      <w:rPr>
        <w:rFonts w:eastAsia="Calibri"/>
        <w:noProof/>
        <w:sz w:val="16"/>
        <w:szCs w:val="16"/>
      </w:rPr>
      <w:fldChar w:fldCharType="end"/>
    </w:r>
    <w:r w:rsidRPr="00AB7EAC">
      <w:rPr>
        <w:rFonts w:eastAsia="Calibri"/>
        <w:sz w:val="16"/>
        <w:szCs w:val="16"/>
      </w:rPr>
      <w:tab/>
    </w:r>
  </w:p>
  <w:p w:rsidR="00FB1216" w:rsidRDefault="00FB1216" w:rsidP="00D85494">
    <w:pPr>
      <w:tabs>
        <w:tab w:val="left" w:pos="1480"/>
      </w:tabs>
      <w:adjustRightInd/>
      <w:spacing w:after="0" w:line="240" w:lineRule="auto"/>
      <w:textAlignment w:val="auto"/>
      <w:rPr>
        <w:rFonts w:eastAsia="Calibri"/>
        <w:sz w:val="16"/>
        <w:szCs w:val="16"/>
      </w:rPr>
    </w:pPr>
    <w:r>
      <w:rPr>
        <w:rFonts w:eastAsia="Calibri"/>
        <w:sz w:val="16"/>
        <w:szCs w:val="16"/>
      </w:rPr>
      <w:tab/>
    </w:r>
  </w:p>
  <w:p w:rsidR="00FB1216" w:rsidRPr="00E1050A" w:rsidRDefault="00FB1216" w:rsidP="00D85494">
    <w:pPr>
      <w:tabs>
        <w:tab w:val="center" w:pos="4680"/>
        <w:tab w:val="right" w:pos="9360"/>
      </w:tabs>
      <w:adjustRightInd/>
      <w:spacing w:after="0" w:line="240" w:lineRule="auto"/>
      <w:jc w:val="center"/>
      <w:textAlignment w:val="auto"/>
      <w:rPr>
        <w:rFonts w:eastAsia="Calibri"/>
        <w:sz w:val="16"/>
        <w:szCs w:val="16"/>
      </w:rPr>
    </w:pPr>
    <w:r w:rsidRPr="00AB7EAC">
      <w:rPr>
        <w:rFonts w:eastAsia="Calibri"/>
        <w:sz w:val="16"/>
        <w:szCs w:val="16"/>
      </w:rPr>
      <w:t>ISO-NE</w:t>
    </w:r>
    <w:r w:rsidRPr="002166B7">
      <w:rPr>
        <w:rFonts w:eastAsia="Calibri"/>
        <w:sz w:val="16"/>
        <w:szCs w:val="16"/>
      </w:rPr>
      <w:t xml:space="preserve"> </w:t>
    </w:r>
    <w:r>
      <w:rPr>
        <w:rFonts w:eastAsia="Calibri"/>
        <w:sz w:val="16"/>
        <w:szCs w:val="16"/>
      </w:rPr>
      <w:t>PUBLIC</w:t>
    </w:r>
    <w:r w:rsidRPr="00AB7EAC">
      <w:rPr>
        <w:rFonts w:eastAsia="Calibri"/>
        <w:sz w:val="16"/>
        <w:szCs w:val="16"/>
      </w:rPr>
      <w:t xml:space="preserve"> USE</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216" w:rsidRDefault="00FB1216" w:rsidP="00A7198B">
    <w:pPr>
      <w:tabs>
        <w:tab w:val="center" w:pos="7200"/>
        <w:tab w:val="right" w:pos="9000"/>
      </w:tabs>
      <w:adjustRightInd/>
      <w:spacing w:after="0" w:line="240" w:lineRule="auto"/>
      <w:textAlignment w:val="auto"/>
      <w:rPr>
        <w:rFonts w:eastAsia="Calibri"/>
        <w:noProof/>
        <w:sz w:val="16"/>
        <w:szCs w:val="16"/>
      </w:rPr>
    </w:pPr>
    <w:r w:rsidRPr="00A7198B">
      <w:rPr>
        <w:rFonts w:eastAsia="Calibri"/>
        <w:i/>
        <w:sz w:val="16"/>
        <w:szCs w:val="16"/>
      </w:rPr>
      <w:t>2019 Economic Study:</w:t>
    </w:r>
    <w:r>
      <w:rPr>
        <w:rFonts w:eastAsia="Calibri"/>
        <w:i/>
        <w:sz w:val="16"/>
        <w:szCs w:val="16"/>
      </w:rPr>
      <w:t xml:space="preserve">  </w:t>
    </w:r>
    <w:r w:rsidRPr="00A7198B">
      <w:rPr>
        <w:rFonts w:eastAsia="Calibri"/>
        <w:i/>
        <w:sz w:val="16"/>
        <w:szCs w:val="16"/>
      </w:rPr>
      <w:t>Offshore Wind Integration</w:t>
    </w:r>
    <w:r w:rsidDel="00381209">
      <w:rPr>
        <w:rFonts w:eastAsia="Calibri"/>
        <w:i/>
        <w:sz w:val="16"/>
        <w:szCs w:val="16"/>
      </w:rPr>
      <w:t xml:space="preserve"> </w:t>
    </w:r>
    <w:r>
      <w:rPr>
        <w:rFonts w:eastAsia="Calibri"/>
        <w:i/>
        <w:sz w:val="16"/>
        <w:szCs w:val="16"/>
      </w:rPr>
      <w:t xml:space="preserve"> </w:t>
    </w:r>
    <w:r w:rsidDel="00381209">
      <w:rPr>
        <w:rFonts w:eastAsia="Calibri"/>
        <w:i/>
        <w:sz w:val="16"/>
        <w:szCs w:val="16"/>
      </w:rPr>
      <w:t xml:space="preserve"> </w:t>
    </w:r>
    <w:r>
      <w:rPr>
        <w:rFonts w:eastAsia="Calibri"/>
        <w:i/>
        <w:sz w:val="16"/>
        <w:szCs w:val="16"/>
      </w:rPr>
      <w:t xml:space="preserve">                                                                                       </w:t>
    </w:r>
    <w:r>
      <w:rPr>
        <w:rFonts w:eastAsia="Calibri"/>
        <w:i/>
        <w:sz w:val="16"/>
        <w:szCs w:val="16"/>
      </w:rPr>
      <w:tab/>
    </w:r>
    <w:r>
      <w:rPr>
        <w:rFonts w:eastAsia="Calibri"/>
        <w:i/>
        <w:sz w:val="16"/>
        <w:szCs w:val="16"/>
      </w:rPr>
      <w:tab/>
      <w:t xml:space="preserve"> </w:t>
    </w:r>
    <w:r w:rsidRPr="00AB7EAC">
      <w:rPr>
        <w:rFonts w:eastAsia="Calibri"/>
        <w:sz w:val="16"/>
        <w:szCs w:val="16"/>
      </w:rPr>
      <w:t>pag</w:t>
    </w:r>
    <w:r>
      <w:rPr>
        <w:rFonts w:eastAsia="Calibri"/>
        <w:sz w:val="16"/>
        <w:szCs w:val="16"/>
      </w:rPr>
      <w:t>e</w:t>
    </w:r>
    <w:r w:rsidRPr="00AB7EAC">
      <w:rPr>
        <w:rFonts w:eastAsia="Calibri"/>
        <w:sz w:val="16"/>
        <w:szCs w:val="16"/>
      </w:rPr>
      <w:t xml:space="preserve"> </w:t>
    </w:r>
    <w:r w:rsidRPr="00AB7EAC">
      <w:rPr>
        <w:rFonts w:eastAsia="Calibri"/>
        <w:sz w:val="16"/>
        <w:szCs w:val="16"/>
      </w:rPr>
      <w:fldChar w:fldCharType="begin"/>
    </w:r>
    <w:r w:rsidRPr="00AB7EAC">
      <w:rPr>
        <w:rFonts w:eastAsia="Calibri"/>
        <w:sz w:val="16"/>
        <w:szCs w:val="16"/>
      </w:rPr>
      <w:instrText xml:space="preserve"> PAGE   \* MERGEFORMAT </w:instrText>
    </w:r>
    <w:r w:rsidRPr="00AB7EAC">
      <w:rPr>
        <w:rFonts w:eastAsia="Calibri"/>
        <w:sz w:val="16"/>
        <w:szCs w:val="16"/>
      </w:rPr>
      <w:fldChar w:fldCharType="separate"/>
    </w:r>
    <w:r w:rsidR="00B032A6">
      <w:rPr>
        <w:rFonts w:eastAsia="Calibri"/>
        <w:noProof/>
        <w:sz w:val="16"/>
        <w:szCs w:val="16"/>
      </w:rPr>
      <w:t>v</w:t>
    </w:r>
    <w:r w:rsidRPr="00AB7EAC">
      <w:rPr>
        <w:rFonts w:eastAsia="Calibri"/>
        <w:noProof/>
        <w:sz w:val="16"/>
        <w:szCs w:val="16"/>
      </w:rPr>
      <w:fldChar w:fldCharType="end"/>
    </w:r>
  </w:p>
  <w:p w:rsidR="00FB1216" w:rsidRDefault="00FB1216" w:rsidP="00A7198B">
    <w:pPr>
      <w:tabs>
        <w:tab w:val="center" w:pos="7920"/>
        <w:tab w:val="right" w:pos="9360"/>
      </w:tabs>
      <w:adjustRightInd/>
      <w:spacing w:after="0" w:line="240" w:lineRule="auto"/>
      <w:textAlignment w:val="auto"/>
      <w:rPr>
        <w:rFonts w:eastAsia="Calibri"/>
        <w:sz w:val="16"/>
        <w:szCs w:val="16"/>
      </w:rPr>
    </w:pPr>
  </w:p>
  <w:p w:rsidR="00FB1216" w:rsidRPr="00E1050A" w:rsidRDefault="00FB1216" w:rsidP="00381209">
    <w:pPr>
      <w:tabs>
        <w:tab w:val="center" w:pos="4680"/>
        <w:tab w:val="right" w:pos="9360"/>
      </w:tabs>
      <w:adjustRightInd/>
      <w:spacing w:after="0" w:line="240" w:lineRule="auto"/>
      <w:jc w:val="center"/>
      <w:textAlignment w:val="auto"/>
      <w:rPr>
        <w:rFonts w:eastAsia="Calibri"/>
        <w:sz w:val="16"/>
        <w:szCs w:val="16"/>
      </w:rPr>
    </w:pPr>
    <w:r w:rsidRPr="00AB7EAC">
      <w:rPr>
        <w:rFonts w:eastAsia="Calibri"/>
        <w:sz w:val="16"/>
        <w:szCs w:val="16"/>
      </w:rPr>
      <w:t xml:space="preserve">ISO-NE </w:t>
    </w:r>
    <w:r>
      <w:rPr>
        <w:rFonts w:eastAsia="Calibri"/>
        <w:sz w:val="16"/>
        <w:szCs w:val="16"/>
      </w:rPr>
      <w:t>PUBLIC</w:t>
    </w:r>
    <w:r w:rsidRPr="00AB7EAC">
      <w:rPr>
        <w:rFonts w:eastAsia="Calibri"/>
        <w:sz w:val="16"/>
        <w:szCs w:val="16"/>
      </w:rPr>
      <w:t xml:space="preserve"> USE</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216" w:rsidRDefault="00FB1216">
    <w:r>
      <w:cr/>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216" w:rsidRDefault="00FB1216" w:rsidP="003F3B1F">
    <w:pPr>
      <w:tabs>
        <w:tab w:val="center" w:pos="7200"/>
        <w:tab w:val="right" w:pos="9000"/>
      </w:tabs>
      <w:adjustRightInd/>
      <w:spacing w:after="0" w:line="240" w:lineRule="auto"/>
      <w:textAlignment w:val="auto"/>
      <w:rPr>
        <w:rFonts w:eastAsia="Calibri"/>
        <w:noProof/>
        <w:sz w:val="16"/>
        <w:szCs w:val="16"/>
      </w:rPr>
    </w:pPr>
    <w:r w:rsidRPr="00A7198B">
      <w:rPr>
        <w:rFonts w:eastAsia="Calibri"/>
        <w:i/>
        <w:sz w:val="16"/>
        <w:szCs w:val="16"/>
      </w:rPr>
      <w:t>2019 Economic Study:</w:t>
    </w:r>
    <w:r>
      <w:rPr>
        <w:rFonts w:eastAsia="Calibri"/>
        <w:i/>
        <w:sz w:val="16"/>
        <w:szCs w:val="16"/>
      </w:rPr>
      <w:t xml:space="preserve">  </w:t>
    </w:r>
    <w:r w:rsidRPr="00A7198B">
      <w:rPr>
        <w:rFonts w:eastAsia="Calibri"/>
        <w:i/>
        <w:sz w:val="16"/>
        <w:szCs w:val="16"/>
      </w:rPr>
      <w:t>Offshore Wind Integration</w:t>
    </w:r>
    <w:r w:rsidDel="00381209">
      <w:rPr>
        <w:rFonts w:eastAsia="Calibri"/>
        <w:i/>
        <w:sz w:val="16"/>
        <w:szCs w:val="16"/>
      </w:rPr>
      <w:t xml:space="preserve"> </w:t>
    </w:r>
    <w:r>
      <w:rPr>
        <w:rFonts w:eastAsia="Calibri"/>
        <w:i/>
        <w:sz w:val="16"/>
        <w:szCs w:val="16"/>
      </w:rPr>
      <w:t xml:space="preserve"> </w:t>
    </w:r>
    <w:r w:rsidDel="00381209">
      <w:rPr>
        <w:rFonts w:eastAsia="Calibri"/>
        <w:i/>
        <w:sz w:val="16"/>
        <w:szCs w:val="16"/>
      </w:rPr>
      <w:t xml:space="preserve"> </w:t>
    </w:r>
    <w:r>
      <w:rPr>
        <w:rFonts w:eastAsia="Calibri"/>
        <w:i/>
        <w:sz w:val="16"/>
        <w:szCs w:val="16"/>
      </w:rPr>
      <w:t xml:space="preserve">                                                                                       </w:t>
    </w:r>
    <w:r>
      <w:rPr>
        <w:rFonts w:eastAsia="Calibri"/>
        <w:i/>
        <w:sz w:val="16"/>
        <w:szCs w:val="16"/>
      </w:rPr>
      <w:tab/>
    </w:r>
    <w:r>
      <w:rPr>
        <w:rFonts w:eastAsia="Calibri"/>
        <w:i/>
        <w:sz w:val="16"/>
        <w:szCs w:val="16"/>
      </w:rPr>
      <w:tab/>
      <w:t xml:space="preserve"> </w:t>
    </w:r>
    <w:r w:rsidRPr="00AB7EAC">
      <w:rPr>
        <w:rFonts w:eastAsia="Calibri"/>
        <w:sz w:val="16"/>
        <w:szCs w:val="16"/>
      </w:rPr>
      <w:t>pag</w:t>
    </w:r>
    <w:r>
      <w:rPr>
        <w:rFonts w:eastAsia="Calibri"/>
        <w:sz w:val="16"/>
        <w:szCs w:val="16"/>
      </w:rPr>
      <w:t>e</w:t>
    </w:r>
    <w:r w:rsidRPr="00AB7EAC">
      <w:rPr>
        <w:rFonts w:eastAsia="Calibri"/>
        <w:sz w:val="16"/>
        <w:szCs w:val="16"/>
      </w:rPr>
      <w:t xml:space="preserve"> </w:t>
    </w:r>
    <w:r w:rsidRPr="00AB7EAC">
      <w:rPr>
        <w:rFonts w:eastAsia="Calibri"/>
        <w:sz w:val="16"/>
        <w:szCs w:val="16"/>
      </w:rPr>
      <w:fldChar w:fldCharType="begin"/>
    </w:r>
    <w:r w:rsidRPr="00AB7EAC">
      <w:rPr>
        <w:rFonts w:eastAsia="Calibri"/>
        <w:sz w:val="16"/>
        <w:szCs w:val="16"/>
      </w:rPr>
      <w:instrText xml:space="preserve"> PAGE   \* MERGEFORMAT </w:instrText>
    </w:r>
    <w:r w:rsidRPr="00AB7EAC">
      <w:rPr>
        <w:rFonts w:eastAsia="Calibri"/>
        <w:sz w:val="16"/>
        <w:szCs w:val="16"/>
      </w:rPr>
      <w:fldChar w:fldCharType="separate"/>
    </w:r>
    <w:r w:rsidR="00B032A6">
      <w:rPr>
        <w:rFonts w:eastAsia="Calibri"/>
        <w:noProof/>
        <w:sz w:val="16"/>
        <w:szCs w:val="16"/>
      </w:rPr>
      <w:t>16</w:t>
    </w:r>
    <w:r w:rsidRPr="00AB7EAC">
      <w:rPr>
        <w:rFonts w:eastAsia="Calibri"/>
        <w:noProof/>
        <w:sz w:val="16"/>
        <w:szCs w:val="16"/>
      </w:rPr>
      <w:fldChar w:fldCharType="end"/>
    </w:r>
  </w:p>
  <w:p w:rsidR="00FB1216" w:rsidRPr="00D654E3" w:rsidRDefault="00FB1216" w:rsidP="003F3B1F">
    <w:pPr>
      <w:tabs>
        <w:tab w:val="center" w:pos="4680"/>
        <w:tab w:val="right" w:pos="9360"/>
      </w:tabs>
      <w:adjustRightInd/>
      <w:spacing w:after="0" w:line="240" w:lineRule="auto"/>
      <w:jc w:val="center"/>
      <w:textAlignment w:val="auto"/>
      <w:rPr>
        <w:rFonts w:eastAsia="Calibri"/>
        <w:b/>
        <w:sz w:val="16"/>
        <w:szCs w:val="16"/>
      </w:rPr>
    </w:pPr>
    <w:r w:rsidRPr="00AB7EAC">
      <w:rPr>
        <w:rFonts w:eastAsia="Calibri"/>
        <w:sz w:val="16"/>
        <w:szCs w:val="16"/>
      </w:rPr>
      <w:t xml:space="preserve">ISO-NE </w:t>
    </w:r>
    <w:r>
      <w:rPr>
        <w:rFonts w:eastAsia="Calibri"/>
        <w:sz w:val="16"/>
        <w:szCs w:val="16"/>
      </w:rPr>
      <w:t>PUBLIC</w:t>
    </w:r>
    <w:r w:rsidRPr="00AB7EAC">
      <w:rPr>
        <w:rFonts w:eastAsia="Calibri"/>
        <w:sz w:val="16"/>
        <w:szCs w:val="16"/>
      </w:rPr>
      <w:t xml:space="preserve"> USE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49E3" w:rsidRDefault="00CC49E3">
      <w:r>
        <w:separator/>
      </w:r>
    </w:p>
  </w:footnote>
  <w:footnote w:type="continuationSeparator" w:id="0">
    <w:p w:rsidR="00CC49E3" w:rsidRDefault="00CC49E3">
      <w:r>
        <w:continuationSeparator/>
      </w:r>
    </w:p>
  </w:footnote>
  <w:footnote w:type="continuationNotice" w:id="1">
    <w:p w:rsidR="00CC49E3" w:rsidRDefault="00CC49E3">
      <w:pPr>
        <w:pStyle w:val="Footer"/>
      </w:pPr>
    </w:p>
  </w:footnote>
  <w:footnote w:id="2">
    <w:p w:rsidR="00FB1216" w:rsidRDefault="00FB1216" w:rsidP="00BE5538">
      <w:pPr>
        <w:pStyle w:val="FootnoteText"/>
      </w:pPr>
      <w:r>
        <w:rPr>
          <w:rStyle w:val="FootnoteReference"/>
        </w:rPr>
        <w:footnoteRef/>
      </w:r>
      <w:r>
        <w:t xml:space="preserve"> This 5,800 MW includes the base 1,000 MW identified at the time of the NESCOE request.</w:t>
      </w:r>
    </w:p>
  </w:footnote>
  <w:footnote w:id="3">
    <w:p w:rsidR="00FB1216" w:rsidRDefault="00FB1216" w:rsidP="00053241">
      <w:pPr>
        <w:pStyle w:val="FootnoteText"/>
      </w:pPr>
      <w:r w:rsidRPr="00566F24">
        <w:rPr>
          <w:rStyle w:val="FootnoteReference"/>
        </w:rPr>
        <w:footnoteRef/>
      </w:r>
      <w:r w:rsidRPr="00566F24">
        <w:t xml:space="preserve"> The RENEW Economic Study requested the ISO to study the economic impact of conceptual increases in hourly operating limits on the Orrington-South interface from conceptual transmission upgrades. The Anbaric Economic Study requested the ISO to study the impacts on the energy market prices and air emissions when the system experiences</w:t>
      </w:r>
      <w:r w:rsidRPr="00D61DF6">
        <w:t xml:space="preserve"> large penetration</w:t>
      </w:r>
      <w:r>
        <w:t>s</w:t>
      </w:r>
      <w:r w:rsidRPr="00D61DF6">
        <w:t xml:space="preserve"> of offshore wind resources</w:t>
      </w:r>
      <w:r>
        <w:t xml:space="preserve"> (up to 12,000 MW). RENEW Northeast, </w:t>
      </w:r>
      <w:r w:rsidRPr="005B1275">
        <w:rPr>
          <w:i/>
        </w:rPr>
        <w:t>Proposal for Economic Study of Orrington-South Interface</w:t>
      </w:r>
      <w:r>
        <w:t xml:space="preserve">, PAC presentation (April 25, 2019), </w:t>
      </w:r>
      <w:hyperlink r:id="rId1" w:history="1">
        <w:r w:rsidRPr="00566F24">
          <w:rPr>
            <w:rStyle w:val="Hyperlink"/>
          </w:rPr>
          <w:t>https://www.iso-ne.com/static-assets/documents/2019/04/a2_renew_2019_economic_study_request_presentation.pdf</w:t>
        </w:r>
      </w:hyperlink>
      <w:r>
        <w:t>, and Theodore Paradise (Sr. Vice President, Transmission Strategy and Counsel, Anbaric Development Partners, LLC), “</w:t>
      </w:r>
      <w:r w:rsidRPr="00566F24">
        <w:t>2019 ISO New England Economic Study Request for Offshore Wind Impacts</w:t>
      </w:r>
      <w:r>
        <w:t>,” letter to Peter Bernard</w:t>
      </w:r>
      <w:r w:rsidRPr="00566F24">
        <w:t xml:space="preserve"> </w:t>
      </w:r>
      <w:r>
        <w:t xml:space="preserve">(chair, </w:t>
      </w:r>
      <w:r w:rsidRPr="00566F24">
        <w:t>ISO New England Inc. Planning Advisory Committee</w:t>
      </w:r>
      <w:r>
        <w:t xml:space="preserve">) (April 1, 2019), </w:t>
      </w:r>
      <w:hyperlink r:id="rId2" w:history="1">
        <w:r w:rsidRPr="00566F24">
          <w:rPr>
            <w:rStyle w:val="Hyperlink"/>
          </w:rPr>
          <w:t>https://www.iso-ne.com/static-assets/documents/2019/04/anbaric_2019_economic_study_request.pdf</w:t>
        </w:r>
      </w:hyperlink>
      <w:r>
        <w:t>.</w:t>
      </w:r>
    </w:p>
  </w:footnote>
  <w:footnote w:id="4">
    <w:p w:rsidR="00FB1216" w:rsidRDefault="00FB1216" w:rsidP="00053241">
      <w:pPr>
        <w:pStyle w:val="FootnoteText"/>
      </w:pPr>
      <w:r w:rsidRPr="00513625">
        <w:rPr>
          <w:rStyle w:val="FootnoteReference"/>
        </w:rPr>
        <w:footnoteRef/>
      </w:r>
      <w:r w:rsidRPr="00513625">
        <w:t xml:space="preserve"> </w:t>
      </w:r>
      <w:r>
        <w:t xml:space="preserve">ISO New England , </w:t>
      </w:r>
      <w:r w:rsidRPr="009C2B5B">
        <w:rPr>
          <w:i/>
        </w:rPr>
        <w:t>ISO New England Inc. Transmission, Markets, and Services Tariff</w:t>
      </w:r>
      <w:r w:rsidRPr="009C2B5B">
        <w:t xml:space="preserve"> (ISO tariff), Section II, </w:t>
      </w:r>
      <w:r w:rsidRPr="009C2B5B">
        <w:rPr>
          <w:i/>
        </w:rPr>
        <w:t>Open Access Transmission Tariff</w:t>
      </w:r>
      <w:r w:rsidRPr="00002E84">
        <w:t>,</w:t>
      </w:r>
      <w:r w:rsidRPr="009C2B5B">
        <w:t xml:space="preserve"> Attachment K, “Regional System Planning Pro</w:t>
      </w:r>
      <w:r w:rsidRPr="00BE03A8">
        <w:t xml:space="preserve">cess” </w:t>
      </w:r>
      <w:r>
        <w:t>(January 22, 2020</w:t>
      </w:r>
      <w:r w:rsidRPr="00FA2D54">
        <w:t>),</w:t>
      </w:r>
      <w:r w:rsidRPr="00BE03A8">
        <w:t xml:space="preserve"> </w:t>
      </w:r>
      <w:hyperlink r:id="rId3" w:history="1">
        <w:r w:rsidRPr="00BE03A8">
          <w:rPr>
            <w:rStyle w:val="Hyperlink"/>
          </w:rPr>
          <w:t>https://www.iso-ne.com/static-assets/documents/regulatory/tariff/sect_2/oatt/sect_ii.pdf</w:t>
        </w:r>
      </w:hyperlink>
      <w:r>
        <w:t xml:space="preserve">. </w:t>
      </w:r>
    </w:p>
  </w:footnote>
  <w:footnote w:id="5">
    <w:p w:rsidR="00FB1216" w:rsidRDefault="00FB1216" w:rsidP="00053241">
      <w:pPr>
        <w:pStyle w:val="FootnoteText"/>
      </w:pPr>
      <w:r w:rsidRPr="00D13443">
        <w:rPr>
          <w:rStyle w:val="FootnoteReference"/>
        </w:rPr>
        <w:footnoteRef/>
      </w:r>
      <w:r w:rsidRPr="00D13443">
        <w:t xml:space="preserve"> </w:t>
      </w:r>
      <w:r w:rsidRPr="000D4787">
        <w:rPr>
          <w:i/>
        </w:rPr>
        <w:t>Load-serving entity (LSE) energy expenses</w:t>
      </w:r>
      <w:r w:rsidRPr="00D13443">
        <w:t xml:space="preserve"> are the total electric energy revenues that resources and imports from</w:t>
      </w:r>
      <w:r w:rsidRPr="0070159E">
        <w:t xml:space="preserve"> neighboring systems would receive for supplying electric energy to the wholesale market plus the cost of congestion.</w:t>
      </w:r>
    </w:p>
  </w:footnote>
  <w:footnote w:id="6">
    <w:p w:rsidR="00FB1216" w:rsidRPr="00E4172A" w:rsidRDefault="00FB1216" w:rsidP="00053241">
      <w:pPr>
        <w:pStyle w:val="FootnoteText"/>
      </w:pPr>
      <w:r w:rsidRPr="00E4172A">
        <w:rPr>
          <w:rStyle w:val="FootnoteReference"/>
          <w:sz w:val="18"/>
          <w:szCs w:val="18"/>
        </w:rPr>
        <w:footnoteRef/>
      </w:r>
      <w:r w:rsidRPr="00E4172A">
        <w:t xml:space="preserve"> OATT, Attachment K, Section 4.1b</w:t>
      </w:r>
      <w:r>
        <w:t>.</w:t>
      </w:r>
    </w:p>
  </w:footnote>
  <w:footnote w:id="7">
    <w:p w:rsidR="00FB1216" w:rsidRDefault="00FB1216" w:rsidP="00053241">
      <w:pPr>
        <w:pStyle w:val="FootnoteText"/>
      </w:pPr>
      <w:r w:rsidRPr="009C02EB">
        <w:rPr>
          <w:rStyle w:val="FootnoteReference"/>
        </w:rPr>
        <w:footnoteRef/>
      </w:r>
      <w:r w:rsidRPr="009C02EB">
        <w:t xml:space="preserve"> ISO-NE, PAC presentations, </w:t>
      </w:r>
      <w:r w:rsidRPr="009C02EB">
        <w:rPr>
          <w:i/>
        </w:rPr>
        <w:t>2019 Economic Study—Preliminary NESCOE Results</w:t>
      </w:r>
      <w:r w:rsidRPr="009C02EB">
        <w:t xml:space="preserve"> (December 19, 2019), </w:t>
      </w:r>
      <w:hyperlink r:id="rId4" w:history="1">
        <w:r w:rsidRPr="009C02EB">
          <w:rPr>
            <w:rStyle w:val="Hyperlink"/>
          </w:rPr>
          <w:t>https://www.iso-ne.com/static-assets/documents/2019/12/a3_2019_economic_study_preliminary_nescoe_results.pdf</w:t>
        </w:r>
      </w:hyperlink>
      <w:r w:rsidRPr="009C02EB">
        <w:t xml:space="preserve">; </w:t>
      </w:r>
      <w:r w:rsidRPr="009C02EB">
        <w:rPr>
          <w:i/>
        </w:rPr>
        <w:t>2019 Economic Study—Follow-Up to the December 2019 Meetin</w:t>
      </w:r>
      <w:r w:rsidRPr="009C02EB">
        <w:t xml:space="preserve">g (January 23, 2020), </w:t>
      </w:r>
      <w:hyperlink r:id="rId5" w:history="1">
        <w:r w:rsidRPr="009C02EB">
          <w:rPr>
            <w:rStyle w:val="Hyperlink"/>
          </w:rPr>
          <w:t>https://www.iso-ne.com/static-assets/documents/2020/01/a4_jan_2020_economic_study_qa_final-67f4425e.pdf</w:t>
        </w:r>
      </w:hyperlink>
      <w:r w:rsidRPr="009C02EB">
        <w:t>.</w:t>
      </w:r>
    </w:p>
  </w:footnote>
  <w:footnote w:id="8">
    <w:p w:rsidR="00FB1216" w:rsidRPr="00650E69" w:rsidRDefault="00FB1216" w:rsidP="00053241">
      <w:pPr>
        <w:pStyle w:val="FootnoteText"/>
      </w:pPr>
      <w:r w:rsidRPr="00650E69">
        <w:rPr>
          <w:rStyle w:val="FootnoteReference"/>
        </w:rPr>
        <w:footnoteRef/>
      </w:r>
      <w:r w:rsidRPr="00650E69">
        <w:t xml:space="preserve"> ISO-NE, PAC presentations, </w:t>
      </w:r>
      <w:r w:rsidRPr="00650E69">
        <w:rPr>
          <w:i/>
        </w:rPr>
        <w:t>NESCOE 2019 Economic Study—8,000 MW Offshore Wind Results</w:t>
      </w:r>
      <w:r w:rsidRPr="00650E69">
        <w:t xml:space="preserve"> (February 20, 2020), </w:t>
      </w:r>
      <w:hyperlink r:id="rId6" w:history="1">
        <w:r w:rsidRPr="00C252FA">
          <w:rPr>
            <w:rStyle w:val="Hyperlink"/>
          </w:rPr>
          <w:t>https://www.iso-ne.com/static-assets/documents/2020/02/a6_nescoe_2019_Econ_8000.pdf</w:t>
        </w:r>
      </w:hyperlink>
      <w:r w:rsidRPr="00650E69">
        <w:t xml:space="preserve">; </w:t>
      </w:r>
      <w:r w:rsidRPr="00650E69">
        <w:rPr>
          <w:i/>
        </w:rPr>
        <w:t>2019 NESCOE Economic Study—Follow-Up to the February 2020 Meeting</w:t>
      </w:r>
      <w:r w:rsidRPr="00650E69">
        <w:t xml:space="preserve"> (April 23, 2020), </w:t>
      </w:r>
      <w:hyperlink r:id="rId7" w:history="1">
        <w:r w:rsidRPr="00C252FA">
          <w:rPr>
            <w:rStyle w:val="Hyperlink"/>
          </w:rPr>
          <w:t>https://www.iso-ne.com/static-assets/documents/2020/04/a5-nescoe-2019-econ-study-follow-to-the-feb-2019.pdf</w:t>
        </w:r>
      </w:hyperlink>
      <w:r w:rsidRPr="00650E69">
        <w:t>.</w:t>
      </w:r>
    </w:p>
  </w:footnote>
  <w:footnote w:id="9">
    <w:p w:rsidR="00FB1216" w:rsidRPr="00650E69" w:rsidRDefault="00FB1216" w:rsidP="00053241">
      <w:pPr>
        <w:spacing w:after="80" w:line="240" w:lineRule="auto"/>
        <w:rPr>
          <w:sz w:val="18"/>
          <w:szCs w:val="18"/>
        </w:rPr>
      </w:pPr>
      <w:r w:rsidRPr="00650E69">
        <w:rPr>
          <w:rStyle w:val="FootnoteReference"/>
          <w:sz w:val="18"/>
          <w:szCs w:val="18"/>
        </w:rPr>
        <w:footnoteRef/>
      </w:r>
      <w:r w:rsidRPr="00650E69">
        <w:rPr>
          <w:sz w:val="18"/>
          <w:szCs w:val="18"/>
        </w:rPr>
        <w:t xml:space="preserve"> ISO-NE, PAC presentations (May 20, 2020), </w:t>
      </w:r>
      <w:r w:rsidRPr="00650E69">
        <w:rPr>
          <w:i/>
          <w:sz w:val="18"/>
          <w:szCs w:val="18"/>
        </w:rPr>
        <w:t>NESCOE 2019 Economic Study—Ancillary Services Analysis</w:t>
      </w:r>
      <w:r w:rsidRPr="00650E69">
        <w:rPr>
          <w:sz w:val="18"/>
          <w:szCs w:val="18"/>
        </w:rPr>
        <w:t xml:space="preserve">, </w:t>
      </w:r>
      <w:hyperlink r:id="rId8" w:history="1">
        <w:r w:rsidRPr="00C252FA">
          <w:rPr>
            <w:rStyle w:val="Hyperlink"/>
          </w:rPr>
          <w:t>https://www.iso-ne.com/static-assets/documents/2020/05/a4_nescoe_2019_economic_study_ancillary_services_analysis.pdf</w:t>
        </w:r>
      </w:hyperlink>
      <w:r w:rsidRPr="00650E69">
        <w:rPr>
          <w:sz w:val="18"/>
          <w:szCs w:val="18"/>
        </w:rPr>
        <w:t xml:space="preserve">, and </w:t>
      </w:r>
      <w:r w:rsidRPr="00650E69">
        <w:rPr>
          <w:i/>
          <w:sz w:val="18"/>
          <w:szCs w:val="18"/>
        </w:rPr>
        <w:t>NESCOE 2019 Economic Study—Additional Information Regarding Marginal Unit Emissions</w:t>
      </w:r>
      <w:r w:rsidRPr="00650E69">
        <w:rPr>
          <w:sz w:val="18"/>
          <w:szCs w:val="18"/>
        </w:rPr>
        <w:t xml:space="preserve">, </w:t>
      </w:r>
      <w:hyperlink r:id="rId9" w:history="1">
        <w:r w:rsidRPr="00C252FA">
          <w:rPr>
            <w:rStyle w:val="Hyperlink"/>
          </w:rPr>
          <w:t>https://www.iso-ne.com/static-assets/documents/2020/05/a5_nescoe_2019_economic_study_additional_information_on_marginal_unit_emissions.pdf</w:t>
        </w:r>
      </w:hyperlink>
      <w:r w:rsidRPr="00650E69">
        <w:rPr>
          <w:sz w:val="18"/>
          <w:szCs w:val="18"/>
        </w:rPr>
        <w:t xml:space="preserve">. </w:t>
      </w:r>
    </w:p>
  </w:footnote>
  <w:footnote w:id="10">
    <w:p w:rsidR="00FB1216" w:rsidRDefault="00FB1216" w:rsidP="00053241">
      <w:pPr>
        <w:pStyle w:val="FootnoteText"/>
      </w:pPr>
      <w:r w:rsidRPr="00650E69">
        <w:rPr>
          <w:rStyle w:val="FootnoteReference"/>
        </w:rPr>
        <w:footnoteRef/>
      </w:r>
      <w:r w:rsidRPr="00650E69">
        <w:t xml:space="preserve"> ISO-NE, PAC presentations, </w:t>
      </w:r>
      <w:r w:rsidRPr="00650E69">
        <w:rPr>
          <w:i/>
        </w:rPr>
        <w:t>2019 Economic Study Offshore Wind Transmission Interconnection Analysis</w:t>
      </w:r>
      <w:r w:rsidRPr="00650E69">
        <w:t xml:space="preserve"> (dated March 18,</w:t>
      </w:r>
      <w:r>
        <w:t xml:space="preserve"> 2020), </w:t>
      </w:r>
      <w:hyperlink r:id="rId10" w:history="1">
        <w:r w:rsidRPr="00EE16FB">
          <w:rPr>
            <w:rStyle w:val="Hyperlink"/>
          </w:rPr>
          <w:t>https://smd.iso-ne.com/operations-services/ceii/pac/2020/03/a7_osw_economic_study-trans_interconnection_analysis.pdf</w:t>
        </w:r>
      </w:hyperlink>
      <w:r>
        <w:t xml:space="preserve">; </w:t>
      </w:r>
      <w:r w:rsidRPr="00EE16FB">
        <w:rPr>
          <w:i/>
        </w:rPr>
        <w:t>2019 Economic Study Offshore Wind Transmission Interconnection Analysis</w:t>
      </w:r>
      <w:r>
        <w:t xml:space="preserve"> (May 20, 2020),</w:t>
      </w:r>
      <w:r w:rsidRPr="00441136">
        <w:t xml:space="preserve"> </w:t>
      </w:r>
      <w:hyperlink r:id="rId11" w:history="1">
        <w:r w:rsidRPr="00441136">
          <w:rPr>
            <w:rStyle w:val="Hyperlink"/>
          </w:rPr>
          <w:t>https://smd.iso-ne.com/operations-services/ceii/pac/2020/05/a3_2019_economic_study_offshore_wind_transmission_interconnection_analysis_ceii.pdf</w:t>
        </w:r>
      </w:hyperlink>
      <w:r>
        <w:t xml:space="preserve">; </w:t>
      </w:r>
      <w:r w:rsidRPr="005B1275">
        <w:rPr>
          <w:i/>
        </w:rPr>
        <w:t>Regional System Plan Transmission Projects and Asset Condition June 2020 Updat</w:t>
      </w:r>
      <w:r>
        <w:t xml:space="preserve">e (June 17, 2020), </w:t>
      </w:r>
      <w:hyperlink r:id="rId12" w:history="1">
        <w:r w:rsidRPr="002D0151">
          <w:rPr>
            <w:rStyle w:val="Hyperlink"/>
          </w:rPr>
          <w:t>https://www.iso-ne.com/event-details?eventId=140525</w:t>
        </w:r>
      </w:hyperlink>
      <w:r>
        <w:t xml:space="preserve">. </w:t>
      </w:r>
    </w:p>
  </w:footnote>
  <w:footnote w:id="11">
    <w:p w:rsidR="00FB1216" w:rsidRDefault="00FB1216" w:rsidP="00053241">
      <w:pPr>
        <w:pStyle w:val="FootnoteText"/>
      </w:pPr>
      <w:r w:rsidRPr="005B1275">
        <w:rPr>
          <w:rStyle w:val="FootnoteReference"/>
        </w:rPr>
        <w:footnoteRef/>
      </w:r>
      <w:r w:rsidRPr="005B1275">
        <w:t xml:space="preserve"> </w:t>
      </w:r>
      <w:r w:rsidRPr="00762275">
        <w:t xml:space="preserve">Information on how to access Critical Energy Infrastructure Information (CEII) materials is available at the ISO’s </w:t>
      </w:r>
      <w:r w:rsidRPr="00650E69">
        <w:t xml:space="preserve">“Request Data and Information,” webpage (2020), </w:t>
      </w:r>
      <w:hyperlink r:id="rId13" w:history="1">
        <w:r w:rsidRPr="00C252FA">
          <w:rPr>
            <w:rStyle w:val="Hyperlink"/>
          </w:rPr>
          <w:t>https://www.iso-ne.com/participate/support/request-information</w:t>
        </w:r>
      </w:hyperlink>
      <w:r w:rsidRPr="00650E69">
        <w:t>.</w:t>
      </w:r>
    </w:p>
  </w:footnote>
  <w:footnote w:id="12">
    <w:p w:rsidR="00FB1216" w:rsidRPr="004F24B6" w:rsidRDefault="00FB1216" w:rsidP="00836B53">
      <w:pPr>
        <w:pStyle w:val="FootnoteText"/>
      </w:pPr>
      <w:r w:rsidRPr="009C02EB">
        <w:rPr>
          <w:rStyle w:val="FootnoteReference"/>
        </w:rPr>
        <w:footnoteRef/>
      </w:r>
      <w:r w:rsidRPr="009C02EB">
        <w:t xml:space="preserve"> NESCOE, </w:t>
      </w:r>
      <w:r w:rsidRPr="0051440E">
        <w:rPr>
          <w:i/>
        </w:rPr>
        <w:t>2019 Economic Study Request: Offshore Wind Integratio</w:t>
      </w:r>
      <w:r w:rsidRPr="009C02EB">
        <w:t xml:space="preserve">n, </w:t>
      </w:r>
      <w:r>
        <w:t xml:space="preserve">PAC presentation (April 25, 2019), </w:t>
      </w:r>
      <w:hyperlink r:id="rId14" w:history="1">
        <w:r w:rsidRPr="00836B53">
          <w:rPr>
            <w:rStyle w:val="Hyperlink"/>
          </w:rPr>
          <w:t>https://www.iso-ne.com/static-assets/documents/2019/04/a2_nescoe_2019_economic_study_request_presentation.pptx</w:t>
        </w:r>
      </w:hyperlink>
      <w:r>
        <w:t xml:space="preserve">. </w:t>
      </w:r>
      <w:hyperlink r:id="rId15" w:history="1"/>
    </w:p>
  </w:footnote>
  <w:footnote w:id="13">
    <w:p w:rsidR="00FB1216" w:rsidRDefault="00FB1216">
      <w:pPr>
        <w:pStyle w:val="FootnoteText"/>
      </w:pPr>
      <w:r>
        <w:rPr>
          <w:rStyle w:val="FootnoteReference"/>
        </w:rPr>
        <w:footnoteRef/>
      </w:r>
      <w:r>
        <w:t xml:space="preserve"> NESCOE’s original request sought to examine increasing levels of offshore wind penetration in 2030 and 2035, which was later amended to examine 2030 only.</w:t>
      </w:r>
    </w:p>
  </w:footnote>
  <w:footnote w:id="14">
    <w:p w:rsidR="00FB1216" w:rsidRPr="009C02EB" w:rsidRDefault="00FB1216" w:rsidP="009E2F2E">
      <w:pPr>
        <w:pStyle w:val="FootnoteText"/>
      </w:pPr>
      <w:r w:rsidRPr="00E712DA">
        <w:rPr>
          <w:rStyle w:val="FootnoteReference"/>
          <w:sz w:val="18"/>
          <w:szCs w:val="18"/>
        </w:rPr>
        <w:footnoteRef/>
      </w:r>
      <w:r w:rsidRPr="009C02EB">
        <w:t xml:space="preserve"> </w:t>
      </w:r>
      <w:r>
        <w:t>The ISO determined i</w:t>
      </w:r>
      <w:r w:rsidRPr="005B6AE8">
        <w:t>nterconnection points early in the study process</w:t>
      </w:r>
      <w:r>
        <w:t xml:space="preserve">, which it </w:t>
      </w:r>
      <w:r w:rsidRPr="005B6AE8">
        <w:t>presented to stakeholders at the May 21, 2019</w:t>
      </w:r>
      <w:r>
        <w:t>,</w:t>
      </w:r>
      <w:r w:rsidRPr="005B6AE8">
        <w:t xml:space="preserve"> PAC meeting</w:t>
      </w:r>
      <w:r>
        <w:t xml:space="preserve">; see </w:t>
      </w:r>
      <w:r w:rsidRPr="009E7A62">
        <w:rPr>
          <w:i/>
        </w:rPr>
        <w:t>2019 Economic Studies</w:t>
      </w:r>
      <w:r>
        <w:rPr>
          <w:i/>
        </w:rPr>
        <w:t>,</w:t>
      </w:r>
      <w:r w:rsidRPr="005B6AE8">
        <w:t xml:space="preserve"> </w:t>
      </w:r>
      <w:hyperlink r:id="rId16" w:history="1">
        <w:r w:rsidRPr="005B6AE8">
          <w:rPr>
            <w:rStyle w:val="Hyperlink"/>
          </w:rPr>
          <w:t>https://www.iso-ne.com/static-assets/documents/2019/05/a2_2019_economic_study_draft_scope_of_work_and_high_level_assumptions.pptx</w:t>
        </w:r>
      </w:hyperlink>
      <w:r w:rsidRPr="009C02EB">
        <w:t>. Optimal interconnection points were based on the anticipated 2030 transmission system, where off</w:t>
      </w:r>
      <w:r w:rsidRPr="00F54B74">
        <w:t>shore wind additions (</w:t>
      </w:r>
      <w:r w:rsidRPr="009C02EB">
        <w:t xml:space="preserve">of approximately 7,000 MW) have the potential to avoid major additional 345 </w:t>
      </w:r>
      <w:r>
        <w:t>kilovolt (</w:t>
      </w:r>
      <w:r w:rsidRPr="005B6AE8">
        <w:t>kV</w:t>
      </w:r>
      <w:r>
        <w:t>)</w:t>
      </w:r>
      <w:r w:rsidRPr="005B6AE8">
        <w:t xml:space="preserve"> reinforcements</w:t>
      </w:r>
      <w:r w:rsidRPr="009C02EB">
        <w:t xml:space="preserve">. </w:t>
      </w:r>
      <w:r>
        <w:t xml:space="preserve">The study assumed that this scenario would need a combination of </w:t>
      </w:r>
      <w:r w:rsidRPr="005B6AE8">
        <w:t>345 kV reinforcement</w:t>
      </w:r>
      <w:r>
        <w:t xml:space="preserve">s and </w:t>
      </w:r>
      <w:r w:rsidRPr="005B6AE8">
        <w:t xml:space="preserve">expansion and </w:t>
      </w:r>
      <w:r>
        <w:t xml:space="preserve">that </w:t>
      </w:r>
      <w:r w:rsidRPr="005B6AE8">
        <w:t xml:space="preserve">not all </w:t>
      </w:r>
      <w:r>
        <w:t xml:space="preserve">the </w:t>
      </w:r>
      <w:r w:rsidRPr="005B6AE8">
        <w:t>8,000</w:t>
      </w:r>
      <w:r>
        <w:t> </w:t>
      </w:r>
      <w:r w:rsidRPr="005B6AE8">
        <w:t xml:space="preserve">MW of offshore wind </w:t>
      </w:r>
      <w:r>
        <w:t>would</w:t>
      </w:r>
      <w:r w:rsidRPr="005B6AE8">
        <w:t xml:space="preserve"> be able to operate simultaneously at nameplate levels</w:t>
      </w:r>
      <w:r w:rsidRPr="009C02EB">
        <w:t xml:space="preserve">. </w:t>
      </w:r>
    </w:p>
  </w:footnote>
  <w:footnote w:id="15">
    <w:p w:rsidR="00FB1216" w:rsidRDefault="00FB1216" w:rsidP="008B19BD">
      <w:pPr>
        <w:pStyle w:val="FootnoteText"/>
      </w:pPr>
      <w:r>
        <w:rPr>
          <w:rStyle w:val="FootnoteReference"/>
        </w:rPr>
        <w:footnoteRef/>
      </w:r>
      <w:r>
        <w:t xml:space="preserve"> The 29 MW Block Island offshore wind resource was considered an existing resource for this study.</w:t>
      </w:r>
    </w:p>
  </w:footnote>
  <w:footnote w:id="16">
    <w:p w:rsidR="00FB1216" w:rsidRPr="00CF080D" w:rsidRDefault="00FB1216" w:rsidP="004C0C16">
      <w:pPr>
        <w:pStyle w:val="FootnoteText"/>
      </w:pPr>
      <w:r w:rsidRPr="009C02EB">
        <w:rPr>
          <w:rStyle w:val="FootnoteReference"/>
        </w:rPr>
        <w:footnoteRef/>
      </w:r>
      <w:r w:rsidRPr="009C02EB">
        <w:t xml:space="preserve"> The ISO New England Interconnection Request Queue lists the status of requests for the interconnection of new or uprated (increased capacity) generating facilities in New England, including elective transmission upgrades (ETUs) and transmission service requests; see </w:t>
      </w:r>
      <w:hyperlink r:id="rId17" w:history="1">
        <w:r w:rsidRPr="00CF080D">
          <w:rPr>
            <w:rStyle w:val="Hyperlink"/>
          </w:rPr>
          <w:t>https://www.iso-ne.com/system-planning/transmission-planning/interconnection-request-queue/</w:t>
        </w:r>
      </w:hyperlink>
      <w:r w:rsidRPr="009E7A62">
        <w:rPr>
          <w:rStyle w:val="Hyperlink"/>
          <w:color w:val="auto"/>
          <w:u w:val="none"/>
        </w:rPr>
        <w:t xml:space="preserve"> and </w:t>
      </w:r>
      <w:hyperlink r:id="rId18" w:history="1">
        <w:r w:rsidRPr="009E7A62">
          <w:rPr>
            <w:rStyle w:val="Hyperlink"/>
          </w:rPr>
          <w:t>https://irtt.iso-ne.com/reports/external</w:t>
        </w:r>
      </w:hyperlink>
      <w:r w:rsidRPr="00CF080D">
        <w:rPr>
          <w:rStyle w:val="Hyperlink"/>
        </w:rPr>
        <w:t>.</w:t>
      </w:r>
    </w:p>
    <w:p w:rsidR="00FB1216" w:rsidRPr="00D01C55" w:rsidRDefault="00FB1216">
      <w:pPr>
        <w:pStyle w:val="FootnoteText"/>
      </w:pPr>
      <w:r w:rsidRPr="00CF080D">
        <w:t xml:space="preserve"> The interconnection process is described in </w:t>
      </w:r>
      <w:r w:rsidRPr="009E7A62">
        <w:t>Schedule 22</w:t>
      </w:r>
      <w:r w:rsidRPr="00CF080D">
        <w:t xml:space="preserve">, </w:t>
      </w:r>
      <w:r w:rsidRPr="00CF080D">
        <w:rPr>
          <w:i/>
          <w:iCs/>
        </w:rPr>
        <w:t>Large Generator Interconnection Procedures</w:t>
      </w:r>
      <w:r w:rsidRPr="00CF080D">
        <w:t xml:space="preserve"> (LGIP) (</w:t>
      </w:r>
      <w:hyperlink r:id="rId19" w:history="1">
        <w:r w:rsidRPr="00CF080D">
          <w:rPr>
            <w:rStyle w:val="Hyperlink"/>
          </w:rPr>
          <w:t>https://www.iso-ne.com/static-assets/documents/regulatory/tariff/sect_2/sch22/sch_22_lgip.pdf</w:t>
        </w:r>
      </w:hyperlink>
      <w:r w:rsidRPr="00CF080D">
        <w:t>), S</w:t>
      </w:r>
      <w:r w:rsidRPr="009E7A62">
        <w:t>chedule 23</w:t>
      </w:r>
      <w:r w:rsidRPr="00CF080D">
        <w:t xml:space="preserve">, </w:t>
      </w:r>
      <w:r w:rsidRPr="00CF080D">
        <w:rPr>
          <w:i/>
          <w:iCs/>
        </w:rPr>
        <w:t>Small Generator Interconnection Procedures</w:t>
      </w:r>
      <w:r w:rsidRPr="00CF080D">
        <w:t xml:space="preserve"> (SGIP)</w:t>
      </w:r>
      <w:r w:rsidRPr="009E7A62">
        <w:t xml:space="preserve"> (</w:t>
      </w:r>
      <w:hyperlink r:id="rId20" w:history="1">
        <w:r w:rsidRPr="00CF080D">
          <w:rPr>
            <w:rStyle w:val="Hyperlink"/>
          </w:rPr>
          <w:t>https://www.iso-ne.com/static-assets/documents/regulatory/tariff/sect_2/sch23/sch_23_sgip.pdf</w:t>
        </w:r>
      </w:hyperlink>
      <w:r w:rsidRPr="00CF080D">
        <w:t>), and</w:t>
      </w:r>
      <w:r w:rsidRPr="00CF080D">
        <w:rPr>
          <w:rFonts w:ascii="Arial" w:hAnsi="Arial" w:cs="Arial"/>
          <w:color w:val="4A5E67"/>
          <w:lang w:val="en"/>
        </w:rPr>
        <w:t xml:space="preserve"> </w:t>
      </w:r>
      <w:r w:rsidRPr="009E7A62">
        <w:t>Schedule 25</w:t>
      </w:r>
      <w:r w:rsidRPr="00CF080D">
        <w:t xml:space="preserve">, </w:t>
      </w:r>
      <w:r w:rsidRPr="00CF080D">
        <w:rPr>
          <w:i/>
          <w:iCs/>
        </w:rPr>
        <w:t>Elective Transmission Upgrade Interconnection Procedures</w:t>
      </w:r>
      <w:r w:rsidRPr="00CF080D">
        <w:t xml:space="preserve"> (ETU) (</w:t>
      </w:r>
      <w:hyperlink r:id="rId21" w:history="1">
        <w:r w:rsidRPr="00CF080D">
          <w:rPr>
            <w:rStyle w:val="Hyperlink"/>
          </w:rPr>
          <w:t>https://www.iso-ne.com/static-assets/documents/2015/02/sch_25.pdf</w:t>
        </w:r>
      </w:hyperlink>
      <w:r w:rsidRPr="00CF080D">
        <w:t xml:space="preserve">). </w:t>
      </w:r>
    </w:p>
  </w:footnote>
  <w:footnote w:id="17">
    <w:p w:rsidR="00FB1216" w:rsidRPr="00CE1B10" w:rsidRDefault="00FB1216" w:rsidP="00D24022">
      <w:pPr>
        <w:pStyle w:val="FootnoteText"/>
      </w:pPr>
      <w:r w:rsidRPr="00CE1B10">
        <w:rPr>
          <w:rStyle w:val="FootnoteReference"/>
        </w:rPr>
        <w:footnoteRef/>
      </w:r>
      <w:r w:rsidRPr="00CE1B10">
        <w:t xml:space="preserve"> ISO-NE, PAC presentations, </w:t>
      </w:r>
      <w:r w:rsidRPr="00CE1B10">
        <w:rPr>
          <w:i/>
        </w:rPr>
        <w:t>2019 Economic Studies—Draft Scope of Work and High-Level Assumptions</w:t>
      </w:r>
      <w:r w:rsidRPr="00CE1B10">
        <w:t xml:space="preserve"> (May 21, 2019), </w:t>
      </w:r>
      <w:hyperlink r:id="rId22" w:history="1">
        <w:r w:rsidRPr="00CE1B10">
          <w:rPr>
            <w:rStyle w:val="Hyperlink"/>
          </w:rPr>
          <w:t>https://www.iso-ne.com/static-assets/documents/2019/05/a2_2019_economic_study_draft_scope_of_work_and_high_level_assumptions.pptx</w:t>
        </w:r>
      </w:hyperlink>
      <w:r w:rsidRPr="00CE1B10">
        <w:t xml:space="preserve">; </w:t>
      </w:r>
      <w:r w:rsidRPr="00CE1B10">
        <w:rPr>
          <w:i/>
        </w:rPr>
        <w:t>2019 Economic Studies—Detailed Assumptions</w:t>
      </w:r>
      <w:r w:rsidRPr="00CE1B10">
        <w:t xml:space="preserve"> (August 8, 2019), </w:t>
      </w:r>
      <w:hyperlink r:id="rId23" w:history="1">
        <w:r w:rsidRPr="00CE1B10">
          <w:rPr>
            <w:rStyle w:val="Hyperlink"/>
          </w:rPr>
          <w:t>https://www.iso-ne.com/static-assets/documents/2019/08/a8_2019_economic_studies_detailed_assumptions.pptx</w:t>
        </w:r>
      </w:hyperlink>
      <w:r w:rsidRPr="00CE1B10">
        <w:t>.</w:t>
      </w:r>
    </w:p>
  </w:footnote>
  <w:footnote w:id="18">
    <w:p w:rsidR="00FB1216" w:rsidRDefault="00FB1216">
      <w:pPr>
        <w:pStyle w:val="FootnoteText"/>
      </w:pPr>
      <w:r w:rsidRPr="00CE1B10">
        <w:rPr>
          <w:rStyle w:val="FootnoteReference"/>
        </w:rPr>
        <w:footnoteRef/>
      </w:r>
      <w:r w:rsidRPr="00CE1B10">
        <w:t xml:space="preserve"> ISO-NE, </w:t>
      </w:r>
      <w:r w:rsidRPr="00CE1B10">
        <w:rPr>
          <w:i/>
        </w:rPr>
        <w:t>2019 Economic Study Requests Status Update</w:t>
      </w:r>
      <w:r w:rsidRPr="00CE1B10">
        <w:t xml:space="preserve">, PAC presentation (November 20, 2019), </w:t>
      </w:r>
      <w:hyperlink r:id="rId24" w:history="1">
        <w:r w:rsidRPr="00CE1B10">
          <w:rPr>
            <w:rStyle w:val="Hyperlink"/>
          </w:rPr>
          <w:t>https://www.iso-ne.com/static-assets/documents/2019/11/a6_2019_economic_study_request_status_update.pdf</w:t>
        </w:r>
      </w:hyperlink>
      <w:r w:rsidRPr="00CE1B10">
        <w:t>.</w:t>
      </w:r>
    </w:p>
  </w:footnote>
  <w:footnote w:id="19">
    <w:p w:rsidR="00FB1216" w:rsidRDefault="00FB1216" w:rsidP="00135F16">
      <w:pPr>
        <w:pStyle w:val="FootnoteText"/>
      </w:pPr>
      <w:r w:rsidRPr="00A729AF">
        <w:rPr>
          <w:rStyle w:val="FootnoteReference"/>
        </w:rPr>
        <w:footnoteRef/>
      </w:r>
      <w:r w:rsidRPr="00A729AF">
        <w:t xml:space="preserve"> Detailed transmission interface limits for 2025 used for this study are available in the ISO’s PAC presentation, </w:t>
      </w:r>
      <w:r w:rsidRPr="00135F16">
        <w:rPr>
          <w:i/>
        </w:rPr>
        <w:t>Forward Capacity Auction 14</w:t>
      </w:r>
      <w:r>
        <w:rPr>
          <w:i/>
        </w:rPr>
        <w:t xml:space="preserve"> </w:t>
      </w:r>
      <w:r w:rsidRPr="00135F16">
        <w:rPr>
          <w:i/>
        </w:rPr>
        <w:t>Transmission Transfer Capabilities &amp;</w:t>
      </w:r>
      <w:r>
        <w:rPr>
          <w:i/>
        </w:rPr>
        <w:t xml:space="preserve"> </w:t>
      </w:r>
      <w:r w:rsidRPr="00135F16">
        <w:rPr>
          <w:i/>
        </w:rPr>
        <w:t>Capacity Zone Development</w:t>
      </w:r>
      <w:r>
        <w:t xml:space="preserve"> (March 21, 2019), slide 25</w:t>
      </w:r>
      <w:r w:rsidRPr="00A729AF">
        <w:t xml:space="preserve">, </w:t>
      </w:r>
      <w:hyperlink r:id="rId25" w:history="1">
        <w:r w:rsidRPr="003355FD">
          <w:rPr>
            <w:rStyle w:val="Hyperlink"/>
          </w:rPr>
          <w:t>https://www.iso-ne.com/static-assets/documents/2019/03/a8_fca14_transmission_transfer_capabilities_and_capacity_zone_development.pdf</w:t>
        </w:r>
      </w:hyperlink>
      <w:r>
        <w:t xml:space="preserve">. </w:t>
      </w:r>
    </w:p>
  </w:footnote>
  <w:footnote w:id="20">
    <w:p w:rsidR="00FB1216" w:rsidRDefault="00FB1216" w:rsidP="00EA37C5">
      <w:pPr>
        <w:pStyle w:val="FootnoteText"/>
      </w:pPr>
      <w:r>
        <w:rPr>
          <w:rStyle w:val="FootnoteReference"/>
        </w:rPr>
        <w:footnoteRef/>
      </w:r>
      <w:r>
        <w:t xml:space="preserve"> </w:t>
      </w:r>
      <w:r w:rsidRPr="00D11A72">
        <w:t>Normal</w:t>
      </w:r>
      <w:r w:rsidRPr="00EE2D3C">
        <w:t xml:space="preserve"> transmission system transfer limi</w:t>
      </w:r>
      <w:r w:rsidRPr="0026318A">
        <w:t>ts account for transmission system security constraints, which consider expected transmission facilities in service and first-contingency</w:t>
      </w:r>
      <w:r w:rsidRPr="0026318A">
        <w:rPr>
          <w:i/>
        </w:rPr>
        <w:t xml:space="preserve"> </w:t>
      </w:r>
      <w:r w:rsidRPr="0026318A">
        <w:t xml:space="preserve">(N-1) criteria. A </w:t>
      </w:r>
      <w:r w:rsidRPr="0026318A">
        <w:rPr>
          <w:i/>
        </w:rPr>
        <w:t xml:space="preserve">first contingency </w:t>
      </w:r>
      <w:r w:rsidRPr="0026318A">
        <w:t>is</w:t>
      </w:r>
      <w:r w:rsidRPr="0026318A">
        <w:rPr>
          <w:i/>
        </w:rPr>
        <w:t xml:space="preserve"> </w:t>
      </w:r>
      <w:r w:rsidRPr="0026318A">
        <w:t xml:space="preserve">the loss of the power system element (facility) with the largest impact on system reliability. A </w:t>
      </w:r>
      <w:r w:rsidRPr="0026318A">
        <w:rPr>
          <w:i/>
        </w:rPr>
        <w:t xml:space="preserve">second contingency </w:t>
      </w:r>
      <w:r w:rsidRPr="0026318A">
        <w:t>(N-1-1) (discussed in Section </w:t>
      </w:r>
      <w:r w:rsidRPr="0026318A">
        <w:fldChar w:fldCharType="begin"/>
      </w:r>
      <w:r w:rsidRPr="0026318A">
        <w:instrText xml:space="preserve"> REF _Ref42767184 \n \h </w:instrText>
      </w:r>
      <w:r>
        <w:instrText xml:space="preserve"> \* MERGEFORMAT </w:instrText>
      </w:r>
      <w:r w:rsidRPr="0026318A">
        <w:fldChar w:fldCharType="separate"/>
      </w:r>
      <w:r w:rsidRPr="0026318A">
        <w:t>6.1.9</w:t>
      </w:r>
      <w:r w:rsidRPr="0026318A">
        <w:fldChar w:fldCharType="end"/>
      </w:r>
      <w:r w:rsidRPr="0026318A">
        <w:t>) occurs after a first contingency when the facility that, at that time, has the largest impact on the system is lost. N-1-1 also can refer to a constraint met by maintaining an operating reserve that can increase output when the first contingency occurs.</w:t>
      </w:r>
    </w:p>
  </w:footnote>
  <w:footnote w:id="21">
    <w:p w:rsidR="00FB1216" w:rsidRDefault="00FB1216">
      <w:pPr>
        <w:pStyle w:val="FootnoteText"/>
      </w:pPr>
      <w:r>
        <w:rPr>
          <w:rStyle w:val="FootnoteReference"/>
        </w:rPr>
        <w:footnoteRef/>
      </w:r>
      <w:r>
        <w:t xml:space="preserve"> For more information on RSP areas, refer to the “System Planning Subareas” map at this ISO website link: </w:t>
      </w:r>
      <w:hyperlink r:id="rId26" w:anchor="system-planning-subareas" w:history="1">
        <w:r w:rsidRPr="009B766C">
          <w:rPr>
            <w:rStyle w:val="Hyperlink"/>
          </w:rPr>
          <w:t>https://www.iso-ne.com/about/key-stats/maps-and-diagrams/#system-planning-subareas</w:t>
        </w:r>
      </w:hyperlink>
      <w:r>
        <w:t>. Also refer to the ISO’s “Regional System Plan” webpage at:</w:t>
      </w:r>
      <w:r w:rsidRPr="009D3C5C">
        <w:t xml:space="preserve"> </w:t>
      </w:r>
      <w:hyperlink r:id="rId27" w:history="1">
        <w:r w:rsidRPr="009D3C5C">
          <w:rPr>
            <w:rStyle w:val="Hyperlink"/>
          </w:rPr>
          <w:t>https://www.iso-ne.com/system-planning/system-plans-studies/rsp/</w:t>
        </w:r>
      </w:hyperlink>
      <w:r>
        <w:t>.</w:t>
      </w:r>
    </w:p>
  </w:footnote>
  <w:footnote w:id="22">
    <w:p w:rsidR="00FB1216" w:rsidRDefault="00FB1216">
      <w:pPr>
        <w:pStyle w:val="FootnoteText"/>
      </w:pPr>
      <w:r w:rsidRPr="00CE1B10">
        <w:rPr>
          <w:rStyle w:val="FootnoteReference"/>
        </w:rPr>
        <w:footnoteRef/>
      </w:r>
      <w:r w:rsidRPr="00CE1B10">
        <w:t xml:space="preserve"> Refer to footnote </w:t>
      </w:r>
      <w:r w:rsidRPr="00CE1B10">
        <w:fldChar w:fldCharType="begin"/>
      </w:r>
      <w:r w:rsidRPr="00CE1B10">
        <w:instrText xml:space="preserve"> NOTEREF _Ref43214196 \h  \* MERGEFORMAT </w:instrText>
      </w:r>
      <w:r w:rsidRPr="00CE1B10">
        <w:fldChar w:fldCharType="separate"/>
      </w:r>
      <w:r w:rsidRPr="00CE1B10">
        <w:t>6</w:t>
      </w:r>
      <w:r w:rsidRPr="00CE1B10">
        <w:fldChar w:fldCharType="end"/>
      </w:r>
      <w:r w:rsidRPr="00CE1B10">
        <w:t>.</w:t>
      </w:r>
    </w:p>
  </w:footnote>
  <w:footnote w:id="23">
    <w:p w:rsidR="00FB1216" w:rsidRDefault="00FB1216" w:rsidP="003E3742">
      <w:pPr>
        <w:pStyle w:val="FootnoteText"/>
      </w:pPr>
      <w:r w:rsidRPr="003E3742">
        <w:rPr>
          <w:rStyle w:val="FootnoteReference"/>
        </w:rPr>
        <w:footnoteRef/>
      </w:r>
      <w:r w:rsidRPr="003E3742">
        <w:t xml:space="preserve"> </w:t>
      </w:r>
      <w:r>
        <w:t xml:space="preserve">ISO-NE,  </w:t>
      </w:r>
      <w:r w:rsidRPr="003E3742">
        <w:rPr>
          <w:i/>
        </w:rPr>
        <w:t>2016 Economic Study: NEPOOL Scenario Analysis</w:t>
      </w:r>
      <w:r>
        <w:rPr>
          <w:i/>
        </w:rPr>
        <w:t>, Phase I</w:t>
      </w:r>
      <w:r>
        <w:t xml:space="preserve">, final report (November 17, 2017), </w:t>
      </w:r>
      <w:hyperlink r:id="rId28" w:history="1">
        <w:r w:rsidRPr="003E3742">
          <w:rPr>
            <w:rStyle w:val="Hyperlink"/>
          </w:rPr>
          <w:t>https://www.iso-ne.com/static-assets/documents/2017/11/final_2016_phase1_nepool_scenario_analysis_economic_study.docx</w:t>
        </w:r>
      </w:hyperlink>
      <w:r>
        <w:t xml:space="preserve">; </w:t>
      </w:r>
      <w:r w:rsidRPr="0018404F">
        <w:t xml:space="preserve">Amro M. Farid (Dartmouth College), </w:t>
      </w:r>
      <w:r w:rsidRPr="0018404F">
        <w:rPr>
          <w:i/>
        </w:rPr>
        <w:t>2016 Economic Study Phase II—Regulation, Ramping and Reserves</w:t>
      </w:r>
      <w:r w:rsidRPr="0018404F">
        <w:t xml:space="preserve">, PAC presentations (December 20, 2017, and April 24, 2018), </w:t>
      </w:r>
      <w:hyperlink r:id="rId29" w:history="1">
        <w:r w:rsidRPr="0018404F">
          <w:rPr>
            <w:rStyle w:val="Hyperlink"/>
          </w:rPr>
          <w:t>https://www.iso-ne.com/static-assets/documents/2020/05/2-2018-04-13-pac-presentation.pdf</w:t>
        </w:r>
      </w:hyperlink>
      <w:r>
        <w:rPr>
          <w:rStyle w:val="Hyperlink"/>
        </w:rPr>
        <w:t>,</w:t>
      </w:r>
      <w:r w:rsidRPr="0018404F">
        <w:t xml:space="preserve"> and ISO-NE, </w:t>
      </w:r>
      <w:r w:rsidRPr="0018404F">
        <w:rPr>
          <w:i/>
        </w:rPr>
        <w:t>2016 Economic Phase II Study</w:t>
      </w:r>
      <w:r w:rsidRPr="0018404F">
        <w:t xml:space="preserve">, PAC presentation (December 20, 2017), </w:t>
      </w:r>
      <w:hyperlink r:id="rId30" w:history="1">
        <w:r w:rsidRPr="0018404F">
          <w:rPr>
            <w:rStyle w:val="Hyperlink"/>
          </w:rPr>
          <w:t>https://www.iso-ne.com/static-assets/documents/2017/12/a2_2016_economic_study_phase_2_regulation_ramping_reserves_introduction.pdf.</w:t>
        </w:r>
      </w:hyperlink>
      <w:r w:rsidRPr="0018404F">
        <w:t xml:space="preserve"> The 2016 Economic Study Phase II Study is also known as the System Operational Analysis and Renewable Energy Integration Study (SOARES)</w:t>
      </w:r>
      <w:r w:rsidRPr="00FD3BF5">
        <w:t>.</w:t>
      </w:r>
      <w:r>
        <w:rPr>
          <w:highlight w:val="yellow"/>
        </w:rPr>
        <w:t xml:space="preserve"> </w:t>
      </w:r>
    </w:p>
  </w:footnote>
  <w:footnote w:id="24">
    <w:p w:rsidR="00FB1216" w:rsidRDefault="00FB1216" w:rsidP="0018404F">
      <w:pPr>
        <w:spacing w:after="80" w:line="240" w:lineRule="auto"/>
      </w:pPr>
      <w:r w:rsidRPr="0018404F">
        <w:rPr>
          <w:rStyle w:val="FootnoteReference"/>
          <w:sz w:val="18"/>
          <w:szCs w:val="18"/>
        </w:rPr>
        <w:footnoteRef/>
      </w:r>
      <w:r w:rsidRPr="0018404F">
        <w:rPr>
          <w:sz w:val="18"/>
          <w:szCs w:val="18"/>
        </w:rPr>
        <w:t xml:space="preserve"> This simulation methodology</w:t>
      </w:r>
      <w:r w:rsidR="00373637" w:rsidRPr="00373637">
        <w:t xml:space="preserve"> </w:t>
      </w:r>
      <w:r w:rsidR="00373637">
        <w:t xml:space="preserve">is </w:t>
      </w:r>
      <w:r w:rsidR="00373637" w:rsidRPr="00373637">
        <w:rPr>
          <w:sz w:val="18"/>
          <w:szCs w:val="18"/>
        </w:rPr>
        <w:t xml:space="preserve">consistent with the methodology used in the 2016 Economic Studies. </w:t>
      </w:r>
      <w:r w:rsidRPr="00373637">
        <w:rPr>
          <w:sz w:val="18"/>
          <w:szCs w:val="18"/>
        </w:rPr>
        <w:t xml:space="preserve">Refer to </w:t>
      </w:r>
      <w:r w:rsidR="00373637" w:rsidRPr="00373637">
        <w:rPr>
          <w:sz w:val="18"/>
          <w:szCs w:val="18"/>
        </w:rPr>
        <w:t>footnote</w:t>
      </w:r>
      <w:r w:rsidR="00373637">
        <w:t> </w:t>
      </w:r>
      <w:r w:rsidRPr="00373637">
        <w:rPr>
          <w:sz w:val="18"/>
          <w:szCs w:val="18"/>
        </w:rPr>
        <w:fldChar w:fldCharType="begin"/>
      </w:r>
      <w:r w:rsidRPr="00373637">
        <w:rPr>
          <w:sz w:val="18"/>
          <w:szCs w:val="18"/>
        </w:rPr>
        <w:instrText xml:space="preserve"> NOTEREF _Ref43473720 \h  \* MERGEFORMAT </w:instrText>
      </w:r>
      <w:r w:rsidRPr="00373637">
        <w:rPr>
          <w:sz w:val="18"/>
          <w:szCs w:val="18"/>
        </w:rPr>
      </w:r>
      <w:r w:rsidRPr="00373637">
        <w:rPr>
          <w:sz w:val="18"/>
          <w:szCs w:val="18"/>
        </w:rPr>
        <w:fldChar w:fldCharType="separate"/>
      </w:r>
      <w:r w:rsidRPr="00373637">
        <w:rPr>
          <w:sz w:val="18"/>
          <w:szCs w:val="18"/>
        </w:rPr>
        <w:t>22</w:t>
      </w:r>
      <w:r w:rsidRPr="00373637">
        <w:rPr>
          <w:sz w:val="18"/>
          <w:szCs w:val="18"/>
        </w:rPr>
        <w:fldChar w:fldCharType="end"/>
      </w:r>
      <w:r w:rsidRPr="00373637">
        <w:rPr>
          <w:sz w:val="18"/>
          <w:szCs w:val="18"/>
        </w:rPr>
        <w:t>.</w:t>
      </w:r>
    </w:p>
  </w:footnote>
  <w:footnote w:id="25">
    <w:p w:rsidR="00FB1216" w:rsidRDefault="00FB1216">
      <w:pPr>
        <w:pStyle w:val="FootnoteText"/>
      </w:pPr>
      <w:r>
        <w:rPr>
          <w:rStyle w:val="FootnoteReference"/>
        </w:rPr>
        <w:footnoteRef/>
      </w:r>
      <w:r>
        <w:t xml:space="preserve"> </w:t>
      </w:r>
      <w:r w:rsidRPr="00297BB6">
        <w:t xml:space="preserve">The EPECS simulator consists of </w:t>
      </w:r>
      <w:r w:rsidRPr="00297BB6">
        <w:rPr>
          <w:iCs/>
        </w:rPr>
        <w:t>four</w:t>
      </w:r>
      <w:r>
        <w:rPr>
          <w:i/>
          <w:iCs/>
        </w:rPr>
        <w:t xml:space="preserve"> </w:t>
      </w:r>
      <w:r w:rsidRPr="00297BB6">
        <w:t>simulation layers</w:t>
      </w:r>
      <w:r>
        <w:t>: (1) d</w:t>
      </w:r>
      <w:r w:rsidRPr="00297BB6">
        <w:t>ay-</w:t>
      </w:r>
      <w:r>
        <w:t>a</w:t>
      </w:r>
      <w:r w:rsidRPr="00297BB6">
        <w:t xml:space="preserve">head </w:t>
      </w:r>
      <w:r>
        <w:t>r</w:t>
      </w:r>
      <w:r w:rsidRPr="00297BB6">
        <w:t xml:space="preserve">esource </w:t>
      </w:r>
      <w:r>
        <w:t>s</w:t>
      </w:r>
      <w:r w:rsidRPr="00297BB6">
        <w:t xml:space="preserve">cheduling as a </w:t>
      </w:r>
      <w:r>
        <w:t>s</w:t>
      </w:r>
      <w:r w:rsidRPr="00297BB6">
        <w:t>ecurity</w:t>
      </w:r>
      <w:r>
        <w:t>-c</w:t>
      </w:r>
      <w:r w:rsidRPr="00297BB6">
        <w:t>onstrai</w:t>
      </w:r>
      <w:r>
        <w:t>ned unit commitment (SCUC); (2) r</w:t>
      </w:r>
      <w:r w:rsidRPr="00297BB6">
        <w:t>eal-</w:t>
      </w:r>
      <w:r>
        <w:t>t</w:t>
      </w:r>
      <w:r w:rsidRPr="00297BB6">
        <w:t xml:space="preserve">ime </w:t>
      </w:r>
      <w:r>
        <w:t>r</w:t>
      </w:r>
      <w:r w:rsidRPr="00297BB6">
        <w:t xml:space="preserve">esource </w:t>
      </w:r>
      <w:r>
        <w:t>s</w:t>
      </w:r>
      <w:r w:rsidRPr="00297BB6">
        <w:t xml:space="preserve">cheduling as a </w:t>
      </w:r>
      <w:r>
        <w:t>r</w:t>
      </w:r>
      <w:r w:rsidRPr="00297BB6">
        <w:t>eal-</w:t>
      </w:r>
      <w:r>
        <w:t>t</w:t>
      </w:r>
      <w:r w:rsidRPr="00297BB6">
        <w:t xml:space="preserve">ime </w:t>
      </w:r>
      <w:r>
        <w:t>u</w:t>
      </w:r>
      <w:r w:rsidRPr="00297BB6">
        <w:t xml:space="preserve">nit </w:t>
      </w:r>
      <w:r>
        <w:t>c</w:t>
      </w:r>
      <w:r w:rsidRPr="00297BB6">
        <w:t>ommitment (RTUC)</w:t>
      </w:r>
      <w:r>
        <w:t>; (3) r</w:t>
      </w:r>
      <w:r w:rsidRPr="00297BB6">
        <w:t>eal-</w:t>
      </w:r>
      <w:r>
        <w:t>t</w:t>
      </w:r>
      <w:r w:rsidRPr="00297BB6">
        <w:t xml:space="preserve">ime </w:t>
      </w:r>
      <w:r>
        <w:t>b</w:t>
      </w:r>
      <w:r w:rsidRPr="00297BB6">
        <w:t xml:space="preserve">alancing as a </w:t>
      </w:r>
      <w:r>
        <w:t>s</w:t>
      </w:r>
      <w:r w:rsidRPr="00297BB6">
        <w:t>ecurity</w:t>
      </w:r>
      <w:r>
        <w:t>-c</w:t>
      </w:r>
      <w:r w:rsidRPr="00297BB6">
        <w:t>onst</w:t>
      </w:r>
      <w:r>
        <w:t xml:space="preserve">rained economic dispatch (SCED); and (4) </w:t>
      </w:r>
      <w:r w:rsidRPr="00E810E3">
        <w:t xml:space="preserve">real-time </w:t>
      </w:r>
      <w:r>
        <w:t>p</w:t>
      </w:r>
      <w:r w:rsidRPr="00297BB6">
        <w:t xml:space="preserve">hysical </w:t>
      </w:r>
      <w:r>
        <w:t>p</w:t>
      </w:r>
      <w:r w:rsidRPr="00297BB6">
        <w:t xml:space="preserve">ower </w:t>
      </w:r>
      <w:r>
        <w:t>f</w:t>
      </w:r>
      <w:r w:rsidRPr="00297BB6">
        <w:t xml:space="preserve">low </w:t>
      </w:r>
      <w:r>
        <w:t>with</w:t>
      </w:r>
      <w:r w:rsidRPr="00297BB6">
        <w:t xml:space="preserve"> </w:t>
      </w:r>
      <w:r>
        <w:t>i</w:t>
      </w:r>
      <w:r w:rsidRPr="00297BB6">
        <w:t xml:space="preserve">ntegrated </w:t>
      </w:r>
      <w:r>
        <w:t>r</w:t>
      </w:r>
      <w:r w:rsidRPr="00297BB6">
        <w:t xml:space="preserve">egulation </w:t>
      </w:r>
      <w:r>
        <w:t>s</w:t>
      </w:r>
      <w:r w:rsidRPr="00297BB6">
        <w:t>ervice</w:t>
      </w:r>
      <w:r>
        <w:t>.</w:t>
      </w:r>
    </w:p>
  </w:footnote>
  <w:footnote w:id="26">
    <w:p w:rsidR="00FB1216" w:rsidRDefault="00FB1216">
      <w:pPr>
        <w:pStyle w:val="FootnoteText"/>
      </w:pPr>
      <w:r>
        <w:rPr>
          <w:rStyle w:val="FootnoteReference"/>
        </w:rPr>
        <w:footnoteRef/>
      </w:r>
      <w:r>
        <w:t xml:space="preserve"> Timeframe limitations precluded EPECS simulations on the specific 2019 Economic Study scenarios. However, several cases from the 2016 Economic Study resemble the renewable and clean-energy assumptions from the 8,000 MW scenarios in the 2019 Economic Study and provide directional guidanc</w:t>
      </w:r>
      <w:r w:rsidRPr="006E75A7">
        <w:t xml:space="preserve">e discussed further below; see Section </w:t>
      </w:r>
      <w:r w:rsidRPr="006E75A7">
        <w:fldChar w:fldCharType="begin"/>
      </w:r>
      <w:r w:rsidRPr="006E75A7">
        <w:instrText xml:space="preserve"> REF _Ref44400107 \n \h </w:instrText>
      </w:r>
      <w:r>
        <w:instrText xml:space="preserve"> \* MERGEFORMAT </w:instrText>
      </w:r>
      <w:r w:rsidRPr="006E75A7">
        <w:fldChar w:fldCharType="separate"/>
      </w:r>
      <w:r w:rsidRPr="006E75A7">
        <w:t>6.1.7</w:t>
      </w:r>
      <w:r w:rsidRPr="006E75A7">
        <w:fldChar w:fldCharType="end"/>
      </w:r>
      <w:r w:rsidRPr="006E75A7">
        <w:t>.</w:t>
      </w:r>
    </w:p>
  </w:footnote>
  <w:footnote w:id="27">
    <w:p w:rsidR="00FB1216" w:rsidRPr="00295F71" w:rsidRDefault="00FB1216" w:rsidP="00857A79">
      <w:pPr>
        <w:pStyle w:val="FootnoteText"/>
      </w:pPr>
      <w:r w:rsidRPr="00295F71">
        <w:rPr>
          <w:rStyle w:val="FootnoteReference"/>
          <w:sz w:val="18"/>
          <w:szCs w:val="18"/>
        </w:rPr>
        <w:footnoteRef/>
      </w:r>
      <w:r w:rsidRPr="00295F71">
        <w:t xml:space="preserve"> EIA, </w:t>
      </w:r>
      <w:r w:rsidRPr="00295F71">
        <w:rPr>
          <w:i/>
        </w:rPr>
        <w:t>201</w:t>
      </w:r>
      <w:r>
        <w:rPr>
          <w:i/>
        </w:rPr>
        <w:t>9</w:t>
      </w:r>
      <w:r w:rsidRPr="00295F71">
        <w:rPr>
          <w:i/>
        </w:rPr>
        <w:t xml:space="preserve"> Annual Energy Outlook</w:t>
      </w:r>
      <w:r w:rsidRPr="00295F71">
        <w:t xml:space="preserve"> (201</w:t>
      </w:r>
      <w:r>
        <w:t>9</w:t>
      </w:r>
      <w:r w:rsidRPr="00295F71">
        <w:t>),</w:t>
      </w:r>
      <w:r>
        <w:t xml:space="preserve"> </w:t>
      </w:r>
      <w:hyperlink r:id="rId31" w:history="1">
        <w:r>
          <w:rPr>
            <w:rStyle w:val="Hyperlink"/>
          </w:rPr>
          <w:t>https://www.eia.gov/outlooks/archive/aeo19/</w:t>
        </w:r>
      </w:hyperlink>
      <w:r w:rsidRPr="00295F71">
        <w:t>.</w:t>
      </w:r>
    </w:p>
  </w:footnote>
  <w:footnote w:id="28">
    <w:p w:rsidR="00FB1216" w:rsidRPr="00E810E3" w:rsidRDefault="00FB1216">
      <w:pPr>
        <w:pStyle w:val="FootnoteText"/>
      </w:pPr>
      <w:r w:rsidRPr="00E810E3">
        <w:rPr>
          <w:rStyle w:val="FootnoteReference"/>
        </w:rPr>
        <w:footnoteRef/>
      </w:r>
      <w:r w:rsidRPr="00E810E3">
        <w:t xml:space="preserve"> State of Massachusetts, </w:t>
      </w:r>
      <w:r w:rsidRPr="0018404F">
        <w:rPr>
          <w:i/>
        </w:rPr>
        <w:t xml:space="preserve">An Act Establishing the Global Warming Solutions </w:t>
      </w:r>
      <w:r w:rsidRPr="00736446">
        <w:rPr>
          <w:i/>
        </w:rPr>
        <w:t>Act</w:t>
      </w:r>
      <w:r w:rsidRPr="00736446">
        <w:t xml:space="preserve">, 2008 acts, Chapter 298 (August 7, 2008), </w:t>
      </w:r>
      <w:hyperlink r:id="rId32" w:history="1">
        <w:r w:rsidRPr="006E75A7">
          <w:rPr>
            <w:rStyle w:val="Hyperlink"/>
          </w:rPr>
          <w:t>https://malegislature.gov/Laws/SessionLaws/Acts/2008/Chapter298</w:t>
        </w:r>
      </w:hyperlink>
      <w:r w:rsidRPr="00736446">
        <w:t>.</w:t>
      </w:r>
    </w:p>
  </w:footnote>
  <w:footnote w:id="29">
    <w:p w:rsidR="00FB1216" w:rsidRPr="00F95844" w:rsidRDefault="00FB1216" w:rsidP="0052653B">
      <w:pPr>
        <w:pStyle w:val="FootnoteText"/>
      </w:pPr>
      <w:r>
        <w:rPr>
          <w:rStyle w:val="FootnoteReference"/>
        </w:rPr>
        <w:footnoteRef/>
      </w:r>
      <w:r>
        <w:t xml:space="preserve"> </w:t>
      </w:r>
      <w:r w:rsidRPr="00E0618D">
        <w:t xml:space="preserve">Although offshore wind resources were modeled as price-taking resources in this study due to their threshold price of $0/MWh, these resources do exhibit some flexibility if they are “held-back” for reserves or operated under do-not-exceed dispatch (DNE) provisions. The DNE methodology sets an upper limit of how much generation the system can accommodate from an intermittent power resource. The resource may operate freely between 0 MW and this limit but must not exceed it. This helps maximize the amount of intermittent generation on the system by accommodating the </w:t>
      </w:r>
      <w:r w:rsidRPr="00F95844">
        <w:t>variable nature of these resources’ fuel.</w:t>
      </w:r>
    </w:p>
  </w:footnote>
  <w:footnote w:id="30">
    <w:p w:rsidR="00FB1216" w:rsidRPr="00F95844" w:rsidRDefault="00FB1216" w:rsidP="00F95844">
      <w:pPr>
        <w:spacing w:after="80" w:line="240" w:lineRule="auto"/>
        <w:rPr>
          <w:sz w:val="18"/>
          <w:szCs w:val="18"/>
        </w:rPr>
      </w:pPr>
      <w:r w:rsidRPr="00F95844">
        <w:rPr>
          <w:rStyle w:val="FootnoteReference"/>
          <w:sz w:val="18"/>
          <w:szCs w:val="18"/>
        </w:rPr>
        <w:footnoteRef/>
      </w:r>
      <w:r w:rsidRPr="00F95844">
        <w:rPr>
          <w:sz w:val="18"/>
          <w:szCs w:val="18"/>
        </w:rPr>
        <w:t xml:space="preserve"> Petition of Massachusetts Electric Company and Nantucket Electric Company, each d/b/a National Grid for approval by the [Massachusetts] Department of Public Utilities (DPU) of a long-term contract for procurement of Clean Energy Generation, pursuant to Section 83D of </w:t>
      </w:r>
      <w:r w:rsidRPr="00F95844">
        <w:rPr>
          <w:i/>
          <w:sz w:val="18"/>
          <w:szCs w:val="18"/>
        </w:rPr>
        <w:t>An Act Relative to Green Communities</w:t>
      </w:r>
      <w:r w:rsidRPr="00F95844">
        <w:rPr>
          <w:sz w:val="18"/>
          <w:szCs w:val="18"/>
        </w:rPr>
        <w:t>, St. 2008, c. 169, as amended by St. 2016, c. 188, § 12, DPU 18-64; DPU 18-65; with three Power Purchase Agreements for firm qualified clean energy from hydroelectric generation and between the following parties and H.Q. Energy Services (US) Inc. as of June 13, 2018: (1) NSTAR Electric Co. d/b/a Eversource Energy (US) Inc., Exhibit JU-3-A Page 1 of 87, revised October 17, 2018 (</w:t>
      </w:r>
      <w:hyperlink r:id="rId33" w:history="1">
        <w:r w:rsidRPr="00F95844">
          <w:rPr>
            <w:color w:val="0000FF"/>
            <w:sz w:val="18"/>
            <w:szCs w:val="18"/>
            <w:u w:val="single"/>
          </w:rPr>
          <w:t>https://fileservice.eea.comacloud.net/FileService.Api/file/FileRoom/9946888</w:t>
        </w:r>
      </w:hyperlink>
      <w:r w:rsidRPr="00F95844">
        <w:rPr>
          <w:sz w:val="18"/>
          <w:szCs w:val="18"/>
        </w:rPr>
        <w:t>); (2) Massachusetts Electric Company and Nantucket Electric Company d/b/a National Grid, redacted DPU 18-64/18-65/18-66, October 17, 2018, Exhibit JU-3-B, Page 1 of 97 (</w:t>
      </w:r>
      <w:hyperlink r:id="rId34" w:history="1">
        <w:r w:rsidRPr="00F95844">
          <w:rPr>
            <w:color w:val="0000FF"/>
            <w:sz w:val="18"/>
            <w:szCs w:val="18"/>
            <w:u w:val="single"/>
          </w:rPr>
          <w:t>https://fileservice.eea.comacloud.net/FileService.Api/file/FileRoom/9946889</w:t>
        </w:r>
      </w:hyperlink>
      <w:r w:rsidRPr="00F95844">
        <w:rPr>
          <w:sz w:val="18"/>
          <w:szCs w:val="18"/>
        </w:rPr>
        <w:t>); and (3) Fitchburg Gas and Electric Light Co. d/b/a Unitil DPU 18-64/18-65/18-66, revised October 17, 2018, Exhibit JU-3-C, Page 1 of 85 (</w:t>
      </w:r>
      <w:hyperlink r:id="rId35" w:history="1">
        <w:r w:rsidRPr="00F95844">
          <w:rPr>
            <w:color w:val="0000FF"/>
            <w:sz w:val="18"/>
            <w:szCs w:val="18"/>
            <w:u w:val="single"/>
          </w:rPr>
          <w:t>https://fileservice.eea.comacloud.net/FileService.Api/file/FileRoom/9946890</w:t>
        </w:r>
      </w:hyperlink>
      <w:r w:rsidRPr="00F95844">
        <w:rPr>
          <w:sz w:val="18"/>
          <w:szCs w:val="18"/>
        </w:rPr>
        <w:t xml:space="preserve">). Docket (accessed June 22, 2020): </w:t>
      </w:r>
      <w:hyperlink r:id="rId36" w:history="1">
        <w:r w:rsidRPr="00F95844">
          <w:rPr>
            <w:color w:val="0000FF"/>
            <w:sz w:val="18"/>
            <w:szCs w:val="18"/>
            <w:u w:val="single"/>
          </w:rPr>
          <w:t>https://eeaonline.eea.state.ma.us/DPU/Fileroom/dockets/bynumber/18-65</w:t>
        </w:r>
      </w:hyperlink>
      <w:r w:rsidRPr="00F95844">
        <w:rPr>
          <w:sz w:val="18"/>
          <w:szCs w:val="18"/>
        </w:rPr>
        <w:t>.</w:t>
      </w:r>
    </w:p>
    <w:p w:rsidR="00FB1216" w:rsidRPr="00837709" w:rsidRDefault="00FB1216" w:rsidP="00D939AB">
      <w:pPr>
        <w:spacing w:after="80" w:line="240" w:lineRule="auto"/>
        <w:rPr>
          <w:color w:val="1F497D"/>
        </w:rPr>
      </w:pPr>
    </w:p>
  </w:footnote>
  <w:footnote w:id="31">
    <w:p w:rsidR="00FB1216" w:rsidRDefault="00FB1216" w:rsidP="00276639">
      <w:pPr>
        <w:pStyle w:val="FootnoteText"/>
      </w:pPr>
      <w:r w:rsidRPr="00C77403">
        <w:rPr>
          <w:rStyle w:val="FootnoteReference"/>
          <w:sz w:val="18"/>
          <w:szCs w:val="18"/>
        </w:rPr>
        <w:footnoteRef/>
      </w:r>
      <w:r w:rsidRPr="00C77403">
        <w:t xml:space="preserve"> Additional results are included in PAC presentations: December 19, 2019 and January 23, 2020</w:t>
      </w:r>
      <w:r w:rsidRPr="00554650">
        <w:rPr>
          <w:rStyle w:val="Hyperlink"/>
          <w:color w:val="auto"/>
          <w:u w:val="none"/>
        </w:rPr>
        <w:t xml:space="preserve"> (</w:t>
      </w:r>
      <w:r w:rsidRPr="00C77403">
        <w:rPr>
          <w:rStyle w:val="Hyperlink"/>
        </w:rPr>
        <w:t xml:space="preserve">footnote </w:t>
      </w:r>
      <w:r w:rsidRPr="00C77403">
        <w:rPr>
          <w:rStyle w:val="Hyperlink"/>
        </w:rPr>
        <w:fldChar w:fldCharType="begin"/>
      </w:r>
      <w:r w:rsidRPr="00C77403">
        <w:rPr>
          <w:rStyle w:val="Hyperlink"/>
        </w:rPr>
        <w:instrText xml:space="preserve"> NOTEREF _Ref43214196 \h  \* MERGEFORMAT </w:instrText>
      </w:r>
      <w:r w:rsidRPr="00C77403">
        <w:rPr>
          <w:rStyle w:val="Hyperlink"/>
        </w:rPr>
      </w:r>
      <w:r w:rsidRPr="00C77403">
        <w:rPr>
          <w:rStyle w:val="Hyperlink"/>
        </w:rPr>
        <w:fldChar w:fldCharType="separate"/>
      </w:r>
      <w:r w:rsidRPr="00C77403">
        <w:rPr>
          <w:rStyle w:val="Hyperlink"/>
        </w:rPr>
        <w:t>6</w:t>
      </w:r>
      <w:r w:rsidRPr="00C77403">
        <w:rPr>
          <w:rStyle w:val="Hyperlink"/>
        </w:rPr>
        <w:fldChar w:fldCharType="end"/>
      </w:r>
      <w:r w:rsidRPr="00554650">
        <w:rPr>
          <w:rStyle w:val="Hyperlink"/>
          <w:color w:val="auto"/>
          <w:u w:val="none"/>
        </w:rPr>
        <w:t>)</w:t>
      </w:r>
      <w:r w:rsidRPr="00554650">
        <w:rPr>
          <w:rStyle w:val="Hyperlink"/>
          <w:color w:val="000000"/>
          <w:u w:val="none"/>
        </w:rPr>
        <w:t>;</w:t>
      </w:r>
      <w:r w:rsidRPr="00C77403">
        <w:t xml:space="preserve"> February 20, 2020, and April 23, 2020</w:t>
      </w:r>
      <w:r w:rsidRPr="00554650">
        <w:rPr>
          <w:rStyle w:val="Hyperlink"/>
          <w:color w:val="auto"/>
          <w:u w:val="none"/>
        </w:rPr>
        <w:t xml:space="preserve"> (</w:t>
      </w:r>
      <w:r w:rsidRPr="00C77403">
        <w:rPr>
          <w:rStyle w:val="Hyperlink"/>
        </w:rPr>
        <w:t xml:space="preserve">footnote </w:t>
      </w:r>
      <w:r w:rsidRPr="00C77403">
        <w:rPr>
          <w:rStyle w:val="Hyperlink"/>
        </w:rPr>
        <w:fldChar w:fldCharType="begin"/>
      </w:r>
      <w:r w:rsidRPr="00C77403">
        <w:rPr>
          <w:rStyle w:val="Hyperlink"/>
        </w:rPr>
        <w:instrText xml:space="preserve"> NOTEREF _Ref43215677 \h  \* MERGEFORMAT </w:instrText>
      </w:r>
      <w:r w:rsidRPr="00C77403">
        <w:rPr>
          <w:rStyle w:val="Hyperlink"/>
        </w:rPr>
      </w:r>
      <w:r w:rsidRPr="00C77403">
        <w:rPr>
          <w:rStyle w:val="Hyperlink"/>
        </w:rPr>
        <w:fldChar w:fldCharType="separate"/>
      </w:r>
      <w:r w:rsidRPr="00C77403">
        <w:rPr>
          <w:rStyle w:val="Hyperlink"/>
        </w:rPr>
        <w:t>7</w:t>
      </w:r>
      <w:r w:rsidRPr="00C77403">
        <w:rPr>
          <w:rStyle w:val="Hyperlink"/>
        </w:rPr>
        <w:fldChar w:fldCharType="end"/>
      </w:r>
      <w:r w:rsidRPr="00554650">
        <w:rPr>
          <w:rStyle w:val="Hyperlink"/>
          <w:color w:val="auto"/>
          <w:u w:val="none"/>
        </w:rPr>
        <w:t xml:space="preserve">); </w:t>
      </w:r>
      <w:r w:rsidRPr="00C77403">
        <w:rPr>
          <w:rStyle w:val="Hyperlink"/>
          <w:color w:val="auto"/>
          <w:u w:val="none"/>
        </w:rPr>
        <w:t xml:space="preserve">and </w:t>
      </w:r>
      <w:r w:rsidRPr="00C77403">
        <w:t>May 20, 2020</w:t>
      </w:r>
      <w:r w:rsidRPr="00554650">
        <w:rPr>
          <w:rStyle w:val="Hyperlink"/>
          <w:color w:val="auto"/>
          <w:u w:val="none"/>
        </w:rPr>
        <w:t xml:space="preserve"> (</w:t>
      </w:r>
      <w:r w:rsidRPr="00C77403">
        <w:rPr>
          <w:rStyle w:val="Hyperlink"/>
        </w:rPr>
        <w:t xml:space="preserve">footnote </w:t>
      </w:r>
      <w:r w:rsidRPr="00C77403">
        <w:rPr>
          <w:rStyle w:val="Hyperlink"/>
        </w:rPr>
        <w:fldChar w:fldCharType="begin"/>
      </w:r>
      <w:r w:rsidRPr="00C77403">
        <w:rPr>
          <w:rStyle w:val="Hyperlink"/>
        </w:rPr>
        <w:instrText xml:space="preserve"> NOTEREF _Ref43215754 \h  \* MERGEFORMAT </w:instrText>
      </w:r>
      <w:r w:rsidRPr="00C77403">
        <w:rPr>
          <w:rStyle w:val="Hyperlink"/>
        </w:rPr>
      </w:r>
      <w:r w:rsidRPr="00C77403">
        <w:rPr>
          <w:rStyle w:val="Hyperlink"/>
        </w:rPr>
        <w:fldChar w:fldCharType="separate"/>
      </w:r>
      <w:r w:rsidRPr="00C77403">
        <w:rPr>
          <w:rStyle w:val="Hyperlink"/>
        </w:rPr>
        <w:t>8</w:t>
      </w:r>
      <w:r w:rsidRPr="00C77403">
        <w:rPr>
          <w:rStyle w:val="Hyperlink"/>
        </w:rPr>
        <w:fldChar w:fldCharType="end"/>
      </w:r>
      <w:r w:rsidRPr="00554650">
        <w:rPr>
          <w:rStyle w:val="Hyperlink"/>
          <w:color w:val="auto"/>
          <w:u w:val="none"/>
        </w:rPr>
        <w:t>)</w:t>
      </w:r>
      <w:r w:rsidRPr="00554650">
        <w:t>.</w:t>
      </w:r>
      <w:r w:rsidRPr="00C77403">
        <w:t xml:space="preserve"> Transmission interconnection results are summarized in the April 23, 2020</w:t>
      </w:r>
      <w:r w:rsidR="00554650">
        <w:t>,</w:t>
      </w:r>
      <w:r w:rsidR="00554650">
        <w:rPr>
          <w:rStyle w:val="Hyperlink"/>
          <w:color w:val="auto"/>
          <w:u w:val="none"/>
        </w:rPr>
        <w:t xml:space="preserve"> </w:t>
      </w:r>
      <w:r w:rsidRPr="00C77403">
        <w:t>and May 20, 2020</w:t>
      </w:r>
      <w:r w:rsidR="00554650">
        <w:t>,</w:t>
      </w:r>
      <w:r w:rsidRPr="00554650">
        <w:rPr>
          <w:rStyle w:val="Hyperlink"/>
          <w:color w:val="auto"/>
          <w:u w:val="none"/>
        </w:rPr>
        <w:t xml:space="preserve"> </w:t>
      </w:r>
      <w:r w:rsidRPr="00C77403">
        <w:rPr>
          <w:rStyle w:val="Hyperlink"/>
          <w:color w:val="auto"/>
          <w:u w:val="none"/>
        </w:rPr>
        <w:t>PAC presentations</w:t>
      </w:r>
      <w:r w:rsidRPr="00C77403">
        <w:t>.</w:t>
      </w:r>
    </w:p>
  </w:footnote>
  <w:footnote w:id="32">
    <w:p w:rsidR="00FB1216" w:rsidRDefault="00FB1216">
      <w:pPr>
        <w:pStyle w:val="FootnoteText"/>
      </w:pPr>
      <w:r w:rsidRPr="00373637">
        <w:rPr>
          <w:rStyle w:val="FootnoteReference"/>
        </w:rPr>
        <w:footnoteRef/>
      </w:r>
      <w:r w:rsidRPr="00373637">
        <w:t xml:space="preserve"> As discussed in Section </w:t>
      </w:r>
      <w:r w:rsidRPr="00373637">
        <w:fldChar w:fldCharType="begin"/>
      </w:r>
      <w:r w:rsidRPr="00373637">
        <w:instrText xml:space="preserve"> REF _Ref44401152 \n \h  \* MERGEFORMAT </w:instrText>
      </w:r>
      <w:r w:rsidRPr="00373637">
        <w:fldChar w:fldCharType="separate"/>
      </w:r>
      <w:r w:rsidRPr="00373637">
        <w:t>5.2.8</w:t>
      </w:r>
      <w:r w:rsidRPr="00373637">
        <w:fldChar w:fldCharType="end"/>
      </w:r>
      <w:r w:rsidRPr="00373637">
        <w:t>, threshold prices drive the curtailment of specific resources, and the order of the spilled resources; the prices do not reflect actual expectations of market outcomes. The NESCOE 2019 Economic Study used both</w:t>
      </w:r>
      <w:r w:rsidRPr="00E810E3">
        <w:t xml:space="preserve"> 2006 and 2015 weather years to shape the 2030 wind, solar, and load profiles</w:t>
      </w:r>
      <w:r w:rsidRPr="00DE09F3">
        <w:t xml:space="preserve"> (see Section </w:t>
      </w:r>
      <w:r w:rsidRPr="00DE09F3">
        <w:fldChar w:fldCharType="begin"/>
      </w:r>
      <w:r w:rsidRPr="00DE09F3">
        <w:instrText xml:space="preserve"> REF _Ref43123389 \n \h </w:instrText>
      </w:r>
      <w:r>
        <w:instrText xml:space="preserve"> \* MERGEFORMAT </w:instrText>
      </w:r>
      <w:r w:rsidRPr="00DE09F3">
        <w:fldChar w:fldCharType="separate"/>
      </w:r>
      <w:r w:rsidRPr="00DE09F3">
        <w:t>4.2.3</w:t>
      </w:r>
      <w:r w:rsidRPr="00DE09F3">
        <w:fldChar w:fldCharType="end"/>
      </w:r>
      <w:r w:rsidRPr="00DE09F3">
        <w:t>)</w:t>
      </w:r>
      <w:r w:rsidRPr="00E810E3">
        <w:t>. If a different weather year were</w:t>
      </w:r>
      <w:r>
        <w:t xml:space="preserve"> </w:t>
      </w:r>
      <w:r w:rsidRPr="002D0A9E">
        <w:t>used</w:t>
      </w:r>
      <w:r w:rsidRPr="00E810E3">
        <w:t>, the results would differ.</w:t>
      </w:r>
    </w:p>
  </w:footnote>
  <w:footnote w:id="33">
    <w:p w:rsidR="00FB1216" w:rsidRDefault="00FB1216">
      <w:pPr>
        <w:pStyle w:val="FootnoteText"/>
      </w:pPr>
      <w:r>
        <w:rPr>
          <w:rStyle w:val="FootnoteReference"/>
        </w:rPr>
        <w:footnoteRef/>
      </w:r>
      <w:r>
        <w:t xml:space="preserve"> The</w:t>
      </w:r>
      <w:r w:rsidRPr="00287E20">
        <w:t xml:space="preserve"> differences in</w:t>
      </w:r>
      <w:r>
        <w:t xml:space="preserve"> spillage of</w:t>
      </w:r>
      <w:r w:rsidRPr="00287E20">
        <w:t xml:space="preserve"> the 8</w:t>
      </w:r>
      <w:r>
        <w:t>,</w:t>
      </w:r>
      <w:r w:rsidRPr="00287E20">
        <w:t xml:space="preserve">000 </w:t>
      </w:r>
      <w:r>
        <w:t xml:space="preserve">MW </w:t>
      </w:r>
      <w:r w:rsidRPr="00287E20">
        <w:t xml:space="preserve">scenarios </w:t>
      </w:r>
      <w:r>
        <w:t>is</w:t>
      </w:r>
      <w:r w:rsidRPr="00287E20">
        <w:t xml:space="preserve"> due to varying capacity factors among the different scaled interconnection values rather than one certain interconnection configuration being more valuable than </w:t>
      </w:r>
      <w:r>
        <w:t>another.</w:t>
      </w:r>
    </w:p>
  </w:footnote>
  <w:footnote w:id="34">
    <w:p w:rsidR="00FB1216" w:rsidRDefault="00FB1216" w:rsidP="00E75CAB">
      <w:pPr>
        <w:pStyle w:val="FootnoteText"/>
      </w:pPr>
      <w:r>
        <w:rPr>
          <w:rStyle w:val="FootnoteReference"/>
        </w:rPr>
        <w:footnoteRef/>
      </w:r>
      <w:r>
        <w:t xml:space="preserve"> As a general trend, offshore wind</w:t>
      </w:r>
      <w:r w:rsidRPr="00202F55">
        <w:t xml:space="preserve"> pattern</w:t>
      </w:r>
      <w:r>
        <w:t>s vary when</w:t>
      </w:r>
      <w:r w:rsidRPr="00202F55">
        <w:t xml:space="preserve"> wind production </w:t>
      </w:r>
      <w:r>
        <w:t>is</w:t>
      </w:r>
      <w:r w:rsidRPr="00202F55">
        <w:t xml:space="preserve"> highest in the sho</w:t>
      </w:r>
      <w:r>
        <w:t>u</w:t>
      </w:r>
      <w:r w:rsidRPr="00202F55">
        <w:t>lder months and lower during the peak months.</w:t>
      </w:r>
    </w:p>
  </w:footnote>
  <w:footnote w:id="35">
    <w:p w:rsidR="00FB1216" w:rsidRDefault="00FB1216" w:rsidP="0076247A">
      <w:pPr>
        <w:pStyle w:val="FootnoteText"/>
      </w:pPr>
      <w:r>
        <w:rPr>
          <w:rStyle w:val="FootnoteReference"/>
        </w:rPr>
        <w:footnoteRef/>
      </w:r>
      <w:r>
        <w:t xml:space="preserve"> During the aforementioned low-spill days, the New Brunswick import spillage was minimal.</w:t>
      </w:r>
    </w:p>
  </w:footnote>
  <w:footnote w:id="36">
    <w:p w:rsidR="00FB1216" w:rsidRDefault="00FB1216">
      <w:pPr>
        <w:pStyle w:val="FootnoteText"/>
      </w:pPr>
      <w:r w:rsidRPr="0088328E">
        <w:rPr>
          <w:rStyle w:val="FootnoteReference"/>
        </w:rPr>
        <w:footnoteRef/>
      </w:r>
      <w:r w:rsidRPr="00E810E3">
        <w:t xml:space="preserve"> </w:t>
      </w:r>
      <w:r>
        <w:t>O</w:t>
      </w:r>
      <w:r w:rsidRPr="0088328E">
        <w:t>il resource</w:t>
      </w:r>
      <w:r>
        <w:t>s</w:t>
      </w:r>
      <w:r w:rsidRPr="0088328E">
        <w:t xml:space="preserve"> </w:t>
      </w:r>
      <w:r>
        <w:t xml:space="preserve">operate based on economic commitment and </w:t>
      </w:r>
      <w:r w:rsidRPr="0088328E">
        <w:t>usually when natural gas prices rise due to high demand</w:t>
      </w:r>
      <w:r>
        <w:t xml:space="preserve">. </w:t>
      </w:r>
      <w:r w:rsidRPr="0088328E">
        <w:t>The assumed fuel prices for this 2019 NESCOE Economic Study do not feat</w:t>
      </w:r>
      <w:r w:rsidRPr="00E810E3">
        <w:t>ure this oil</w:t>
      </w:r>
      <w:r>
        <w:t>-</w:t>
      </w:r>
      <w:r w:rsidRPr="00C8409F">
        <w:t>price inversion</w:t>
      </w:r>
      <w:r w:rsidRPr="0088328E">
        <w:t xml:space="preserve"> because this type of operational condition (where oil</w:t>
      </w:r>
      <w:r>
        <w:t>-</w:t>
      </w:r>
      <w:r w:rsidRPr="0088328E">
        <w:t>fired resou</w:t>
      </w:r>
      <w:r>
        <w:t>r</w:t>
      </w:r>
      <w:r w:rsidRPr="0088328E">
        <w:t xml:space="preserve">ces are economical) never occurs in the study. Given the large amount of renewable and clean resources in the scenarios studied, </w:t>
      </w:r>
      <w:r>
        <w:t xml:space="preserve">whether the </w:t>
      </w:r>
      <w:r w:rsidRPr="0088328E">
        <w:t>oil</w:t>
      </w:r>
      <w:r>
        <w:t>-</w:t>
      </w:r>
      <w:r w:rsidRPr="0088328E">
        <w:t>price inve</w:t>
      </w:r>
      <w:r w:rsidRPr="00C8409F">
        <w:t>rsion would occur</w:t>
      </w:r>
      <w:r>
        <w:t xml:space="preserve"> is unknown</w:t>
      </w:r>
      <w:r w:rsidRPr="00C8409F">
        <w:t>. This study also does not asses</w:t>
      </w:r>
      <w:r>
        <w:t>s</w:t>
      </w:r>
      <w:r w:rsidRPr="00C8409F">
        <w:t xml:space="preserve"> fuel-security concerns that </w:t>
      </w:r>
      <w:r>
        <w:t xml:space="preserve">sometime </w:t>
      </w:r>
      <w:r w:rsidRPr="00C8409F">
        <w:t>drive the operation of oil</w:t>
      </w:r>
      <w:r>
        <w:t>-</w:t>
      </w:r>
      <w:r w:rsidRPr="00C8409F">
        <w:t>fired generators.</w:t>
      </w:r>
      <w:r w:rsidR="009606D8" w:rsidRPr="009606D8">
        <w:t xml:space="preserve"> </w:t>
      </w:r>
      <w:r w:rsidR="009606D8" w:rsidRPr="002D0151">
        <w:t xml:space="preserve">ISO-NE, </w:t>
      </w:r>
      <w:r w:rsidR="009606D8" w:rsidRPr="005B1275">
        <w:rPr>
          <w:i/>
        </w:rPr>
        <w:t>NESCOE 2019 Economic Study—8,000 MW Offshore Wind Results</w:t>
      </w:r>
      <w:r w:rsidR="005A589D">
        <w:t>, PAC presentation</w:t>
      </w:r>
      <w:r w:rsidR="009606D8" w:rsidRPr="002D0151">
        <w:t xml:space="preserve"> (February 20, 2020), </w:t>
      </w:r>
      <w:r w:rsidR="005A589D">
        <w:t xml:space="preserve">slides 10 and 27, </w:t>
      </w:r>
      <w:hyperlink r:id="rId37" w:history="1">
        <w:r w:rsidR="009606D8" w:rsidRPr="005A589D">
          <w:rPr>
            <w:rStyle w:val="Hyperlink"/>
          </w:rPr>
          <w:t>https://www.iso-ne.com/static-assets/documents/2020/02/a6_nescoe_2019_Econ_8000.pdf</w:t>
        </w:r>
      </w:hyperlink>
      <w:r w:rsidR="009606D8">
        <w:t>.</w:t>
      </w:r>
    </w:p>
  </w:footnote>
  <w:footnote w:id="37">
    <w:p w:rsidR="00FB1216" w:rsidRDefault="00FB1216" w:rsidP="003724C2">
      <w:pPr>
        <w:pStyle w:val="FootnoteText"/>
      </w:pPr>
      <w:r>
        <w:rPr>
          <w:rStyle w:val="FootnoteReference"/>
        </w:rPr>
        <w:footnoteRef/>
      </w:r>
      <w:r>
        <w:t xml:space="preserve"> Recall that the 8,000 MW scenarios include </w:t>
      </w:r>
      <w:r w:rsidRPr="004D01FC">
        <w:t xml:space="preserve">heat pumps and </w:t>
      </w:r>
      <w:r w:rsidRPr="00C8409F">
        <w:t>plug</w:t>
      </w:r>
      <w:r w:rsidRPr="006132F4">
        <w:t>-</w:t>
      </w:r>
      <w:r w:rsidRPr="00E810E3">
        <w:t xml:space="preserve">in </w:t>
      </w:r>
      <w:r w:rsidRPr="006132F4">
        <w:t xml:space="preserve">hybrid </w:t>
      </w:r>
      <w:r w:rsidRPr="00E810E3">
        <w:t>electric vehicles. Annu</w:t>
      </w:r>
      <w:r w:rsidRPr="004D01FC">
        <w:t>ally</w:t>
      </w:r>
      <w:r>
        <w:t>,</w:t>
      </w:r>
      <w:r w:rsidRPr="004D01FC">
        <w:t xml:space="preserve"> heat pumps and </w:t>
      </w:r>
      <w:r>
        <w:t xml:space="preserve">PHEVs make up </w:t>
      </w:r>
      <w:r w:rsidRPr="004D01FC">
        <w:t>only 4% of net load. However, during winter evening peaks</w:t>
      </w:r>
      <w:r>
        <w:t>,</w:t>
      </w:r>
      <w:r w:rsidRPr="004D01FC">
        <w:t xml:space="preserve"> they are </w:t>
      </w:r>
      <w:r>
        <w:t xml:space="preserve">approximately </w:t>
      </w:r>
      <w:r w:rsidRPr="004D01FC">
        <w:t xml:space="preserve">10% of net load. </w:t>
      </w:r>
      <w:r>
        <w:t>S</w:t>
      </w:r>
      <w:r w:rsidRPr="004D01FC">
        <w:t>torage or energy that would otherwise be spilled</w:t>
      </w:r>
      <w:r>
        <w:t xml:space="preserve"> often serve this load addition</w:t>
      </w:r>
      <w:r w:rsidRPr="004D01FC">
        <w:t>.</w:t>
      </w:r>
    </w:p>
  </w:footnote>
  <w:footnote w:id="38">
    <w:p w:rsidR="00FB1216" w:rsidRDefault="00FB1216">
      <w:pPr>
        <w:pStyle w:val="FootnoteText"/>
      </w:pPr>
      <w:r>
        <w:rPr>
          <w:rStyle w:val="FootnoteReference"/>
        </w:rPr>
        <w:footnoteRef/>
      </w:r>
      <w:r>
        <w:t xml:space="preserve"> </w:t>
      </w:r>
      <w:r w:rsidRPr="00E810E3">
        <w:t>While overall interfaces are not congested, transmission analysis revealed specific interface line overloads that would require upgrades.</w:t>
      </w:r>
    </w:p>
  </w:footnote>
  <w:footnote w:id="39">
    <w:p w:rsidR="00FB1216" w:rsidRDefault="00FB1216">
      <w:pPr>
        <w:pStyle w:val="FootnoteText"/>
      </w:pPr>
      <w:r>
        <w:rPr>
          <w:rStyle w:val="FootnoteReference"/>
        </w:rPr>
        <w:footnoteRef/>
      </w:r>
      <w:r>
        <w:t xml:space="preserve"> In this study, the</w:t>
      </w:r>
      <w:r w:rsidRPr="00E64B7D">
        <w:t xml:space="preserve"> Surowiec-South interface limit </w:t>
      </w:r>
      <w:r>
        <w:t xml:space="preserve">was </w:t>
      </w:r>
      <w:r w:rsidRPr="00E64B7D">
        <w:t>increased to 2,500 MW (fr</w:t>
      </w:r>
      <w:r>
        <w:t>om 1,500 MW).</w:t>
      </w:r>
    </w:p>
  </w:footnote>
  <w:footnote w:id="40">
    <w:p w:rsidR="00FB1216" w:rsidRDefault="00FB1216">
      <w:pPr>
        <w:pStyle w:val="FootnoteText"/>
      </w:pPr>
      <w:r w:rsidRPr="00D31BDB">
        <w:rPr>
          <w:rStyle w:val="FootnoteReference"/>
        </w:rPr>
        <w:footnoteRef/>
      </w:r>
      <w:r w:rsidRPr="00D31BDB">
        <w:t xml:space="preserve"> NESCOE, Request for 2019 Economic Study to Analyze Offshore Wind Integration</w:t>
      </w:r>
      <w:r>
        <w:t>,</w:t>
      </w:r>
      <w:r w:rsidRPr="00D31BDB">
        <w:t xml:space="preserve"> memorandum</w:t>
      </w:r>
      <w:r>
        <w:t xml:space="preserve"> </w:t>
      </w:r>
      <w:r w:rsidRPr="00D31BDB">
        <w:t xml:space="preserve">(April 1, 2019), </w:t>
      </w:r>
      <w:r>
        <w:t xml:space="preserve">page 2, </w:t>
      </w:r>
      <w:hyperlink r:id="rId38" w:history="1">
        <w:r w:rsidRPr="00D31BDB">
          <w:rPr>
            <w:rStyle w:val="Hyperlink"/>
          </w:rPr>
          <w:t>https://www.iso-ne.com/static-assets/documents/2019/04/nescoe_2019_economic_study_request.pdf</w:t>
        </w:r>
      </w:hyperlink>
      <w:r>
        <w:t>.</w:t>
      </w:r>
    </w:p>
  </w:footnote>
  <w:footnote w:id="41">
    <w:p w:rsidR="00FB1216" w:rsidRPr="00843BAF" w:rsidRDefault="00FB1216" w:rsidP="00EC74FC">
      <w:pPr>
        <w:spacing w:after="80" w:line="240" w:lineRule="auto"/>
        <w:rPr>
          <w:sz w:val="18"/>
          <w:szCs w:val="18"/>
        </w:rPr>
      </w:pPr>
      <w:r w:rsidRPr="00E712DA">
        <w:rPr>
          <w:rStyle w:val="FootnoteReference"/>
          <w:sz w:val="18"/>
          <w:szCs w:val="18"/>
        </w:rPr>
        <w:footnoteRef/>
      </w:r>
      <w:r w:rsidRPr="00E712DA">
        <w:rPr>
          <w:sz w:val="18"/>
          <w:szCs w:val="18"/>
        </w:rPr>
        <w:t xml:space="preserve"> </w:t>
      </w:r>
      <w:r w:rsidRPr="00A7517A">
        <w:rPr>
          <w:sz w:val="18"/>
          <w:szCs w:val="18"/>
        </w:rPr>
        <w:t>The two method</w:t>
      </w:r>
      <w:r w:rsidRPr="00EC74FC">
        <w:rPr>
          <w:sz w:val="18"/>
          <w:szCs w:val="18"/>
        </w:rPr>
        <w:t xml:space="preserve">s are not directly comparable </w:t>
      </w:r>
      <w:r w:rsidRPr="00843BAF">
        <w:rPr>
          <w:sz w:val="18"/>
          <w:szCs w:val="18"/>
        </w:rPr>
        <w:t>with the Marginal Emissions Analyses report. Thus, the ISO provided a 0 MW offshore wind scenario as a baseline and assessed only unconstrained scenarios.</w:t>
      </w:r>
      <w:r w:rsidRPr="00843BAF" w:rsidDel="00EC74FC">
        <w:rPr>
          <w:sz w:val="18"/>
          <w:szCs w:val="18"/>
        </w:rPr>
        <w:t xml:space="preserve"> </w:t>
      </w:r>
      <w:r w:rsidRPr="00843BAF">
        <w:rPr>
          <w:sz w:val="18"/>
          <w:szCs w:val="18"/>
        </w:rPr>
        <w:t xml:space="preserve">For information on the ISO’s marginal emissions analyses, see: ISO-NE, </w:t>
      </w:r>
      <w:r w:rsidRPr="00843BAF">
        <w:rPr>
          <w:i/>
          <w:sz w:val="18"/>
          <w:szCs w:val="18"/>
        </w:rPr>
        <w:t>2018 ISO New England</w:t>
      </w:r>
      <w:r>
        <w:rPr>
          <w:i/>
          <w:sz w:val="18"/>
          <w:szCs w:val="18"/>
        </w:rPr>
        <w:t xml:space="preserve"> </w:t>
      </w:r>
      <w:r w:rsidRPr="00843BAF">
        <w:rPr>
          <w:i/>
          <w:sz w:val="18"/>
          <w:szCs w:val="18"/>
        </w:rPr>
        <w:t>Electric Generator Air Emissions Report</w:t>
      </w:r>
      <w:r w:rsidRPr="00843BAF">
        <w:rPr>
          <w:sz w:val="18"/>
          <w:szCs w:val="18"/>
        </w:rPr>
        <w:t xml:space="preserve"> (May 2020), </w:t>
      </w:r>
      <w:hyperlink r:id="rId39" w:history="1">
        <w:r w:rsidRPr="00843BAF">
          <w:rPr>
            <w:rStyle w:val="Hyperlink"/>
            <w:sz w:val="18"/>
            <w:szCs w:val="18"/>
          </w:rPr>
          <w:t>https://www.iso-ne.com/static-assets/documents/2020/05/2018_air_emissions_report.pdf</w:t>
        </w:r>
      </w:hyperlink>
      <w:r>
        <w:rPr>
          <w:sz w:val="18"/>
          <w:szCs w:val="18"/>
        </w:rPr>
        <w:t>.</w:t>
      </w:r>
    </w:p>
  </w:footnote>
  <w:footnote w:id="42">
    <w:p w:rsidR="00FB1216" w:rsidRDefault="00FB1216" w:rsidP="00D3540B">
      <w:pPr>
        <w:pStyle w:val="FootnoteText"/>
      </w:pPr>
      <w:r w:rsidRPr="001C4363">
        <w:rPr>
          <w:rStyle w:val="FootnoteReference"/>
          <w:sz w:val="18"/>
          <w:szCs w:val="18"/>
        </w:rPr>
        <w:footnoteRef/>
      </w:r>
      <w:r w:rsidRPr="001C4363">
        <w:t xml:space="preserve"> Scenarios without heat pumps were compared </w:t>
      </w:r>
      <w:r>
        <w:t>with</w:t>
      </w:r>
      <w:r w:rsidRPr="00D3540B">
        <w:t xml:space="preserve"> one another</w:t>
      </w:r>
      <w:r>
        <w:t xml:space="preserve"> (i.e., </w:t>
      </w:r>
      <w:r w:rsidRPr="00D3540B">
        <w:t>0 MW to 5,000 MW of offshore wind additions</w:t>
      </w:r>
      <w:r>
        <w:t>)</w:t>
      </w:r>
      <w:r w:rsidRPr="00D3540B">
        <w:t xml:space="preserve">. </w:t>
      </w:r>
      <w:r w:rsidRPr="001C4363">
        <w:t>Similarly</w:t>
      </w:r>
      <w:r w:rsidRPr="00EA6949">
        <w:t>, scenarios with hea</w:t>
      </w:r>
      <w:r w:rsidRPr="001C4363">
        <w:t xml:space="preserve">t pumps were compared </w:t>
      </w:r>
      <w:r>
        <w:t>with</w:t>
      </w:r>
      <w:r w:rsidRPr="00D3540B">
        <w:t xml:space="preserve"> one another</w:t>
      </w:r>
      <w:r>
        <w:t xml:space="preserve"> (i.e., </w:t>
      </w:r>
      <w:r w:rsidRPr="00D3540B">
        <w:t>6,000 MW to 8,000 MW</w:t>
      </w:r>
      <w:r>
        <w:t>,</w:t>
      </w:r>
      <w:r w:rsidRPr="00D3540B">
        <w:t xml:space="preserve"> including the four sensitivitie</w:t>
      </w:r>
      <w:r w:rsidRPr="00EA6949">
        <w:t>s to the 8,000 sc</w:t>
      </w:r>
      <w:r>
        <w:t>e</w:t>
      </w:r>
      <w:r w:rsidRPr="00EA6949">
        <w:t>nario</w:t>
      </w:r>
      <w:r>
        <w:t>,</w:t>
      </w:r>
      <w:r w:rsidRPr="00EA6949">
        <w:t xml:space="preserve"> of offshore wind additions</w:t>
      </w:r>
      <w:r>
        <w:t>)</w:t>
      </w:r>
      <w:r w:rsidRPr="001C4363">
        <w:t xml:space="preserve">. </w:t>
      </w:r>
    </w:p>
  </w:footnote>
  <w:footnote w:id="43">
    <w:p w:rsidR="00FB1216" w:rsidRPr="008E16E6" w:rsidRDefault="00FB1216" w:rsidP="00367387">
      <w:pPr>
        <w:pStyle w:val="FootnoteText"/>
      </w:pPr>
      <w:r w:rsidRPr="003E4526">
        <w:rPr>
          <w:rStyle w:val="FootnoteReference"/>
          <w:sz w:val="18"/>
          <w:szCs w:val="18"/>
        </w:rPr>
        <w:footnoteRef/>
      </w:r>
      <w:r w:rsidRPr="00F22541">
        <w:t xml:space="preserve"> The two RFP-commitment offshore wind projects, Vineyard Wind (800 MW) and Revolution Wind (200 MW), are not included in the 7,000 MW. Also note that s</w:t>
      </w:r>
      <w:r w:rsidRPr="003E4526">
        <w:t>ome local 345 kV reinforcement</w:t>
      </w:r>
      <w:r w:rsidRPr="00F22541">
        <w:t>s and</w:t>
      </w:r>
      <w:r>
        <w:t xml:space="preserve"> </w:t>
      </w:r>
      <w:r w:rsidRPr="00F22541">
        <w:t>e</w:t>
      </w:r>
      <w:r w:rsidRPr="003E4526">
        <w:t>xpansion may still be needed</w:t>
      </w:r>
      <w:r w:rsidRPr="00F22541">
        <w:t xml:space="preserve"> and that a </w:t>
      </w:r>
      <w:r w:rsidRPr="003E4526">
        <w:t xml:space="preserve">system impact study </w:t>
      </w:r>
      <w:r w:rsidRPr="00F22541">
        <w:t xml:space="preserve">could identify </w:t>
      </w:r>
      <w:r w:rsidRPr="003E4526">
        <w:t>a more prescriptive list of transmission upgrades</w:t>
      </w:r>
      <w:r w:rsidRPr="00F22541">
        <w:t xml:space="preserve">. </w:t>
      </w:r>
      <w:r w:rsidRPr="003E4526">
        <w:t>Because southern New England is heavily populated, and available land is at a premium, local transmission upgrades may be costly and require extensive siting.</w:t>
      </w:r>
    </w:p>
  </w:footnote>
  <w:footnote w:id="44">
    <w:p w:rsidR="00FB1216" w:rsidRDefault="00FB1216">
      <w:pPr>
        <w:pStyle w:val="FootnoteText"/>
      </w:pPr>
      <w:r>
        <w:rPr>
          <w:rStyle w:val="FootnoteReference"/>
        </w:rPr>
        <w:footnoteRef/>
      </w:r>
      <w:r>
        <w:t xml:space="preserve"> More information on NPCC standards is available at </w:t>
      </w:r>
      <w:hyperlink r:id="rId40" w:history="1">
        <w:r w:rsidRPr="00934092">
          <w:rPr>
            <w:rStyle w:val="Hyperlink"/>
          </w:rPr>
          <w:t>https://www.npcc.org/Standards/default.aspx</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32A6" w:rsidRDefault="00B032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216" w:rsidRPr="00D85494" w:rsidRDefault="00FB1216" w:rsidP="005813F5">
    <w:pPr>
      <w:pStyle w:val="Header"/>
      <w:jc w:val="center"/>
      <w:rPr>
        <w:rFonts w:asciiTheme="majorHAnsi" w:hAnsiTheme="majorHAnsi"/>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32A6" w:rsidRDefault="00B032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216" w:rsidRPr="00D85494" w:rsidRDefault="00FB1216" w:rsidP="005813F5">
    <w:pPr>
      <w:pStyle w:val="Header"/>
      <w:jc w:val="center"/>
      <w:rPr>
        <w:rFonts w:asciiTheme="majorHAnsi" w:hAnsiTheme="majorHAnsi"/>
        <w:szCs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216" w:rsidRPr="005813F5" w:rsidRDefault="00FB1216" w:rsidP="005813F5">
    <w:pPr>
      <w:pStyle w:val="Header"/>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F0229"/>
    <w:multiLevelType w:val="hybridMultilevel"/>
    <w:tmpl w:val="0B923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62FCD"/>
    <w:multiLevelType w:val="hybridMultilevel"/>
    <w:tmpl w:val="479A51BE"/>
    <w:lvl w:ilvl="0" w:tplc="26306140">
      <w:numFmt w:val="bullet"/>
      <w:lvlText w:val="•"/>
      <w:lvlJc w:val="left"/>
      <w:pPr>
        <w:ind w:left="1080" w:hanging="72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A0D3C"/>
    <w:multiLevelType w:val="hybridMultilevel"/>
    <w:tmpl w:val="EFFE9F7E"/>
    <w:lvl w:ilvl="0" w:tplc="4650F088">
      <w:start w:val="1"/>
      <w:numFmt w:val="bullet"/>
      <w:lvlText w:val="•"/>
      <w:lvlJc w:val="left"/>
      <w:pPr>
        <w:tabs>
          <w:tab w:val="num" w:pos="720"/>
        </w:tabs>
        <w:ind w:left="720" w:hanging="360"/>
      </w:pPr>
      <w:rPr>
        <w:rFonts w:ascii="Arial" w:hAnsi="Arial" w:hint="default"/>
      </w:rPr>
    </w:lvl>
    <w:lvl w:ilvl="1" w:tplc="35F696F4">
      <w:start w:val="334"/>
      <w:numFmt w:val="bullet"/>
      <w:lvlText w:val="–"/>
      <w:lvlJc w:val="left"/>
      <w:pPr>
        <w:tabs>
          <w:tab w:val="num" w:pos="1440"/>
        </w:tabs>
        <w:ind w:left="1440" w:hanging="360"/>
      </w:pPr>
      <w:rPr>
        <w:rFonts w:ascii="Arial" w:hAnsi="Arial" w:hint="default"/>
      </w:rPr>
    </w:lvl>
    <w:lvl w:ilvl="2" w:tplc="A44EC69C" w:tentative="1">
      <w:start w:val="1"/>
      <w:numFmt w:val="bullet"/>
      <w:lvlText w:val="•"/>
      <w:lvlJc w:val="left"/>
      <w:pPr>
        <w:tabs>
          <w:tab w:val="num" w:pos="2160"/>
        </w:tabs>
        <w:ind w:left="2160" w:hanging="360"/>
      </w:pPr>
      <w:rPr>
        <w:rFonts w:ascii="Arial" w:hAnsi="Arial" w:hint="default"/>
      </w:rPr>
    </w:lvl>
    <w:lvl w:ilvl="3" w:tplc="C9C8889C" w:tentative="1">
      <w:start w:val="1"/>
      <w:numFmt w:val="bullet"/>
      <w:lvlText w:val="•"/>
      <w:lvlJc w:val="left"/>
      <w:pPr>
        <w:tabs>
          <w:tab w:val="num" w:pos="2880"/>
        </w:tabs>
        <w:ind w:left="2880" w:hanging="360"/>
      </w:pPr>
      <w:rPr>
        <w:rFonts w:ascii="Arial" w:hAnsi="Arial" w:hint="default"/>
      </w:rPr>
    </w:lvl>
    <w:lvl w:ilvl="4" w:tplc="541C31EE" w:tentative="1">
      <w:start w:val="1"/>
      <w:numFmt w:val="bullet"/>
      <w:lvlText w:val="•"/>
      <w:lvlJc w:val="left"/>
      <w:pPr>
        <w:tabs>
          <w:tab w:val="num" w:pos="3600"/>
        </w:tabs>
        <w:ind w:left="3600" w:hanging="360"/>
      </w:pPr>
      <w:rPr>
        <w:rFonts w:ascii="Arial" w:hAnsi="Arial" w:hint="default"/>
      </w:rPr>
    </w:lvl>
    <w:lvl w:ilvl="5" w:tplc="F09C1D7C" w:tentative="1">
      <w:start w:val="1"/>
      <w:numFmt w:val="bullet"/>
      <w:lvlText w:val="•"/>
      <w:lvlJc w:val="left"/>
      <w:pPr>
        <w:tabs>
          <w:tab w:val="num" w:pos="4320"/>
        </w:tabs>
        <w:ind w:left="4320" w:hanging="360"/>
      </w:pPr>
      <w:rPr>
        <w:rFonts w:ascii="Arial" w:hAnsi="Arial" w:hint="default"/>
      </w:rPr>
    </w:lvl>
    <w:lvl w:ilvl="6" w:tplc="912A8800" w:tentative="1">
      <w:start w:val="1"/>
      <w:numFmt w:val="bullet"/>
      <w:lvlText w:val="•"/>
      <w:lvlJc w:val="left"/>
      <w:pPr>
        <w:tabs>
          <w:tab w:val="num" w:pos="5040"/>
        </w:tabs>
        <w:ind w:left="5040" w:hanging="360"/>
      </w:pPr>
      <w:rPr>
        <w:rFonts w:ascii="Arial" w:hAnsi="Arial" w:hint="default"/>
      </w:rPr>
    </w:lvl>
    <w:lvl w:ilvl="7" w:tplc="DD3A7CB2" w:tentative="1">
      <w:start w:val="1"/>
      <w:numFmt w:val="bullet"/>
      <w:lvlText w:val="•"/>
      <w:lvlJc w:val="left"/>
      <w:pPr>
        <w:tabs>
          <w:tab w:val="num" w:pos="5760"/>
        </w:tabs>
        <w:ind w:left="5760" w:hanging="360"/>
      </w:pPr>
      <w:rPr>
        <w:rFonts w:ascii="Arial" w:hAnsi="Arial" w:hint="default"/>
      </w:rPr>
    </w:lvl>
    <w:lvl w:ilvl="8" w:tplc="2FEA8BE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8C1592D"/>
    <w:multiLevelType w:val="hybridMultilevel"/>
    <w:tmpl w:val="D1B81BF6"/>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906FBE"/>
    <w:multiLevelType w:val="hybridMultilevel"/>
    <w:tmpl w:val="39D29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027C04"/>
    <w:multiLevelType w:val="hybridMultilevel"/>
    <w:tmpl w:val="407C473A"/>
    <w:lvl w:ilvl="0" w:tplc="04090001">
      <w:start w:val="1"/>
      <w:numFmt w:val="bullet"/>
      <w:lvlText w:val=""/>
      <w:lvlJc w:val="left"/>
      <w:pPr>
        <w:ind w:left="720" w:hanging="360"/>
      </w:pPr>
      <w:rPr>
        <w:rFonts w:ascii="Symbol" w:hAnsi="Symbol" w:hint="default"/>
      </w:rPr>
    </w:lvl>
    <w:lvl w:ilvl="1" w:tplc="6D4A3858">
      <w:numFmt w:val="bullet"/>
      <w:lvlText w:val="–"/>
      <w:lvlJc w:val="left"/>
      <w:pPr>
        <w:ind w:left="1800" w:hanging="720"/>
      </w:pPr>
      <w:rPr>
        <w:rFonts w:ascii="Cambria" w:eastAsia="Times New Roman" w:hAnsi="Cambria"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60193B"/>
    <w:multiLevelType w:val="hybridMultilevel"/>
    <w:tmpl w:val="5D863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52154C"/>
    <w:multiLevelType w:val="hybridMultilevel"/>
    <w:tmpl w:val="A2D678E4"/>
    <w:lvl w:ilvl="0" w:tplc="B8064E66">
      <w:start w:val="1"/>
      <w:numFmt w:val="bullet"/>
      <w:lvlText w:val=""/>
      <w:lvlJc w:val="left"/>
      <w:pPr>
        <w:ind w:left="720" w:hanging="360"/>
      </w:pPr>
      <w:rPr>
        <w:rFonts w:ascii="Wingdings" w:hAnsi="Wingdings" w:hint="default"/>
        <w:b/>
        <w:i w:val="0"/>
        <w:sz w:val="22"/>
      </w:rPr>
    </w:lvl>
    <w:lvl w:ilvl="1" w:tplc="04090003">
      <w:start w:val="1"/>
      <w:numFmt w:val="bullet"/>
      <w:lvlText w:val="o"/>
      <w:lvlJc w:val="left"/>
      <w:pPr>
        <w:ind w:left="1440" w:hanging="360"/>
      </w:pPr>
      <w:rPr>
        <w:rFonts w:ascii="Courier New" w:hAnsi="Courier New" w:cs="Courier New" w:hint="default"/>
      </w:rPr>
    </w:lvl>
    <w:lvl w:ilvl="2" w:tplc="23CE20FA">
      <w:start w:val="2019"/>
      <w:numFmt w:val="bullet"/>
      <w:lvlText w:val="–"/>
      <w:lvlJc w:val="left"/>
      <w:pPr>
        <w:ind w:left="2160" w:hanging="360"/>
      </w:pPr>
      <w:rPr>
        <w:rFonts w:ascii="Cambria" w:eastAsia="Times New Roman" w:hAnsi="Cambria"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216685"/>
    <w:multiLevelType w:val="hybridMultilevel"/>
    <w:tmpl w:val="D8AE143E"/>
    <w:lvl w:ilvl="0" w:tplc="A64061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CE1D13"/>
    <w:multiLevelType w:val="hybridMultilevel"/>
    <w:tmpl w:val="1FD44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D9121A"/>
    <w:multiLevelType w:val="hybridMultilevel"/>
    <w:tmpl w:val="6A0CD4E8"/>
    <w:lvl w:ilvl="0" w:tplc="692E7A3C">
      <w:start w:val="1"/>
      <w:numFmt w:val="bullet"/>
      <w:lvlText w:val="•"/>
      <w:lvlJc w:val="left"/>
      <w:pPr>
        <w:tabs>
          <w:tab w:val="num" w:pos="720"/>
        </w:tabs>
        <w:ind w:left="720" w:hanging="360"/>
      </w:pPr>
      <w:rPr>
        <w:rFonts w:ascii="Arial" w:hAnsi="Arial" w:hint="default"/>
      </w:rPr>
    </w:lvl>
    <w:lvl w:ilvl="1" w:tplc="E16210EE" w:tentative="1">
      <w:start w:val="1"/>
      <w:numFmt w:val="bullet"/>
      <w:lvlText w:val="•"/>
      <w:lvlJc w:val="left"/>
      <w:pPr>
        <w:tabs>
          <w:tab w:val="num" w:pos="1440"/>
        </w:tabs>
        <w:ind w:left="1440" w:hanging="360"/>
      </w:pPr>
      <w:rPr>
        <w:rFonts w:ascii="Arial" w:hAnsi="Arial" w:hint="default"/>
      </w:rPr>
    </w:lvl>
    <w:lvl w:ilvl="2" w:tplc="E86AA6BA" w:tentative="1">
      <w:start w:val="1"/>
      <w:numFmt w:val="bullet"/>
      <w:lvlText w:val="•"/>
      <w:lvlJc w:val="left"/>
      <w:pPr>
        <w:tabs>
          <w:tab w:val="num" w:pos="2160"/>
        </w:tabs>
        <w:ind w:left="2160" w:hanging="360"/>
      </w:pPr>
      <w:rPr>
        <w:rFonts w:ascii="Arial" w:hAnsi="Arial" w:hint="default"/>
      </w:rPr>
    </w:lvl>
    <w:lvl w:ilvl="3" w:tplc="CEAE942A" w:tentative="1">
      <w:start w:val="1"/>
      <w:numFmt w:val="bullet"/>
      <w:lvlText w:val="•"/>
      <w:lvlJc w:val="left"/>
      <w:pPr>
        <w:tabs>
          <w:tab w:val="num" w:pos="2880"/>
        </w:tabs>
        <w:ind w:left="2880" w:hanging="360"/>
      </w:pPr>
      <w:rPr>
        <w:rFonts w:ascii="Arial" w:hAnsi="Arial" w:hint="default"/>
      </w:rPr>
    </w:lvl>
    <w:lvl w:ilvl="4" w:tplc="9418CCB6" w:tentative="1">
      <w:start w:val="1"/>
      <w:numFmt w:val="bullet"/>
      <w:lvlText w:val="•"/>
      <w:lvlJc w:val="left"/>
      <w:pPr>
        <w:tabs>
          <w:tab w:val="num" w:pos="3600"/>
        </w:tabs>
        <w:ind w:left="3600" w:hanging="360"/>
      </w:pPr>
      <w:rPr>
        <w:rFonts w:ascii="Arial" w:hAnsi="Arial" w:hint="default"/>
      </w:rPr>
    </w:lvl>
    <w:lvl w:ilvl="5" w:tplc="09BCE574" w:tentative="1">
      <w:start w:val="1"/>
      <w:numFmt w:val="bullet"/>
      <w:lvlText w:val="•"/>
      <w:lvlJc w:val="left"/>
      <w:pPr>
        <w:tabs>
          <w:tab w:val="num" w:pos="4320"/>
        </w:tabs>
        <w:ind w:left="4320" w:hanging="360"/>
      </w:pPr>
      <w:rPr>
        <w:rFonts w:ascii="Arial" w:hAnsi="Arial" w:hint="default"/>
      </w:rPr>
    </w:lvl>
    <w:lvl w:ilvl="6" w:tplc="165637C6" w:tentative="1">
      <w:start w:val="1"/>
      <w:numFmt w:val="bullet"/>
      <w:lvlText w:val="•"/>
      <w:lvlJc w:val="left"/>
      <w:pPr>
        <w:tabs>
          <w:tab w:val="num" w:pos="5040"/>
        </w:tabs>
        <w:ind w:left="5040" w:hanging="360"/>
      </w:pPr>
      <w:rPr>
        <w:rFonts w:ascii="Arial" w:hAnsi="Arial" w:hint="default"/>
      </w:rPr>
    </w:lvl>
    <w:lvl w:ilvl="7" w:tplc="2AA6A5E6" w:tentative="1">
      <w:start w:val="1"/>
      <w:numFmt w:val="bullet"/>
      <w:lvlText w:val="•"/>
      <w:lvlJc w:val="left"/>
      <w:pPr>
        <w:tabs>
          <w:tab w:val="num" w:pos="5760"/>
        </w:tabs>
        <w:ind w:left="5760" w:hanging="360"/>
      </w:pPr>
      <w:rPr>
        <w:rFonts w:ascii="Arial" w:hAnsi="Arial" w:hint="default"/>
      </w:rPr>
    </w:lvl>
    <w:lvl w:ilvl="8" w:tplc="1048EFA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3556E79"/>
    <w:multiLevelType w:val="hybridMultilevel"/>
    <w:tmpl w:val="AAA29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6E45AC"/>
    <w:multiLevelType w:val="hybridMultilevel"/>
    <w:tmpl w:val="9A30C07E"/>
    <w:lvl w:ilvl="0" w:tplc="8034EFD8">
      <w:start w:val="242"/>
      <w:numFmt w:val="bullet"/>
      <w:lvlText w:val="–"/>
      <w:lvlJc w:val="left"/>
      <w:pPr>
        <w:tabs>
          <w:tab w:val="num" w:pos="1440"/>
        </w:tabs>
        <w:ind w:left="144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823644"/>
    <w:multiLevelType w:val="hybridMultilevel"/>
    <w:tmpl w:val="1F4619BA"/>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C07FE1"/>
    <w:multiLevelType w:val="hybridMultilevel"/>
    <w:tmpl w:val="84287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DB2AF2"/>
    <w:multiLevelType w:val="hybridMultilevel"/>
    <w:tmpl w:val="96141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9E49E2"/>
    <w:multiLevelType w:val="multilevel"/>
    <w:tmpl w:val="0B16957E"/>
    <w:lvl w:ilvl="0">
      <w:start w:val="1"/>
      <w:numFmt w:val="decimal"/>
      <w:pStyle w:val="Heading1"/>
      <w:suff w:val="nothing"/>
      <w:lvlText w:val="Section %1"/>
      <w:lvlJc w:val="left"/>
      <w:pPr>
        <w:ind w:left="0" w:firstLine="0"/>
      </w:pPr>
      <w:rPr>
        <w:rFonts w:ascii="Calibri" w:hAnsi="Calibri" w:hint="default"/>
        <w:b/>
        <w:i w:val="0"/>
        <w:color w:val="1795D2" w:themeColor="accent1"/>
        <w:spacing w:val="0"/>
        <w:sz w:val="36"/>
      </w:rPr>
    </w:lvl>
    <w:lvl w:ilvl="1">
      <w:start w:val="1"/>
      <w:numFmt w:val="decimal"/>
      <w:pStyle w:val="Heading2"/>
      <w:suff w:val="space"/>
      <w:lvlText w:val="%1.%2"/>
      <w:lvlJc w:val="left"/>
      <w:pPr>
        <w:ind w:left="0" w:firstLine="0"/>
      </w:pPr>
      <w:rPr>
        <w:rFonts w:ascii="Calibri" w:hAnsi="Calibri" w:hint="default"/>
        <w:b/>
        <w:i w:val="0"/>
        <w:color w:val="auto"/>
        <w:sz w:val="24"/>
      </w:rPr>
    </w:lvl>
    <w:lvl w:ilvl="2">
      <w:start w:val="1"/>
      <w:numFmt w:val="decimal"/>
      <w:pStyle w:val="Heading3"/>
      <w:suff w:val="space"/>
      <w:lvlText w:val="%1.%2.%3"/>
      <w:lvlJc w:val="left"/>
      <w:pPr>
        <w:ind w:left="45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suff w:val="space"/>
      <w:lvlText w:val="%1.%2.%3.%4"/>
      <w:lvlJc w:val="left"/>
      <w:pPr>
        <w:ind w:left="0" w:firstLine="0"/>
      </w:pPr>
      <w:rPr>
        <w:rFonts w:ascii="Calibri" w:hAnsi="Calibri" w:hint="default"/>
        <w:b w:val="0"/>
        <w:i/>
        <w:sz w:val="20"/>
        <w:szCs w:val="20"/>
      </w:rPr>
    </w:lvl>
    <w:lvl w:ilvl="4">
      <w:start w:val="1"/>
      <w:numFmt w:val="decimal"/>
      <w:lvlRestart w:val="0"/>
      <w:suff w:val="space"/>
      <w:lvlText w:val="%1.%2.%3.%4.%5"/>
      <w:lvlJc w:val="left"/>
      <w:pPr>
        <w:ind w:left="0" w:firstLine="0"/>
      </w:pPr>
      <w:rPr>
        <w:rFonts w:hint="default"/>
      </w:rPr>
    </w:lvl>
    <w:lvl w:ilvl="5">
      <w:start w:val="1"/>
      <w:numFmt w:val="decimal"/>
      <w:lvlRestart w:val="0"/>
      <w:lvlText w:val="%1.%2.%3.%4.%5.%6"/>
      <w:lvlJc w:val="left"/>
      <w:pPr>
        <w:tabs>
          <w:tab w:val="num" w:pos="1800"/>
        </w:tabs>
        <w:ind w:left="0" w:firstLine="0"/>
      </w:pPr>
      <w:rPr>
        <w:rFonts w:hint="default"/>
      </w:rPr>
    </w:lvl>
    <w:lvl w:ilvl="6">
      <w:start w:val="1"/>
      <w:numFmt w:val="decimal"/>
      <w:lvlRestart w:val="0"/>
      <w:lvlText w:val="%1.%2.%3.%4.%5.%6.%7"/>
      <w:lvlJc w:val="left"/>
      <w:pPr>
        <w:tabs>
          <w:tab w:val="num" w:pos="2160"/>
        </w:tabs>
        <w:ind w:left="0" w:firstLine="0"/>
      </w:pPr>
      <w:rPr>
        <w:rFonts w:hint="default"/>
      </w:rPr>
    </w:lvl>
    <w:lvl w:ilvl="7">
      <w:start w:val="1"/>
      <w:numFmt w:val="decimal"/>
      <w:lvlRestart w:val="0"/>
      <w:lvlText w:val="%1.%2.%3.%4.%5.%6.%7.%8"/>
      <w:lvlJc w:val="left"/>
      <w:pPr>
        <w:tabs>
          <w:tab w:val="num" w:pos="2520"/>
        </w:tabs>
        <w:ind w:left="0" w:firstLine="0"/>
      </w:pPr>
      <w:rPr>
        <w:rFonts w:hint="default"/>
      </w:rPr>
    </w:lvl>
    <w:lvl w:ilvl="8">
      <w:start w:val="1"/>
      <w:numFmt w:val="decimal"/>
      <w:lvlRestart w:val="0"/>
      <w:lvlText w:val="%1.%2.%3.%4.%5.%6.%7.%8.%9"/>
      <w:lvlJc w:val="left"/>
      <w:pPr>
        <w:tabs>
          <w:tab w:val="num" w:pos="2880"/>
        </w:tabs>
        <w:ind w:left="0" w:firstLine="0"/>
      </w:pPr>
      <w:rPr>
        <w:rFonts w:hint="default"/>
      </w:rPr>
    </w:lvl>
  </w:abstractNum>
  <w:abstractNum w:abstractNumId="17" w15:restartNumberingAfterBreak="0">
    <w:nsid w:val="40703FF5"/>
    <w:multiLevelType w:val="hybridMultilevel"/>
    <w:tmpl w:val="889EB0C8"/>
    <w:lvl w:ilvl="0" w:tplc="6BDAFD8C">
      <w:numFmt w:val="bullet"/>
      <w:lvlText w:val="-"/>
      <w:lvlJc w:val="left"/>
      <w:pPr>
        <w:ind w:left="405" w:hanging="360"/>
      </w:pPr>
      <w:rPr>
        <w:rFonts w:ascii="Cambria" w:eastAsia="Times New Roman" w:hAnsi="Cambria"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8" w15:restartNumberingAfterBreak="0">
    <w:nsid w:val="435B3B97"/>
    <w:multiLevelType w:val="hybridMultilevel"/>
    <w:tmpl w:val="B29ECAE8"/>
    <w:lvl w:ilvl="0" w:tplc="4C2CB5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BA7A72"/>
    <w:multiLevelType w:val="hybridMultilevel"/>
    <w:tmpl w:val="E24871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382FDA"/>
    <w:multiLevelType w:val="hybridMultilevel"/>
    <w:tmpl w:val="CF78CF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BC50F37"/>
    <w:multiLevelType w:val="hybridMultilevel"/>
    <w:tmpl w:val="BD68E97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F292F67"/>
    <w:multiLevelType w:val="hybridMultilevel"/>
    <w:tmpl w:val="C8D29CF0"/>
    <w:lvl w:ilvl="0" w:tplc="D284BA1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15:restartNumberingAfterBreak="0">
    <w:nsid w:val="52C049DE"/>
    <w:multiLevelType w:val="hybridMultilevel"/>
    <w:tmpl w:val="2C46E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7C1567"/>
    <w:multiLevelType w:val="hybridMultilevel"/>
    <w:tmpl w:val="6EF65BB6"/>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427B46"/>
    <w:multiLevelType w:val="hybridMultilevel"/>
    <w:tmpl w:val="EC54FDC2"/>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C10978"/>
    <w:multiLevelType w:val="hybridMultilevel"/>
    <w:tmpl w:val="D24A0CE0"/>
    <w:lvl w:ilvl="0" w:tplc="B8064E66">
      <w:start w:val="1"/>
      <w:numFmt w:val="bullet"/>
      <w:lvlText w:val=""/>
      <w:lvlJc w:val="left"/>
      <w:pPr>
        <w:ind w:left="768" w:hanging="360"/>
      </w:pPr>
      <w:rPr>
        <w:rFonts w:ascii="Wingdings" w:hAnsi="Wingdings" w:hint="default"/>
        <w:b/>
        <w:i w:val="0"/>
        <w:sz w:val="22"/>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7" w15:restartNumberingAfterBreak="0">
    <w:nsid w:val="5CF20507"/>
    <w:multiLevelType w:val="hybridMultilevel"/>
    <w:tmpl w:val="1BDAF040"/>
    <w:lvl w:ilvl="0" w:tplc="4B1E4002">
      <w:start w:val="1"/>
      <w:numFmt w:val="bullet"/>
      <w:lvlText w:val="•"/>
      <w:lvlJc w:val="left"/>
      <w:pPr>
        <w:tabs>
          <w:tab w:val="num" w:pos="720"/>
        </w:tabs>
        <w:ind w:left="720" w:hanging="360"/>
      </w:pPr>
      <w:rPr>
        <w:rFonts w:ascii="Arial" w:hAnsi="Arial" w:hint="default"/>
      </w:rPr>
    </w:lvl>
    <w:lvl w:ilvl="1" w:tplc="F08A6A9E">
      <w:start w:val="242"/>
      <w:numFmt w:val="bullet"/>
      <w:lvlText w:val="–"/>
      <w:lvlJc w:val="left"/>
      <w:pPr>
        <w:tabs>
          <w:tab w:val="num" w:pos="1440"/>
        </w:tabs>
        <w:ind w:left="1440" w:hanging="360"/>
      </w:pPr>
      <w:rPr>
        <w:rFonts w:ascii="Arial" w:hAnsi="Arial" w:hint="default"/>
      </w:rPr>
    </w:lvl>
    <w:lvl w:ilvl="2" w:tplc="C51443A0" w:tentative="1">
      <w:start w:val="1"/>
      <w:numFmt w:val="bullet"/>
      <w:lvlText w:val="•"/>
      <w:lvlJc w:val="left"/>
      <w:pPr>
        <w:tabs>
          <w:tab w:val="num" w:pos="2160"/>
        </w:tabs>
        <w:ind w:left="2160" w:hanging="360"/>
      </w:pPr>
      <w:rPr>
        <w:rFonts w:ascii="Arial" w:hAnsi="Arial" w:hint="default"/>
      </w:rPr>
    </w:lvl>
    <w:lvl w:ilvl="3" w:tplc="D1821F82" w:tentative="1">
      <w:start w:val="1"/>
      <w:numFmt w:val="bullet"/>
      <w:lvlText w:val="•"/>
      <w:lvlJc w:val="left"/>
      <w:pPr>
        <w:tabs>
          <w:tab w:val="num" w:pos="2880"/>
        </w:tabs>
        <w:ind w:left="2880" w:hanging="360"/>
      </w:pPr>
      <w:rPr>
        <w:rFonts w:ascii="Arial" w:hAnsi="Arial" w:hint="default"/>
      </w:rPr>
    </w:lvl>
    <w:lvl w:ilvl="4" w:tplc="298652F6" w:tentative="1">
      <w:start w:val="1"/>
      <w:numFmt w:val="bullet"/>
      <w:lvlText w:val="•"/>
      <w:lvlJc w:val="left"/>
      <w:pPr>
        <w:tabs>
          <w:tab w:val="num" w:pos="3600"/>
        </w:tabs>
        <w:ind w:left="3600" w:hanging="360"/>
      </w:pPr>
      <w:rPr>
        <w:rFonts w:ascii="Arial" w:hAnsi="Arial" w:hint="default"/>
      </w:rPr>
    </w:lvl>
    <w:lvl w:ilvl="5" w:tplc="2BAA8DE8" w:tentative="1">
      <w:start w:val="1"/>
      <w:numFmt w:val="bullet"/>
      <w:lvlText w:val="•"/>
      <w:lvlJc w:val="left"/>
      <w:pPr>
        <w:tabs>
          <w:tab w:val="num" w:pos="4320"/>
        </w:tabs>
        <w:ind w:left="4320" w:hanging="360"/>
      </w:pPr>
      <w:rPr>
        <w:rFonts w:ascii="Arial" w:hAnsi="Arial" w:hint="default"/>
      </w:rPr>
    </w:lvl>
    <w:lvl w:ilvl="6" w:tplc="7CD457EE" w:tentative="1">
      <w:start w:val="1"/>
      <w:numFmt w:val="bullet"/>
      <w:lvlText w:val="•"/>
      <w:lvlJc w:val="left"/>
      <w:pPr>
        <w:tabs>
          <w:tab w:val="num" w:pos="5040"/>
        </w:tabs>
        <w:ind w:left="5040" w:hanging="360"/>
      </w:pPr>
      <w:rPr>
        <w:rFonts w:ascii="Arial" w:hAnsi="Arial" w:hint="default"/>
      </w:rPr>
    </w:lvl>
    <w:lvl w:ilvl="7" w:tplc="B240DC00" w:tentative="1">
      <w:start w:val="1"/>
      <w:numFmt w:val="bullet"/>
      <w:lvlText w:val="•"/>
      <w:lvlJc w:val="left"/>
      <w:pPr>
        <w:tabs>
          <w:tab w:val="num" w:pos="5760"/>
        </w:tabs>
        <w:ind w:left="5760" w:hanging="360"/>
      </w:pPr>
      <w:rPr>
        <w:rFonts w:ascii="Arial" w:hAnsi="Arial" w:hint="default"/>
      </w:rPr>
    </w:lvl>
    <w:lvl w:ilvl="8" w:tplc="78E6954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DA4339C"/>
    <w:multiLevelType w:val="hybridMultilevel"/>
    <w:tmpl w:val="460CB4C8"/>
    <w:lvl w:ilvl="0" w:tplc="01F6AE12">
      <w:start w:val="1"/>
      <w:numFmt w:val="bullet"/>
      <w:lvlText w:val="•"/>
      <w:lvlJc w:val="left"/>
      <w:pPr>
        <w:tabs>
          <w:tab w:val="num" w:pos="720"/>
        </w:tabs>
        <w:ind w:left="720" w:hanging="360"/>
      </w:pPr>
      <w:rPr>
        <w:rFonts w:ascii="Arial" w:hAnsi="Arial" w:hint="default"/>
      </w:rPr>
    </w:lvl>
    <w:lvl w:ilvl="1" w:tplc="8034EFD8">
      <w:start w:val="242"/>
      <w:numFmt w:val="bullet"/>
      <w:lvlText w:val="–"/>
      <w:lvlJc w:val="left"/>
      <w:pPr>
        <w:tabs>
          <w:tab w:val="num" w:pos="1440"/>
        </w:tabs>
        <w:ind w:left="1440" w:hanging="360"/>
      </w:pPr>
      <w:rPr>
        <w:rFonts w:ascii="Arial" w:hAnsi="Arial" w:hint="default"/>
      </w:rPr>
    </w:lvl>
    <w:lvl w:ilvl="2" w:tplc="B8D8A706" w:tentative="1">
      <w:start w:val="1"/>
      <w:numFmt w:val="bullet"/>
      <w:lvlText w:val="•"/>
      <w:lvlJc w:val="left"/>
      <w:pPr>
        <w:tabs>
          <w:tab w:val="num" w:pos="2160"/>
        </w:tabs>
        <w:ind w:left="2160" w:hanging="360"/>
      </w:pPr>
      <w:rPr>
        <w:rFonts w:ascii="Arial" w:hAnsi="Arial" w:hint="default"/>
      </w:rPr>
    </w:lvl>
    <w:lvl w:ilvl="3" w:tplc="157222CC" w:tentative="1">
      <w:start w:val="1"/>
      <w:numFmt w:val="bullet"/>
      <w:lvlText w:val="•"/>
      <w:lvlJc w:val="left"/>
      <w:pPr>
        <w:tabs>
          <w:tab w:val="num" w:pos="2880"/>
        </w:tabs>
        <w:ind w:left="2880" w:hanging="360"/>
      </w:pPr>
      <w:rPr>
        <w:rFonts w:ascii="Arial" w:hAnsi="Arial" w:hint="default"/>
      </w:rPr>
    </w:lvl>
    <w:lvl w:ilvl="4" w:tplc="304C363E" w:tentative="1">
      <w:start w:val="1"/>
      <w:numFmt w:val="bullet"/>
      <w:lvlText w:val="•"/>
      <w:lvlJc w:val="left"/>
      <w:pPr>
        <w:tabs>
          <w:tab w:val="num" w:pos="3600"/>
        </w:tabs>
        <w:ind w:left="3600" w:hanging="360"/>
      </w:pPr>
      <w:rPr>
        <w:rFonts w:ascii="Arial" w:hAnsi="Arial" w:hint="default"/>
      </w:rPr>
    </w:lvl>
    <w:lvl w:ilvl="5" w:tplc="596E2332" w:tentative="1">
      <w:start w:val="1"/>
      <w:numFmt w:val="bullet"/>
      <w:lvlText w:val="•"/>
      <w:lvlJc w:val="left"/>
      <w:pPr>
        <w:tabs>
          <w:tab w:val="num" w:pos="4320"/>
        </w:tabs>
        <w:ind w:left="4320" w:hanging="360"/>
      </w:pPr>
      <w:rPr>
        <w:rFonts w:ascii="Arial" w:hAnsi="Arial" w:hint="default"/>
      </w:rPr>
    </w:lvl>
    <w:lvl w:ilvl="6" w:tplc="8160B3D4" w:tentative="1">
      <w:start w:val="1"/>
      <w:numFmt w:val="bullet"/>
      <w:lvlText w:val="•"/>
      <w:lvlJc w:val="left"/>
      <w:pPr>
        <w:tabs>
          <w:tab w:val="num" w:pos="5040"/>
        </w:tabs>
        <w:ind w:left="5040" w:hanging="360"/>
      </w:pPr>
      <w:rPr>
        <w:rFonts w:ascii="Arial" w:hAnsi="Arial" w:hint="default"/>
      </w:rPr>
    </w:lvl>
    <w:lvl w:ilvl="7" w:tplc="644AC376" w:tentative="1">
      <w:start w:val="1"/>
      <w:numFmt w:val="bullet"/>
      <w:lvlText w:val="•"/>
      <w:lvlJc w:val="left"/>
      <w:pPr>
        <w:tabs>
          <w:tab w:val="num" w:pos="5760"/>
        </w:tabs>
        <w:ind w:left="5760" w:hanging="360"/>
      </w:pPr>
      <w:rPr>
        <w:rFonts w:ascii="Arial" w:hAnsi="Arial" w:hint="default"/>
      </w:rPr>
    </w:lvl>
    <w:lvl w:ilvl="8" w:tplc="23EC944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EE24C41"/>
    <w:multiLevelType w:val="hybridMultilevel"/>
    <w:tmpl w:val="5CA469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3172F9A"/>
    <w:multiLevelType w:val="hybridMultilevel"/>
    <w:tmpl w:val="B1524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9D739B"/>
    <w:multiLevelType w:val="hybridMultilevel"/>
    <w:tmpl w:val="84260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381537"/>
    <w:multiLevelType w:val="hybridMultilevel"/>
    <w:tmpl w:val="0374F4BC"/>
    <w:name w:val="Article1"/>
    <w:lvl w:ilvl="0" w:tplc="D9BCABA6">
      <w:start w:val="1"/>
      <w:numFmt w:val="bullet"/>
      <w:pStyle w:val="ListBullet"/>
      <w:lvlText w:val=""/>
      <w:lvlJc w:val="left"/>
      <w:pPr>
        <w:tabs>
          <w:tab w:val="num" w:pos="1080"/>
        </w:tabs>
        <w:ind w:left="1080" w:hanging="360"/>
      </w:pPr>
      <w:rPr>
        <w:rFonts w:ascii="Symbol" w:hAnsi="Symbol" w:hint="default"/>
      </w:rPr>
    </w:lvl>
    <w:lvl w:ilvl="1" w:tplc="AF6A2324" w:tentative="1">
      <w:start w:val="1"/>
      <w:numFmt w:val="bullet"/>
      <w:lvlText w:val="o"/>
      <w:lvlJc w:val="left"/>
      <w:pPr>
        <w:tabs>
          <w:tab w:val="num" w:pos="1440"/>
        </w:tabs>
        <w:ind w:left="1440" w:hanging="360"/>
      </w:pPr>
      <w:rPr>
        <w:rFonts w:ascii="Courier New" w:hAnsi="Courier New" w:cs="Courier New" w:hint="default"/>
      </w:rPr>
    </w:lvl>
    <w:lvl w:ilvl="2" w:tplc="A31E20D6" w:tentative="1">
      <w:start w:val="1"/>
      <w:numFmt w:val="bullet"/>
      <w:lvlText w:val=""/>
      <w:lvlJc w:val="left"/>
      <w:pPr>
        <w:tabs>
          <w:tab w:val="num" w:pos="2160"/>
        </w:tabs>
        <w:ind w:left="2160" w:hanging="360"/>
      </w:pPr>
      <w:rPr>
        <w:rFonts w:ascii="Wingdings" w:hAnsi="Wingdings" w:hint="default"/>
      </w:rPr>
    </w:lvl>
    <w:lvl w:ilvl="3" w:tplc="2A08D876" w:tentative="1">
      <w:start w:val="1"/>
      <w:numFmt w:val="bullet"/>
      <w:lvlText w:val=""/>
      <w:lvlJc w:val="left"/>
      <w:pPr>
        <w:tabs>
          <w:tab w:val="num" w:pos="2880"/>
        </w:tabs>
        <w:ind w:left="2880" w:hanging="360"/>
      </w:pPr>
      <w:rPr>
        <w:rFonts w:ascii="Symbol" w:hAnsi="Symbol" w:hint="default"/>
      </w:rPr>
    </w:lvl>
    <w:lvl w:ilvl="4" w:tplc="CCD0E79C" w:tentative="1">
      <w:start w:val="1"/>
      <w:numFmt w:val="bullet"/>
      <w:lvlText w:val="o"/>
      <w:lvlJc w:val="left"/>
      <w:pPr>
        <w:tabs>
          <w:tab w:val="num" w:pos="3600"/>
        </w:tabs>
        <w:ind w:left="3600" w:hanging="360"/>
      </w:pPr>
      <w:rPr>
        <w:rFonts w:ascii="Courier New" w:hAnsi="Courier New" w:cs="Courier New" w:hint="default"/>
      </w:rPr>
    </w:lvl>
    <w:lvl w:ilvl="5" w:tplc="D8861DFC" w:tentative="1">
      <w:start w:val="1"/>
      <w:numFmt w:val="bullet"/>
      <w:lvlText w:val=""/>
      <w:lvlJc w:val="left"/>
      <w:pPr>
        <w:tabs>
          <w:tab w:val="num" w:pos="4320"/>
        </w:tabs>
        <w:ind w:left="4320" w:hanging="360"/>
      </w:pPr>
      <w:rPr>
        <w:rFonts w:ascii="Wingdings" w:hAnsi="Wingdings" w:hint="default"/>
      </w:rPr>
    </w:lvl>
    <w:lvl w:ilvl="6" w:tplc="A7CA73D6" w:tentative="1">
      <w:start w:val="1"/>
      <w:numFmt w:val="bullet"/>
      <w:lvlText w:val=""/>
      <w:lvlJc w:val="left"/>
      <w:pPr>
        <w:tabs>
          <w:tab w:val="num" w:pos="5040"/>
        </w:tabs>
        <w:ind w:left="5040" w:hanging="360"/>
      </w:pPr>
      <w:rPr>
        <w:rFonts w:ascii="Symbol" w:hAnsi="Symbol" w:hint="default"/>
      </w:rPr>
    </w:lvl>
    <w:lvl w:ilvl="7" w:tplc="3484F9E4" w:tentative="1">
      <w:start w:val="1"/>
      <w:numFmt w:val="bullet"/>
      <w:lvlText w:val="o"/>
      <w:lvlJc w:val="left"/>
      <w:pPr>
        <w:tabs>
          <w:tab w:val="num" w:pos="5760"/>
        </w:tabs>
        <w:ind w:left="5760" w:hanging="360"/>
      </w:pPr>
      <w:rPr>
        <w:rFonts w:ascii="Courier New" w:hAnsi="Courier New" w:cs="Courier New" w:hint="default"/>
      </w:rPr>
    </w:lvl>
    <w:lvl w:ilvl="8" w:tplc="2890A81E"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7A15D86"/>
    <w:multiLevelType w:val="hybridMultilevel"/>
    <w:tmpl w:val="41188F36"/>
    <w:lvl w:ilvl="0" w:tplc="96BE99F8">
      <w:start w:val="1"/>
      <w:numFmt w:val="bullet"/>
      <w:lvlText w:val="•"/>
      <w:lvlJc w:val="left"/>
      <w:pPr>
        <w:tabs>
          <w:tab w:val="num" w:pos="720"/>
        </w:tabs>
        <w:ind w:left="720" w:hanging="360"/>
      </w:pPr>
      <w:rPr>
        <w:rFonts w:ascii="Arial" w:hAnsi="Arial" w:hint="default"/>
      </w:rPr>
    </w:lvl>
    <w:lvl w:ilvl="1" w:tplc="5D2260F0" w:tentative="1">
      <w:start w:val="1"/>
      <w:numFmt w:val="bullet"/>
      <w:lvlText w:val="•"/>
      <w:lvlJc w:val="left"/>
      <w:pPr>
        <w:tabs>
          <w:tab w:val="num" w:pos="1440"/>
        </w:tabs>
        <w:ind w:left="1440" w:hanging="360"/>
      </w:pPr>
      <w:rPr>
        <w:rFonts w:ascii="Arial" w:hAnsi="Arial" w:hint="default"/>
      </w:rPr>
    </w:lvl>
    <w:lvl w:ilvl="2" w:tplc="68D06A42" w:tentative="1">
      <w:start w:val="1"/>
      <w:numFmt w:val="bullet"/>
      <w:lvlText w:val="•"/>
      <w:lvlJc w:val="left"/>
      <w:pPr>
        <w:tabs>
          <w:tab w:val="num" w:pos="2160"/>
        </w:tabs>
        <w:ind w:left="2160" w:hanging="360"/>
      </w:pPr>
      <w:rPr>
        <w:rFonts w:ascii="Arial" w:hAnsi="Arial" w:hint="default"/>
      </w:rPr>
    </w:lvl>
    <w:lvl w:ilvl="3" w:tplc="D5943B02" w:tentative="1">
      <w:start w:val="1"/>
      <w:numFmt w:val="bullet"/>
      <w:lvlText w:val="•"/>
      <w:lvlJc w:val="left"/>
      <w:pPr>
        <w:tabs>
          <w:tab w:val="num" w:pos="2880"/>
        </w:tabs>
        <w:ind w:left="2880" w:hanging="360"/>
      </w:pPr>
      <w:rPr>
        <w:rFonts w:ascii="Arial" w:hAnsi="Arial" w:hint="default"/>
      </w:rPr>
    </w:lvl>
    <w:lvl w:ilvl="4" w:tplc="3EE67706" w:tentative="1">
      <w:start w:val="1"/>
      <w:numFmt w:val="bullet"/>
      <w:lvlText w:val="•"/>
      <w:lvlJc w:val="left"/>
      <w:pPr>
        <w:tabs>
          <w:tab w:val="num" w:pos="3600"/>
        </w:tabs>
        <w:ind w:left="3600" w:hanging="360"/>
      </w:pPr>
      <w:rPr>
        <w:rFonts w:ascii="Arial" w:hAnsi="Arial" w:hint="default"/>
      </w:rPr>
    </w:lvl>
    <w:lvl w:ilvl="5" w:tplc="AFC6C0F0" w:tentative="1">
      <w:start w:val="1"/>
      <w:numFmt w:val="bullet"/>
      <w:lvlText w:val="•"/>
      <w:lvlJc w:val="left"/>
      <w:pPr>
        <w:tabs>
          <w:tab w:val="num" w:pos="4320"/>
        </w:tabs>
        <w:ind w:left="4320" w:hanging="360"/>
      </w:pPr>
      <w:rPr>
        <w:rFonts w:ascii="Arial" w:hAnsi="Arial" w:hint="default"/>
      </w:rPr>
    </w:lvl>
    <w:lvl w:ilvl="6" w:tplc="51801B7C" w:tentative="1">
      <w:start w:val="1"/>
      <w:numFmt w:val="bullet"/>
      <w:lvlText w:val="•"/>
      <w:lvlJc w:val="left"/>
      <w:pPr>
        <w:tabs>
          <w:tab w:val="num" w:pos="5040"/>
        </w:tabs>
        <w:ind w:left="5040" w:hanging="360"/>
      </w:pPr>
      <w:rPr>
        <w:rFonts w:ascii="Arial" w:hAnsi="Arial" w:hint="default"/>
      </w:rPr>
    </w:lvl>
    <w:lvl w:ilvl="7" w:tplc="A2807CE8" w:tentative="1">
      <w:start w:val="1"/>
      <w:numFmt w:val="bullet"/>
      <w:lvlText w:val="•"/>
      <w:lvlJc w:val="left"/>
      <w:pPr>
        <w:tabs>
          <w:tab w:val="num" w:pos="5760"/>
        </w:tabs>
        <w:ind w:left="5760" w:hanging="360"/>
      </w:pPr>
      <w:rPr>
        <w:rFonts w:ascii="Arial" w:hAnsi="Arial" w:hint="default"/>
      </w:rPr>
    </w:lvl>
    <w:lvl w:ilvl="8" w:tplc="6FA6CDA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EB3116E"/>
    <w:multiLevelType w:val="hybridMultilevel"/>
    <w:tmpl w:val="9888474A"/>
    <w:lvl w:ilvl="0" w:tplc="5C465868">
      <w:start w:val="1"/>
      <w:numFmt w:val="bullet"/>
      <w:lvlText w:val="•"/>
      <w:lvlJc w:val="left"/>
      <w:pPr>
        <w:tabs>
          <w:tab w:val="num" w:pos="720"/>
        </w:tabs>
        <w:ind w:left="720" w:hanging="360"/>
      </w:pPr>
      <w:rPr>
        <w:rFonts w:ascii="Arial" w:hAnsi="Arial" w:hint="default"/>
      </w:rPr>
    </w:lvl>
    <w:lvl w:ilvl="1" w:tplc="1CBE1420" w:tentative="1">
      <w:start w:val="1"/>
      <w:numFmt w:val="bullet"/>
      <w:lvlText w:val="•"/>
      <w:lvlJc w:val="left"/>
      <w:pPr>
        <w:tabs>
          <w:tab w:val="num" w:pos="1440"/>
        </w:tabs>
        <w:ind w:left="1440" w:hanging="360"/>
      </w:pPr>
      <w:rPr>
        <w:rFonts w:ascii="Arial" w:hAnsi="Arial" w:hint="default"/>
      </w:rPr>
    </w:lvl>
    <w:lvl w:ilvl="2" w:tplc="615469E6" w:tentative="1">
      <w:start w:val="1"/>
      <w:numFmt w:val="bullet"/>
      <w:lvlText w:val="•"/>
      <w:lvlJc w:val="left"/>
      <w:pPr>
        <w:tabs>
          <w:tab w:val="num" w:pos="2160"/>
        </w:tabs>
        <w:ind w:left="2160" w:hanging="360"/>
      </w:pPr>
      <w:rPr>
        <w:rFonts w:ascii="Arial" w:hAnsi="Arial" w:hint="default"/>
      </w:rPr>
    </w:lvl>
    <w:lvl w:ilvl="3" w:tplc="0C9C40DC" w:tentative="1">
      <w:start w:val="1"/>
      <w:numFmt w:val="bullet"/>
      <w:lvlText w:val="•"/>
      <w:lvlJc w:val="left"/>
      <w:pPr>
        <w:tabs>
          <w:tab w:val="num" w:pos="2880"/>
        </w:tabs>
        <w:ind w:left="2880" w:hanging="360"/>
      </w:pPr>
      <w:rPr>
        <w:rFonts w:ascii="Arial" w:hAnsi="Arial" w:hint="default"/>
      </w:rPr>
    </w:lvl>
    <w:lvl w:ilvl="4" w:tplc="8E782296" w:tentative="1">
      <w:start w:val="1"/>
      <w:numFmt w:val="bullet"/>
      <w:lvlText w:val="•"/>
      <w:lvlJc w:val="left"/>
      <w:pPr>
        <w:tabs>
          <w:tab w:val="num" w:pos="3600"/>
        </w:tabs>
        <w:ind w:left="3600" w:hanging="360"/>
      </w:pPr>
      <w:rPr>
        <w:rFonts w:ascii="Arial" w:hAnsi="Arial" w:hint="default"/>
      </w:rPr>
    </w:lvl>
    <w:lvl w:ilvl="5" w:tplc="1E84FBD8" w:tentative="1">
      <w:start w:val="1"/>
      <w:numFmt w:val="bullet"/>
      <w:lvlText w:val="•"/>
      <w:lvlJc w:val="left"/>
      <w:pPr>
        <w:tabs>
          <w:tab w:val="num" w:pos="4320"/>
        </w:tabs>
        <w:ind w:left="4320" w:hanging="360"/>
      </w:pPr>
      <w:rPr>
        <w:rFonts w:ascii="Arial" w:hAnsi="Arial" w:hint="default"/>
      </w:rPr>
    </w:lvl>
    <w:lvl w:ilvl="6" w:tplc="26807450" w:tentative="1">
      <w:start w:val="1"/>
      <w:numFmt w:val="bullet"/>
      <w:lvlText w:val="•"/>
      <w:lvlJc w:val="left"/>
      <w:pPr>
        <w:tabs>
          <w:tab w:val="num" w:pos="5040"/>
        </w:tabs>
        <w:ind w:left="5040" w:hanging="360"/>
      </w:pPr>
      <w:rPr>
        <w:rFonts w:ascii="Arial" w:hAnsi="Arial" w:hint="default"/>
      </w:rPr>
    </w:lvl>
    <w:lvl w:ilvl="7" w:tplc="AC06ED38" w:tentative="1">
      <w:start w:val="1"/>
      <w:numFmt w:val="bullet"/>
      <w:lvlText w:val="•"/>
      <w:lvlJc w:val="left"/>
      <w:pPr>
        <w:tabs>
          <w:tab w:val="num" w:pos="5760"/>
        </w:tabs>
        <w:ind w:left="5760" w:hanging="360"/>
      </w:pPr>
      <w:rPr>
        <w:rFonts w:ascii="Arial" w:hAnsi="Arial" w:hint="default"/>
      </w:rPr>
    </w:lvl>
    <w:lvl w:ilvl="8" w:tplc="1866761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3E0205B"/>
    <w:multiLevelType w:val="hybridMultilevel"/>
    <w:tmpl w:val="FEC8DBC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4786803"/>
    <w:multiLevelType w:val="hybridMultilevel"/>
    <w:tmpl w:val="063A1902"/>
    <w:lvl w:ilvl="0" w:tplc="A2C04B1A">
      <w:start w:val="1"/>
      <w:numFmt w:val="bullet"/>
      <w:lvlText w:val="•"/>
      <w:lvlJc w:val="left"/>
      <w:pPr>
        <w:tabs>
          <w:tab w:val="num" w:pos="720"/>
        </w:tabs>
        <w:ind w:left="720" w:hanging="360"/>
      </w:pPr>
      <w:rPr>
        <w:rFonts w:ascii="Arial" w:hAnsi="Arial" w:hint="default"/>
      </w:rPr>
    </w:lvl>
    <w:lvl w:ilvl="1" w:tplc="9D9020C0" w:tentative="1">
      <w:start w:val="1"/>
      <w:numFmt w:val="bullet"/>
      <w:lvlText w:val="•"/>
      <w:lvlJc w:val="left"/>
      <w:pPr>
        <w:tabs>
          <w:tab w:val="num" w:pos="1440"/>
        </w:tabs>
        <w:ind w:left="1440" w:hanging="360"/>
      </w:pPr>
      <w:rPr>
        <w:rFonts w:ascii="Arial" w:hAnsi="Arial" w:hint="default"/>
      </w:rPr>
    </w:lvl>
    <w:lvl w:ilvl="2" w:tplc="BB52E40C" w:tentative="1">
      <w:start w:val="1"/>
      <w:numFmt w:val="bullet"/>
      <w:lvlText w:val="•"/>
      <w:lvlJc w:val="left"/>
      <w:pPr>
        <w:tabs>
          <w:tab w:val="num" w:pos="2160"/>
        </w:tabs>
        <w:ind w:left="2160" w:hanging="360"/>
      </w:pPr>
      <w:rPr>
        <w:rFonts w:ascii="Arial" w:hAnsi="Arial" w:hint="default"/>
      </w:rPr>
    </w:lvl>
    <w:lvl w:ilvl="3" w:tplc="4CD87774" w:tentative="1">
      <w:start w:val="1"/>
      <w:numFmt w:val="bullet"/>
      <w:lvlText w:val="•"/>
      <w:lvlJc w:val="left"/>
      <w:pPr>
        <w:tabs>
          <w:tab w:val="num" w:pos="2880"/>
        </w:tabs>
        <w:ind w:left="2880" w:hanging="360"/>
      </w:pPr>
      <w:rPr>
        <w:rFonts w:ascii="Arial" w:hAnsi="Arial" w:hint="default"/>
      </w:rPr>
    </w:lvl>
    <w:lvl w:ilvl="4" w:tplc="041A9402" w:tentative="1">
      <w:start w:val="1"/>
      <w:numFmt w:val="bullet"/>
      <w:lvlText w:val="•"/>
      <w:lvlJc w:val="left"/>
      <w:pPr>
        <w:tabs>
          <w:tab w:val="num" w:pos="3600"/>
        </w:tabs>
        <w:ind w:left="3600" w:hanging="360"/>
      </w:pPr>
      <w:rPr>
        <w:rFonts w:ascii="Arial" w:hAnsi="Arial" w:hint="default"/>
      </w:rPr>
    </w:lvl>
    <w:lvl w:ilvl="5" w:tplc="A7B2E540" w:tentative="1">
      <w:start w:val="1"/>
      <w:numFmt w:val="bullet"/>
      <w:lvlText w:val="•"/>
      <w:lvlJc w:val="left"/>
      <w:pPr>
        <w:tabs>
          <w:tab w:val="num" w:pos="4320"/>
        </w:tabs>
        <w:ind w:left="4320" w:hanging="360"/>
      </w:pPr>
      <w:rPr>
        <w:rFonts w:ascii="Arial" w:hAnsi="Arial" w:hint="default"/>
      </w:rPr>
    </w:lvl>
    <w:lvl w:ilvl="6" w:tplc="4A96D20E" w:tentative="1">
      <w:start w:val="1"/>
      <w:numFmt w:val="bullet"/>
      <w:lvlText w:val="•"/>
      <w:lvlJc w:val="left"/>
      <w:pPr>
        <w:tabs>
          <w:tab w:val="num" w:pos="5040"/>
        </w:tabs>
        <w:ind w:left="5040" w:hanging="360"/>
      </w:pPr>
      <w:rPr>
        <w:rFonts w:ascii="Arial" w:hAnsi="Arial" w:hint="default"/>
      </w:rPr>
    </w:lvl>
    <w:lvl w:ilvl="7" w:tplc="198C7CD6" w:tentative="1">
      <w:start w:val="1"/>
      <w:numFmt w:val="bullet"/>
      <w:lvlText w:val="•"/>
      <w:lvlJc w:val="left"/>
      <w:pPr>
        <w:tabs>
          <w:tab w:val="num" w:pos="5760"/>
        </w:tabs>
        <w:ind w:left="5760" w:hanging="360"/>
      </w:pPr>
      <w:rPr>
        <w:rFonts w:ascii="Arial" w:hAnsi="Arial" w:hint="default"/>
      </w:rPr>
    </w:lvl>
    <w:lvl w:ilvl="8" w:tplc="AC165CF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54C473D"/>
    <w:multiLevelType w:val="hybridMultilevel"/>
    <w:tmpl w:val="35DA66E6"/>
    <w:lvl w:ilvl="0" w:tplc="BCE8BE76">
      <w:start w:val="1"/>
      <w:numFmt w:val="bullet"/>
      <w:pStyle w:val="BulletedLis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243C71BC">
      <w:start w:val="1"/>
      <w:numFmt w:val="bullet"/>
      <w:pStyle w:val="BulletedList"/>
      <w:lvlText w:val=""/>
      <w:lvlJc w:val="left"/>
      <w:pPr>
        <w:tabs>
          <w:tab w:val="num" w:pos="720"/>
        </w:tabs>
        <w:ind w:left="720" w:hanging="360"/>
      </w:pPr>
      <w:rPr>
        <w:rFonts w:ascii="Symbol" w:hAnsi="Symbol" w:hint="default"/>
        <w:sz w:val="22"/>
        <w:szCs w:val="22"/>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5A74F41"/>
    <w:multiLevelType w:val="hybridMultilevel"/>
    <w:tmpl w:val="900EC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086F4C"/>
    <w:multiLevelType w:val="hybridMultilevel"/>
    <w:tmpl w:val="F25E8508"/>
    <w:lvl w:ilvl="0" w:tplc="F142150C">
      <w:start w:val="1"/>
      <w:numFmt w:val="bullet"/>
      <w:lvlText w:val="•"/>
      <w:lvlJc w:val="left"/>
      <w:pPr>
        <w:tabs>
          <w:tab w:val="num" w:pos="720"/>
        </w:tabs>
        <w:ind w:left="720" w:hanging="360"/>
      </w:pPr>
      <w:rPr>
        <w:rFonts w:ascii="Arial" w:hAnsi="Arial" w:hint="default"/>
      </w:rPr>
    </w:lvl>
    <w:lvl w:ilvl="1" w:tplc="C228F692">
      <w:start w:val="242"/>
      <w:numFmt w:val="bullet"/>
      <w:lvlText w:val="–"/>
      <w:lvlJc w:val="left"/>
      <w:pPr>
        <w:tabs>
          <w:tab w:val="num" w:pos="1440"/>
        </w:tabs>
        <w:ind w:left="1440" w:hanging="360"/>
      </w:pPr>
      <w:rPr>
        <w:rFonts w:ascii="Arial" w:hAnsi="Arial" w:hint="default"/>
      </w:rPr>
    </w:lvl>
    <w:lvl w:ilvl="2" w:tplc="ECBA4B18" w:tentative="1">
      <w:start w:val="1"/>
      <w:numFmt w:val="bullet"/>
      <w:lvlText w:val="•"/>
      <w:lvlJc w:val="left"/>
      <w:pPr>
        <w:tabs>
          <w:tab w:val="num" w:pos="2160"/>
        </w:tabs>
        <w:ind w:left="2160" w:hanging="360"/>
      </w:pPr>
      <w:rPr>
        <w:rFonts w:ascii="Arial" w:hAnsi="Arial" w:hint="default"/>
      </w:rPr>
    </w:lvl>
    <w:lvl w:ilvl="3" w:tplc="4CD4E5DC" w:tentative="1">
      <w:start w:val="1"/>
      <w:numFmt w:val="bullet"/>
      <w:lvlText w:val="•"/>
      <w:lvlJc w:val="left"/>
      <w:pPr>
        <w:tabs>
          <w:tab w:val="num" w:pos="2880"/>
        </w:tabs>
        <w:ind w:left="2880" w:hanging="360"/>
      </w:pPr>
      <w:rPr>
        <w:rFonts w:ascii="Arial" w:hAnsi="Arial" w:hint="default"/>
      </w:rPr>
    </w:lvl>
    <w:lvl w:ilvl="4" w:tplc="CD6E86EA" w:tentative="1">
      <w:start w:val="1"/>
      <w:numFmt w:val="bullet"/>
      <w:lvlText w:val="•"/>
      <w:lvlJc w:val="left"/>
      <w:pPr>
        <w:tabs>
          <w:tab w:val="num" w:pos="3600"/>
        </w:tabs>
        <w:ind w:left="3600" w:hanging="360"/>
      </w:pPr>
      <w:rPr>
        <w:rFonts w:ascii="Arial" w:hAnsi="Arial" w:hint="default"/>
      </w:rPr>
    </w:lvl>
    <w:lvl w:ilvl="5" w:tplc="5762C3D6" w:tentative="1">
      <w:start w:val="1"/>
      <w:numFmt w:val="bullet"/>
      <w:lvlText w:val="•"/>
      <w:lvlJc w:val="left"/>
      <w:pPr>
        <w:tabs>
          <w:tab w:val="num" w:pos="4320"/>
        </w:tabs>
        <w:ind w:left="4320" w:hanging="360"/>
      </w:pPr>
      <w:rPr>
        <w:rFonts w:ascii="Arial" w:hAnsi="Arial" w:hint="default"/>
      </w:rPr>
    </w:lvl>
    <w:lvl w:ilvl="6" w:tplc="8CBCAACC" w:tentative="1">
      <w:start w:val="1"/>
      <w:numFmt w:val="bullet"/>
      <w:lvlText w:val="•"/>
      <w:lvlJc w:val="left"/>
      <w:pPr>
        <w:tabs>
          <w:tab w:val="num" w:pos="5040"/>
        </w:tabs>
        <w:ind w:left="5040" w:hanging="360"/>
      </w:pPr>
      <w:rPr>
        <w:rFonts w:ascii="Arial" w:hAnsi="Arial" w:hint="default"/>
      </w:rPr>
    </w:lvl>
    <w:lvl w:ilvl="7" w:tplc="BFD87B9E" w:tentative="1">
      <w:start w:val="1"/>
      <w:numFmt w:val="bullet"/>
      <w:lvlText w:val="•"/>
      <w:lvlJc w:val="left"/>
      <w:pPr>
        <w:tabs>
          <w:tab w:val="num" w:pos="5760"/>
        </w:tabs>
        <w:ind w:left="5760" w:hanging="360"/>
      </w:pPr>
      <w:rPr>
        <w:rFonts w:ascii="Arial" w:hAnsi="Arial" w:hint="default"/>
      </w:rPr>
    </w:lvl>
    <w:lvl w:ilvl="8" w:tplc="D0980F3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EDB7B46"/>
    <w:multiLevelType w:val="hybridMultilevel"/>
    <w:tmpl w:val="104A2F50"/>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37"/>
  </w:num>
  <w:num w:numId="3">
    <w:abstractNumId w:val="5"/>
  </w:num>
  <w:num w:numId="4">
    <w:abstractNumId w:val="6"/>
  </w:num>
  <w:num w:numId="5">
    <w:abstractNumId w:val="7"/>
  </w:num>
  <w:num w:numId="6">
    <w:abstractNumId w:val="23"/>
  </w:num>
  <w:num w:numId="7">
    <w:abstractNumId w:val="16"/>
  </w:num>
  <w:num w:numId="8">
    <w:abstractNumId w:val="31"/>
  </w:num>
  <w:num w:numId="9">
    <w:abstractNumId w:val="35"/>
  </w:num>
  <w:num w:numId="10">
    <w:abstractNumId w:val="26"/>
  </w:num>
  <w:num w:numId="11">
    <w:abstractNumId w:val="33"/>
  </w:num>
  <w:num w:numId="12">
    <w:abstractNumId w:val="10"/>
  </w:num>
  <w:num w:numId="13">
    <w:abstractNumId w:val="39"/>
  </w:num>
  <w:num w:numId="14">
    <w:abstractNumId w:val="36"/>
  </w:num>
  <w:num w:numId="15">
    <w:abstractNumId w:val="34"/>
  </w:num>
  <w:num w:numId="16">
    <w:abstractNumId w:val="28"/>
  </w:num>
  <w:num w:numId="17">
    <w:abstractNumId w:val="27"/>
  </w:num>
  <w:num w:numId="18">
    <w:abstractNumId w:val="9"/>
  </w:num>
  <w:num w:numId="19">
    <w:abstractNumId w:val="12"/>
  </w:num>
  <w:num w:numId="20">
    <w:abstractNumId w:val="20"/>
  </w:num>
  <w:num w:numId="21">
    <w:abstractNumId w:val="30"/>
  </w:num>
  <w:num w:numId="22">
    <w:abstractNumId w:val="38"/>
  </w:num>
  <w:num w:numId="23">
    <w:abstractNumId w:val="13"/>
  </w:num>
  <w:num w:numId="24">
    <w:abstractNumId w:val="25"/>
  </w:num>
  <w:num w:numId="25">
    <w:abstractNumId w:val="24"/>
  </w:num>
  <w:num w:numId="26">
    <w:abstractNumId w:val="40"/>
  </w:num>
  <w:num w:numId="27">
    <w:abstractNumId w:val="3"/>
  </w:num>
  <w:num w:numId="28">
    <w:abstractNumId w:val="17"/>
  </w:num>
  <w:num w:numId="29">
    <w:abstractNumId w:val="2"/>
  </w:num>
  <w:num w:numId="30">
    <w:abstractNumId w:val="29"/>
  </w:num>
  <w:num w:numId="31">
    <w:abstractNumId w:val="22"/>
  </w:num>
  <w:num w:numId="32">
    <w:abstractNumId w:val="18"/>
  </w:num>
  <w:num w:numId="33">
    <w:abstractNumId w:val="11"/>
  </w:num>
  <w:num w:numId="34">
    <w:abstractNumId w:val="0"/>
  </w:num>
  <w:num w:numId="35">
    <w:abstractNumId w:val="8"/>
  </w:num>
  <w:num w:numId="36">
    <w:abstractNumId w:val="15"/>
  </w:num>
  <w:num w:numId="37">
    <w:abstractNumId w:val="1"/>
  </w:num>
  <w:num w:numId="38">
    <w:abstractNumId w:val="14"/>
  </w:num>
  <w:num w:numId="39">
    <w:abstractNumId w:val="4"/>
  </w:num>
  <w:num w:numId="40">
    <w:abstractNumId w:val="21"/>
  </w:num>
  <w:num w:numId="41">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96"/>
  <w:removePersonalInformation/>
  <w:removeDateAndTime/>
  <w:hideSpellingErrors/>
  <w:hideGrammaticalErrors/>
  <w:activeWritingStyle w:appName="MSWord" w:lang="en-US" w:vendorID="64" w:dllVersion="6" w:nlCheck="1" w:checkStyle="0"/>
  <w:activeWritingStyle w:appName="MSWord" w:lang="fr-FR" w:vendorID="64" w:dllVersion="6" w:nlCheck="1" w:checkStyle="1"/>
  <w:activeWritingStyle w:appName="MSWord" w:lang="en-US" w:vendorID="64" w:dllVersion="5" w:nlCheck="1" w:checkStyle="1"/>
  <w:activeWritingStyle w:appName="MSWord" w:lang="en-US" w:vendorID="64" w:dllVersion="4096"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enforcement="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703d2899-21a2-4196-b5cf-e4880afbe394"/>
  </w:docVars>
  <w:rsids>
    <w:rsidRoot w:val="00CB6AC6"/>
    <w:rsid w:val="00000270"/>
    <w:rsid w:val="000005C0"/>
    <w:rsid w:val="000014F1"/>
    <w:rsid w:val="00001545"/>
    <w:rsid w:val="0000156E"/>
    <w:rsid w:val="00001E14"/>
    <w:rsid w:val="00002257"/>
    <w:rsid w:val="000024C0"/>
    <w:rsid w:val="00002BD6"/>
    <w:rsid w:val="00002E84"/>
    <w:rsid w:val="00003561"/>
    <w:rsid w:val="00003F65"/>
    <w:rsid w:val="00004025"/>
    <w:rsid w:val="0000515C"/>
    <w:rsid w:val="00005201"/>
    <w:rsid w:val="000058A3"/>
    <w:rsid w:val="0000596B"/>
    <w:rsid w:val="00005E48"/>
    <w:rsid w:val="00005F52"/>
    <w:rsid w:val="00006124"/>
    <w:rsid w:val="00006292"/>
    <w:rsid w:val="0000663A"/>
    <w:rsid w:val="00006EB9"/>
    <w:rsid w:val="00006FD6"/>
    <w:rsid w:val="0000711C"/>
    <w:rsid w:val="000079CF"/>
    <w:rsid w:val="00010076"/>
    <w:rsid w:val="00010570"/>
    <w:rsid w:val="00010F88"/>
    <w:rsid w:val="00010FE9"/>
    <w:rsid w:val="0001177C"/>
    <w:rsid w:val="00011896"/>
    <w:rsid w:val="000124D9"/>
    <w:rsid w:val="00012B34"/>
    <w:rsid w:val="00012FAD"/>
    <w:rsid w:val="00013559"/>
    <w:rsid w:val="0001462B"/>
    <w:rsid w:val="00014922"/>
    <w:rsid w:val="00015319"/>
    <w:rsid w:val="000153B5"/>
    <w:rsid w:val="000154B6"/>
    <w:rsid w:val="000154CE"/>
    <w:rsid w:val="000159EB"/>
    <w:rsid w:val="00015C82"/>
    <w:rsid w:val="00015ECB"/>
    <w:rsid w:val="00017228"/>
    <w:rsid w:val="000172CC"/>
    <w:rsid w:val="000179CA"/>
    <w:rsid w:val="00017E7E"/>
    <w:rsid w:val="0002011E"/>
    <w:rsid w:val="00020133"/>
    <w:rsid w:val="0002026A"/>
    <w:rsid w:val="000202C3"/>
    <w:rsid w:val="00020C5A"/>
    <w:rsid w:val="00020E5D"/>
    <w:rsid w:val="00020E91"/>
    <w:rsid w:val="00020FE6"/>
    <w:rsid w:val="00021588"/>
    <w:rsid w:val="00021829"/>
    <w:rsid w:val="000219F1"/>
    <w:rsid w:val="00021E38"/>
    <w:rsid w:val="00022865"/>
    <w:rsid w:val="000229CE"/>
    <w:rsid w:val="00023487"/>
    <w:rsid w:val="000242A4"/>
    <w:rsid w:val="00024994"/>
    <w:rsid w:val="00024D4A"/>
    <w:rsid w:val="00024DDA"/>
    <w:rsid w:val="0002530A"/>
    <w:rsid w:val="000255E3"/>
    <w:rsid w:val="00026294"/>
    <w:rsid w:val="00026A09"/>
    <w:rsid w:val="00026B6B"/>
    <w:rsid w:val="00026DFA"/>
    <w:rsid w:val="0002795E"/>
    <w:rsid w:val="00027DE4"/>
    <w:rsid w:val="00027E45"/>
    <w:rsid w:val="00027FAE"/>
    <w:rsid w:val="000301D7"/>
    <w:rsid w:val="00030A7A"/>
    <w:rsid w:val="00030BF0"/>
    <w:rsid w:val="00030CE5"/>
    <w:rsid w:val="00031071"/>
    <w:rsid w:val="00031333"/>
    <w:rsid w:val="0003139A"/>
    <w:rsid w:val="00031D2C"/>
    <w:rsid w:val="00032B2D"/>
    <w:rsid w:val="00033075"/>
    <w:rsid w:val="0003320F"/>
    <w:rsid w:val="00033404"/>
    <w:rsid w:val="00033F6C"/>
    <w:rsid w:val="000346F7"/>
    <w:rsid w:val="00034C1B"/>
    <w:rsid w:val="000357EE"/>
    <w:rsid w:val="00035C76"/>
    <w:rsid w:val="00035DB9"/>
    <w:rsid w:val="000363BD"/>
    <w:rsid w:val="00036D3C"/>
    <w:rsid w:val="00037105"/>
    <w:rsid w:val="00037303"/>
    <w:rsid w:val="00037383"/>
    <w:rsid w:val="00037407"/>
    <w:rsid w:val="00037766"/>
    <w:rsid w:val="000378A1"/>
    <w:rsid w:val="00037B13"/>
    <w:rsid w:val="00037C94"/>
    <w:rsid w:val="00037CF0"/>
    <w:rsid w:val="00037D25"/>
    <w:rsid w:val="00037E90"/>
    <w:rsid w:val="00037FE3"/>
    <w:rsid w:val="0004079C"/>
    <w:rsid w:val="000407F3"/>
    <w:rsid w:val="000410EA"/>
    <w:rsid w:val="00041327"/>
    <w:rsid w:val="00041785"/>
    <w:rsid w:val="00041793"/>
    <w:rsid w:val="0004198B"/>
    <w:rsid w:val="000424D5"/>
    <w:rsid w:val="00042A2F"/>
    <w:rsid w:val="00042D88"/>
    <w:rsid w:val="00042F5A"/>
    <w:rsid w:val="00043578"/>
    <w:rsid w:val="0004373C"/>
    <w:rsid w:val="00043CC4"/>
    <w:rsid w:val="00044076"/>
    <w:rsid w:val="000442E4"/>
    <w:rsid w:val="000445D3"/>
    <w:rsid w:val="00044683"/>
    <w:rsid w:val="00044854"/>
    <w:rsid w:val="00044B8A"/>
    <w:rsid w:val="00044C62"/>
    <w:rsid w:val="0004550F"/>
    <w:rsid w:val="000460D9"/>
    <w:rsid w:val="000461BF"/>
    <w:rsid w:val="000463A6"/>
    <w:rsid w:val="000465A9"/>
    <w:rsid w:val="00046C8C"/>
    <w:rsid w:val="00046E91"/>
    <w:rsid w:val="00047546"/>
    <w:rsid w:val="000478CF"/>
    <w:rsid w:val="00047D24"/>
    <w:rsid w:val="000517FA"/>
    <w:rsid w:val="00051BFC"/>
    <w:rsid w:val="00052025"/>
    <w:rsid w:val="0005215E"/>
    <w:rsid w:val="00053241"/>
    <w:rsid w:val="0005329B"/>
    <w:rsid w:val="000536F7"/>
    <w:rsid w:val="00053A32"/>
    <w:rsid w:val="00053A93"/>
    <w:rsid w:val="00054A84"/>
    <w:rsid w:val="0005513C"/>
    <w:rsid w:val="000554D4"/>
    <w:rsid w:val="00055684"/>
    <w:rsid w:val="000558C1"/>
    <w:rsid w:val="00055FBE"/>
    <w:rsid w:val="0005623C"/>
    <w:rsid w:val="00056618"/>
    <w:rsid w:val="000569AA"/>
    <w:rsid w:val="00056A47"/>
    <w:rsid w:val="00057090"/>
    <w:rsid w:val="00057485"/>
    <w:rsid w:val="000577CF"/>
    <w:rsid w:val="00057AB7"/>
    <w:rsid w:val="00057ACE"/>
    <w:rsid w:val="0006040A"/>
    <w:rsid w:val="00060728"/>
    <w:rsid w:val="0006098B"/>
    <w:rsid w:val="000611D6"/>
    <w:rsid w:val="000613FD"/>
    <w:rsid w:val="0006162A"/>
    <w:rsid w:val="0006174F"/>
    <w:rsid w:val="00062479"/>
    <w:rsid w:val="00062538"/>
    <w:rsid w:val="00062B59"/>
    <w:rsid w:val="00064855"/>
    <w:rsid w:val="00064EF8"/>
    <w:rsid w:val="00064FD8"/>
    <w:rsid w:val="0006548E"/>
    <w:rsid w:val="0006584A"/>
    <w:rsid w:val="0006596A"/>
    <w:rsid w:val="00065D4E"/>
    <w:rsid w:val="00065E26"/>
    <w:rsid w:val="0006624D"/>
    <w:rsid w:val="00066296"/>
    <w:rsid w:val="00066542"/>
    <w:rsid w:val="00066B08"/>
    <w:rsid w:val="00066F69"/>
    <w:rsid w:val="00067212"/>
    <w:rsid w:val="000676D3"/>
    <w:rsid w:val="00067853"/>
    <w:rsid w:val="000701ED"/>
    <w:rsid w:val="00070BB1"/>
    <w:rsid w:val="00070D31"/>
    <w:rsid w:val="00071774"/>
    <w:rsid w:val="00071B6A"/>
    <w:rsid w:val="00071DD3"/>
    <w:rsid w:val="00071F92"/>
    <w:rsid w:val="00071FAC"/>
    <w:rsid w:val="00072923"/>
    <w:rsid w:val="00072D6A"/>
    <w:rsid w:val="00072DC3"/>
    <w:rsid w:val="00073D35"/>
    <w:rsid w:val="00074314"/>
    <w:rsid w:val="00074469"/>
    <w:rsid w:val="00074522"/>
    <w:rsid w:val="00074D2D"/>
    <w:rsid w:val="000758E1"/>
    <w:rsid w:val="0007591B"/>
    <w:rsid w:val="000760E1"/>
    <w:rsid w:val="00076F5F"/>
    <w:rsid w:val="000772F4"/>
    <w:rsid w:val="000773BE"/>
    <w:rsid w:val="00077B46"/>
    <w:rsid w:val="00077F54"/>
    <w:rsid w:val="000800A7"/>
    <w:rsid w:val="00080481"/>
    <w:rsid w:val="0008070D"/>
    <w:rsid w:val="00080721"/>
    <w:rsid w:val="00080AD6"/>
    <w:rsid w:val="00080C32"/>
    <w:rsid w:val="00080FC7"/>
    <w:rsid w:val="0008148E"/>
    <w:rsid w:val="000821C8"/>
    <w:rsid w:val="00082296"/>
    <w:rsid w:val="0008288C"/>
    <w:rsid w:val="00082945"/>
    <w:rsid w:val="00083134"/>
    <w:rsid w:val="00083147"/>
    <w:rsid w:val="0008368B"/>
    <w:rsid w:val="00083AEC"/>
    <w:rsid w:val="00083F30"/>
    <w:rsid w:val="00084382"/>
    <w:rsid w:val="00084E12"/>
    <w:rsid w:val="000851D0"/>
    <w:rsid w:val="0008522E"/>
    <w:rsid w:val="00085368"/>
    <w:rsid w:val="00087581"/>
    <w:rsid w:val="00087839"/>
    <w:rsid w:val="000879B2"/>
    <w:rsid w:val="0009018E"/>
    <w:rsid w:val="00090E7B"/>
    <w:rsid w:val="00091215"/>
    <w:rsid w:val="000914EB"/>
    <w:rsid w:val="00091655"/>
    <w:rsid w:val="00091FF3"/>
    <w:rsid w:val="00092637"/>
    <w:rsid w:val="0009294B"/>
    <w:rsid w:val="00092B29"/>
    <w:rsid w:val="00092CC8"/>
    <w:rsid w:val="00092E81"/>
    <w:rsid w:val="00093A59"/>
    <w:rsid w:val="000941CB"/>
    <w:rsid w:val="000944C5"/>
    <w:rsid w:val="00094584"/>
    <w:rsid w:val="00094A0C"/>
    <w:rsid w:val="00095197"/>
    <w:rsid w:val="000952FD"/>
    <w:rsid w:val="000953C4"/>
    <w:rsid w:val="00095A04"/>
    <w:rsid w:val="00096B10"/>
    <w:rsid w:val="00096BB0"/>
    <w:rsid w:val="00096C6D"/>
    <w:rsid w:val="0009710E"/>
    <w:rsid w:val="00097785"/>
    <w:rsid w:val="000979CA"/>
    <w:rsid w:val="000979E7"/>
    <w:rsid w:val="000A0041"/>
    <w:rsid w:val="000A0085"/>
    <w:rsid w:val="000A0340"/>
    <w:rsid w:val="000A0429"/>
    <w:rsid w:val="000A0A1F"/>
    <w:rsid w:val="000A0CD8"/>
    <w:rsid w:val="000A1009"/>
    <w:rsid w:val="000A138C"/>
    <w:rsid w:val="000A1B29"/>
    <w:rsid w:val="000A24B0"/>
    <w:rsid w:val="000A25F9"/>
    <w:rsid w:val="000A2842"/>
    <w:rsid w:val="000A29DF"/>
    <w:rsid w:val="000A37E6"/>
    <w:rsid w:val="000A4048"/>
    <w:rsid w:val="000A40A4"/>
    <w:rsid w:val="000A4D9C"/>
    <w:rsid w:val="000A5067"/>
    <w:rsid w:val="000A56F0"/>
    <w:rsid w:val="000A5F5E"/>
    <w:rsid w:val="000A76BF"/>
    <w:rsid w:val="000A7BE3"/>
    <w:rsid w:val="000B03FF"/>
    <w:rsid w:val="000B040E"/>
    <w:rsid w:val="000B0879"/>
    <w:rsid w:val="000B0A5C"/>
    <w:rsid w:val="000B1B94"/>
    <w:rsid w:val="000B1BC2"/>
    <w:rsid w:val="000B1C7F"/>
    <w:rsid w:val="000B1DA6"/>
    <w:rsid w:val="000B1E5E"/>
    <w:rsid w:val="000B20B2"/>
    <w:rsid w:val="000B228A"/>
    <w:rsid w:val="000B22E3"/>
    <w:rsid w:val="000B266F"/>
    <w:rsid w:val="000B2865"/>
    <w:rsid w:val="000B2921"/>
    <w:rsid w:val="000B3288"/>
    <w:rsid w:val="000B359C"/>
    <w:rsid w:val="000B3B05"/>
    <w:rsid w:val="000B3D38"/>
    <w:rsid w:val="000B43A1"/>
    <w:rsid w:val="000B43E9"/>
    <w:rsid w:val="000B4431"/>
    <w:rsid w:val="000B5865"/>
    <w:rsid w:val="000B5B4A"/>
    <w:rsid w:val="000B637D"/>
    <w:rsid w:val="000B668E"/>
    <w:rsid w:val="000B6A1D"/>
    <w:rsid w:val="000B6B30"/>
    <w:rsid w:val="000B6E02"/>
    <w:rsid w:val="000B737D"/>
    <w:rsid w:val="000B79CF"/>
    <w:rsid w:val="000C0444"/>
    <w:rsid w:val="000C0B6D"/>
    <w:rsid w:val="000C200E"/>
    <w:rsid w:val="000C239C"/>
    <w:rsid w:val="000C2473"/>
    <w:rsid w:val="000C2F4A"/>
    <w:rsid w:val="000C354D"/>
    <w:rsid w:val="000C3A16"/>
    <w:rsid w:val="000C3FC8"/>
    <w:rsid w:val="000C4466"/>
    <w:rsid w:val="000C469B"/>
    <w:rsid w:val="000C47BE"/>
    <w:rsid w:val="000C4D9F"/>
    <w:rsid w:val="000C503E"/>
    <w:rsid w:val="000C5066"/>
    <w:rsid w:val="000C506F"/>
    <w:rsid w:val="000C5333"/>
    <w:rsid w:val="000C5445"/>
    <w:rsid w:val="000C59DC"/>
    <w:rsid w:val="000C674F"/>
    <w:rsid w:val="000C69F3"/>
    <w:rsid w:val="000C748F"/>
    <w:rsid w:val="000C7D66"/>
    <w:rsid w:val="000D0032"/>
    <w:rsid w:val="000D01D5"/>
    <w:rsid w:val="000D09B2"/>
    <w:rsid w:val="000D0E6D"/>
    <w:rsid w:val="000D0F11"/>
    <w:rsid w:val="000D12EF"/>
    <w:rsid w:val="000D14EF"/>
    <w:rsid w:val="000D1CBE"/>
    <w:rsid w:val="000D1D1D"/>
    <w:rsid w:val="000D1DB8"/>
    <w:rsid w:val="000D242F"/>
    <w:rsid w:val="000D2806"/>
    <w:rsid w:val="000D3476"/>
    <w:rsid w:val="000D380A"/>
    <w:rsid w:val="000D4787"/>
    <w:rsid w:val="000D4B7A"/>
    <w:rsid w:val="000D4D6D"/>
    <w:rsid w:val="000D4E71"/>
    <w:rsid w:val="000D5396"/>
    <w:rsid w:val="000D624E"/>
    <w:rsid w:val="000D6336"/>
    <w:rsid w:val="000D6385"/>
    <w:rsid w:val="000D6544"/>
    <w:rsid w:val="000D6644"/>
    <w:rsid w:val="000D68FB"/>
    <w:rsid w:val="000D75B3"/>
    <w:rsid w:val="000D7821"/>
    <w:rsid w:val="000D7C95"/>
    <w:rsid w:val="000D7F9C"/>
    <w:rsid w:val="000E0180"/>
    <w:rsid w:val="000E02A9"/>
    <w:rsid w:val="000E0F0B"/>
    <w:rsid w:val="000E1361"/>
    <w:rsid w:val="000E14D6"/>
    <w:rsid w:val="000E1E45"/>
    <w:rsid w:val="000E1E97"/>
    <w:rsid w:val="000E2501"/>
    <w:rsid w:val="000E2571"/>
    <w:rsid w:val="000E275B"/>
    <w:rsid w:val="000E28FE"/>
    <w:rsid w:val="000E2CE8"/>
    <w:rsid w:val="000E338B"/>
    <w:rsid w:val="000E3992"/>
    <w:rsid w:val="000E39C0"/>
    <w:rsid w:val="000E39E2"/>
    <w:rsid w:val="000E3B08"/>
    <w:rsid w:val="000E3F8E"/>
    <w:rsid w:val="000E412E"/>
    <w:rsid w:val="000E41D4"/>
    <w:rsid w:val="000E4664"/>
    <w:rsid w:val="000E4A74"/>
    <w:rsid w:val="000E4E61"/>
    <w:rsid w:val="000E5441"/>
    <w:rsid w:val="000E5A70"/>
    <w:rsid w:val="000E5E61"/>
    <w:rsid w:val="000E653C"/>
    <w:rsid w:val="000E66CA"/>
    <w:rsid w:val="000E68AE"/>
    <w:rsid w:val="000E6B3F"/>
    <w:rsid w:val="000E6B71"/>
    <w:rsid w:val="000E706C"/>
    <w:rsid w:val="000F0286"/>
    <w:rsid w:val="000F038C"/>
    <w:rsid w:val="000F0A8A"/>
    <w:rsid w:val="000F1398"/>
    <w:rsid w:val="000F140B"/>
    <w:rsid w:val="000F14B9"/>
    <w:rsid w:val="000F20E5"/>
    <w:rsid w:val="000F2557"/>
    <w:rsid w:val="000F2E7D"/>
    <w:rsid w:val="000F33A8"/>
    <w:rsid w:val="000F38EE"/>
    <w:rsid w:val="000F3A0B"/>
    <w:rsid w:val="000F437F"/>
    <w:rsid w:val="000F4433"/>
    <w:rsid w:val="000F523C"/>
    <w:rsid w:val="000F5518"/>
    <w:rsid w:val="000F6561"/>
    <w:rsid w:val="000F663A"/>
    <w:rsid w:val="000F66DF"/>
    <w:rsid w:val="000F6A5D"/>
    <w:rsid w:val="000F6B76"/>
    <w:rsid w:val="000F6CF7"/>
    <w:rsid w:val="000F6FD9"/>
    <w:rsid w:val="000F7C42"/>
    <w:rsid w:val="00100222"/>
    <w:rsid w:val="00100364"/>
    <w:rsid w:val="00100B36"/>
    <w:rsid w:val="00100C4D"/>
    <w:rsid w:val="0010154E"/>
    <w:rsid w:val="00101BC9"/>
    <w:rsid w:val="00102744"/>
    <w:rsid w:val="0010340C"/>
    <w:rsid w:val="001037BC"/>
    <w:rsid w:val="001044B2"/>
    <w:rsid w:val="00104E02"/>
    <w:rsid w:val="00105065"/>
    <w:rsid w:val="001053F5"/>
    <w:rsid w:val="00105EBC"/>
    <w:rsid w:val="001069E7"/>
    <w:rsid w:val="00106A9F"/>
    <w:rsid w:val="00106DA5"/>
    <w:rsid w:val="00107F6B"/>
    <w:rsid w:val="001105A0"/>
    <w:rsid w:val="00110681"/>
    <w:rsid w:val="001109CA"/>
    <w:rsid w:val="001111C9"/>
    <w:rsid w:val="001119E7"/>
    <w:rsid w:val="00111C27"/>
    <w:rsid w:val="001120D1"/>
    <w:rsid w:val="0011272A"/>
    <w:rsid w:val="001127B8"/>
    <w:rsid w:val="001128A8"/>
    <w:rsid w:val="00112921"/>
    <w:rsid w:val="00112AD5"/>
    <w:rsid w:val="00112C60"/>
    <w:rsid w:val="0011334E"/>
    <w:rsid w:val="00113CB1"/>
    <w:rsid w:val="00114436"/>
    <w:rsid w:val="00114CE8"/>
    <w:rsid w:val="00115140"/>
    <w:rsid w:val="0011576D"/>
    <w:rsid w:val="0011658A"/>
    <w:rsid w:val="00116EF4"/>
    <w:rsid w:val="0012044B"/>
    <w:rsid w:val="0012089B"/>
    <w:rsid w:val="00120EAE"/>
    <w:rsid w:val="0012102A"/>
    <w:rsid w:val="00121278"/>
    <w:rsid w:val="001214BB"/>
    <w:rsid w:val="00122169"/>
    <w:rsid w:val="00122734"/>
    <w:rsid w:val="001227A4"/>
    <w:rsid w:val="00122AC3"/>
    <w:rsid w:val="00122E1B"/>
    <w:rsid w:val="0012342C"/>
    <w:rsid w:val="00123947"/>
    <w:rsid w:val="001239FB"/>
    <w:rsid w:val="00123CCB"/>
    <w:rsid w:val="0012435C"/>
    <w:rsid w:val="00124EF8"/>
    <w:rsid w:val="00125170"/>
    <w:rsid w:val="001253F8"/>
    <w:rsid w:val="0012560F"/>
    <w:rsid w:val="00125975"/>
    <w:rsid w:val="001259D9"/>
    <w:rsid w:val="00125DA8"/>
    <w:rsid w:val="00125E4C"/>
    <w:rsid w:val="001264F1"/>
    <w:rsid w:val="00126D4D"/>
    <w:rsid w:val="001274C4"/>
    <w:rsid w:val="00130DDD"/>
    <w:rsid w:val="00131D63"/>
    <w:rsid w:val="001320BC"/>
    <w:rsid w:val="001325D0"/>
    <w:rsid w:val="00132D8D"/>
    <w:rsid w:val="00133238"/>
    <w:rsid w:val="0013387A"/>
    <w:rsid w:val="00133FC0"/>
    <w:rsid w:val="00134B71"/>
    <w:rsid w:val="00134B94"/>
    <w:rsid w:val="00134F1A"/>
    <w:rsid w:val="00135114"/>
    <w:rsid w:val="00135192"/>
    <w:rsid w:val="00135411"/>
    <w:rsid w:val="0013561F"/>
    <w:rsid w:val="00135F16"/>
    <w:rsid w:val="001360D6"/>
    <w:rsid w:val="00137115"/>
    <w:rsid w:val="00137B0F"/>
    <w:rsid w:val="00137C1B"/>
    <w:rsid w:val="001401E7"/>
    <w:rsid w:val="001403AC"/>
    <w:rsid w:val="0014044E"/>
    <w:rsid w:val="001408BC"/>
    <w:rsid w:val="00141F4E"/>
    <w:rsid w:val="00142159"/>
    <w:rsid w:val="0014266D"/>
    <w:rsid w:val="00142F6B"/>
    <w:rsid w:val="00143635"/>
    <w:rsid w:val="00145071"/>
    <w:rsid w:val="001451E2"/>
    <w:rsid w:val="00145385"/>
    <w:rsid w:val="0014543E"/>
    <w:rsid w:val="0014547F"/>
    <w:rsid w:val="001454A3"/>
    <w:rsid w:val="00145B1F"/>
    <w:rsid w:val="00145E8A"/>
    <w:rsid w:val="00146526"/>
    <w:rsid w:val="00146B1B"/>
    <w:rsid w:val="0014723D"/>
    <w:rsid w:val="001475FB"/>
    <w:rsid w:val="001477D1"/>
    <w:rsid w:val="00147ACD"/>
    <w:rsid w:val="00147DA2"/>
    <w:rsid w:val="001501D6"/>
    <w:rsid w:val="001502BF"/>
    <w:rsid w:val="00151038"/>
    <w:rsid w:val="0015116A"/>
    <w:rsid w:val="001517D3"/>
    <w:rsid w:val="001525EE"/>
    <w:rsid w:val="001532E8"/>
    <w:rsid w:val="00153749"/>
    <w:rsid w:val="001539A1"/>
    <w:rsid w:val="0015418B"/>
    <w:rsid w:val="001541BD"/>
    <w:rsid w:val="00154AE5"/>
    <w:rsid w:val="00154EF6"/>
    <w:rsid w:val="00155151"/>
    <w:rsid w:val="00156428"/>
    <w:rsid w:val="0015696E"/>
    <w:rsid w:val="00156B1D"/>
    <w:rsid w:val="001570C6"/>
    <w:rsid w:val="001572F2"/>
    <w:rsid w:val="00157912"/>
    <w:rsid w:val="00157A52"/>
    <w:rsid w:val="001601D2"/>
    <w:rsid w:val="001605B8"/>
    <w:rsid w:val="001612FA"/>
    <w:rsid w:val="001616AA"/>
    <w:rsid w:val="00161AB7"/>
    <w:rsid w:val="0016281B"/>
    <w:rsid w:val="00162D21"/>
    <w:rsid w:val="00163453"/>
    <w:rsid w:val="00163462"/>
    <w:rsid w:val="0016379D"/>
    <w:rsid w:val="00163AAE"/>
    <w:rsid w:val="00163ABC"/>
    <w:rsid w:val="00164928"/>
    <w:rsid w:val="00164EDD"/>
    <w:rsid w:val="00164F9E"/>
    <w:rsid w:val="001651B0"/>
    <w:rsid w:val="00165945"/>
    <w:rsid w:val="00165AFA"/>
    <w:rsid w:val="00165C6B"/>
    <w:rsid w:val="00165C9A"/>
    <w:rsid w:val="00166054"/>
    <w:rsid w:val="001662BA"/>
    <w:rsid w:val="0016663D"/>
    <w:rsid w:val="0016672D"/>
    <w:rsid w:val="00167126"/>
    <w:rsid w:val="00167366"/>
    <w:rsid w:val="001675BB"/>
    <w:rsid w:val="00167F0D"/>
    <w:rsid w:val="00170108"/>
    <w:rsid w:val="00170DF2"/>
    <w:rsid w:val="00171E26"/>
    <w:rsid w:val="00171FD0"/>
    <w:rsid w:val="00172409"/>
    <w:rsid w:val="001727AA"/>
    <w:rsid w:val="001728EF"/>
    <w:rsid w:val="00172BE3"/>
    <w:rsid w:val="00172DC4"/>
    <w:rsid w:val="0017301C"/>
    <w:rsid w:val="00173DA9"/>
    <w:rsid w:val="00174950"/>
    <w:rsid w:val="001757C0"/>
    <w:rsid w:val="00176330"/>
    <w:rsid w:val="001768DA"/>
    <w:rsid w:val="00176CFE"/>
    <w:rsid w:val="00176F93"/>
    <w:rsid w:val="001772E7"/>
    <w:rsid w:val="00180946"/>
    <w:rsid w:val="00180DFF"/>
    <w:rsid w:val="00180F52"/>
    <w:rsid w:val="00181C55"/>
    <w:rsid w:val="00182464"/>
    <w:rsid w:val="00182787"/>
    <w:rsid w:val="001829AE"/>
    <w:rsid w:val="00182A32"/>
    <w:rsid w:val="0018309B"/>
    <w:rsid w:val="001830DC"/>
    <w:rsid w:val="0018404F"/>
    <w:rsid w:val="001842CF"/>
    <w:rsid w:val="00184834"/>
    <w:rsid w:val="00184A11"/>
    <w:rsid w:val="001850C1"/>
    <w:rsid w:val="0018538E"/>
    <w:rsid w:val="00186690"/>
    <w:rsid w:val="001868BC"/>
    <w:rsid w:val="001868C6"/>
    <w:rsid w:val="00186E33"/>
    <w:rsid w:val="00187873"/>
    <w:rsid w:val="00187E1A"/>
    <w:rsid w:val="0019013E"/>
    <w:rsid w:val="00190760"/>
    <w:rsid w:val="00190EC1"/>
    <w:rsid w:val="00191250"/>
    <w:rsid w:val="00191A03"/>
    <w:rsid w:val="00191A24"/>
    <w:rsid w:val="00191A77"/>
    <w:rsid w:val="00191DA6"/>
    <w:rsid w:val="001927FF"/>
    <w:rsid w:val="00193782"/>
    <w:rsid w:val="00193956"/>
    <w:rsid w:val="00193A02"/>
    <w:rsid w:val="00193EC4"/>
    <w:rsid w:val="0019455F"/>
    <w:rsid w:val="00194C1D"/>
    <w:rsid w:val="00195019"/>
    <w:rsid w:val="00195114"/>
    <w:rsid w:val="00195218"/>
    <w:rsid w:val="001956AC"/>
    <w:rsid w:val="001957F7"/>
    <w:rsid w:val="00195B55"/>
    <w:rsid w:val="00196199"/>
    <w:rsid w:val="00196639"/>
    <w:rsid w:val="0019677D"/>
    <w:rsid w:val="00196BE6"/>
    <w:rsid w:val="00196C36"/>
    <w:rsid w:val="00197291"/>
    <w:rsid w:val="0019734C"/>
    <w:rsid w:val="00197771"/>
    <w:rsid w:val="001977E0"/>
    <w:rsid w:val="00197A73"/>
    <w:rsid w:val="00197AB7"/>
    <w:rsid w:val="00197DD9"/>
    <w:rsid w:val="001A11D5"/>
    <w:rsid w:val="001A1B22"/>
    <w:rsid w:val="001A216F"/>
    <w:rsid w:val="001A2220"/>
    <w:rsid w:val="001A3B5B"/>
    <w:rsid w:val="001A42B0"/>
    <w:rsid w:val="001A4C6D"/>
    <w:rsid w:val="001A504D"/>
    <w:rsid w:val="001A5687"/>
    <w:rsid w:val="001A571B"/>
    <w:rsid w:val="001A5FA1"/>
    <w:rsid w:val="001A644C"/>
    <w:rsid w:val="001A68A0"/>
    <w:rsid w:val="001A6BC5"/>
    <w:rsid w:val="001A708C"/>
    <w:rsid w:val="001A74F6"/>
    <w:rsid w:val="001A7B12"/>
    <w:rsid w:val="001B0684"/>
    <w:rsid w:val="001B133A"/>
    <w:rsid w:val="001B13D5"/>
    <w:rsid w:val="001B18FC"/>
    <w:rsid w:val="001B1A6A"/>
    <w:rsid w:val="001B1B98"/>
    <w:rsid w:val="001B1FF6"/>
    <w:rsid w:val="001B21E0"/>
    <w:rsid w:val="001B24CE"/>
    <w:rsid w:val="001B2E9D"/>
    <w:rsid w:val="001B3143"/>
    <w:rsid w:val="001B3307"/>
    <w:rsid w:val="001B3579"/>
    <w:rsid w:val="001B3ACB"/>
    <w:rsid w:val="001B3B09"/>
    <w:rsid w:val="001B4057"/>
    <w:rsid w:val="001B4311"/>
    <w:rsid w:val="001B5DD9"/>
    <w:rsid w:val="001B6579"/>
    <w:rsid w:val="001B6993"/>
    <w:rsid w:val="001B6D26"/>
    <w:rsid w:val="001B7808"/>
    <w:rsid w:val="001B78A7"/>
    <w:rsid w:val="001B7A38"/>
    <w:rsid w:val="001B7C02"/>
    <w:rsid w:val="001B7F3E"/>
    <w:rsid w:val="001C0093"/>
    <w:rsid w:val="001C012A"/>
    <w:rsid w:val="001C0DA1"/>
    <w:rsid w:val="001C1430"/>
    <w:rsid w:val="001C1700"/>
    <w:rsid w:val="001C1A85"/>
    <w:rsid w:val="001C1B36"/>
    <w:rsid w:val="001C20B1"/>
    <w:rsid w:val="001C2789"/>
    <w:rsid w:val="001C2C7F"/>
    <w:rsid w:val="001C3046"/>
    <w:rsid w:val="001C3380"/>
    <w:rsid w:val="001C42B6"/>
    <w:rsid w:val="001C4B4C"/>
    <w:rsid w:val="001C4DAF"/>
    <w:rsid w:val="001C4FAA"/>
    <w:rsid w:val="001C514C"/>
    <w:rsid w:val="001C537B"/>
    <w:rsid w:val="001C562F"/>
    <w:rsid w:val="001C5B2C"/>
    <w:rsid w:val="001C7535"/>
    <w:rsid w:val="001C7756"/>
    <w:rsid w:val="001C788F"/>
    <w:rsid w:val="001C79BE"/>
    <w:rsid w:val="001D02A4"/>
    <w:rsid w:val="001D0654"/>
    <w:rsid w:val="001D0873"/>
    <w:rsid w:val="001D0AA5"/>
    <w:rsid w:val="001D13B4"/>
    <w:rsid w:val="001D1BCD"/>
    <w:rsid w:val="001D262E"/>
    <w:rsid w:val="001D2C3B"/>
    <w:rsid w:val="001D3E98"/>
    <w:rsid w:val="001D408D"/>
    <w:rsid w:val="001D41ED"/>
    <w:rsid w:val="001D53F4"/>
    <w:rsid w:val="001D545D"/>
    <w:rsid w:val="001D583D"/>
    <w:rsid w:val="001D5AD5"/>
    <w:rsid w:val="001D5F6A"/>
    <w:rsid w:val="001D61C8"/>
    <w:rsid w:val="001D644C"/>
    <w:rsid w:val="001D67C5"/>
    <w:rsid w:val="001D6DE1"/>
    <w:rsid w:val="001E0702"/>
    <w:rsid w:val="001E0E83"/>
    <w:rsid w:val="001E1293"/>
    <w:rsid w:val="001E1A83"/>
    <w:rsid w:val="001E22EB"/>
    <w:rsid w:val="001E2301"/>
    <w:rsid w:val="001E28AF"/>
    <w:rsid w:val="001E29BA"/>
    <w:rsid w:val="001E2EF5"/>
    <w:rsid w:val="001E2FB2"/>
    <w:rsid w:val="001E333F"/>
    <w:rsid w:val="001E3514"/>
    <w:rsid w:val="001E37B3"/>
    <w:rsid w:val="001E3832"/>
    <w:rsid w:val="001E3BD7"/>
    <w:rsid w:val="001E44EB"/>
    <w:rsid w:val="001E499A"/>
    <w:rsid w:val="001E4A09"/>
    <w:rsid w:val="001E700D"/>
    <w:rsid w:val="001E788E"/>
    <w:rsid w:val="001E7A1B"/>
    <w:rsid w:val="001E7CB8"/>
    <w:rsid w:val="001E7DA1"/>
    <w:rsid w:val="001F11D4"/>
    <w:rsid w:val="001F16DD"/>
    <w:rsid w:val="001F1FD7"/>
    <w:rsid w:val="001F2115"/>
    <w:rsid w:val="001F27B8"/>
    <w:rsid w:val="001F2AB5"/>
    <w:rsid w:val="001F2B2A"/>
    <w:rsid w:val="001F359C"/>
    <w:rsid w:val="001F427F"/>
    <w:rsid w:val="001F44B8"/>
    <w:rsid w:val="001F51A3"/>
    <w:rsid w:val="001F53B5"/>
    <w:rsid w:val="001F5E1A"/>
    <w:rsid w:val="001F6039"/>
    <w:rsid w:val="001F659A"/>
    <w:rsid w:val="001F6B46"/>
    <w:rsid w:val="001F6CBD"/>
    <w:rsid w:val="001F7209"/>
    <w:rsid w:val="001F72AA"/>
    <w:rsid w:val="001F7D13"/>
    <w:rsid w:val="001F7FF0"/>
    <w:rsid w:val="0020039A"/>
    <w:rsid w:val="00200D5E"/>
    <w:rsid w:val="00200E20"/>
    <w:rsid w:val="00200EDE"/>
    <w:rsid w:val="0020156F"/>
    <w:rsid w:val="00201D25"/>
    <w:rsid w:val="002022DF"/>
    <w:rsid w:val="0020247B"/>
    <w:rsid w:val="00202494"/>
    <w:rsid w:val="002026E8"/>
    <w:rsid w:val="00202B1E"/>
    <w:rsid w:val="00202D0A"/>
    <w:rsid w:val="002030A8"/>
    <w:rsid w:val="0020333A"/>
    <w:rsid w:val="00203623"/>
    <w:rsid w:val="0020385B"/>
    <w:rsid w:val="00203A5C"/>
    <w:rsid w:val="00203E41"/>
    <w:rsid w:val="00203FB2"/>
    <w:rsid w:val="0020432B"/>
    <w:rsid w:val="0020459D"/>
    <w:rsid w:val="002048B7"/>
    <w:rsid w:val="00204FC1"/>
    <w:rsid w:val="00205ED6"/>
    <w:rsid w:val="00206276"/>
    <w:rsid w:val="00206320"/>
    <w:rsid w:val="00206C75"/>
    <w:rsid w:val="00206DE8"/>
    <w:rsid w:val="00207A82"/>
    <w:rsid w:val="00207EA9"/>
    <w:rsid w:val="00210826"/>
    <w:rsid w:val="00210C18"/>
    <w:rsid w:val="00213310"/>
    <w:rsid w:val="002134F1"/>
    <w:rsid w:val="00213911"/>
    <w:rsid w:val="00213FBE"/>
    <w:rsid w:val="0021450D"/>
    <w:rsid w:val="00214760"/>
    <w:rsid w:val="002150AB"/>
    <w:rsid w:val="00215121"/>
    <w:rsid w:val="00215290"/>
    <w:rsid w:val="002158B2"/>
    <w:rsid w:val="00215E1C"/>
    <w:rsid w:val="002164EA"/>
    <w:rsid w:val="00216615"/>
    <w:rsid w:val="002166B7"/>
    <w:rsid w:val="0021685F"/>
    <w:rsid w:val="00216A04"/>
    <w:rsid w:val="00216B32"/>
    <w:rsid w:val="00216DD9"/>
    <w:rsid w:val="00216E9E"/>
    <w:rsid w:val="00217156"/>
    <w:rsid w:val="002176D2"/>
    <w:rsid w:val="002177A3"/>
    <w:rsid w:val="00217902"/>
    <w:rsid w:val="00217E28"/>
    <w:rsid w:val="0022006C"/>
    <w:rsid w:val="0022054E"/>
    <w:rsid w:val="00220C46"/>
    <w:rsid w:val="00221CCC"/>
    <w:rsid w:val="00221D93"/>
    <w:rsid w:val="00221DCC"/>
    <w:rsid w:val="002221FD"/>
    <w:rsid w:val="00222C81"/>
    <w:rsid w:val="00222F3F"/>
    <w:rsid w:val="00223A5D"/>
    <w:rsid w:val="002248B2"/>
    <w:rsid w:val="0022493F"/>
    <w:rsid w:val="002249FB"/>
    <w:rsid w:val="00224A44"/>
    <w:rsid w:val="00225442"/>
    <w:rsid w:val="00225933"/>
    <w:rsid w:val="00225B89"/>
    <w:rsid w:val="00225C77"/>
    <w:rsid w:val="00225CC7"/>
    <w:rsid w:val="00226389"/>
    <w:rsid w:val="0022732E"/>
    <w:rsid w:val="00227ADC"/>
    <w:rsid w:val="00227CA6"/>
    <w:rsid w:val="00230404"/>
    <w:rsid w:val="002309A3"/>
    <w:rsid w:val="00230D9A"/>
    <w:rsid w:val="00230F35"/>
    <w:rsid w:val="00230FBF"/>
    <w:rsid w:val="002310A5"/>
    <w:rsid w:val="002320F8"/>
    <w:rsid w:val="002321AA"/>
    <w:rsid w:val="00232283"/>
    <w:rsid w:val="00232AA1"/>
    <w:rsid w:val="00233F57"/>
    <w:rsid w:val="0023476C"/>
    <w:rsid w:val="002349E4"/>
    <w:rsid w:val="00235196"/>
    <w:rsid w:val="002354CA"/>
    <w:rsid w:val="0023578C"/>
    <w:rsid w:val="00235AB4"/>
    <w:rsid w:val="00235B9A"/>
    <w:rsid w:val="002360BE"/>
    <w:rsid w:val="0023627D"/>
    <w:rsid w:val="00236848"/>
    <w:rsid w:val="00236C8A"/>
    <w:rsid w:val="00237060"/>
    <w:rsid w:val="002370F7"/>
    <w:rsid w:val="00237772"/>
    <w:rsid w:val="002377ED"/>
    <w:rsid w:val="00237CBF"/>
    <w:rsid w:val="002401F4"/>
    <w:rsid w:val="00240963"/>
    <w:rsid w:val="002412C1"/>
    <w:rsid w:val="00241D21"/>
    <w:rsid w:val="00241EAF"/>
    <w:rsid w:val="002438BC"/>
    <w:rsid w:val="002439B2"/>
    <w:rsid w:val="00243CD1"/>
    <w:rsid w:val="00244700"/>
    <w:rsid w:val="00244911"/>
    <w:rsid w:val="0024493D"/>
    <w:rsid w:val="0024526D"/>
    <w:rsid w:val="00245E69"/>
    <w:rsid w:val="00245FF6"/>
    <w:rsid w:val="0024639D"/>
    <w:rsid w:val="00246BDD"/>
    <w:rsid w:val="00246F13"/>
    <w:rsid w:val="00247CF4"/>
    <w:rsid w:val="00250400"/>
    <w:rsid w:val="002508AE"/>
    <w:rsid w:val="00250C2E"/>
    <w:rsid w:val="00250CD7"/>
    <w:rsid w:val="0025131D"/>
    <w:rsid w:val="0025180E"/>
    <w:rsid w:val="002518EA"/>
    <w:rsid w:val="00251C06"/>
    <w:rsid w:val="002520BF"/>
    <w:rsid w:val="00252A5C"/>
    <w:rsid w:val="0025307E"/>
    <w:rsid w:val="00253590"/>
    <w:rsid w:val="0025416F"/>
    <w:rsid w:val="00254C7D"/>
    <w:rsid w:val="00254C80"/>
    <w:rsid w:val="00255289"/>
    <w:rsid w:val="00255638"/>
    <w:rsid w:val="002558B7"/>
    <w:rsid w:val="0025631B"/>
    <w:rsid w:val="00256491"/>
    <w:rsid w:val="00256CE8"/>
    <w:rsid w:val="00256D20"/>
    <w:rsid w:val="00257A28"/>
    <w:rsid w:val="002607CF"/>
    <w:rsid w:val="002609BD"/>
    <w:rsid w:val="00260A60"/>
    <w:rsid w:val="002617E0"/>
    <w:rsid w:val="00261826"/>
    <w:rsid w:val="002619E9"/>
    <w:rsid w:val="00261C5F"/>
    <w:rsid w:val="00261D3D"/>
    <w:rsid w:val="00261F85"/>
    <w:rsid w:val="00262055"/>
    <w:rsid w:val="00262BFE"/>
    <w:rsid w:val="00262D12"/>
    <w:rsid w:val="0026318A"/>
    <w:rsid w:val="00263485"/>
    <w:rsid w:val="00263722"/>
    <w:rsid w:val="002637BB"/>
    <w:rsid w:val="00263B08"/>
    <w:rsid w:val="00263EFA"/>
    <w:rsid w:val="00263F70"/>
    <w:rsid w:val="002650FD"/>
    <w:rsid w:val="00266284"/>
    <w:rsid w:val="00266410"/>
    <w:rsid w:val="002664A0"/>
    <w:rsid w:val="00266762"/>
    <w:rsid w:val="00266E50"/>
    <w:rsid w:val="00267025"/>
    <w:rsid w:val="00267B16"/>
    <w:rsid w:val="002713D0"/>
    <w:rsid w:val="00272FB5"/>
    <w:rsid w:val="00273311"/>
    <w:rsid w:val="00273337"/>
    <w:rsid w:val="00273362"/>
    <w:rsid w:val="002736F1"/>
    <w:rsid w:val="00274378"/>
    <w:rsid w:val="0027485F"/>
    <w:rsid w:val="00274C1A"/>
    <w:rsid w:val="00274D96"/>
    <w:rsid w:val="002753FB"/>
    <w:rsid w:val="00276639"/>
    <w:rsid w:val="00276A24"/>
    <w:rsid w:val="00276B65"/>
    <w:rsid w:val="00276E7C"/>
    <w:rsid w:val="00276FEA"/>
    <w:rsid w:val="00277658"/>
    <w:rsid w:val="002800E7"/>
    <w:rsid w:val="00280262"/>
    <w:rsid w:val="00280A37"/>
    <w:rsid w:val="00280AFD"/>
    <w:rsid w:val="00280E6F"/>
    <w:rsid w:val="00281330"/>
    <w:rsid w:val="00281E76"/>
    <w:rsid w:val="002823E4"/>
    <w:rsid w:val="002827FF"/>
    <w:rsid w:val="002833C1"/>
    <w:rsid w:val="0028434A"/>
    <w:rsid w:val="00284D94"/>
    <w:rsid w:val="00285647"/>
    <w:rsid w:val="00285729"/>
    <w:rsid w:val="00285B87"/>
    <w:rsid w:val="00286406"/>
    <w:rsid w:val="00286469"/>
    <w:rsid w:val="0028717C"/>
    <w:rsid w:val="0028742C"/>
    <w:rsid w:val="0028767E"/>
    <w:rsid w:val="00287D89"/>
    <w:rsid w:val="00287FD9"/>
    <w:rsid w:val="002910BA"/>
    <w:rsid w:val="002915C5"/>
    <w:rsid w:val="002917A0"/>
    <w:rsid w:val="00291D63"/>
    <w:rsid w:val="002922F4"/>
    <w:rsid w:val="00292A49"/>
    <w:rsid w:val="00292B94"/>
    <w:rsid w:val="00292FC9"/>
    <w:rsid w:val="00293572"/>
    <w:rsid w:val="00293C1C"/>
    <w:rsid w:val="002943B5"/>
    <w:rsid w:val="00294A9A"/>
    <w:rsid w:val="00294EC5"/>
    <w:rsid w:val="002957A9"/>
    <w:rsid w:val="00295F71"/>
    <w:rsid w:val="002964DE"/>
    <w:rsid w:val="002966F9"/>
    <w:rsid w:val="00296C8F"/>
    <w:rsid w:val="00296F3D"/>
    <w:rsid w:val="00296F90"/>
    <w:rsid w:val="00297119"/>
    <w:rsid w:val="00297BB6"/>
    <w:rsid w:val="00297EF7"/>
    <w:rsid w:val="002A082D"/>
    <w:rsid w:val="002A115C"/>
    <w:rsid w:val="002A126C"/>
    <w:rsid w:val="002A15AD"/>
    <w:rsid w:val="002A18F5"/>
    <w:rsid w:val="002A1BE5"/>
    <w:rsid w:val="002A1E8B"/>
    <w:rsid w:val="002A2543"/>
    <w:rsid w:val="002A2DAF"/>
    <w:rsid w:val="002A35A0"/>
    <w:rsid w:val="002A437F"/>
    <w:rsid w:val="002A48C8"/>
    <w:rsid w:val="002A5030"/>
    <w:rsid w:val="002A5852"/>
    <w:rsid w:val="002A5ECE"/>
    <w:rsid w:val="002A68CF"/>
    <w:rsid w:val="002A6D54"/>
    <w:rsid w:val="002A7121"/>
    <w:rsid w:val="002A731E"/>
    <w:rsid w:val="002B059C"/>
    <w:rsid w:val="002B05F3"/>
    <w:rsid w:val="002B1442"/>
    <w:rsid w:val="002B1714"/>
    <w:rsid w:val="002B1E0C"/>
    <w:rsid w:val="002B2179"/>
    <w:rsid w:val="002B2A20"/>
    <w:rsid w:val="002B2CAA"/>
    <w:rsid w:val="002B2D31"/>
    <w:rsid w:val="002B2D3A"/>
    <w:rsid w:val="002B2D3B"/>
    <w:rsid w:val="002B39C6"/>
    <w:rsid w:val="002B3EA9"/>
    <w:rsid w:val="002B4F16"/>
    <w:rsid w:val="002B53C4"/>
    <w:rsid w:val="002B5BF8"/>
    <w:rsid w:val="002B632A"/>
    <w:rsid w:val="002B6BA1"/>
    <w:rsid w:val="002B7E3F"/>
    <w:rsid w:val="002C0AFB"/>
    <w:rsid w:val="002C0C8F"/>
    <w:rsid w:val="002C10A8"/>
    <w:rsid w:val="002C14AE"/>
    <w:rsid w:val="002C155F"/>
    <w:rsid w:val="002C1D0E"/>
    <w:rsid w:val="002C1D43"/>
    <w:rsid w:val="002C2388"/>
    <w:rsid w:val="002C2534"/>
    <w:rsid w:val="002C2A27"/>
    <w:rsid w:val="002C2AD6"/>
    <w:rsid w:val="002C3025"/>
    <w:rsid w:val="002C3A34"/>
    <w:rsid w:val="002C3A95"/>
    <w:rsid w:val="002C44F4"/>
    <w:rsid w:val="002C4879"/>
    <w:rsid w:val="002C490F"/>
    <w:rsid w:val="002C4AAF"/>
    <w:rsid w:val="002C5910"/>
    <w:rsid w:val="002C59FB"/>
    <w:rsid w:val="002C5C46"/>
    <w:rsid w:val="002C5F41"/>
    <w:rsid w:val="002C61F3"/>
    <w:rsid w:val="002C69EC"/>
    <w:rsid w:val="002C6BF4"/>
    <w:rsid w:val="002C7399"/>
    <w:rsid w:val="002C7978"/>
    <w:rsid w:val="002C7A07"/>
    <w:rsid w:val="002C7E36"/>
    <w:rsid w:val="002D0151"/>
    <w:rsid w:val="002D0951"/>
    <w:rsid w:val="002D099C"/>
    <w:rsid w:val="002D0A9E"/>
    <w:rsid w:val="002D0B95"/>
    <w:rsid w:val="002D101E"/>
    <w:rsid w:val="002D123B"/>
    <w:rsid w:val="002D155F"/>
    <w:rsid w:val="002D1913"/>
    <w:rsid w:val="002D1DFD"/>
    <w:rsid w:val="002D1F7A"/>
    <w:rsid w:val="002D2043"/>
    <w:rsid w:val="002D20DC"/>
    <w:rsid w:val="002D2756"/>
    <w:rsid w:val="002D3A86"/>
    <w:rsid w:val="002D3BAB"/>
    <w:rsid w:val="002D3E35"/>
    <w:rsid w:val="002D42F6"/>
    <w:rsid w:val="002D4548"/>
    <w:rsid w:val="002D5261"/>
    <w:rsid w:val="002D5473"/>
    <w:rsid w:val="002D5668"/>
    <w:rsid w:val="002D58B4"/>
    <w:rsid w:val="002D5B2B"/>
    <w:rsid w:val="002D631F"/>
    <w:rsid w:val="002D69C8"/>
    <w:rsid w:val="002D7073"/>
    <w:rsid w:val="002D7AFD"/>
    <w:rsid w:val="002E0282"/>
    <w:rsid w:val="002E0948"/>
    <w:rsid w:val="002E09FB"/>
    <w:rsid w:val="002E0E68"/>
    <w:rsid w:val="002E1079"/>
    <w:rsid w:val="002E1458"/>
    <w:rsid w:val="002E163D"/>
    <w:rsid w:val="002E2158"/>
    <w:rsid w:val="002E22EB"/>
    <w:rsid w:val="002E2415"/>
    <w:rsid w:val="002E2A33"/>
    <w:rsid w:val="002E302C"/>
    <w:rsid w:val="002E3103"/>
    <w:rsid w:val="002E4D59"/>
    <w:rsid w:val="002E542B"/>
    <w:rsid w:val="002E5621"/>
    <w:rsid w:val="002E5DC0"/>
    <w:rsid w:val="002E6583"/>
    <w:rsid w:val="002E668E"/>
    <w:rsid w:val="002E6F71"/>
    <w:rsid w:val="002E7391"/>
    <w:rsid w:val="002E77A3"/>
    <w:rsid w:val="002E7809"/>
    <w:rsid w:val="002F02F1"/>
    <w:rsid w:val="002F06C2"/>
    <w:rsid w:val="002F0D0F"/>
    <w:rsid w:val="002F1412"/>
    <w:rsid w:val="002F1417"/>
    <w:rsid w:val="002F2390"/>
    <w:rsid w:val="002F2E7D"/>
    <w:rsid w:val="002F2F9F"/>
    <w:rsid w:val="002F3235"/>
    <w:rsid w:val="002F39F2"/>
    <w:rsid w:val="002F4045"/>
    <w:rsid w:val="002F432F"/>
    <w:rsid w:val="002F45F6"/>
    <w:rsid w:val="002F4604"/>
    <w:rsid w:val="002F4EAD"/>
    <w:rsid w:val="002F53D6"/>
    <w:rsid w:val="002F5599"/>
    <w:rsid w:val="002F5886"/>
    <w:rsid w:val="002F6416"/>
    <w:rsid w:val="002F6523"/>
    <w:rsid w:val="002F67C7"/>
    <w:rsid w:val="002F71DB"/>
    <w:rsid w:val="002F7916"/>
    <w:rsid w:val="002F7B36"/>
    <w:rsid w:val="002F7E6D"/>
    <w:rsid w:val="00300295"/>
    <w:rsid w:val="00300BFD"/>
    <w:rsid w:val="00301D2E"/>
    <w:rsid w:val="003024BA"/>
    <w:rsid w:val="00302748"/>
    <w:rsid w:val="00302948"/>
    <w:rsid w:val="00304756"/>
    <w:rsid w:val="00305BEA"/>
    <w:rsid w:val="0030601D"/>
    <w:rsid w:val="00306289"/>
    <w:rsid w:val="00306791"/>
    <w:rsid w:val="0030680A"/>
    <w:rsid w:val="00307232"/>
    <w:rsid w:val="00307E87"/>
    <w:rsid w:val="0031028D"/>
    <w:rsid w:val="00310773"/>
    <w:rsid w:val="00310A2E"/>
    <w:rsid w:val="00310DB6"/>
    <w:rsid w:val="003117CF"/>
    <w:rsid w:val="003118C7"/>
    <w:rsid w:val="00311C1A"/>
    <w:rsid w:val="003124D0"/>
    <w:rsid w:val="003125D5"/>
    <w:rsid w:val="003129D6"/>
    <w:rsid w:val="00313019"/>
    <w:rsid w:val="003131E7"/>
    <w:rsid w:val="003134C4"/>
    <w:rsid w:val="00313725"/>
    <w:rsid w:val="00313F26"/>
    <w:rsid w:val="00314C18"/>
    <w:rsid w:val="00314C45"/>
    <w:rsid w:val="0031539C"/>
    <w:rsid w:val="003179B3"/>
    <w:rsid w:val="003208D9"/>
    <w:rsid w:val="0032099F"/>
    <w:rsid w:val="00320CE0"/>
    <w:rsid w:val="00320F15"/>
    <w:rsid w:val="00321107"/>
    <w:rsid w:val="003230C3"/>
    <w:rsid w:val="00323916"/>
    <w:rsid w:val="00323C02"/>
    <w:rsid w:val="0032445A"/>
    <w:rsid w:val="00324765"/>
    <w:rsid w:val="00324BE6"/>
    <w:rsid w:val="00324D11"/>
    <w:rsid w:val="003252DA"/>
    <w:rsid w:val="003262F1"/>
    <w:rsid w:val="00326ACC"/>
    <w:rsid w:val="00326AF4"/>
    <w:rsid w:val="00326B0C"/>
    <w:rsid w:val="00326B3B"/>
    <w:rsid w:val="00326C78"/>
    <w:rsid w:val="00326DE0"/>
    <w:rsid w:val="00327657"/>
    <w:rsid w:val="00327F16"/>
    <w:rsid w:val="00330100"/>
    <w:rsid w:val="00330863"/>
    <w:rsid w:val="00330AD7"/>
    <w:rsid w:val="003312AC"/>
    <w:rsid w:val="00331422"/>
    <w:rsid w:val="00333297"/>
    <w:rsid w:val="003333E0"/>
    <w:rsid w:val="00333F34"/>
    <w:rsid w:val="003348D4"/>
    <w:rsid w:val="0033544D"/>
    <w:rsid w:val="003355AB"/>
    <w:rsid w:val="00335F07"/>
    <w:rsid w:val="003363A0"/>
    <w:rsid w:val="003364A8"/>
    <w:rsid w:val="003365D0"/>
    <w:rsid w:val="0033669C"/>
    <w:rsid w:val="003369B6"/>
    <w:rsid w:val="00336B96"/>
    <w:rsid w:val="00336BFF"/>
    <w:rsid w:val="00336D42"/>
    <w:rsid w:val="0033755F"/>
    <w:rsid w:val="00337F08"/>
    <w:rsid w:val="00340279"/>
    <w:rsid w:val="00340328"/>
    <w:rsid w:val="0034058F"/>
    <w:rsid w:val="003407E7"/>
    <w:rsid w:val="003414BF"/>
    <w:rsid w:val="00341FBB"/>
    <w:rsid w:val="00342666"/>
    <w:rsid w:val="00342C58"/>
    <w:rsid w:val="00342DDE"/>
    <w:rsid w:val="00343106"/>
    <w:rsid w:val="003433CB"/>
    <w:rsid w:val="003433E5"/>
    <w:rsid w:val="00343A52"/>
    <w:rsid w:val="00344320"/>
    <w:rsid w:val="00345BD9"/>
    <w:rsid w:val="00345E85"/>
    <w:rsid w:val="00346EAE"/>
    <w:rsid w:val="00347602"/>
    <w:rsid w:val="00350287"/>
    <w:rsid w:val="003511C9"/>
    <w:rsid w:val="003514BD"/>
    <w:rsid w:val="00351C95"/>
    <w:rsid w:val="00351D7B"/>
    <w:rsid w:val="003525F5"/>
    <w:rsid w:val="003527BF"/>
    <w:rsid w:val="003530B0"/>
    <w:rsid w:val="00353382"/>
    <w:rsid w:val="003533CD"/>
    <w:rsid w:val="003536FD"/>
    <w:rsid w:val="00353971"/>
    <w:rsid w:val="00353DA6"/>
    <w:rsid w:val="00354C52"/>
    <w:rsid w:val="00354FD6"/>
    <w:rsid w:val="00355F94"/>
    <w:rsid w:val="00356040"/>
    <w:rsid w:val="003564EE"/>
    <w:rsid w:val="00356D10"/>
    <w:rsid w:val="00356D7F"/>
    <w:rsid w:val="00357388"/>
    <w:rsid w:val="00357ACC"/>
    <w:rsid w:val="00357C13"/>
    <w:rsid w:val="00357EA7"/>
    <w:rsid w:val="00360024"/>
    <w:rsid w:val="00360927"/>
    <w:rsid w:val="00360F50"/>
    <w:rsid w:val="00360F92"/>
    <w:rsid w:val="0036141E"/>
    <w:rsid w:val="0036149C"/>
    <w:rsid w:val="00361798"/>
    <w:rsid w:val="00361EA5"/>
    <w:rsid w:val="003625C5"/>
    <w:rsid w:val="0036287F"/>
    <w:rsid w:val="00362ADD"/>
    <w:rsid w:val="0036348F"/>
    <w:rsid w:val="003635D8"/>
    <w:rsid w:val="003638E7"/>
    <w:rsid w:val="0036398C"/>
    <w:rsid w:val="00363C4E"/>
    <w:rsid w:val="00363F2B"/>
    <w:rsid w:val="00363F4B"/>
    <w:rsid w:val="0036406B"/>
    <w:rsid w:val="00364529"/>
    <w:rsid w:val="0036470B"/>
    <w:rsid w:val="00364760"/>
    <w:rsid w:val="00364AF5"/>
    <w:rsid w:val="00364EBB"/>
    <w:rsid w:val="0036526B"/>
    <w:rsid w:val="003652B3"/>
    <w:rsid w:val="00365828"/>
    <w:rsid w:val="00365B1C"/>
    <w:rsid w:val="00365B44"/>
    <w:rsid w:val="00365EFA"/>
    <w:rsid w:val="00365F6D"/>
    <w:rsid w:val="00366118"/>
    <w:rsid w:val="00366DA0"/>
    <w:rsid w:val="00366EEB"/>
    <w:rsid w:val="00366F42"/>
    <w:rsid w:val="00367387"/>
    <w:rsid w:val="0036781D"/>
    <w:rsid w:val="00367EF4"/>
    <w:rsid w:val="0037001D"/>
    <w:rsid w:val="003702DC"/>
    <w:rsid w:val="0037045E"/>
    <w:rsid w:val="003706FB"/>
    <w:rsid w:val="00370701"/>
    <w:rsid w:val="0037075A"/>
    <w:rsid w:val="0037132E"/>
    <w:rsid w:val="003713A1"/>
    <w:rsid w:val="0037185E"/>
    <w:rsid w:val="003724C2"/>
    <w:rsid w:val="00372CA8"/>
    <w:rsid w:val="00373637"/>
    <w:rsid w:val="003745BD"/>
    <w:rsid w:val="00374696"/>
    <w:rsid w:val="00374740"/>
    <w:rsid w:val="00375A8D"/>
    <w:rsid w:val="00375D34"/>
    <w:rsid w:val="003761CA"/>
    <w:rsid w:val="003763E4"/>
    <w:rsid w:val="00376A28"/>
    <w:rsid w:val="0037711E"/>
    <w:rsid w:val="00377779"/>
    <w:rsid w:val="003804D7"/>
    <w:rsid w:val="00380B10"/>
    <w:rsid w:val="003811D6"/>
    <w:rsid w:val="00381209"/>
    <w:rsid w:val="00381785"/>
    <w:rsid w:val="0038192C"/>
    <w:rsid w:val="00381A8C"/>
    <w:rsid w:val="00381EA9"/>
    <w:rsid w:val="00381FC6"/>
    <w:rsid w:val="00382D2D"/>
    <w:rsid w:val="003837A7"/>
    <w:rsid w:val="003838A3"/>
    <w:rsid w:val="0038394A"/>
    <w:rsid w:val="00383BDC"/>
    <w:rsid w:val="00383CA6"/>
    <w:rsid w:val="00383E06"/>
    <w:rsid w:val="003845CF"/>
    <w:rsid w:val="00384D5F"/>
    <w:rsid w:val="00384D63"/>
    <w:rsid w:val="00384D88"/>
    <w:rsid w:val="003852EA"/>
    <w:rsid w:val="00386008"/>
    <w:rsid w:val="00386645"/>
    <w:rsid w:val="0038685F"/>
    <w:rsid w:val="00386A98"/>
    <w:rsid w:val="00386EDA"/>
    <w:rsid w:val="00387F15"/>
    <w:rsid w:val="0039051B"/>
    <w:rsid w:val="00390F7F"/>
    <w:rsid w:val="0039110A"/>
    <w:rsid w:val="0039133F"/>
    <w:rsid w:val="00392602"/>
    <w:rsid w:val="00392D2A"/>
    <w:rsid w:val="00392E8A"/>
    <w:rsid w:val="00393352"/>
    <w:rsid w:val="00393D94"/>
    <w:rsid w:val="0039417B"/>
    <w:rsid w:val="0039430B"/>
    <w:rsid w:val="003944A8"/>
    <w:rsid w:val="00394986"/>
    <w:rsid w:val="00394F27"/>
    <w:rsid w:val="003953ED"/>
    <w:rsid w:val="003955C1"/>
    <w:rsid w:val="00395617"/>
    <w:rsid w:val="0039565E"/>
    <w:rsid w:val="00395A31"/>
    <w:rsid w:val="00395C44"/>
    <w:rsid w:val="00396C4E"/>
    <w:rsid w:val="00396E23"/>
    <w:rsid w:val="00396E74"/>
    <w:rsid w:val="00397487"/>
    <w:rsid w:val="003A0CF2"/>
    <w:rsid w:val="003A0D64"/>
    <w:rsid w:val="003A103A"/>
    <w:rsid w:val="003A10E0"/>
    <w:rsid w:val="003A1309"/>
    <w:rsid w:val="003A1318"/>
    <w:rsid w:val="003A1A47"/>
    <w:rsid w:val="003A1D66"/>
    <w:rsid w:val="003A2597"/>
    <w:rsid w:val="003A2CA8"/>
    <w:rsid w:val="003A2D37"/>
    <w:rsid w:val="003A30F4"/>
    <w:rsid w:val="003A3452"/>
    <w:rsid w:val="003A3A26"/>
    <w:rsid w:val="003A3E7F"/>
    <w:rsid w:val="003A3EE5"/>
    <w:rsid w:val="003A4727"/>
    <w:rsid w:val="003A4B37"/>
    <w:rsid w:val="003A5E06"/>
    <w:rsid w:val="003A6BD7"/>
    <w:rsid w:val="003A70E5"/>
    <w:rsid w:val="003A73BB"/>
    <w:rsid w:val="003A775C"/>
    <w:rsid w:val="003B0588"/>
    <w:rsid w:val="003B0DCB"/>
    <w:rsid w:val="003B1093"/>
    <w:rsid w:val="003B1495"/>
    <w:rsid w:val="003B15C7"/>
    <w:rsid w:val="003B181E"/>
    <w:rsid w:val="003B1A7F"/>
    <w:rsid w:val="003B1F3F"/>
    <w:rsid w:val="003B2C27"/>
    <w:rsid w:val="003B3DE8"/>
    <w:rsid w:val="003B3F1E"/>
    <w:rsid w:val="003B3FF9"/>
    <w:rsid w:val="003B49BA"/>
    <w:rsid w:val="003B4DA7"/>
    <w:rsid w:val="003B4DA9"/>
    <w:rsid w:val="003B5004"/>
    <w:rsid w:val="003B52F1"/>
    <w:rsid w:val="003B54BF"/>
    <w:rsid w:val="003B57FB"/>
    <w:rsid w:val="003B59C9"/>
    <w:rsid w:val="003B5C2F"/>
    <w:rsid w:val="003B5C54"/>
    <w:rsid w:val="003B5EA7"/>
    <w:rsid w:val="003B60B8"/>
    <w:rsid w:val="003B6564"/>
    <w:rsid w:val="003B67AF"/>
    <w:rsid w:val="003B70C5"/>
    <w:rsid w:val="003B729F"/>
    <w:rsid w:val="003B748B"/>
    <w:rsid w:val="003B7B60"/>
    <w:rsid w:val="003B7B71"/>
    <w:rsid w:val="003C0535"/>
    <w:rsid w:val="003C0B4E"/>
    <w:rsid w:val="003C0C74"/>
    <w:rsid w:val="003C1642"/>
    <w:rsid w:val="003C1BF9"/>
    <w:rsid w:val="003C1CA8"/>
    <w:rsid w:val="003C1DAD"/>
    <w:rsid w:val="003C1EAE"/>
    <w:rsid w:val="003C2314"/>
    <w:rsid w:val="003C2943"/>
    <w:rsid w:val="003C2992"/>
    <w:rsid w:val="003C332E"/>
    <w:rsid w:val="003C3547"/>
    <w:rsid w:val="003C39D8"/>
    <w:rsid w:val="003C3C38"/>
    <w:rsid w:val="003C440F"/>
    <w:rsid w:val="003C48AF"/>
    <w:rsid w:val="003C5515"/>
    <w:rsid w:val="003C5766"/>
    <w:rsid w:val="003C5EE8"/>
    <w:rsid w:val="003C6BC7"/>
    <w:rsid w:val="003C6D74"/>
    <w:rsid w:val="003C7345"/>
    <w:rsid w:val="003C7979"/>
    <w:rsid w:val="003C7B19"/>
    <w:rsid w:val="003D06B9"/>
    <w:rsid w:val="003D0E54"/>
    <w:rsid w:val="003D1C50"/>
    <w:rsid w:val="003D1D4A"/>
    <w:rsid w:val="003D30F1"/>
    <w:rsid w:val="003D3B73"/>
    <w:rsid w:val="003D3B89"/>
    <w:rsid w:val="003D3D1A"/>
    <w:rsid w:val="003D40F3"/>
    <w:rsid w:val="003D4347"/>
    <w:rsid w:val="003D43F0"/>
    <w:rsid w:val="003D4715"/>
    <w:rsid w:val="003D479D"/>
    <w:rsid w:val="003D47DA"/>
    <w:rsid w:val="003D5080"/>
    <w:rsid w:val="003D5607"/>
    <w:rsid w:val="003E0650"/>
    <w:rsid w:val="003E0BC0"/>
    <w:rsid w:val="003E0EAE"/>
    <w:rsid w:val="003E1486"/>
    <w:rsid w:val="003E182F"/>
    <w:rsid w:val="003E223F"/>
    <w:rsid w:val="003E3100"/>
    <w:rsid w:val="003E329C"/>
    <w:rsid w:val="003E33CC"/>
    <w:rsid w:val="003E3742"/>
    <w:rsid w:val="003E376A"/>
    <w:rsid w:val="003E4526"/>
    <w:rsid w:val="003E498C"/>
    <w:rsid w:val="003E4A1D"/>
    <w:rsid w:val="003E4A2F"/>
    <w:rsid w:val="003E5152"/>
    <w:rsid w:val="003E543B"/>
    <w:rsid w:val="003E581B"/>
    <w:rsid w:val="003E6A09"/>
    <w:rsid w:val="003E6A75"/>
    <w:rsid w:val="003E7339"/>
    <w:rsid w:val="003E7823"/>
    <w:rsid w:val="003E7B12"/>
    <w:rsid w:val="003F00E6"/>
    <w:rsid w:val="003F05D1"/>
    <w:rsid w:val="003F0CE6"/>
    <w:rsid w:val="003F1313"/>
    <w:rsid w:val="003F1442"/>
    <w:rsid w:val="003F1510"/>
    <w:rsid w:val="003F1903"/>
    <w:rsid w:val="003F1914"/>
    <w:rsid w:val="003F1B00"/>
    <w:rsid w:val="003F2228"/>
    <w:rsid w:val="003F25E9"/>
    <w:rsid w:val="003F309F"/>
    <w:rsid w:val="003F30A0"/>
    <w:rsid w:val="003F366A"/>
    <w:rsid w:val="003F3B1F"/>
    <w:rsid w:val="003F4911"/>
    <w:rsid w:val="003F4E70"/>
    <w:rsid w:val="003F5381"/>
    <w:rsid w:val="003F5CB9"/>
    <w:rsid w:val="003F6171"/>
    <w:rsid w:val="003F6DA9"/>
    <w:rsid w:val="003F772A"/>
    <w:rsid w:val="004003CD"/>
    <w:rsid w:val="0040053F"/>
    <w:rsid w:val="0040073E"/>
    <w:rsid w:val="00400EA4"/>
    <w:rsid w:val="00401465"/>
    <w:rsid w:val="00401536"/>
    <w:rsid w:val="0040198C"/>
    <w:rsid w:val="00402545"/>
    <w:rsid w:val="00402663"/>
    <w:rsid w:val="00402B8D"/>
    <w:rsid w:val="00402DA8"/>
    <w:rsid w:val="004030FD"/>
    <w:rsid w:val="0040344E"/>
    <w:rsid w:val="00403920"/>
    <w:rsid w:val="00403A28"/>
    <w:rsid w:val="004043D0"/>
    <w:rsid w:val="00404690"/>
    <w:rsid w:val="00404D8C"/>
    <w:rsid w:val="00404DAC"/>
    <w:rsid w:val="0040558B"/>
    <w:rsid w:val="0040584D"/>
    <w:rsid w:val="00405936"/>
    <w:rsid w:val="0040595B"/>
    <w:rsid w:val="00405F77"/>
    <w:rsid w:val="004063C5"/>
    <w:rsid w:val="0040654F"/>
    <w:rsid w:val="00406D8C"/>
    <w:rsid w:val="00407143"/>
    <w:rsid w:val="004074F6"/>
    <w:rsid w:val="0040758F"/>
    <w:rsid w:val="00407696"/>
    <w:rsid w:val="004077D9"/>
    <w:rsid w:val="004077EB"/>
    <w:rsid w:val="00407E1E"/>
    <w:rsid w:val="00407E90"/>
    <w:rsid w:val="00407EFF"/>
    <w:rsid w:val="00410161"/>
    <w:rsid w:val="00410563"/>
    <w:rsid w:val="00410593"/>
    <w:rsid w:val="0041087B"/>
    <w:rsid w:val="00410CA9"/>
    <w:rsid w:val="00410D5D"/>
    <w:rsid w:val="0041118A"/>
    <w:rsid w:val="00411A22"/>
    <w:rsid w:val="00411B02"/>
    <w:rsid w:val="00412361"/>
    <w:rsid w:val="004124ED"/>
    <w:rsid w:val="004124F0"/>
    <w:rsid w:val="00412D37"/>
    <w:rsid w:val="00413539"/>
    <w:rsid w:val="0041409D"/>
    <w:rsid w:val="004143F4"/>
    <w:rsid w:val="0041462C"/>
    <w:rsid w:val="004164E3"/>
    <w:rsid w:val="004167F9"/>
    <w:rsid w:val="00416CBE"/>
    <w:rsid w:val="0041788D"/>
    <w:rsid w:val="00421110"/>
    <w:rsid w:val="00421343"/>
    <w:rsid w:val="0042153F"/>
    <w:rsid w:val="00421AB8"/>
    <w:rsid w:val="00421C2A"/>
    <w:rsid w:val="004224B2"/>
    <w:rsid w:val="004229A4"/>
    <w:rsid w:val="004229F1"/>
    <w:rsid w:val="00422B86"/>
    <w:rsid w:val="00422DEE"/>
    <w:rsid w:val="00423ACB"/>
    <w:rsid w:val="00423FAA"/>
    <w:rsid w:val="00423FBC"/>
    <w:rsid w:val="00424136"/>
    <w:rsid w:val="004242C8"/>
    <w:rsid w:val="004243DC"/>
    <w:rsid w:val="004245E6"/>
    <w:rsid w:val="0042479D"/>
    <w:rsid w:val="004248FE"/>
    <w:rsid w:val="00424C09"/>
    <w:rsid w:val="00424EA8"/>
    <w:rsid w:val="004251D0"/>
    <w:rsid w:val="00425334"/>
    <w:rsid w:val="004259E4"/>
    <w:rsid w:val="0042658F"/>
    <w:rsid w:val="004267B6"/>
    <w:rsid w:val="0042797D"/>
    <w:rsid w:val="00427F9F"/>
    <w:rsid w:val="004301A0"/>
    <w:rsid w:val="004302F4"/>
    <w:rsid w:val="00430311"/>
    <w:rsid w:val="00430BFD"/>
    <w:rsid w:val="00430F16"/>
    <w:rsid w:val="00431087"/>
    <w:rsid w:val="004310C7"/>
    <w:rsid w:val="00431552"/>
    <w:rsid w:val="00431578"/>
    <w:rsid w:val="004315EE"/>
    <w:rsid w:val="0043172B"/>
    <w:rsid w:val="00431A85"/>
    <w:rsid w:val="00431B6C"/>
    <w:rsid w:val="00431CC2"/>
    <w:rsid w:val="004326C5"/>
    <w:rsid w:val="004329B8"/>
    <w:rsid w:val="00432C2B"/>
    <w:rsid w:val="00433793"/>
    <w:rsid w:val="00433F35"/>
    <w:rsid w:val="0043452B"/>
    <w:rsid w:val="00434563"/>
    <w:rsid w:val="00434E8D"/>
    <w:rsid w:val="00434F60"/>
    <w:rsid w:val="00435271"/>
    <w:rsid w:val="00435329"/>
    <w:rsid w:val="00435AE2"/>
    <w:rsid w:val="004360F8"/>
    <w:rsid w:val="00436305"/>
    <w:rsid w:val="004363A0"/>
    <w:rsid w:val="00436599"/>
    <w:rsid w:val="0043778E"/>
    <w:rsid w:val="0043788D"/>
    <w:rsid w:val="00437A9A"/>
    <w:rsid w:val="00437E18"/>
    <w:rsid w:val="00437EB1"/>
    <w:rsid w:val="004401BD"/>
    <w:rsid w:val="00440885"/>
    <w:rsid w:val="004419B4"/>
    <w:rsid w:val="004419F3"/>
    <w:rsid w:val="00442C5E"/>
    <w:rsid w:val="00442CC8"/>
    <w:rsid w:val="00442D44"/>
    <w:rsid w:val="00442D47"/>
    <w:rsid w:val="004435B2"/>
    <w:rsid w:val="0044362D"/>
    <w:rsid w:val="00443C4E"/>
    <w:rsid w:val="00444185"/>
    <w:rsid w:val="0044446D"/>
    <w:rsid w:val="00444710"/>
    <w:rsid w:val="00444C3D"/>
    <w:rsid w:val="00444F3E"/>
    <w:rsid w:val="0044513B"/>
    <w:rsid w:val="004451E8"/>
    <w:rsid w:val="00445221"/>
    <w:rsid w:val="004454E0"/>
    <w:rsid w:val="004457B8"/>
    <w:rsid w:val="004462E6"/>
    <w:rsid w:val="004463F1"/>
    <w:rsid w:val="00447FC5"/>
    <w:rsid w:val="00450524"/>
    <w:rsid w:val="0045159A"/>
    <w:rsid w:val="0045163D"/>
    <w:rsid w:val="004517C3"/>
    <w:rsid w:val="00453B15"/>
    <w:rsid w:val="00453EBB"/>
    <w:rsid w:val="00454980"/>
    <w:rsid w:val="00454B03"/>
    <w:rsid w:val="00454E40"/>
    <w:rsid w:val="004552FC"/>
    <w:rsid w:val="004556A8"/>
    <w:rsid w:val="0045585B"/>
    <w:rsid w:val="00455A74"/>
    <w:rsid w:val="00455AC9"/>
    <w:rsid w:val="00455BD1"/>
    <w:rsid w:val="00456037"/>
    <w:rsid w:val="004565FD"/>
    <w:rsid w:val="0045709D"/>
    <w:rsid w:val="004577C7"/>
    <w:rsid w:val="00457EA9"/>
    <w:rsid w:val="00460207"/>
    <w:rsid w:val="004602FB"/>
    <w:rsid w:val="004606CB"/>
    <w:rsid w:val="00460EDE"/>
    <w:rsid w:val="00460F16"/>
    <w:rsid w:val="004613FA"/>
    <w:rsid w:val="004616A5"/>
    <w:rsid w:val="00461A62"/>
    <w:rsid w:val="00461A8B"/>
    <w:rsid w:val="00461B0F"/>
    <w:rsid w:val="004620D6"/>
    <w:rsid w:val="00462171"/>
    <w:rsid w:val="00462E53"/>
    <w:rsid w:val="0046331C"/>
    <w:rsid w:val="00463A45"/>
    <w:rsid w:val="00464371"/>
    <w:rsid w:val="00464BB7"/>
    <w:rsid w:val="004655C6"/>
    <w:rsid w:val="00465709"/>
    <w:rsid w:val="004659D8"/>
    <w:rsid w:val="00466201"/>
    <w:rsid w:val="00466D12"/>
    <w:rsid w:val="00466D29"/>
    <w:rsid w:val="00466F9E"/>
    <w:rsid w:val="00466FBF"/>
    <w:rsid w:val="00467DD1"/>
    <w:rsid w:val="00470165"/>
    <w:rsid w:val="00470792"/>
    <w:rsid w:val="00470870"/>
    <w:rsid w:val="00470B01"/>
    <w:rsid w:val="00470B7C"/>
    <w:rsid w:val="00471567"/>
    <w:rsid w:val="004731C2"/>
    <w:rsid w:val="00473D3B"/>
    <w:rsid w:val="004743C7"/>
    <w:rsid w:val="004743F9"/>
    <w:rsid w:val="004747E1"/>
    <w:rsid w:val="00474A37"/>
    <w:rsid w:val="00474D29"/>
    <w:rsid w:val="004750A2"/>
    <w:rsid w:val="00475A95"/>
    <w:rsid w:val="00475FB2"/>
    <w:rsid w:val="004766D0"/>
    <w:rsid w:val="004768A5"/>
    <w:rsid w:val="00477316"/>
    <w:rsid w:val="00477416"/>
    <w:rsid w:val="00477DB7"/>
    <w:rsid w:val="00477E3D"/>
    <w:rsid w:val="004803CA"/>
    <w:rsid w:val="004803D4"/>
    <w:rsid w:val="00480CA6"/>
    <w:rsid w:val="00481760"/>
    <w:rsid w:val="00481842"/>
    <w:rsid w:val="00481899"/>
    <w:rsid w:val="00481B68"/>
    <w:rsid w:val="00482530"/>
    <w:rsid w:val="004826D9"/>
    <w:rsid w:val="0048313F"/>
    <w:rsid w:val="00483372"/>
    <w:rsid w:val="00483752"/>
    <w:rsid w:val="00483D07"/>
    <w:rsid w:val="00484345"/>
    <w:rsid w:val="004845F2"/>
    <w:rsid w:val="004849AD"/>
    <w:rsid w:val="00484C2A"/>
    <w:rsid w:val="00484D42"/>
    <w:rsid w:val="00484DDB"/>
    <w:rsid w:val="004852D1"/>
    <w:rsid w:val="0048530E"/>
    <w:rsid w:val="00485805"/>
    <w:rsid w:val="004865CA"/>
    <w:rsid w:val="004865D4"/>
    <w:rsid w:val="00487098"/>
    <w:rsid w:val="0048775C"/>
    <w:rsid w:val="00487985"/>
    <w:rsid w:val="004879FC"/>
    <w:rsid w:val="00490397"/>
    <w:rsid w:val="00490D79"/>
    <w:rsid w:val="004916E8"/>
    <w:rsid w:val="00491864"/>
    <w:rsid w:val="0049192A"/>
    <w:rsid w:val="00491B9F"/>
    <w:rsid w:val="00492526"/>
    <w:rsid w:val="0049252C"/>
    <w:rsid w:val="00492CBF"/>
    <w:rsid w:val="00493151"/>
    <w:rsid w:val="004931FC"/>
    <w:rsid w:val="004936A0"/>
    <w:rsid w:val="004938BB"/>
    <w:rsid w:val="00494A6D"/>
    <w:rsid w:val="00494AD3"/>
    <w:rsid w:val="00494C19"/>
    <w:rsid w:val="0049519A"/>
    <w:rsid w:val="0049567E"/>
    <w:rsid w:val="00495B92"/>
    <w:rsid w:val="004960A0"/>
    <w:rsid w:val="00496106"/>
    <w:rsid w:val="004A03E8"/>
    <w:rsid w:val="004A045A"/>
    <w:rsid w:val="004A0B9D"/>
    <w:rsid w:val="004A0EC4"/>
    <w:rsid w:val="004A222F"/>
    <w:rsid w:val="004A233F"/>
    <w:rsid w:val="004A2421"/>
    <w:rsid w:val="004A2480"/>
    <w:rsid w:val="004A2528"/>
    <w:rsid w:val="004A254C"/>
    <w:rsid w:val="004A258F"/>
    <w:rsid w:val="004A28FB"/>
    <w:rsid w:val="004A2BE5"/>
    <w:rsid w:val="004A2DCA"/>
    <w:rsid w:val="004A2FF8"/>
    <w:rsid w:val="004A3842"/>
    <w:rsid w:val="004A40FD"/>
    <w:rsid w:val="004A4FB4"/>
    <w:rsid w:val="004A52FA"/>
    <w:rsid w:val="004A5A8A"/>
    <w:rsid w:val="004A5F6F"/>
    <w:rsid w:val="004A6379"/>
    <w:rsid w:val="004A6A8C"/>
    <w:rsid w:val="004A6EFB"/>
    <w:rsid w:val="004A71A1"/>
    <w:rsid w:val="004A75DD"/>
    <w:rsid w:val="004A7A99"/>
    <w:rsid w:val="004B019B"/>
    <w:rsid w:val="004B149C"/>
    <w:rsid w:val="004B1520"/>
    <w:rsid w:val="004B203F"/>
    <w:rsid w:val="004B25A7"/>
    <w:rsid w:val="004B2A9B"/>
    <w:rsid w:val="004B2CD3"/>
    <w:rsid w:val="004B3868"/>
    <w:rsid w:val="004B3AB7"/>
    <w:rsid w:val="004B3F6A"/>
    <w:rsid w:val="004B3FA7"/>
    <w:rsid w:val="004B44C6"/>
    <w:rsid w:val="004B4C32"/>
    <w:rsid w:val="004B5372"/>
    <w:rsid w:val="004B5D23"/>
    <w:rsid w:val="004B5EE1"/>
    <w:rsid w:val="004B6B72"/>
    <w:rsid w:val="004B6F55"/>
    <w:rsid w:val="004B7348"/>
    <w:rsid w:val="004B73C7"/>
    <w:rsid w:val="004B79AA"/>
    <w:rsid w:val="004C0361"/>
    <w:rsid w:val="004C04F8"/>
    <w:rsid w:val="004C07B3"/>
    <w:rsid w:val="004C0C16"/>
    <w:rsid w:val="004C1096"/>
    <w:rsid w:val="004C2274"/>
    <w:rsid w:val="004C236F"/>
    <w:rsid w:val="004C2828"/>
    <w:rsid w:val="004C289B"/>
    <w:rsid w:val="004C2FE1"/>
    <w:rsid w:val="004C316C"/>
    <w:rsid w:val="004C3378"/>
    <w:rsid w:val="004C3527"/>
    <w:rsid w:val="004C3825"/>
    <w:rsid w:val="004C5719"/>
    <w:rsid w:val="004C5955"/>
    <w:rsid w:val="004C5D83"/>
    <w:rsid w:val="004C7304"/>
    <w:rsid w:val="004C73DD"/>
    <w:rsid w:val="004C73F1"/>
    <w:rsid w:val="004C75D5"/>
    <w:rsid w:val="004C7A46"/>
    <w:rsid w:val="004D01FC"/>
    <w:rsid w:val="004D09B8"/>
    <w:rsid w:val="004D0C0A"/>
    <w:rsid w:val="004D1898"/>
    <w:rsid w:val="004D2445"/>
    <w:rsid w:val="004D3935"/>
    <w:rsid w:val="004D3C82"/>
    <w:rsid w:val="004D4153"/>
    <w:rsid w:val="004D46A9"/>
    <w:rsid w:val="004D4D9C"/>
    <w:rsid w:val="004D4E9C"/>
    <w:rsid w:val="004D5080"/>
    <w:rsid w:val="004D5523"/>
    <w:rsid w:val="004D5CAD"/>
    <w:rsid w:val="004D6AB6"/>
    <w:rsid w:val="004D70FA"/>
    <w:rsid w:val="004D7A6A"/>
    <w:rsid w:val="004D7C64"/>
    <w:rsid w:val="004E0D6E"/>
    <w:rsid w:val="004E0FE3"/>
    <w:rsid w:val="004E104C"/>
    <w:rsid w:val="004E1B5E"/>
    <w:rsid w:val="004E25EC"/>
    <w:rsid w:val="004E2EA3"/>
    <w:rsid w:val="004E338C"/>
    <w:rsid w:val="004E35E8"/>
    <w:rsid w:val="004E4274"/>
    <w:rsid w:val="004E4601"/>
    <w:rsid w:val="004E4A14"/>
    <w:rsid w:val="004E4AD2"/>
    <w:rsid w:val="004E538F"/>
    <w:rsid w:val="004E55C6"/>
    <w:rsid w:val="004E5960"/>
    <w:rsid w:val="004E614A"/>
    <w:rsid w:val="004E649A"/>
    <w:rsid w:val="004E6DFE"/>
    <w:rsid w:val="004E6EAB"/>
    <w:rsid w:val="004E6F7C"/>
    <w:rsid w:val="004F0090"/>
    <w:rsid w:val="004F0384"/>
    <w:rsid w:val="004F041A"/>
    <w:rsid w:val="004F06F9"/>
    <w:rsid w:val="004F0BCB"/>
    <w:rsid w:val="004F0C52"/>
    <w:rsid w:val="004F11DC"/>
    <w:rsid w:val="004F1384"/>
    <w:rsid w:val="004F24B6"/>
    <w:rsid w:val="004F294B"/>
    <w:rsid w:val="004F298C"/>
    <w:rsid w:val="004F2A2C"/>
    <w:rsid w:val="004F2D4A"/>
    <w:rsid w:val="004F3BA8"/>
    <w:rsid w:val="004F3E03"/>
    <w:rsid w:val="004F4376"/>
    <w:rsid w:val="004F440C"/>
    <w:rsid w:val="004F47A3"/>
    <w:rsid w:val="004F4AD2"/>
    <w:rsid w:val="004F5192"/>
    <w:rsid w:val="004F57FF"/>
    <w:rsid w:val="004F586B"/>
    <w:rsid w:val="004F5A72"/>
    <w:rsid w:val="004F5C04"/>
    <w:rsid w:val="004F62A9"/>
    <w:rsid w:val="004F6713"/>
    <w:rsid w:val="004F68E2"/>
    <w:rsid w:val="004F71C7"/>
    <w:rsid w:val="004F7523"/>
    <w:rsid w:val="004F7A05"/>
    <w:rsid w:val="00500020"/>
    <w:rsid w:val="005001AE"/>
    <w:rsid w:val="005002AD"/>
    <w:rsid w:val="00500C5F"/>
    <w:rsid w:val="005011A4"/>
    <w:rsid w:val="00501DC0"/>
    <w:rsid w:val="00501FD2"/>
    <w:rsid w:val="00502041"/>
    <w:rsid w:val="005024DA"/>
    <w:rsid w:val="00502604"/>
    <w:rsid w:val="00502976"/>
    <w:rsid w:val="00502ADD"/>
    <w:rsid w:val="00503081"/>
    <w:rsid w:val="00503653"/>
    <w:rsid w:val="00503C8E"/>
    <w:rsid w:val="00503D26"/>
    <w:rsid w:val="005043AC"/>
    <w:rsid w:val="005044EF"/>
    <w:rsid w:val="00504AB5"/>
    <w:rsid w:val="005050AE"/>
    <w:rsid w:val="005050C8"/>
    <w:rsid w:val="00505251"/>
    <w:rsid w:val="005052C0"/>
    <w:rsid w:val="00505409"/>
    <w:rsid w:val="00505693"/>
    <w:rsid w:val="00505CCF"/>
    <w:rsid w:val="00505D93"/>
    <w:rsid w:val="00505DC7"/>
    <w:rsid w:val="00505EAE"/>
    <w:rsid w:val="0050799C"/>
    <w:rsid w:val="00507E04"/>
    <w:rsid w:val="005108C7"/>
    <w:rsid w:val="00510C51"/>
    <w:rsid w:val="00510D31"/>
    <w:rsid w:val="00511343"/>
    <w:rsid w:val="00511717"/>
    <w:rsid w:val="00512480"/>
    <w:rsid w:val="00512719"/>
    <w:rsid w:val="00512720"/>
    <w:rsid w:val="00512EBA"/>
    <w:rsid w:val="005133B0"/>
    <w:rsid w:val="00513625"/>
    <w:rsid w:val="00513770"/>
    <w:rsid w:val="00513801"/>
    <w:rsid w:val="0051440E"/>
    <w:rsid w:val="00514D96"/>
    <w:rsid w:val="005154A7"/>
    <w:rsid w:val="00515802"/>
    <w:rsid w:val="00515AE6"/>
    <w:rsid w:val="00515E5B"/>
    <w:rsid w:val="005163F9"/>
    <w:rsid w:val="00516EA7"/>
    <w:rsid w:val="00517118"/>
    <w:rsid w:val="00520648"/>
    <w:rsid w:val="00520A1D"/>
    <w:rsid w:val="00521087"/>
    <w:rsid w:val="005213D3"/>
    <w:rsid w:val="005218F6"/>
    <w:rsid w:val="00521AD0"/>
    <w:rsid w:val="00521B2D"/>
    <w:rsid w:val="00521E42"/>
    <w:rsid w:val="00521F94"/>
    <w:rsid w:val="005227B1"/>
    <w:rsid w:val="00522C66"/>
    <w:rsid w:val="00522CB6"/>
    <w:rsid w:val="005233B1"/>
    <w:rsid w:val="005233EB"/>
    <w:rsid w:val="00523500"/>
    <w:rsid w:val="00523DEE"/>
    <w:rsid w:val="00523EE3"/>
    <w:rsid w:val="00523F08"/>
    <w:rsid w:val="00524C48"/>
    <w:rsid w:val="00524DAD"/>
    <w:rsid w:val="00525605"/>
    <w:rsid w:val="00526115"/>
    <w:rsid w:val="005262AA"/>
    <w:rsid w:val="0052653B"/>
    <w:rsid w:val="00526632"/>
    <w:rsid w:val="00526637"/>
    <w:rsid w:val="00526A01"/>
    <w:rsid w:val="00526C8B"/>
    <w:rsid w:val="005275D2"/>
    <w:rsid w:val="005276E5"/>
    <w:rsid w:val="00530064"/>
    <w:rsid w:val="00530258"/>
    <w:rsid w:val="0053032C"/>
    <w:rsid w:val="00530A93"/>
    <w:rsid w:val="00531246"/>
    <w:rsid w:val="00531CC1"/>
    <w:rsid w:val="005322CF"/>
    <w:rsid w:val="00532809"/>
    <w:rsid w:val="0053286A"/>
    <w:rsid w:val="00532B07"/>
    <w:rsid w:val="00532D16"/>
    <w:rsid w:val="00532F3A"/>
    <w:rsid w:val="00533008"/>
    <w:rsid w:val="0053314D"/>
    <w:rsid w:val="0053326F"/>
    <w:rsid w:val="0053349B"/>
    <w:rsid w:val="0053379A"/>
    <w:rsid w:val="00533BA0"/>
    <w:rsid w:val="00535379"/>
    <w:rsid w:val="00535530"/>
    <w:rsid w:val="00535A3A"/>
    <w:rsid w:val="005366B2"/>
    <w:rsid w:val="005368C8"/>
    <w:rsid w:val="005370B6"/>
    <w:rsid w:val="005371E8"/>
    <w:rsid w:val="005378E6"/>
    <w:rsid w:val="00537A29"/>
    <w:rsid w:val="00537CB5"/>
    <w:rsid w:val="00540287"/>
    <w:rsid w:val="005403BF"/>
    <w:rsid w:val="005406C8"/>
    <w:rsid w:val="00540733"/>
    <w:rsid w:val="00540E71"/>
    <w:rsid w:val="00541881"/>
    <w:rsid w:val="005418F0"/>
    <w:rsid w:val="00541A37"/>
    <w:rsid w:val="00541B42"/>
    <w:rsid w:val="00541E9D"/>
    <w:rsid w:val="0054279D"/>
    <w:rsid w:val="00543810"/>
    <w:rsid w:val="005439D5"/>
    <w:rsid w:val="005439D7"/>
    <w:rsid w:val="00543A4E"/>
    <w:rsid w:val="00544F6F"/>
    <w:rsid w:val="005454AD"/>
    <w:rsid w:val="00546FC3"/>
    <w:rsid w:val="00547892"/>
    <w:rsid w:val="00547903"/>
    <w:rsid w:val="00547AFC"/>
    <w:rsid w:val="00547C5B"/>
    <w:rsid w:val="005507B4"/>
    <w:rsid w:val="0055089B"/>
    <w:rsid w:val="00550BFD"/>
    <w:rsid w:val="00550E4D"/>
    <w:rsid w:val="0055117F"/>
    <w:rsid w:val="00551479"/>
    <w:rsid w:val="0055148D"/>
    <w:rsid w:val="00552000"/>
    <w:rsid w:val="0055237C"/>
    <w:rsid w:val="005523C8"/>
    <w:rsid w:val="005524BA"/>
    <w:rsid w:val="00553160"/>
    <w:rsid w:val="00553AD7"/>
    <w:rsid w:val="005543D5"/>
    <w:rsid w:val="00554650"/>
    <w:rsid w:val="00554EA2"/>
    <w:rsid w:val="00554F1D"/>
    <w:rsid w:val="0055500F"/>
    <w:rsid w:val="00555994"/>
    <w:rsid w:val="005559A8"/>
    <w:rsid w:val="00555FCA"/>
    <w:rsid w:val="00556B67"/>
    <w:rsid w:val="00557124"/>
    <w:rsid w:val="00557261"/>
    <w:rsid w:val="00557FEA"/>
    <w:rsid w:val="0056126F"/>
    <w:rsid w:val="005615DE"/>
    <w:rsid w:val="00561684"/>
    <w:rsid w:val="0056190E"/>
    <w:rsid w:val="00561E1E"/>
    <w:rsid w:val="00561FA2"/>
    <w:rsid w:val="0056222F"/>
    <w:rsid w:val="00562350"/>
    <w:rsid w:val="005628EB"/>
    <w:rsid w:val="00563472"/>
    <w:rsid w:val="0056421E"/>
    <w:rsid w:val="005645C9"/>
    <w:rsid w:val="00564740"/>
    <w:rsid w:val="00565160"/>
    <w:rsid w:val="00565206"/>
    <w:rsid w:val="00565E39"/>
    <w:rsid w:val="00566A5F"/>
    <w:rsid w:val="00566D46"/>
    <w:rsid w:val="00566F24"/>
    <w:rsid w:val="00566FC8"/>
    <w:rsid w:val="00566FFF"/>
    <w:rsid w:val="00567108"/>
    <w:rsid w:val="005674A1"/>
    <w:rsid w:val="00567CA2"/>
    <w:rsid w:val="00570001"/>
    <w:rsid w:val="00570C3C"/>
    <w:rsid w:val="00570F13"/>
    <w:rsid w:val="0057126C"/>
    <w:rsid w:val="00571532"/>
    <w:rsid w:val="00571F88"/>
    <w:rsid w:val="005726DC"/>
    <w:rsid w:val="00572705"/>
    <w:rsid w:val="0057280D"/>
    <w:rsid w:val="00572EF7"/>
    <w:rsid w:val="00572F45"/>
    <w:rsid w:val="00573DE8"/>
    <w:rsid w:val="00573FED"/>
    <w:rsid w:val="0057471F"/>
    <w:rsid w:val="00574C24"/>
    <w:rsid w:val="005750EE"/>
    <w:rsid w:val="0057536C"/>
    <w:rsid w:val="005753DB"/>
    <w:rsid w:val="0057594B"/>
    <w:rsid w:val="00575C4B"/>
    <w:rsid w:val="00576644"/>
    <w:rsid w:val="00576B9F"/>
    <w:rsid w:val="00576FCF"/>
    <w:rsid w:val="005777E6"/>
    <w:rsid w:val="005801D0"/>
    <w:rsid w:val="00580B2F"/>
    <w:rsid w:val="00580D91"/>
    <w:rsid w:val="005813F5"/>
    <w:rsid w:val="0058192F"/>
    <w:rsid w:val="00581EAF"/>
    <w:rsid w:val="00582BD7"/>
    <w:rsid w:val="00582CDC"/>
    <w:rsid w:val="00582F1B"/>
    <w:rsid w:val="00582FFC"/>
    <w:rsid w:val="0058306F"/>
    <w:rsid w:val="00583432"/>
    <w:rsid w:val="005835F1"/>
    <w:rsid w:val="00583654"/>
    <w:rsid w:val="0058370C"/>
    <w:rsid w:val="0058381A"/>
    <w:rsid w:val="00583B44"/>
    <w:rsid w:val="005846BF"/>
    <w:rsid w:val="00584D32"/>
    <w:rsid w:val="00586327"/>
    <w:rsid w:val="00586925"/>
    <w:rsid w:val="00586D96"/>
    <w:rsid w:val="005872D8"/>
    <w:rsid w:val="00587D05"/>
    <w:rsid w:val="0059014F"/>
    <w:rsid w:val="005906A9"/>
    <w:rsid w:val="00591298"/>
    <w:rsid w:val="005918F8"/>
    <w:rsid w:val="00591E75"/>
    <w:rsid w:val="00591F4E"/>
    <w:rsid w:val="00591FFB"/>
    <w:rsid w:val="00592386"/>
    <w:rsid w:val="00592864"/>
    <w:rsid w:val="00592914"/>
    <w:rsid w:val="00592F7F"/>
    <w:rsid w:val="00593924"/>
    <w:rsid w:val="005940BB"/>
    <w:rsid w:val="0059480B"/>
    <w:rsid w:val="00595073"/>
    <w:rsid w:val="00595247"/>
    <w:rsid w:val="00596940"/>
    <w:rsid w:val="00596B6B"/>
    <w:rsid w:val="00596C13"/>
    <w:rsid w:val="00597755"/>
    <w:rsid w:val="00597B92"/>
    <w:rsid w:val="00597C12"/>
    <w:rsid w:val="005A067F"/>
    <w:rsid w:val="005A0A2D"/>
    <w:rsid w:val="005A0BA1"/>
    <w:rsid w:val="005A158C"/>
    <w:rsid w:val="005A1789"/>
    <w:rsid w:val="005A1BBB"/>
    <w:rsid w:val="005A1F9E"/>
    <w:rsid w:val="005A232F"/>
    <w:rsid w:val="005A246C"/>
    <w:rsid w:val="005A2506"/>
    <w:rsid w:val="005A2866"/>
    <w:rsid w:val="005A2A65"/>
    <w:rsid w:val="005A2B50"/>
    <w:rsid w:val="005A2BA4"/>
    <w:rsid w:val="005A2F25"/>
    <w:rsid w:val="005A303A"/>
    <w:rsid w:val="005A3474"/>
    <w:rsid w:val="005A49F5"/>
    <w:rsid w:val="005A4E41"/>
    <w:rsid w:val="005A51F9"/>
    <w:rsid w:val="005A589D"/>
    <w:rsid w:val="005A58F1"/>
    <w:rsid w:val="005A5A02"/>
    <w:rsid w:val="005A5B5E"/>
    <w:rsid w:val="005A6664"/>
    <w:rsid w:val="005A6DEA"/>
    <w:rsid w:val="005A7024"/>
    <w:rsid w:val="005A7181"/>
    <w:rsid w:val="005A71AC"/>
    <w:rsid w:val="005A78E5"/>
    <w:rsid w:val="005B003E"/>
    <w:rsid w:val="005B0585"/>
    <w:rsid w:val="005B0690"/>
    <w:rsid w:val="005B077E"/>
    <w:rsid w:val="005B07AF"/>
    <w:rsid w:val="005B0EB2"/>
    <w:rsid w:val="005B1E40"/>
    <w:rsid w:val="005B2AC9"/>
    <w:rsid w:val="005B2B0E"/>
    <w:rsid w:val="005B32CA"/>
    <w:rsid w:val="005B36AB"/>
    <w:rsid w:val="005B3B8B"/>
    <w:rsid w:val="005B3C04"/>
    <w:rsid w:val="005B3EC2"/>
    <w:rsid w:val="005B3FF2"/>
    <w:rsid w:val="005B4A21"/>
    <w:rsid w:val="005B4D9E"/>
    <w:rsid w:val="005B5738"/>
    <w:rsid w:val="005B5EAF"/>
    <w:rsid w:val="005B612C"/>
    <w:rsid w:val="005B6820"/>
    <w:rsid w:val="005B698D"/>
    <w:rsid w:val="005B6AE8"/>
    <w:rsid w:val="005B6E59"/>
    <w:rsid w:val="005B7651"/>
    <w:rsid w:val="005B7F32"/>
    <w:rsid w:val="005B7F7A"/>
    <w:rsid w:val="005C06DB"/>
    <w:rsid w:val="005C0B4B"/>
    <w:rsid w:val="005C0BD3"/>
    <w:rsid w:val="005C0C5F"/>
    <w:rsid w:val="005C0E8B"/>
    <w:rsid w:val="005C0ECA"/>
    <w:rsid w:val="005C106D"/>
    <w:rsid w:val="005C10A7"/>
    <w:rsid w:val="005C1686"/>
    <w:rsid w:val="005C17A4"/>
    <w:rsid w:val="005C1E89"/>
    <w:rsid w:val="005C1EFA"/>
    <w:rsid w:val="005C2B74"/>
    <w:rsid w:val="005C2C9F"/>
    <w:rsid w:val="005C34C8"/>
    <w:rsid w:val="005C4006"/>
    <w:rsid w:val="005C4068"/>
    <w:rsid w:val="005C44FB"/>
    <w:rsid w:val="005C469B"/>
    <w:rsid w:val="005C4945"/>
    <w:rsid w:val="005C4AB1"/>
    <w:rsid w:val="005C4BC2"/>
    <w:rsid w:val="005C4BF3"/>
    <w:rsid w:val="005C5E2F"/>
    <w:rsid w:val="005C5F7C"/>
    <w:rsid w:val="005C6415"/>
    <w:rsid w:val="005C6A08"/>
    <w:rsid w:val="005C7469"/>
    <w:rsid w:val="005C74DB"/>
    <w:rsid w:val="005C7DD1"/>
    <w:rsid w:val="005D0AC9"/>
    <w:rsid w:val="005D0C05"/>
    <w:rsid w:val="005D0CD9"/>
    <w:rsid w:val="005D0DCD"/>
    <w:rsid w:val="005D0F2B"/>
    <w:rsid w:val="005D0F93"/>
    <w:rsid w:val="005D1EAD"/>
    <w:rsid w:val="005D20DB"/>
    <w:rsid w:val="005D2233"/>
    <w:rsid w:val="005D2975"/>
    <w:rsid w:val="005D2CFE"/>
    <w:rsid w:val="005D3349"/>
    <w:rsid w:val="005D34B5"/>
    <w:rsid w:val="005D463B"/>
    <w:rsid w:val="005D493A"/>
    <w:rsid w:val="005D4BEF"/>
    <w:rsid w:val="005D4CE3"/>
    <w:rsid w:val="005D5238"/>
    <w:rsid w:val="005D5A9E"/>
    <w:rsid w:val="005D5CBE"/>
    <w:rsid w:val="005D6286"/>
    <w:rsid w:val="005D7A92"/>
    <w:rsid w:val="005D7D1A"/>
    <w:rsid w:val="005D7F23"/>
    <w:rsid w:val="005E0875"/>
    <w:rsid w:val="005E098B"/>
    <w:rsid w:val="005E0AE0"/>
    <w:rsid w:val="005E1048"/>
    <w:rsid w:val="005E11C6"/>
    <w:rsid w:val="005E1296"/>
    <w:rsid w:val="005E13F2"/>
    <w:rsid w:val="005E182A"/>
    <w:rsid w:val="005E1C85"/>
    <w:rsid w:val="005E24C2"/>
    <w:rsid w:val="005E24F5"/>
    <w:rsid w:val="005E3C1A"/>
    <w:rsid w:val="005E3D55"/>
    <w:rsid w:val="005E4018"/>
    <w:rsid w:val="005E406A"/>
    <w:rsid w:val="005E450C"/>
    <w:rsid w:val="005E4798"/>
    <w:rsid w:val="005E52AC"/>
    <w:rsid w:val="005E52B4"/>
    <w:rsid w:val="005E64A7"/>
    <w:rsid w:val="005E65AB"/>
    <w:rsid w:val="005E6960"/>
    <w:rsid w:val="005E6B42"/>
    <w:rsid w:val="005E6D5A"/>
    <w:rsid w:val="005F0665"/>
    <w:rsid w:val="005F0967"/>
    <w:rsid w:val="005F0CB1"/>
    <w:rsid w:val="005F0ED4"/>
    <w:rsid w:val="005F1766"/>
    <w:rsid w:val="005F2987"/>
    <w:rsid w:val="005F3C4F"/>
    <w:rsid w:val="005F493D"/>
    <w:rsid w:val="005F54D5"/>
    <w:rsid w:val="005F5542"/>
    <w:rsid w:val="005F5BDF"/>
    <w:rsid w:val="005F6394"/>
    <w:rsid w:val="005F63F0"/>
    <w:rsid w:val="005F6568"/>
    <w:rsid w:val="005F68C3"/>
    <w:rsid w:val="005F68F4"/>
    <w:rsid w:val="005F6A46"/>
    <w:rsid w:val="005F7454"/>
    <w:rsid w:val="005F746C"/>
    <w:rsid w:val="005F75CB"/>
    <w:rsid w:val="005F7C2C"/>
    <w:rsid w:val="005F7D29"/>
    <w:rsid w:val="005F7FED"/>
    <w:rsid w:val="006000B5"/>
    <w:rsid w:val="0060060E"/>
    <w:rsid w:val="00600820"/>
    <w:rsid w:val="006009CA"/>
    <w:rsid w:val="006011CE"/>
    <w:rsid w:val="006012E0"/>
    <w:rsid w:val="006015B0"/>
    <w:rsid w:val="00602021"/>
    <w:rsid w:val="00602208"/>
    <w:rsid w:val="006023CD"/>
    <w:rsid w:val="00602B59"/>
    <w:rsid w:val="00602F56"/>
    <w:rsid w:val="0060321B"/>
    <w:rsid w:val="0060381C"/>
    <w:rsid w:val="00603C2C"/>
    <w:rsid w:val="0060488F"/>
    <w:rsid w:val="00605246"/>
    <w:rsid w:val="00605F2A"/>
    <w:rsid w:val="0060641C"/>
    <w:rsid w:val="006070B0"/>
    <w:rsid w:val="00607262"/>
    <w:rsid w:val="0060736F"/>
    <w:rsid w:val="00607ECB"/>
    <w:rsid w:val="00610060"/>
    <w:rsid w:val="0061012A"/>
    <w:rsid w:val="00610780"/>
    <w:rsid w:val="00610B77"/>
    <w:rsid w:val="00611019"/>
    <w:rsid w:val="00611857"/>
    <w:rsid w:val="00612481"/>
    <w:rsid w:val="00612894"/>
    <w:rsid w:val="006132F4"/>
    <w:rsid w:val="0061344E"/>
    <w:rsid w:val="00613C83"/>
    <w:rsid w:val="00613ED2"/>
    <w:rsid w:val="00614106"/>
    <w:rsid w:val="0061455B"/>
    <w:rsid w:val="00614842"/>
    <w:rsid w:val="00614C4E"/>
    <w:rsid w:val="00614F8A"/>
    <w:rsid w:val="0061545A"/>
    <w:rsid w:val="006156A9"/>
    <w:rsid w:val="00616B00"/>
    <w:rsid w:val="006172D9"/>
    <w:rsid w:val="00617382"/>
    <w:rsid w:val="00617505"/>
    <w:rsid w:val="00617796"/>
    <w:rsid w:val="00617A23"/>
    <w:rsid w:val="006209E5"/>
    <w:rsid w:val="00621583"/>
    <w:rsid w:val="0062191D"/>
    <w:rsid w:val="006224B6"/>
    <w:rsid w:val="00622F75"/>
    <w:rsid w:val="006238ED"/>
    <w:rsid w:val="00623BCA"/>
    <w:rsid w:val="00623EAF"/>
    <w:rsid w:val="006245BF"/>
    <w:rsid w:val="00624D5F"/>
    <w:rsid w:val="00624D99"/>
    <w:rsid w:val="00624E33"/>
    <w:rsid w:val="006251C7"/>
    <w:rsid w:val="006253E7"/>
    <w:rsid w:val="00625C9C"/>
    <w:rsid w:val="00626354"/>
    <w:rsid w:val="006267A3"/>
    <w:rsid w:val="006278A1"/>
    <w:rsid w:val="006279BA"/>
    <w:rsid w:val="006301F4"/>
    <w:rsid w:val="0063026C"/>
    <w:rsid w:val="0063062F"/>
    <w:rsid w:val="006310B4"/>
    <w:rsid w:val="00631756"/>
    <w:rsid w:val="00632560"/>
    <w:rsid w:val="00632AC8"/>
    <w:rsid w:val="00632C9C"/>
    <w:rsid w:val="00633936"/>
    <w:rsid w:val="00633C23"/>
    <w:rsid w:val="006342FB"/>
    <w:rsid w:val="00634470"/>
    <w:rsid w:val="00634703"/>
    <w:rsid w:val="006349D3"/>
    <w:rsid w:val="00634A56"/>
    <w:rsid w:val="00634B16"/>
    <w:rsid w:val="00634DA1"/>
    <w:rsid w:val="00634F8E"/>
    <w:rsid w:val="00634FD2"/>
    <w:rsid w:val="00635499"/>
    <w:rsid w:val="00635C26"/>
    <w:rsid w:val="006364FE"/>
    <w:rsid w:val="0063670B"/>
    <w:rsid w:val="00636B5A"/>
    <w:rsid w:val="006374B9"/>
    <w:rsid w:val="00637C8E"/>
    <w:rsid w:val="00637EFC"/>
    <w:rsid w:val="0064081A"/>
    <w:rsid w:val="0064139C"/>
    <w:rsid w:val="00641B57"/>
    <w:rsid w:val="00642A08"/>
    <w:rsid w:val="00642F93"/>
    <w:rsid w:val="0064395B"/>
    <w:rsid w:val="00643ACA"/>
    <w:rsid w:val="00643C5A"/>
    <w:rsid w:val="00643D1C"/>
    <w:rsid w:val="0064438D"/>
    <w:rsid w:val="006443C1"/>
    <w:rsid w:val="006450FA"/>
    <w:rsid w:val="006457C7"/>
    <w:rsid w:val="00645FAC"/>
    <w:rsid w:val="00646397"/>
    <w:rsid w:val="006463DE"/>
    <w:rsid w:val="00647461"/>
    <w:rsid w:val="00647EC9"/>
    <w:rsid w:val="0065035A"/>
    <w:rsid w:val="00650639"/>
    <w:rsid w:val="006507FB"/>
    <w:rsid w:val="00650E04"/>
    <w:rsid w:val="00650E69"/>
    <w:rsid w:val="006510F0"/>
    <w:rsid w:val="0065126D"/>
    <w:rsid w:val="0065166A"/>
    <w:rsid w:val="00651F44"/>
    <w:rsid w:val="006521D5"/>
    <w:rsid w:val="006524D2"/>
    <w:rsid w:val="00652A83"/>
    <w:rsid w:val="00652F45"/>
    <w:rsid w:val="006531B7"/>
    <w:rsid w:val="00653B91"/>
    <w:rsid w:val="00654561"/>
    <w:rsid w:val="0065472C"/>
    <w:rsid w:val="00654C47"/>
    <w:rsid w:val="00655535"/>
    <w:rsid w:val="006558F0"/>
    <w:rsid w:val="00655A55"/>
    <w:rsid w:val="006562B4"/>
    <w:rsid w:val="006563FE"/>
    <w:rsid w:val="00656770"/>
    <w:rsid w:val="00656AE7"/>
    <w:rsid w:val="006573F2"/>
    <w:rsid w:val="00657791"/>
    <w:rsid w:val="0065781B"/>
    <w:rsid w:val="00657F17"/>
    <w:rsid w:val="0066001E"/>
    <w:rsid w:val="006612F1"/>
    <w:rsid w:val="006614B2"/>
    <w:rsid w:val="00661778"/>
    <w:rsid w:val="00661DF7"/>
    <w:rsid w:val="006622D1"/>
    <w:rsid w:val="0066269A"/>
    <w:rsid w:val="00662F30"/>
    <w:rsid w:val="00663A1B"/>
    <w:rsid w:val="00664BBC"/>
    <w:rsid w:val="0066519B"/>
    <w:rsid w:val="00665464"/>
    <w:rsid w:val="006658B3"/>
    <w:rsid w:val="00665C70"/>
    <w:rsid w:val="00666359"/>
    <w:rsid w:val="00666A3B"/>
    <w:rsid w:val="00666AFF"/>
    <w:rsid w:val="006708F4"/>
    <w:rsid w:val="006708F5"/>
    <w:rsid w:val="00670EE5"/>
    <w:rsid w:val="0067168E"/>
    <w:rsid w:val="0067174B"/>
    <w:rsid w:val="0067188F"/>
    <w:rsid w:val="00671A49"/>
    <w:rsid w:val="00671AB3"/>
    <w:rsid w:val="00671E06"/>
    <w:rsid w:val="006723EC"/>
    <w:rsid w:val="00672475"/>
    <w:rsid w:val="006725D7"/>
    <w:rsid w:val="00672F29"/>
    <w:rsid w:val="0067448A"/>
    <w:rsid w:val="00674932"/>
    <w:rsid w:val="00674EF7"/>
    <w:rsid w:val="00675A2D"/>
    <w:rsid w:val="0067607E"/>
    <w:rsid w:val="0067610C"/>
    <w:rsid w:val="00676A04"/>
    <w:rsid w:val="006770D7"/>
    <w:rsid w:val="0067732D"/>
    <w:rsid w:val="00677FB6"/>
    <w:rsid w:val="006809F4"/>
    <w:rsid w:val="006812B3"/>
    <w:rsid w:val="00681319"/>
    <w:rsid w:val="006819A8"/>
    <w:rsid w:val="00682180"/>
    <w:rsid w:val="00684153"/>
    <w:rsid w:val="006845EF"/>
    <w:rsid w:val="00684B5A"/>
    <w:rsid w:val="00684C2E"/>
    <w:rsid w:val="00684CB7"/>
    <w:rsid w:val="0068569A"/>
    <w:rsid w:val="00685890"/>
    <w:rsid w:val="00685947"/>
    <w:rsid w:val="00685B07"/>
    <w:rsid w:val="00686415"/>
    <w:rsid w:val="0068661F"/>
    <w:rsid w:val="00686755"/>
    <w:rsid w:val="00686EB5"/>
    <w:rsid w:val="00687764"/>
    <w:rsid w:val="0068777A"/>
    <w:rsid w:val="00687E74"/>
    <w:rsid w:val="006902F5"/>
    <w:rsid w:val="006904D5"/>
    <w:rsid w:val="0069085C"/>
    <w:rsid w:val="00690BED"/>
    <w:rsid w:val="00691256"/>
    <w:rsid w:val="00691755"/>
    <w:rsid w:val="00691BE6"/>
    <w:rsid w:val="00691C86"/>
    <w:rsid w:val="00691EA1"/>
    <w:rsid w:val="00692162"/>
    <w:rsid w:val="006939B7"/>
    <w:rsid w:val="00693A1F"/>
    <w:rsid w:val="00693D65"/>
    <w:rsid w:val="00693E61"/>
    <w:rsid w:val="0069454B"/>
    <w:rsid w:val="00694F2C"/>
    <w:rsid w:val="006952FF"/>
    <w:rsid w:val="00695D4E"/>
    <w:rsid w:val="006960B1"/>
    <w:rsid w:val="006961F4"/>
    <w:rsid w:val="0069768C"/>
    <w:rsid w:val="006A00F7"/>
    <w:rsid w:val="006A107A"/>
    <w:rsid w:val="006A1C63"/>
    <w:rsid w:val="006A20AC"/>
    <w:rsid w:val="006A2436"/>
    <w:rsid w:val="006A3300"/>
    <w:rsid w:val="006A33CC"/>
    <w:rsid w:val="006A34F3"/>
    <w:rsid w:val="006A358A"/>
    <w:rsid w:val="006A385E"/>
    <w:rsid w:val="006A3BE0"/>
    <w:rsid w:val="006A3EA9"/>
    <w:rsid w:val="006A3FBC"/>
    <w:rsid w:val="006A44C0"/>
    <w:rsid w:val="006A458E"/>
    <w:rsid w:val="006A49F9"/>
    <w:rsid w:val="006A4E50"/>
    <w:rsid w:val="006A532A"/>
    <w:rsid w:val="006A5EC0"/>
    <w:rsid w:val="006A6997"/>
    <w:rsid w:val="006A6A91"/>
    <w:rsid w:val="006A70DB"/>
    <w:rsid w:val="006A76EF"/>
    <w:rsid w:val="006B01DD"/>
    <w:rsid w:val="006B0339"/>
    <w:rsid w:val="006B03C3"/>
    <w:rsid w:val="006B07E8"/>
    <w:rsid w:val="006B0A2A"/>
    <w:rsid w:val="006B0A3B"/>
    <w:rsid w:val="006B0E4C"/>
    <w:rsid w:val="006B1815"/>
    <w:rsid w:val="006B1A30"/>
    <w:rsid w:val="006B1BC0"/>
    <w:rsid w:val="006B1CBE"/>
    <w:rsid w:val="006B24E9"/>
    <w:rsid w:val="006B2ABD"/>
    <w:rsid w:val="006B2D49"/>
    <w:rsid w:val="006B3721"/>
    <w:rsid w:val="006B37C3"/>
    <w:rsid w:val="006B439D"/>
    <w:rsid w:val="006B4441"/>
    <w:rsid w:val="006B4479"/>
    <w:rsid w:val="006B452A"/>
    <w:rsid w:val="006B4818"/>
    <w:rsid w:val="006B4823"/>
    <w:rsid w:val="006B5148"/>
    <w:rsid w:val="006B6288"/>
    <w:rsid w:val="006B6330"/>
    <w:rsid w:val="006B6513"/>
    <w:rsid w:val="006B6F11"/>
    <w:rsid w:val="006B7007"/>
    <w:rsid w:val="006B764F"/>
    <w:rsid w:val="006B76E0"/>
    <w:rsid w:val="006B789C"/>
    <w:rsid w:val="006B7AB0"/>
    <w:rsid w:val="006B7D3B"/>
    <w:rsid w:val="006C0021"/>
    <w:rsid w:val="006C02AF"/>
    <w:rsid w:val="006C080D"/>
    <w:rsid w:val="006C0843"/>
    <w:rsid w:val="006C091B"/>
    <w:rsid w:val="006C0989"/>
    <w:rsid w:val="006C1769"/>
    <w:rsid w:val="006C1B04"/>
    <w:rsid w:val="006C1EA8"/>
    <w:rsid w:val="006C29E2"/>
    <w:rsid w:val="006C37E5"/>
    <w:rsid w:val="006C3F6F"/>
    <w:rsid w:val="006C44C4"/>
    <w:rsid w:val="006C4900"/>
    <w:rsid w:val="006C53A2"/>
    <w:rsid w:val="006C5C34"/>
    <w:rsid w:val="006C5F0F"/>
    <w:rsid w:val="006C6650"/>
    <w:rsid w:val="006C66E4"/>
    <w:rsid w:val="006C6C0A"/>
    <w:rsid w:val="006C6D11"/>
    <w:rsid w:val="006C78CB"/>
    <w:rsid w:val="006C78F0"/>
    <w:rsid w:val="006C7C12"/>
    <w:rsid w:val="006C7CBC"/>
    <w:rsid w:val="006D02A8"/>
    <w:rsid w:val="006D04F5"/>
    <w:rsid w:val="006D08BB"/>
    <w:rsid w:val="006D0AEF"/>
    <w:rsid w:val="006D0D61"/>
    <w:rsid w:val="006D0F8D"/>
    <w:rsid w:val="006D13B2"/>
    <w:rsid w:val="006D1C6F"/>
    <w:rsid w:val="006D27D8"/>
    <w:rsid w:val="006D4074"/>
    <w:rsid w:val="006D4289"/>
    <w:rsid w:val="006D4399"/>
    <w:rsid w:val="006D53B2"/>
    <w:rsid w:val="006D5735"/>
    <w:rsid w:val="006D5D0E"/>
    <w:rsid w:val="006D614B"/>
    <w:rsid w:val="006D7133"/>
    <w:rsid w:val="006D7D8E"/>
    <w:rsid w:val="006D7FC7"/>
    <w:rsid w:val="006E01B6"/>
    <w:rsid w:val="006E0F6E"/>
    <w:rsid w:val="006E182C"/>
    <w:rsid w:val="006E2022"/>
    <w:rsid w:val="006E2181"/>
    <w:rsid w:val="006E2384"/>
    <w:rsid w:val="006E23F2"/>
    <w:rsid w:val="006E311C"/>
    <w:rsid w:val="006E35BA"/>
    <w:rsid w:val="006E38D0"/>
    <w:rsid w:val="006E4418"/>
    <w:rsid w:val="006E44BD"/>
    <w:rsid w:val="006E49D5"/>
    <w:rsid w:val="006E4F34"/>
    <w:rsid w:val="006E5231"/>
    <w:rsid w:val="006E5F05"/>
    <w:rsid w:val="006E5FFA"/>
    <w:rsid w:val="006E6925"/>
    <w:rsid w:val="006E75A7"/>
    <w:rsid w:val="006E7768"/>
    <w:rsid w:val="006F0DB2"/>
    <w:rsid w:val="006F0DD8"/>
    <w:rsid w:val="006F0DE6"/>
    <w:rsid w:val="006F10C6"/>
    <w:rsid w:val="006F1290"/>
    <w:rsid w:val="006F1D34"/>
    <w:rsid w:val="006F1DD9"/>
    <w:rsid w:val="006F1F79"/>
    <w:rsid w:val="006F20CD"/>
    <w:rsid w:val="006F2233"/>
    <w:rsid w:val="006F2288"/>
    <w:rsid w:val="006F264D"/>
    <w:rsid w:val="006F27E1"/>
    <w:rsid w:val="006F29E1"/>
    <w:rsid w:val="006F2D0A"/>
    <w:rsid w:val="006F31DE"/>
    <w:rsid w:val="006F34B4"/>
    <w:rsid w:val="006F3640"/>
    <w:rsid w:val="006F416A"/>
    <w:rsid w:val="006F4487"/>
    <w:rsid w:val="006F52FF"/>
    <w:rsid w:val="006F5541"/>
    <w:rsid w:val="006F58A6"/>
    <w:rsid w:val="006F597A"/>
    <w:rsid w:val="006F6382"/>
    <w:rsid w:val="006F7FF1"/>
    <w:rsid w:val="007001DE"/>
    <w:rsid w:val="00700518"/>
    <w:rsid w:val="00700820"/>
    <w:rsid w:val="0070159E"/>
    <w:rsid w:val="00701C26"/>
    <w:rsid w:val="00701C54"/>
    <w:rsid w:val="0070227A"/>
    <w:rsid w:val="00702498"/>
    <w:rsid w:val="00702517"/>
    <w:rsid w:val="0070261F"/>
    <w:rsid w:val="00702EDC"/>
    <w:rsid w:val="007034C4"/>
    <w:rsid w:val="00703843"/>
    <w:rsid w:val="00703947"/>
    <w:rsid w:val="007039B2"/>
    <w:rsid w:val="00703ACF"/>
    <w:rsid w:val="00703DB9"/>
    <w:rsid w:val="00703FFC"/>
    <w:rsid w:val="00704827"/>
    <w:rsid w:val="007048D0"/>
    <w:rsid w:val="00705402"/>
    <w:rsid w:val="00706385"/>
    <w:rsid w:val="007069C7"/>
    <w:rsid w:val="0070721B"/>
    <w:rsid w:val="007073F2"/>
    <w:rsid w:val="00707522"/>
    <w:rsid w:val="00707DFC"/>
    <w:rsid w:val="007100AF"/>
    <w:rsid w:val="00710E65"/>
    <w:rsid w:val="007110DD"/>
    <w:rsid w:val="0071144D"/>
    <w:rsid w:val="007117A8"/>
    <w:rsid w:val="00711BEA"/>
    <w:rsid w:val="00711C88"/>
    <w:rsid w:val="00712EAF"/>
    <w:rsid w:val="00712F7A"/>
    <w:rsid w:val="007132C3"/>
    <w:rsid w:val="00713CE5"/>
    <w:rsid w:val="0071416F"/>
    <w:rsid w:val="00714344"/>
    <w:rsid w:val="007145E4"/>
    <w:rsid w:val="00715C11"/>
    <w:rsid w:val="00715C6E"/>
    <w:rsid w:val="00715FBE"/>
    <w:rsid w:val="007160F1"/>
    <w:rsid w:val="007168AF"/>
    <w:rsid w:val="007169AA"/>
    <w:rsid w:val="007174CA"/>
    <w:rsid w:val="007175D2"/>
    <w:rsid w:val="0072013B"/>
    <w:rsid w:val="00720F76"/>
    <w:rsid w:val="00722113"/>
    <w:rsid w:val="00722B7B"/>
    <w:rsid w:val="00723AA8"/>
    <w:rsid w:val="00723CA2"/>
    <w:rsid w:val="0072412E"/>
    <w:rsid w:val="0072492B"/>
    <w:rsid w:val="00724B51"/>
    <w:rsid w:val="007256D6"/>
    <w:rsid w:val="0072572F"/>
    <w:rsid w:val="00725964"/>
    <w:rsid w:val="0072598A"/>
    <w:rsid w:val="00725EF2"/>
    <w:rsid w:val="00725F0B"/>
    <w:rsid w:val="00725F71"/>
    <w:rsid w:val="00726AF9"/>
    <w:rsid w:val="00726B3F"/>
    <w:rsid w:val="00726B40"/>
    <w:rsid w:val="00727661"/>
    <w:rsid w:val="00727AC3"/>
    <w:rsid w:val="00727C57"/>
    <w:rsid w:val="00727D43"/>
    <w:rsid w:val="00727DC8"/>
    <w:rsid w:val="0073008B"/>
    <w:rsid w:val="00730810"/>
    <w:rsid w:val="007309D2"/>
    <w:rsid w:val="00731279"/>
    <w:rsid w:val="00731545"/>
    <w:rsid w:val="00731662"/>
    <w:rsid w:val="00731A14"/>
    <w:rsid w:val="00731BED"/>
    <w:rsid w:val="00731C19"/>
    <w:rsid w:val="00732A14"/>
    <w:rsid w:val="00732C86"/>
    <w:rsid w:val="0073326F"/>
    <w:rsid w:val="0073473B"/>
    <w:rsid w:val="00734AC4"/>
    <w:rsid w:val="00734CDA"/>
    <w:rsid w:val="007355B4"/>
    <w:rsid w:val="007357CF"/>
    <w:rsid w:val="00735F27"/>
    <w:rsid w:val="00736314"/>
    <w:rsid w:val="00736446"/>
    <w:rsid w:val="00736928"/>
    <w:rsid w:val="00736D41"/>
    <w:rsid w:val="00736DEB"/>
    <w:rsid w:val="00736E59"/>
    <w:rsid w:val="00737600"/>
    <w:rsid w:val="00737F47"/>
    <w:rsid w:val="00737F69"/>
    <w:rsid w:val="007405D4"/>
    <w:rsid w:val="00740BEB"/>
    <w:rsid w:val="00740FBD"/>
    <w:rsid w:val="0074147F"/>
    <w:rsid w:val="00741EAD"/>
    <w:rsid w:val="00742B49"/>
    <w:rsid w:val="00743CC0"/>
    <w:rsid w:val="0074408E"/>
    <w:rsid w:val="007441C9"/>
    <w:rsid w:val="00744C70"/>
    <w:rsid w:val="00744D35"/>
    <w:rsid w:val="00744D44"/>
    <w:rsid w:val="00745105"/>
    <w:rsid w:val="00745932"/>
    <w:rsid w:val="00745A9D"/>
    <w:rsid w:val="0074693B"/>
    <w:rsid w:val="00746EB9"/>
    <w:rsid w:val="00747147"/>
    <w:rsid w:val="00747895"/>
    <w:rsid w:val="00750A22"/>
    <w:rsid w:val="00750DAB"/>
    <w:rsid w:val="007518CB"/>
    <w:rsid w:val="00752167"/>
    <w:rsid w:val="007522A9"/>
    <w:rsid w:val="0075245C"/>
    <w:rsid w:val="007527A7"/>
    <w:rsid w:val="0075352F"/>
    <w:rsid w:val="0075480E"/>
    <w:rsid w:val="00755884"/>
    <w:rsid w:val="0075594E"/>
    <w:rsid w:val="007564B9"/>
    <w:rsid w:val="0075682B"/>
    <w:rsid w:val="007570A2"/>
    <w:rsid w:val="00757339"/>
    <w:rsid w:val="0075767E"/>
    <w:rsid w:val="00757925"/>
    <w:rsid w:val="00757C56"/>
    <w:rsid w:val="00760519"/>
    <w:rsid w:val="00760DBC"/>
    <w:rsid w:val="00760F8B"/>
    <w:rsid w:val="0076114A"/>
    <w:rsid w:val="0076146C"/>
    <w:rsid w:val="00761479"/>
    <w:rsid w:val="00761A89"/>
    <w:rsid w:val="00762275"/>
    <w:rsid w:val="0076247A"/>
    <w:rsid w:val="0076248F"/>
    <w:rsid w:val="00763384"/>
    <w:rsid w:val="007642C0"/>
    <w:rsid w:val="007645AB"/>
    <w:rsid w:val="00764969"/>
    <w:rsid w:val="0076496F"/>
    <w:rsid w:val="00764A02"/>
    <w:rsid w:val="007653A5"/>
    <w:rsid w:val="00765B5A"/>
    <w:rsid w:val="00767472"/>
    <w:rsid w:val="00770250"/>
    <w:rsid w:val="00771904"/>
    <w:rsid w:val="00772410"/>
    <w:rsid w:val="00772DDB"/>
    <w:rsid w:val="007730AA"/>
    <w:rsid w:val="00773BC6"/>
    <w:rsid w:val="00773EA4"/>
    <w:rsid w:val="00773F28"/>
    <w:rsid w:val="007747BB"/>
    <w:rsid w:val="007748CB"/>
    <w:rsid w:val="00774D4B"/>
    <w:rsid w:val="00775877"/>
    <w:rsid w:val="007758C7"/>
    <w:rsid w:val="00775D2E"/>
    <w:rsid w:val="00776148"/>
    <w:rsid w:val="00776514"/>
    <w:rsid w:val="00776803"/>
    <w:rsid w:val="007801C1"/>
    <w:rsid w:val="00780817"/>
    <w:rsid w:val="00780EC9"/>
    <w:rsid w:val="007818DD"/>
    <w:rsid w:val="00781C02"/>
    <w:rsid w:val="0078269A"/>
    <w:rsid w:val="00783E62"/>
    <w:rsid w:val="0078408B"/>
    <w:rsid w:val="007840EF"/>
    <w:rsid w:val="00784658"/>
    <w:rsid w:val="0078471C"/>
    <w:rsid w:val="00784768"/>
    <w:rsid w:val="00784A61"/>
    <w:rsid w:val="00784EB5"/>
    <w:rsid w:val="00785269"/>
    <w:rsid w:val="007855A6"/>
    <w:rsid w:val="0078574E"/>
    <w:rsid w:val="007857A8"/>
    <w:rsid w:val="00785939"/>
    <w:rsid w:val="00785A04"/>
    <w:rsid w:val="00786038"/>
    <w:rsid w:val="007860C0"/>
    <w:rsid w:val="007869A2"/>
    <w:rsid w:val="00786CD9"/>
    <w:rsid w:val="00787016"/>
    <w:rsid w:val="00787E25"/>
    <w:rsid w:val="00787F37"/>
    <w:rsid w:val="0079002E"/>
    <w:rsid w:val="00790407"/>
    <w:rsid w:val="007908C9"/>
    <w:rsid w:val="00790C64"/>
    <w:rsid w:val="00790F88"/>
    <w:rsid w:val="00790FD0"/>
    <w:rsid w:val="0079100D"/>
    <w:rsid w:val="007911CD"/>
    <w:rsid w:val="00791597"/>
    <w:rsid w:val="007915C4"/>
    <w:rsid w:val="0079182C"/>
    <w:rsid w:val="00791A5F"/>
    <w:rsid w:val="0079249B"/>
    <w:rsid w:val="00792658"/>
    <w:rsid w:val="0079293B"/>
    <w:rsid w:val="00792C15"/>
    <w:rsid w:val="00792C2D"/>
    <w:rsid w:val="00792DA5"/>
    <w:rsid w:val="00792E1B"/>
    <w:rsid w:val="00794069"/>
    <w:rsid w:val="00794740"/>
    <w:rsid w:val="00794815"/>
    <w:rsid w:val="00794A31"/>
    <w:rsid w:val="00794EFF"/>
    <w:rsid w:val="00795928"/>
    <w:rsid w:val="007963AB"/>
    <w:rsid w:val="0079686D"/>
    <w:rsid w:val="007969E1"/>
    <w:rsid w:val="00796C44"/>
    <w:rsid w:val="007977A9"/>
    <w:rsid w:val="00797EBF"/>
    <w:rsid w:val="00797EDE"/>
    <w:rsid w:val="007A0500"/>
    <w:rsid w:val="007A099C"/>
    <w:rsid w:val="007A0BFD"/>
    <w:rsid w:val="007A10B1"/>
    <w:rsid w:val="007A1133"/>
    <w:rsid w:val="007A11B4"/>
    <w:rsid w:val="007A11D7"/>
    <w:rsid w:val="007A1838"/>
    <w:rsid w:val="007A186C"/>
    <w:rsid w:val="007A1B20"/>
    <w:rsid w:val="007A2579"/>
    <w:rsid w:val="007A26E2"/>
    <w:rsid w:val="007A28D4"/>
    <w:rsid w:val="007A2BF4"/>
    <w:rsid w:val="007A2BF5"/>
    <w:rsid w:val="007A2D47"/>
    <w:rsid w:val="007A4B6B"/>
    <w:rsid w:val="007A4CBE"/>
    <w:rsid w:val="007A529F"/>
    <w:rsid w:val="007A565A"/>
    <w:rsid w:val="007A5753"/>
    <w:rsid w:val="007A5C1B"/>
    <w:rsid w:val="007A5CE5"/>
    <w:rsid w:val="007A6039"/>
    <w:rsid w:val="007A6F97"/>
    <w:rsid w:val="007A6FCA"/>
    <w:rsid w:val="007A744D"/>
    <w:rsid w:val="007A773A"/>
    <w:rsid w:val="007B0846"/>
    <w:rsid w:val="007B0CCA"/>
    <w:rsid w:val="007B1070"/>
    <w:rsid w:val="007B1A78"/>
    <w:rsid w:val="007B20CA"/>
    <w:rsid w:val="007B21F1"/>
    <w:rsid w:val="007B2468"/>
    <w:rsid w:val="007B44CE"/>
    <w:rsid w:val="007B4615"/>
    <w:rsid w:val="007B5473"/>
    <w:rsid w:val="007B578B"/>
    <w:rsid w:val="007B5B14"/>
    <w:rsid w:val="007B5BDA"/>
    <w:rsid w:val="007B5F18"/>
    <w:rsid w:val="007B6299"/>
    <w:rsid w:val="007B654E"/>
    <w:rsid w:val="007B73B9"/>
    <w:rsid w:val="007B7466"/>
    <w:rsid w:val="007B7608"/>
    <w:rsid w:val="007B79C9"/>
    <w:rsid w:val="007B7B97"/>
    <w:rsid w:val="007B7BCD"/>
    <w:rsid w:val="007C0351"/>
    <w:rsid w:val="007C0356"/>
    <w:rsid w:val="007C03E0"/>
    <w:rsid w:val="007C06FF"/>
    <w:rsid w:val="007C086F"/>
    <w:rsid w:val="007C232F"/>
    <w:rsid w:val="007C260E"/>
    <w:rsid w:val="007C2F42"/>
    <w:rsid w:val="007C301C"/>
    <w:rsid w:val="007C30AA"/>
    <w:rsid w:val="007C35D3"/>
    <w:rsid w:val="007C37D8"/>
    <w:rsid w:val="007C38B7"/>
    <w:rsid w:val="007C3BBB"/>
    <w:rsid w:val="007C3C50"/>
    <w:rsid w:val="007C5119"/>
    <w:rsid w:val="007C58A9"/>
    <w:rsid w:val="007C5917"/>
    <w:rsid w:val="007C65AB"/>
    <w:rsid w:val="007C662A"/>
    <w:rsid w:val="007C6CCE"/>
    <w:rsid w:val="007C758D"/>
    <w:rsid w:val="007C7845"/>
    <w:rsid w:val="007C7C93"/>
    <w:rsid w:val="007C7E7A"/>
    <w:rsid w:val="007C7EE5"/>
    <w:rsid w:val="007D0335"/>
    <w:rsid w:val="007D071A"/>
    <w:rsid w:val="007D0B58"/>
    <w:rsid w:val="007D143A"/>
    <w:rsid w:val="007D1587"/>
    <w:rsid w:val="007D1674"/>
    <w:rsid w:val="007D1F39"/>
    <w:rsid w:val="007D238D"/>
    <w:rsid w:val="007D25B1"/>
    <w:rsid w:val="007D36A8"/>
    <w:rsid w:val="007D3B55"/>
    <w:rsid w:val="007D3CF2"/>
    <w:rsid w:val="007D4256"/>
    <w:rsid w:val="007D4812"/>
    <w:rsid w:val="007D50D8"/>
    <w:rsid w:val="007D5558"/>
    <w:rsid w:val="007D5B09"/>
    <w:rsid w:val="007D64AB"/>
    <w:rsid w:val="007D65C0"/>
    <w:rsid w:val="007D727F"/>
    <w:rsid w:val="007E0085"/>
    <w:rsid w:val="007E02F5"/>
    <w:rsid w:val="007E1048"/>
    <w:rsid w:val="007E105B"/>
    <w:rsid w:val="007E148D"/>
    <w:rsid w:val="007E152F"/>
    <w:rsid w:val="007E183E"/>
    <w:rsid w:val="007E190C"/>
    <w:rsid w:val="007E21F6"/>
    <w:rsid w:val="007E265B"/>
    <w:rsid w:val="007E282C"/>
    <w:rsid w:val="007E2DA8"/>
    <w:rsid w:val="007E319D"/>
    <w:rsid w:val="007E39C1"/>
    <w:rsid w:val="007E3DCF"/>
    <w:rsid w:val="007E50AE"/>
    <w:rsid w:val="007E56F4"/>
    <w:rsid w:val="007E5C99"/>
    <w:rsid w:val="007E5D5E"/>
    <w:rsid w:val="007E6007"/>
    <w:rsid w:val="007E61A2"/>
    <w:rsid w:val="007E6303"/>
    <w:rsid w:val="007E66F4"/>
    <w:rsid w:val="007E6F3A"/>
    <w:rsid w:val="007E7CE4"/>
    <w:rsid w:val="007F0082"/>
    <w:rsid w:val="007F030F"/>
    <w:rsid w:val="007F0685"/>
    <w:rsid w:val="007F0C09"/>
    <w:rsid w:val="007F1030"/>
    <w:rsid w:val="007F19DE"/>
    <w:rsid w:val="007F1B12"/>
    <w:rsid w:val="007F21CC"/>
    <w:rsid w:val="007F3005"/>
    <w:rsid w:val="007F30EA"/>
    <w:rsid w:val="007F312C"/>
    <w:rsid w:val="007F4BD8"/>
    <w:rsid w:val="007F5216"/>
    <w:rsid w:val="007F5623"/>
    <w:rsid w:val="007F57A2"/>
    <w:rsid w:val="007F592B"/>
    <w:rsid w:val="007F673F"/>
    <w:rsid w:val="007F675D"/>
    <w:rsid w:val="007F6E90"/>
    <w:rsid w:val="007F72BC"/>
    <w:rsid w:val="007F7D06"/>
    <w:rsid w:val="00800B7B"/>
    <w:rsid w:val="0080127B"/>
    <w:rsid w:val="00801283"/>
    <w:rsid w:val="00801295"/>
    <w:rsid w:val="00801373"/>
    <w:rsid w:val="00801A48"/>
    <w:rsid w:val="00801E54"/>
    <w:rsid w:val="008021DB"/>
    <w:rsid w:val="00802CA2"/>
    <w:rsid w:val="00802E39"/>
    <w:rsid w:val="0080300D"/>
    <w:rsid w:val="0080348E"/>
    <w:rsid w:val="00803657"/>
    <w:rsid w:val="00803D63"/>
    <w:rsid w:val="00803DFF"/>
    <w:rsid w:val="00803F1A"/>
    <w:rsid w:val="00804082"/>
    <w:rsid w:val="00804419"/>
    <w:rsid w:val="008046F2"/>
    <w:rsid w:val="00804C14"/>
    <w:rsid w:val="00804FF1"/>
    <w:rsid w:val="0080547E"/>
    <w:rsid w:val="00805C87"/>
    <w:rsid w:val="00805CC8"/>
    <w:rsid w:val="00806624"/>
    <w:rsid w:val="00806C99"/>
    <w:rsid w:val="00806F99"/>
    <w:rsid w:val="00807497"/>
    <w:rsid w:val="00807765"/>
    <w:rsid w:val="008106B8"/>
    <w:rsid w:val="00810B91"/>
    <w:rsid w:val="008112DE"/>
    <w:rsid w:val="00811B39"/>
    <w:rsid w:val="00811C15"/>
    <w:rsid w:val="00811E13"/>
    <w:rsid w:val="0081207A"/>
    <w:rsid w:val="0081270A"/>
    <w:rsid w:val="00812B00"/>
    <w:rsid w:val="00812D3F"/>
    <w:rsid w:val="0081330B"/>
    <w:rsid w:val="008134E5"/>
    <w:rsid w:val="0081387E"/>
    <w:rsid w:val="008145DB"/>
    <w:rsid w:val="008148F6"/>
    <w:rsid w:val="00814CF4"/>
    <w:rsid w:val="008158BE"/>
    <w:rsid w:val="008159E1"/>
    <w:rsid w:val="00815BE9"/>
    <w:rsid w:val="00815C84"/>
    <w:rsid w:val="00816C99"/>
    <w:rsid w:val="00816EAD"/>
    <w:rsid w:val="00821707"/>
    <w:rsid w:val="0082195A"/>
    <w:rsid w:val="00821D9D"/>
    <w:rsid w:val="00821E90"/>
    <w:rsid w:val="00822296"/>
    <w:rsid w:val="008224DC"/>
    <w:rsid w:val="008237FC"/>
    <w:rsid w:val="00823AAC"/>
    <w:rsid w:val="00823F41"/>
    <w:rsid w:val="008257F4"/>
    <w:rsid w:val="008262DC"/>
    <w:rsid w:val="00826BB7"/>
    <w:rsid w:val="00826D3F"/>
    <w:rsid w:val="00827DB9"/>
    <w:rsid w:val="00827F90"/>
    <w:rsid w:val="008300A6"/>
    <w:rsid w:val="00830384"/>
    <w:rsid w:val="00830D49"/>
    <w:rsid w:val="00830F73"/>
    <w:rsid w:val="0083103E"/>
    <w:rsid w:val="008310B6"/>
    <w:rsid w:val="008312A9"/>
    <w:rsid w:val="0083171D"/>
    <w:rsid w:val="00831856"/>
    <w:rsid w:val="00831EE8"/>
    <w:rsid w:val="00831EF3"/>
    <w:rsid w:val="00832684"/>
    <w:rsid w:val="00832706"/>
    <w:rsid w:val="00832797"/>
    <w:rsid w:val="008327A0"/>
    <w:rsid w:val="008329EA"/>
    <w:rsid w:val="00832ABE"/>
    <w:rsid w:val="00832C9F"/>
    <w:rsid w:val="00833196"/>
    <w:rsid w:val="008336F6"/>
    <w:rsid w:val="00833F13"/>
    <w:rsid w:val="00834293"/>
    <w:rsid w:val="008346BE"/>
    <w:rsid w:val="00835766"/>
    <w:rsid w:val="0083602C"/>
    <w:rsid w:val="0083676A"/>
    <w:rsid w:val="00836787"/>
    <w:rsid w:val="00836911"/>
    <w:rsid w:val="00836B53"/>
    <w:rsid w:val="00836BA7"/>
    <w:rsid w:val="00836C45"/>
    <w:rsid w:val="00837709"/>
    <w:rsid w:val="00837845"/>
    <w:rsid w:val="0083798E"/>
    <w:rsid w:val="0084022F"/>
    <w:rsid w:val="00840403"/>
    <w:rsid w:val="00840448"/>
    <w:rsid w:val="008404EC"/>
    <w:rsid w:val="00840B01"/>
    <w:rsid w:val="008411DA"/>
    <w:rsid w:val="00841F20"/>
    <w:rsid w:val="00842268"/>
    <w:rsid w:val="00842970"/>
    <w:rsid w:val="00842CC3"/>
    <w:rsid w:val="00842D8D"/>
    <w:rsid w:val="00842E29"/>
    <w:rsid w:val="00842F28"/>
    <w:rsid w:val="0084330D"/>
    <w:rsid w:val="0084338B"/>
    <w:rsid w:val="0084376B"/>
    <w:rsid w:val="00843BAF"/>
    <w:rsid w:val="00843E1D"/>
    <w:rsid w:val="00843F34"/>
    <w:rsid w:val="00844977"/>
    <w:rsid w:val="00844CA6"/>
    <w:rsid w:val="00845209"/>
    <w:rsid w:val="00845402"/>
    <w:rsid w:val="00846350"/>
    <w:rsid w:val="00846966"/>
    <w:rsid w:val="00847035"/>
    <w:rsid w:val="00847291"/>
    <w:rsid w:val="00847371"/>
    <w:rsid w:val="0085003C"/>
    <w:rsid w:val="008501BD"/>
    <w:rsid w:val="008502E2"/>
    <w:rsid w:val="00850E5A"/>
    <w:rsid w:val="0085122F"/>
    <w:rsid w:val="00851358"/>
    <w:rsid w:val="0085188E"/>
    <w:rsid w:val="008519C0"/>
    <w:rsid w:val="00851CC4"/>
    <w:rsid w:val="00851FD1"/>
    <w:rsid w:val="0085266F"/>
    <w:rsid w:val="008527ED"/>
    <w:rsid w:val="00852887"/>
    <w:rsid w:val="008528DF"/>
    <w:rsid w:val="00852A54"/>
    <w:rsid w:val="00852DDC"/>
    <w:rsid w:val="008545BF"/>
    <w:rsid w:val="00854C6C"/>
    <w:rsid w:val="00856149"/>
    <w:rsid w:val="008561DB"/>
    <w:rsid w:val="00856627"/>
    <w:rsid w:val="0085781D"/>
    <w:rsid w:val="00857A79"/>
    <w:rsid w:val="00857B77"/>
    <w:rsid w:val="00857EFA"/>
    <w:rsid w:val="0086003A"/>
    <w:rsid w:val="00860331"/>
    <w:rsid w:val="00860A1E"/>
    <w:rsid w:val="00860A8C"/>
    <w:rsid w:val="00860D3B"/>
    <w:rsid w:val="008611AA"/>
    <w:rsid w:val="00862354"/>
    <w:rsid w:val="008630A4"/>
    <w:rsid w:val="0086318E"/>
    <w:rsid w:val="00863358"/>
    <w:rsid w:val="008633B4"/>
    <w:rsid w:val="008633C2"/>
    <w:rsid w:val="00864612"/>
    <w:rsid w:val="00864B90"/>
    <w:rsid w:val="00864D26"/>
    <w:rsid w:val="00865506"/>
    <w:rsid w:val="00866345"/>
    <w:rsid w:val="0086695D"/>
    <w:rsid w:val="008674B4"/>
    <w:rsid w:val="008675CF"/>
    <w:rsid w:val="0086787E"/>
    <w:rsid w:val="00867941"/>
    <w:rsid w:val="00867C2D"/>
    <w:rsid w:val="00867C82"/>
    <w:rsid w:val="008702A1"/>
    <w:rsid w:val="00870507"/>
    <w:rsid w:val="00870AB5"/>
    <w:rsid w:val="008712A9"/>
    <w:rsid w:val="0087130E"/>
    <w:rsid w:val="008718DC"/>
    <w:rsid w:val="00871CC9"/>
    <w:rsid w:val="00871F2A"/>
    <w:rsid w:val="008720C5"/>
    <w:rsid w:val="0087293E"/>
    <w:rsid w:val="00872A95"/>
    <w:rsid w:val="00872B0E"/>
    <w:rsid w:val="00873FFE"/>
    <w:rsid w:val="00874504"/>
    <w:rsid w:val="00874698"/>
    <w:rsid w:val="008754D2"/>
    <w:rsid w:val="00875A65"/>
    <w:rsid w:val="00876262"/>
    <w:rsid w:val="00877379"/>
    <w:rsid w:val="00877A27"/>
    <w:rsid w:val="00877F3D"/>
    <w:rsid w:val="00880026"/>
    <w:rsid w:val="0088077F"/>
    <w:rsid w:val="00880B05"/>
    <w:rsid w:val="00880EDC"/>
    <w:rsid w:val="00881792"/>
    <w:rsid w:val="0088184D"/>
    <w:rsid w:val="00882B01"/>
    <w:rsid w:val="00882C7F"/>
    <w:rsid w:val="0088328E"/>
    <w:rsid w:val="008836DE"/>
    <w:rsid w:val="00883A4F"/>
    <w:rsid w:val="00883FBA"/>
    <w:rsid w:val="008840D6"/>
    <w:rsid w:val="0088472B"/>
    <w:rsid w:val="0088518E"/>
    <w:rsid w:val="008851AC"/>
    <w:rsid w:val="008854D0"/>
    <w:rsid w:val="00885625"/>
    <w:rsid w:val="008861C5"/>
    <w:rsid w:val="00886D60"/>
    <w:rsid w:val="0088735D"/>
    <w:rsid w:val="0088772E"/>
    <w:rsid w:val="0089002B"/>
    <w:rsid w:val="0089009A"/>
    <w:rsid w:val="00891371"/>
    <w:rsid w:val="0089164E"/>
    <w:rsid w:val="00891A2C"/>
    <w:rsid w:val="00892468"/>
    <w:rsid w:val="008930A9"/>
    <w:rsid w:val="008933A1"/>
    <w:rsid w:val="0089386C"/>
    <w:rsid w:val="00893A27"/>
    <w:rsid w:val="00893D1B"/>
    <w:rsid w:val="00894770"/>
    <w:rsid w:val="0089496A"/>
    <w:rsid w:val="00894A0B"/>
    <w:rsid w:val="00894A73"/>
    <w:rsid w:val="00894D11"/>
    <w:rsid w:val="0089510E"/>
    <w:rsid w:val="008958B0"/>
    <w:rsid w:val="00895903"/>
    <w:rsid w:val="00895D67"/>
    <w:rsid w:val="00897274"/>
    <w:rsid w:val="0089789A"/>
    <w:rsid w:val="008979B1"/>
    <w:rsid w:val="00897A2C"/>
    <w:rsid w:val="008A0183"/>
    <w:rsid w:val="008A0509"/>
    <w:rsid w:val="008A0DDD"/>
    <w:rsid w:val="008A112E"/>
    <w:rsid w:val="008A125B"/>
    <w:rsid w:val="008A12AF"/>
    <w:rsid w:val="008A154F"/>
    <w:rsid w:val="008A183F"/>
    <w:rsid w:val="008A21DE"/>
    <w:rsid w:val="008A2214"/>
    <w:rsid w:val="008A2AED"/>
    <w:rsid w:val="008A34FB"/>
    <w:rsid w:val="008A37BD"/>
    <w:rsid w:val="008A382F"/>
    <w:rsid w:val="008A4B4B"/>
    <w:rsid w:val="008A4DE6"/>
    <w:rsid w:val="008A5034"/>
    <w:rsid w:val="008A523B"/>
    <w:rsid w:val="008A5837"/>
    <w:rsid w:val="008A5A3F"/>
    <w:rsid w:val="008A5D16"/>
    <w:rsid w:val="008A5DAA"/>
    <w:rsid w:val="008A5E64"/>
    <w:rsid w:val="008A616D"/>
    <w:rsid w:val="008A67AC"/>
    <w:rsid w:val="008A691E"/>
    <w:rsid w:val="008A7132"/>
    <w:rsid w:val="008A7553"/>
    <w:rsid w:val="008A7837"/>
    <w:rsid w:val="008B0172"/>
    <w:rsid w:val="008B06CC"/>
    <w:rsid w:val="008B0986"/>
    <w:rsid w:val="008B0FC7"/>
    <w:rsid w:val="008B127E"/>
    <w:rsid w:val="008B12A6"/>
    <w:rsid w:val="008B12B3"/>
    <w:rsid w:val="008B16B4"/>
    <w:rsid w:val="008B19BD"/>
    <w:rsid w:val="008B1DDD"/>
    <w:rsid w:val="008B2F37"/>
    <w:rsid w:val="008B3883"/>
    <w:rsid w:val="008B3C0E"/>
    <w:rsid w:val="008B421F"/>
    <w:rsid w:val="008B4946"/>
    <w:rsid w:val="008B4EB3"/>
    <w:rsid w:val="008B4F5A"/>
    <w:rsid w:val="008B5BB3"/>
    <w:rsid w:val="008B66C1"/>
    <w:rsid w:val="008B71BA"/>
    <w:rsid w:val="008B73EA"/>
    <w:rsid w:val="008B7B57"/>
    <w:rsid w:val="008C001A"/>
    <w:rsid w:val="008C0B4C"/>
    <w:rsid w:val="008C0D1B"/>
    <w:rsid w:val="008C11E8"/>
    <w:rsid w:val="008C1233"/>
    <w:rsid w:val="008C1386"/>
    <w:rsid w:val="008C16C4"/>
    <w:rsid w:val="008C1A77"/>
    <w:rsid w:val="008C1AAB"/>
    <w:rsid w:val="008C338F"/>
    <w:rsid w:val="008C34EF"/>
    <w:rsid w:val="008C3A4D"/>
    <w:rsid w:val="008C3EFF"/>
    <w:rsid w:val="008C4C8E"/>
    <w:rsid w:val="008C4E62"/>
    <w:rsid w:val="008C50BF"/>
    <w:rsid w:val="008C5155"/>
    <w:rsid w:val="008C58EE"/>
    <w:rsid w:val="008C5922"/>
    <w:rsid w:val="008C6863"/>
    <w:rsid w:val="008C6A44"/>
    <w:rsid w:val="008C6A50"/>
    <w:rsid w:val="008C6E8A"/>
    <w:rsid w:val="008C70BA"/>
    <w:rsid w:val="008C747A"/>
    <w:rsid w:val="008C7A3D"/>
    <w:rsid w:val="008C7ADA"/>
    <w:rsid w:val="008D0195"/>
    <w:rsid w:val="008D0304"/>
    <w:rsid w:val="008D0328"/>
    <w:rsid w:val="008D0B39"/>
    <w:rsid w:val="008D1182"/>
    <w:rsid w:val="008D1444"/>
    <w:rsid w:val="008D1676"/>
    <w:rsid w:val="008D19CB"/>
    <w:rsid w:val="008D1CEA"/>
    <w:rsid w:val="008D1D0F"/>
    <w:rsid w:val="008D20C2"/>
    <w:rsid w:val="008D215C"/>
    <w:rsid w:val="008D2729"/>
    <w:rsid w:val="008D2E24"/>
    <w:rsid w:val="008D2F7F"/>
    <w:rsid w:val="008D3905"/>
    <w:rsid w:val="008D423F"/>
    <w:rsid w:val="008D467C"/>
    <w:rsid w:val="008D4694"/>
    <w:rsid w:val="008D46D4"/>
    <w:rsid w:val="008D4799"/>
    <w:rsid w:val="008D4DB9"/>
    <w:rsid w:val="008D5BFC"/>
    <w:rsid w:val="008D6173"/>
    <w:rsid w:val="008D648D"/>
    <w:rsid w:val="008D674C"/>
    <w:rsid w:val="008D6E79"/>
    <w:rsid w:val="008D7650"/>
    <w:rsid w:val="008D7696"/>
    <w:rsid w:val="008D7F6F"/>
    <w:rsid w:val="008E038B"/>
    <w:rsid w:val="008E0508"/>
    <w:rsid w:val="008E0BCF"/>
    <w:rsid w:val="008E0D16"/>
    <w:rsid w:val="008E1616"/>
    <w:rsid w:val="008E16E6"/>
    <w:rsid w:val="008E1784"/>
    <w:rsid w:val="008E18C5"/>
    <w:rsid w:val="008E1A87"/>
    <w:rsid w:val="008E25F5"/>
    <w:rsid w:val="008E26A3"/>
    <w:rsid w:val="008E294A"/>
    <w:rsid w:val="008E2AA0"/>
    <w:rsid w:val="008E2EF9"/>
    <w:rsid w:val="008E3011"/>
    <w:rsid w:val="008E31EB"/>
    <w:rsid w:val="008E41AE"/>
    <w:rsid w:val="008E4F00"/>
    <w:rsid w:val="008E5549"/>
    <w:rsid w:val="008E5936"/>
    <w:rsid w:val="008E5D66"/>
    <w:rsid w:val="008E5F66"/>
    <w:rsid w:val="008E637E"/>
    <w:rsid w:val="008E66FD"/>
    <w:rsid w:val="008E7334"/>
    <w:rsid w:val="008E7494"/>
    <w:rsid w:val="008F0B20"/>
    <w:rsid w:val="008F1026"/>
    <w:rsid w:val="008F1136"/>
    <w:rsid w:val="008F26DE"/>
    <w:rsid w:val="008F39E6"/>
    <w:rsid w:val="008F4227"/>
    <w:rsid w:val="008F43AA"/>
    <w:rsid w:val="008F48E1"/>
    <w:rsid w:val="008F500B"/>
    <w:rsid w:val="008F674C"/>
    <w:rsid w:val="008F738A"/>
    <w:rsid w:val="008F7625"/>
    <w:rsid w:val="008F770F"/>
    <w:rsid w:val="008F7C4E"/>
    <w:rsid w:val="008F7CC8"/>
    <w:rsid w:val="008F7F3A"/>
    <w:rsid w:val="009006AD"/>
    <w:rsid w:val="00900E26"/>
    <w:rsid w:val="00901753"/>
    <w:rsid w:val="009017F2"/>
    <w:rsid w:val="00901B2F"/>
    <w:rsid w:val="00901C60"/>
    <w:rsid w:val="009020E6"/>
    <w:rsid w:val="00902496"/>
    <w:rsid w:val="009025AE"/>
    <w:rsid w:val="00902724"/>
    <w:rsid w:val="0090281A"/>
    <w:rsid w:val="00903098"/>
    <w:rsid w:val="00903346"/>
    <w:rsid w:val="009034DA"/>
    <w:rsid w:val="00904178"/>
    <w:rsid w:val="009041E2"/>
    <w:rsid w:val="00904B46"/>
    <w:rsid w:val="00904C1D"/>
    <w:rsid w:val="00904FD1"/>
    <w:rsid w:val="00905855"/>
    <w:rsid w:val="0090587C"/>
    <w:rsid w:val="00905C2C"/>
    <w:rsid w:val="00906767"/>
    <w:rsid w:val="00906DEF"/>
    <w:rsid w:val="009071D0"/>
    <w:rsid w:val="0090742D"/>
    <w:rsid w:val="009075A2"/>
    <w:rsid w:val="009075FE"/>
    <w:rsid w:val="00907922"/>
    <w:rsid w:val="009100D5"/>
    <w:rsid w:val="00910317"/>
    <w:rsid w:val="009107ED"/>
    <w:rsid w:val="00910EF9"/>
    <w:rsid w:val="0091124D"/>
    <w:rsid w:val="00911AB3"/>
    <w:rsid w:val="00911AED"/>
    <w:rsid w:val="00911E89"/>
    <w:rsid w:val="009122D8"/>
    <w:rsid w:val="0091281B"/>
    <w:rsid w:val="0091286A"/>
    <w:rsid w:val="00912A17"/>
    <w:rsid w:val="00913518"/>
    <w:rsid w:val="00913683"/>
    <w:rsid w:val="00914E04"/>
    <w:rsid w:val="00914F15"/>
    <w:rsid w:val="009154EA"/>
    <w:rsid w:val="009155E0"/>
    <w:rsid w:val="00915CB1"/>
    <w:rsid w:val="00915E0A"/>
    <w:rsid w:val="00915E7A"/>
    <w:rsid w:val="0091630B"/>
    <w:rsid w:val="009163DC"/>
    <w:rsid w:val="00917037"/>
    <w:rsid w:val="009172FB"/>
    <w:rsid w:val="00917763"/>
    <w:rsid w:val="00917BCB"/>
    <w:rsid w:val="00917CB1"/>
    <w:rsid w:val="0092072B"/>
    <w:rsid w:val="00920C52"/>
    <w:rsid w:val="0092115A"/>
    <w:rsid w:val="00921273"/>
    <w:rsid w:val="0092152B"/>
    <w:rsid w:val="00921857"/>
    <w:rsid w:val="00921A36"/>
    <w:rsid w:val="00921B89"/>
    <w:rsid w:val="00921F2F"/>
    <w:rsid w:val="00921FE2"/>
    <w:rsid w:val="009221ED"/>
    <w:rsid w:val="00922C11"/>
    <w:rsid w:val="00922DE1"/>
    <w:rsid w:val="009230A2"/>
    <w:rsid w:val="0092311C"/>
    <w:rsid w:val="00923469"/>
    <w:rsid w:val="009235B9"/>
    <w:rsid w:val="00923778"/>
    <w:rsid w:val="009242BE"/>
    <w:rsid w:val="00924838"/>
    <w:rsid w:val="00924C94"/>
    <w:rsid w:val="00925056"/>
    <w:rsid w:val="009256FF"/>
    <w:rsid w:val="0092572D"/>
    <w:rsid w:val="00925D80"/>
    <w:rsid w:val="009270CA"/>
    <w:rsid w:val="00927523"/>
    <w:rsid w:val="00927E30"/>
    <w:rsid w:val="009303A1"/>
    <w:rsid w:val="00930F22"/>
    <w:rsid w:val="00931685"/>
    <w:rsid w:val="009317EC"/>
    <w:rsid w:val="00931E74"/>
    <w:rsid w:val="009321FB"/>
    <w:rsid w:val="009326E4"/>
    <w:rsid w:val="00932B4C"/>
    <w:rsid w:val="00933816"/>
    <w:rsid w:val="009339E2"/>
    <w:rsid w:val="00933BF2"/>
    <w:rsid w:val="00933D9E"/>
    <w:rsid w:val="00934092"/>
    <w:rsid w:val="009341F8"/>
    <w:rsid w:val="009355A4"/>
    <w:rsid w:val="009355EB"/>
    <w:rsid w:val="00935718"/>
    <w:rsid w:val="0093684F"/>
    <w:rsid w:val="00937D22"/>
    <w:rsid w:val="00940A78"/>
    <w:rsid w:val="00940C16"/>
    <w:rsid w:val="00941361"/>
    <w:rsid w:val="00941E12"/>
    <w:rsid w:val="00941F08"/>
    <w:rsid w:val="00942057"/>
    <w:rsid w:val="009424A2"/>
    <w:rsid w:val="009425C6"/>
    <w:rsid w:val="009427B1"/>
    <w:rsid w:val="00942EC3"/>
    <w:rsid w:val="00942EE7"/>
    <w:rsid w:val="009430A6"/>
    <w:rsid w:val="00943908"/>
    <w:rsid w:val="009440D0"/>
    <w:rsid w:val="00944148"/>
    <w:rsid w:val="009442C0"/>
    <w:rsid w:val="0094444B"/>
    <w:rsid w:val="00944DA3"/>
    <w:rsid w:val="009450A4"/>
    <w:rsid w:val="009456B6"/>
    <w:rsid w:val="009458A1"/>
    <w:rsid w:val="00946193"/>
    <w:rsid w:val="00946656"/>
    <w:rsid w:val="00946935"/>
    <w:rsid w:val="00946F0E"/>
    <w:rsid w:val="009474E4"/>
    <w:rsid w:val="00950730"/>
    <w:rsid w:val="00950777"/>
    <w:rsid w:val="00951A9E"/>
    <w:rsid w:val="00952461"/>
    <w:rsid w:val="0095272E"/>
    <w:rsid w:val="00952E66"/>
    <w:rsid w:val="00953017"/>
    <w:rsid w:val="0095311E"/>
    <w:rsid w:val="009545B4"/>
    <w:rsid w:val="00954AA8"/>
    <w:rsid w:val="00954CD5"/>
    <w:rsid w:val="00955153"/>
    <w:rsid w:val="009560A8"/>
    <w:rsid w:val="009565DA"/>
    <w:rsid w:val="00956A71"/>
    <w:rsid w:val="00956B29"/>
    <w:rsid w:val="00956E8A"/>
    <w:rsid w:val="0095708E"/>
    <w:rsid w:val="00957741"/>
    <w:rsid w:val="00957FFC"/>
    <w:rsid w:val="0096021B"/>
    <w:rsid w:val="009606D8"/>
    <w:rsid w:val="00960BC0"/>
    <w:rsid w:val="00960ED6"/>
    <w:rsid w:val="00961489"/>
    <w:rsid w:val="00961590"/>
    <w:rsid w:val="00962103"/>
    <w:rsid w:val="009624E9"/>
    <w:rsid w:val="00962511"/>
    <w:rsid w:val="00962DD3"/>
    <w:rsid w:val="009632F2"/>
    <w:rsid w:val="00964330"/>
    <w:rsid w:val="009645BB"/>
    <w:rsid w:val="0096461E"/>
    <w:rsid w:val="009646A1"/>
    <w:rsid w:val="0096482B"/>
    <w:rsid w:val="00964C01"/>
    <w:rsid w:val="00964FAB"/>
    <w:rsid w:val="00965492"/>
    <w:rsid w:val="009659F3"/>
    <w:rsid w:val="00965CFA"/>
    <w:rsid w:val="009663DD"/>
    <w:rsid w:val="00966BBD"/>
    <w:rsid w:val="00966DEC"/>
    <w:rsid w:val="00966DFD"/>
    <w:rsid w:val="0096766E"/>
    <w:rsid w:val="00967959"/>
    <w:rsid w:val="00967C81"/>
    <w:rsid w:val="00967CC7"/>
    <w:rsid w:val="00967F3C"/>
    <w:rsid w:val="009700E6"/>
    <w:rsid w:val="009708EB"/>
    <w:rsid w:val="00970A89"/>
    <w:rsid w:val="00970AEA"/>
    <w:rsid w:val="00970ECF"/>
    <w:rsid w:val="0097100D"/>
    <w:rsid w:val="00972291"/>
    <w:rsid w:val="0097230C"/>
    <w:rsid w:val="0097243A"/>
    <w:rsid w:val="009733F0"/>
    <w:rsid w:val="0097354C"/>
    <w:rsid w:val="009736F3"/>
    <w:rsid w:val="00973C0C"/>
    <w:rsid w:val="00973E1F"/>
    <w:rsid w:val="00973E36"/>
    <w:rsid w:val="0097425C"/>
    <w:rsid w:val="009746F0"/>
    <w:rsid w:val="00974703"/>
    <w:rsid w:val="00974CB0"/>
    <w:rsid w:val="00975881"/>
    <w:rsid w:val="00976117"/>
    <w:rsid w:val="00976625"/>
    <w:rsid w:val="0097668C"/>
    <w:rsid w:val="00977018"/>
    <w:rsid w:val="009771CB"/>
    <w:rsid w:val="00977248"/>
    <w:rsid w:val="00977848"/>
    <w:rsid w:val="00977CA0"/>
    <w:rsid w:val="00977DD4"/>
    <w:rsid w:val="0098027B"/>
    <w:rsid w:val="009802E5"/>
    <w:rsid w:val="009802F6"/>
    <w:rsid w:val="00980441"/>
    <w:rsid w:val="00980CC3"/>
    <w:rsid w:val="00981180"/>
    <w:rsid w:val="009816D4"/>
    <w:rsid w:val="00981C9E"/>
    <w:rsid w:val="0098293E"/>
    <w:rsid w:val="00982965"/>
    <w:rsid w:val="00982C99"/>
    <w:rsid w:val="0098369D"/>
    <w:rsid w:val="00984B00"/>
    <w:rsid w:val="00984BC6"/>
    <w:rsid w:val="00985079"/>
    <w:rsid w:val="009851EE"/>
    <w:rsid w:val="009851FB"/>
    <w:rsid w:val="00985401"/>
    <w:rsid w:val="00985404"/>
    <w:rsid w:val="00985535"/>
    <w:rsid w:val="00985BD6"/>
    <w:rsid w:val="00990239"/>
    <w:rsid w:val="0099141F"/>
    <w:rsid w:val="0099195C"/>
    <w:rsid w:val="00991E7B"/>
    <w:rsid w:val="00991FB9"/>
    <w:rsid w:val="009922B5"/>
    <w:rsid w:val="00992318"/>
    <w:rsid w:val="009929CA"/>
    <w:rsid w:val="00992DFC"/>
    <w:rsid w:val="00993735"/>
    <w:rsid w:val="0099496F"/>
    <w:rsid w:val="00994A0C"/>
    <w:rsid w:val="00994B9C"/>
    <w:rsid w:val="00995284"/>
    <w:rsid w:val="0099587F"/>
    <w:rsid w:val="00995AFE"/>
    <w:rsid w:val="00995B30"/>
    <w:rsid w:val="00996CE7"/>
    <w:rsid w:val="00997522"/>
    <w:rsid w:val="00997529"/>
    <w:rsid w:val="00997E95"/>
    <w:rsid w:val="009A0A73"/>
    <w:rsid w:val="009A11EF"/>
    <w:rsid w:val="009A1409"/>
    <w:rsid w:val="009A1929"/>
    <w:rsid w:val="009A1B95"/>
    <w:rsid w:val="009A1CD9"/>
    <w:rsid w:val="009A2324"/>
    <w:rsid w:val="009A279F"/>
    <w:rsid w:val="009A2A6E"/>
    <w:rsid w:val="009A2B87"/>
    <w:rsid w:val="009A2F9C"/>
    <w:rsid w:val="009A39EE"/>
    <w:rsid w:val="009A43E1"/>
    <w:rsid w:val="009A51F5"/>
    <w:rsid w:val="009A582F"/>
    <w:rsid w:val="009A5E9F"/>
    <w:rsid w:val="009A7155"/>
    <w:rsid w:val="009A7169"/>
    <w:rsid w:val="009A7662"/>
    <w:rsid w:val="009A790A"/>
    <w:rsid w:val="009A7D3E"/>
    <w:rsid w:val="009B0774"/>
    <w:rsid w:val="009B0A48"/>
    <w:rsid w:val="009B11FA"/>
    <w:rsid w:val="009B189D"/>
    <w:rsid w:val="009B1F32"/>
    <w:rsid w:val="009B21A0"/>
    <w:rsid w:val="009B27F0"/>
    <w:rsid w:val="009B2FF8"/>
    <w:rsid w:val="009B3531"/>
    <w:rsid w:val="009B39DE"/>
    <w:rsid w:val="009B3A3B"/>
    <w:rsid w:val="009B3C6A"/>
    <w:rsid w:val="009B44B8"/>
    <w:rsid w:val="009B4B16"/>
    <w:rsid w:val="009B4C09"/>
    <w:rsid w:val="009B5025"/>
    <w:rsid w:val="009B550C"/>
    <w:rsid w:val="009B68F0"/>
    <w:rsid w:val="009B69C4"/>
    <w:rsid w:val="009B6D06"/>
    <w:rsid w:val="009B6EE2"/>
    <w:rsid w:val="009B7867"/>
    <w:rsid w:val="009B7D4F"/>
    <w:rsid w:val="009C02EB"/>
    <w:rsid w:val="009C154D"/>
    <w:rsid w:val="009C1913"/>
    <w:rsid w:val="009C23D6"/>
    <w:rsid w:val="009C259C"/>
    <w:rsid w:val="009C2B5B"/>
    <w:rsid w:val="009C2D9C"/>
    <w:rsid w:val="009C2F9E"/>
    <w:rsid w:val="009C3148"/>
    <w:rsid w:val="009C38F1"/>
    <w:rsid w:val="009C435E"/>
    <w:rsid w:val="009C437E"/>
    <w:rsid w:val="009C43DC"/>
    <w:rsid w:val="009C51EF"/>
    <w:rsid w:val="009C595E"/>
    <w:rsid w:val="009C5C11"/>
    <w:rsid w:val="009C72DA"/>
    <w:rsid w:val="009C73D7"/>
    <w:rsid w:val="009C7834"/>
    <w:rsid w:val="009C7B0A"/>
    <w:rsid w:val="009C7B29"/>
    <w:rsid w:val="009D0035"/>
    <w:rsid w:val="009D011D"/>
    <w:rsid w:val="009D061C"/>
    <w:rsid w:val="009D07AC"/>
    <w:rsid w:val="009D08FA"/>
    <w:rsid w:val="009D0D50"/>
    <w:rsid w:val="009D16E2"/>
    <w:rsid w:val="009D1738"/>
    <w:rsid w:val="009D20B2"/>
    <w:rsid w:val="009D221F"/>
    <w:rsid w:val="009D2EFD"/>
    <w:rsid w:val="009D3C5C"/>
    <w:rsid w:val="009D3DDD"/>
    <w:rsid w:val="009D3FC0"/>
    <w:rsid w:val="009D4138"/>
    <w:rsid w:val="009D4865"/>
    <w:rsid w:val="009D4ADB"/>
    <w:rsid w:val="009D4FE2"/>
    <w:rsid w:val="009D50C8"/>
    <w:rsid w:val="009D553E"/>
    <w:rsid w:val="009D5DFB"/>
    <w:rsid w:val="009D6049"/>
    <w:rsid w:val="009D6106"/>
    <w:rsid w:val="009D61F2"/>
    <w:rsid w:val="009D67EE"/>
    <w:rsid w:val="009D740A"/>
    <w:rsid w:val="009D74F8"/>
    <w:rsid w:val="009D7ADD"/>
    <w:rsid w:val="009E00E7"/>
    <w:rsid w:val="009E04DC"/>
    <w:rsid w:val="009E1124"/>
    <w:rsid w:val="009E15D8"/>
    <w:rsid w:val="009E1DBB"/>
    <w:rsid w:val="009E241A"/>
    <w:rsid w:val="009E28C2"/>
    <w:rsid w:val="009E2E5E"/>
    <w:rsid w:val="009E2E6D"/>
    <w:rsid w:val="009E2F2E"/>
    <w:rsid w:val="009E35A0"/>
    <w:rsid w:val="009E3816"/>
    <w:rsid w:val="009E4395"/>
    <w:rsid w:val="009E49CD"/>
    <w:rsid w:val="009E4F57"/>
    <w:rsid w:val="009E5B67"/>
    <w:rsid w:val="009E5FFB"/>
    <w:rsid w:val="009E61A3"/>
    <w:rsid w:val="009E6387"/>
    <w:rsid w:val="009E69F7"/>
    <w:rsid w:val="009E7433"/>
    <w:rsid w:val="009E74D4"/>
    <w:rsid w:val="009E756A"/>
    <w:rsid w:val="009E7650"/>
    <w:rsid w:val="009E782A"/>
    <w:rsid w:val="009E7A62"/>
    <w:rsid w:val="009E7B29"/>
    <w:rsid w:val="009E7D3B"/>
    <w:rsid w:val="009F047B"/>
    <w:rsid w:val="009F0899"/>
    <w:rsid w:val="009F0A3F"/>
    <w:rsid w:val="009F117E"/>
    <w:rsid w:val="009F1275"/>
    <w:rsid w:val="009F2131"/>
    <w:rsid w:val="009F26D4"/>
    <w:rsid w:val="009F26E6"/>
    <w:rsid w:val="009F384C"/>
    <w:rsid w:val="009F4241"/>
    <w:rsid w:val="009F4262"/>
    <w:rsid w:val="009F44CF"/>
    <w:rsid w:val="009F4543"/>
    <w:rsid w:val="009F4B79"/>
    <w:rsid w:val="009F4EE8"/>
    <w:rsid w:val="009F504C"/>
    <w:rsid w:val="009F5108"/>
    <w:rsid w:val="009F5122"/>
    <w:rsid w:val="009F55CB"/>
    <w:rsid w:val="009F5662"/>
    <w:rsid w:val="009F57A4"/>
    <w:rsid w:val="009F58B0"/>
    <w:rsid w:val="009F6AAD"/>
    <w:rsid w:val="009F6BB9"/>
    <w:rsid w:val="009F6C91"/>
    <w:rsid w:val="009F6D98"/>
    <w:rsid w:val="009F757C"/>
    <w:rsid w:val="009F76EB"/>
    <w:rsid w:val="009F79DF"/>
    <w:rsid w:val="009F7A20"/>
    <w:rsid w:val="00A000AF"/>
    <w:rsid w:val="00A000EF"/>
    <w:rsid w:val="00A00909"/>
    <w:rsid w:val="00A00FB0"/>
    <w:rsid w:val="00A01CD2"/>
    <w:rsid w:val="00A01CD6"/>
    <w:rsid w:val="00A02047"/>
    <w:rsid w:val="00A0232F"/>
    <w:rsid w:val="00A02819"/>
    <w:rsid w:val="00A02EC9"/>
    <w:rsid w:val="00A03101"/>
    <w:rsid w:val="00A032B3"/>
    <w:rsid w:val="00A035EF"/>
    <w:rsid w:val="00A043DD"/>
    <w:rsid w:val="00A05F4A"/>
    <w:rsid w:val="00A060A2"/>
    <w:rsid w:val="00A063E9"/>
    <w:rsid w:val="00A064FE"/>
    <w:rsid w:val="00A065E5"/>
    <w:rsid w:val="00A069D3"/>
    <w:rsid w:val="00A06AE4"/>
    <w:rsid w:val="00A06D46"/>
    <w:rsid w:val="00A06FEB"/>
    <w:rsid w:val="00A07072"/>
    <w:rsid w:val="00A0717F"/>
    <w:rsid w:val="00A071C3"/>
    <w:rsid w:val="00A072FC"/>
    <w:rsid w:val="00A0759E"/>
    <w:rsid w:val="00A07600"/>
    <w:rsid w:val="00A0778C"/>
    <w:rsid w:val="00A105C0"/>
    <w:rsid w:val="00A10B70"/>
    <w:rsid w:val="00A10BFE"/>
    <w:rsid w:val="00A10C4B"/>
    <w:rsid w:val="00A10EE9"/>
    <w:rsid w:val="00A11275"/>
    <w:rsid w:val="00A1139A"/>
    <w:rsid w:val="00A11D4E"/>
    <w:rsid w:val="00A11E63"/>
    <w:rsid w:val="00A122BA"/>
    <w:rsid w:val="00A123BE"/>
    <w:rsid w:val="00A12E6B"/>
    <w:rsid w:val="00A1315A"/>
    <w:rsid w:val="00A139D9"/>
    <w:rsid w:val="00A13D1C"/>
    <w:rsid w:val="00A14C3F"/>
    <w:rsid w:val="00A162D5"/>
    <w:rsid w:val="00A16A4D"/>
    <w:rsid w:val="00A16DAE"/>
    <w:rsid w:val="00A177B5"/>
    <w:rsid w:val="00A177E7"/>
    <w:rsid w:val="00A17A3E"/>
    <w:rsid w:val="00A20614"/>
    <w:rsid w:val="00A207EE"/>
    <w:rsid w:val="00A20948"/>
    <w:rsid w:val="00A2112A"/>
    <w:rsid w:val="00A21E96"/>
    <w:rsid w:val="00A21F4E"/>
    <w:rsid w:val="00A22C5D"/>
    <w:rsid w:val="00A22FC0"/>
    <w:rsid w:val="00A230C5"/>
    <w:rsid w:val="00A235C6"/>
    <w:rsid w:val="00A2373D"/>
    <w:rsid w:val="00A23A7B"/>
    <w:rsid w:val="00A23AD6"/>
    <w:rsid w:val="00A23B9B"/>
    <w:rsid w:val="00A23D22"/>
    <w:rsid w:val="00A23D34"/>
    <w:rsid w:val="00A2499A"/>
    <w:rsid w:val="00A253D4"/>
    <w:rsid w:val="00A2548A"/>
    <w:rsid w:val="00A25A74"/>
    <w:rsid w:val="00A25FFD"/>
    <w:rsid w:val="00A26711"/>
    <w:rsid w:val="00A267C1"/>
    <w:rsid w:val="00A26C52"/>
    <w:rsid w:val="00A26D5A"/>
    <w:rsid w:val="00A270FA"/>
    <w:rsid w:val="00A277FB"/>
    <w:rsid w:val="00A27D4D"/>
    <w:rsid w:val="00A300F3"/>
    <w:rsid w:val="00A302B6"/>
    <w:rsid w:val="00A3069E"/>
    <w:rsid w:val="00A306B7"/>
    <w:rsid w:val="00A3085E"/>
    <w:rsid w:val="00A30A31"/>
    <w:rsid w:val="00A3145F"/>
    <w:rsid w:val="00A31497"/>
    <w:rsid w:val="00A31918"/>
    <w:rsid w:val="00A31CB1"/>
    <w:rsid w:val="00A32781"/>
    <w:rsid w:val="00A3339C"/>
    <w:rsid w:val="00A3378D"/>
    <w:rsid w:val="00A33CC5"/>
    <w:rsid w:val="00A33E2D"/>
    <w:rsid w:val="00A34931"/>
    <w:rsid w:val="00A36081"/>
    <w:rsid w:val="00A36436"/>
    <w:rsid w:val="00A36927"/>
    <w:rsid w:val="00A375AF"/>
    <w:rsid w:val="00A37791"/>
    <w:rsid w:val="00A37A8D"/>
    <w:rsid w:val="00A37C67"/>
    <w:rsid w:val="00A37D46"/>
    <w:rsid w:val="00A40569"/>
    <w:rsid w:val="00A42093"/>
    <w:rsid w:val="00A42110"/>
    <w:rsid w:val="00A4269F"/>
    <w:rsid w:val="00A4282A"/>
    <w:rsid w:val="00A42BF0"/>
    <w:rsid w:val="00A42ECB"/>
    <w:rsid w:val="00A4310D"/>
    <w:rsid w:val="00A432A0"/>
    <w:rsid w:val="00A43545"/>
    <w:rsid w:val="00A43594"/>
    <w:rsid w:val="00A439E1"/>
    <w:rsid w:val="00A43D47"/>
    <w:rsid w:val="00A43E30"/>
    <w:rsid w:val="00A4465A"/>
    <w:rsid w:val="00A44A68"/>
    <w:rsid w:val="00A45270"/>
    <w:rsid w:val="00A45633"/>
    <w:rsid w:val="00A45658"/>
    <w:rsid w:val="00A4588D"/>
    <w:rsid w:val="00A461E9"/>
    <w:rsid w:val="00A46725"/>
    <w:rsid w:val="00A4683D"/>
    <w:rsid w:val="00A469BB"/>
    <w:rsid w:val="00A46B3B"/>
    <w:rsid w:val="00A46FDE"/>
    <w:rsid w:val="00A471B0"/>
    <w:rsid w:val="00A473A1"/>
    <w:rsid w:val="00A47845"/>
    <w:rsid w:val="00A47F3D"/>
    <w:rsid w:val="00A50352"/>
    <w:rsid w:val="00A507FA"/>
    <w:rsid w:val="00A51598"/>
    <w:rsid w:val="00A516E7"/>
    <w:rsid w:val="00A51FCA"/>
    <w:rsid w:val="00A522BF"/>
    <w:rsid w:val="00A5232C"/>
    <w:rsid w:val="00A527E0"/>
    <w:rsid w:val="00A5290E"/>
    <w:rsid w:val="00A52AFF"/>
    <w:rsid w:val="00A53AB6"/>
    <w:rsid w:val="00A53E17"/>
    <w:rsid w:val="00A53F46"/>
    <w:rsid w:val="00A5409E"/>
    <w:rsid w:val="00A54356"/>
    <w:rsid w:val="00A54796"/>
    <w:rsid w:val="00A559E3"/>
    <w:rsid w:val="00A55D8E"/>
    <w:rsid w:val="00A55FD5"/>
    <w:rsid w:val="00A56088"/>
    <w:rsid w:val="00A56799"/>
    <w:rsid w:val="00A56CFD"/>
    <w:rsid w:val="00A57034"/>
    <w:rsid w:val="00A576FA"/>
    <w:rsid w:val="00A5790E"/>
    <w:rsid w:val="00A57DCF"/>
    <w:rsid w:val="00A57E63"/>
    <w:rsid w:val="00A6002A"/>
    <w:rsid w:val="00A60122"/>
    <w:rsid w:val="00A60545"/>
    <w:rsid w:val="00A6061B"/>
    <w:rsid w:val="00A60915"/>
    <w:rsid w:val="00A60F9F"/>
    <w:rsid w:val="00A61700"/>
    <w:rsid w:val="00A61E41"/>
    <w:rsid w:val="00A62651"/>
    <w:rsid w:val="00A62B2E"/>
    <w:rsid w:val="00A63B27"/>
    <w:rsid w:val="00A64049"/>
    <w:rsid w:val="00A6456E"/>
    <w:rsid w:val="00A651AB"/>
    <w:rsid w:val="00A653DE"/>
    <w:rsid w:val="00A65855"/>
    <w:rsid w:val="00A65B48"/>
    <w:rsid w:val="00A667AB"/>
    <w:rsid w:val="00A66BAF"/>
    <w:rsid w:val="00A66E7D"/>
    <w:rsid w:val="00A67DEC"/>
    <w:rsid w:val="00A702C9"/>
    <w:rsid w:val="00A7039E"/>
    <w:rsid w:val="00A70419"/>
    <w:rsid w:val="00A70857"/>
    <w:rsid w:val="00A70BFF"/>
    <w:rsid w:val="00A70C8F"/>
    <w:rsid w:val="00A70DB4"/>
    <w:rsid w:val="00A7198B"/>
    <w:rsid w:val="00A71F6A"/>
    <w:rsid w:val="00A728F0"/>
    <w:rsid w:val="00A729AF"/>
    <w:rsid w:val="00A72C3F"/>
    <w:rsid w:val="00A72D8D"/>
    <w:rsid w:val="00A7325F"/>
    <w:rsid w:val="00A734BA"/>
    <w:rsid w:val="00A7352B"/>
    <w:rsid w:val="00A74284"/>
    <w:rsid w:val="00A743A3"/>
    <w:rsid w:val="00A74420"/>
    <w:rsid w:val="00A74C0A"/>
    <w:rsid w:val="00A7517A"/>
    <w:rsid w:val="00A753F4"/>
    <w:rsid w:val="00A75728"/>
    <w:rsid w:val="00A77078"/>
    <w:rsid w:val="00A770E0"/>
    <w:rsid w:val="00A774CD"/>
    <w:rsid w:val="00A808AD"/>
    <w:rsid w:val="00A81180"/>
    <w:rsid w:val="00A81319"/>
    <w:rsid w:val="00A81713"/>
    <w:rsid w:val="00A81971"/>
    <w:rsid w:val="00A823FE"/>
    <w:rsid w:val="00A837A7"/>
    <w:rsid w:val="00A83CB8"/>
    <w:rsid w:val="00A84872"/>
    <w:rsid w:val="00A848E3"/>
    <w:rsid w:val="00A8490C"/>
    <w:rsid w:val="00A84A6E"/>
    <w:rsid w:val="00A84EE1"/>
    <w:rsid w:val="00A85042"/>
    <w:rsid w:val="00A86501"/>
    <w:rsid w:val="00A87303"/>
    <w:rsid w:val="00A873DC"/>
    <w:rsid w:val="00A87BEB"/>
    <w:rsid w:val="00A901AA"/>
    <w:rsid w:val="00A90D86"/>
    <w:rsid w:val="00A91396"/>
    <w:rsid w:val="00A915D0"/>
    <w:rsid w:val="00A919DC"/>
    <w:rsid w:val="00A92C69"/>
    <w:rsid w:val="00A935D1"/>
    <w:rsid w:val="00A93DF7"/>
    <w:rsid w:val="00A9410D"/>
    <w:rsid w:val="00A94F3B"/>
    <w:rsid w:val="00A96085"/>
    <w:rsid w:val="00A961AC"/>
    <w:rsid w:val="00A97112"/>
    <w:rsid w:val="00A97491"/>
    <w:rsid w:val="00A97B6D"/>
    <w:rsid w:val="00AA06D8"/>
    <w:rsid w:val="00AA0715"/>
    <w:rsid w:val="00AA0913"/>
    <w:rsid w:val="00AA0BC4"/>
    <w:rsid w:val="00AA0EDB"/>
    <w:rsid w:val="00AA145F"/>
    <w:rsid w:val="00AA1550"/>
    <w:rsid w:val="00AA1D44"/>
    <w:rsid w:val="00AA1EBE"/>
    <w:rsid w:val="00AA22CE"/>
    <w:rsid w:val="00AA32B2"/>
    <w:rsid w:val="00AA3441"/>
    <w:rsid w:val="00AA3F67"/>
    <w:rsid w:val="00AA4729"/>
    <w:rsid w:val="00AA4923"/>
    <w:rsid w:val="00AA4AE9"/>
    <w:rsid w:val="00AA58A7"/>
    <w:rsid w:val="00AA5B58"/>
    <w:rsid w:val="00AA5BD2"/>
    <w:rsid w:val="00AA5D65"/>
    <w:rsid w:val="00AA6737"/>
    <w:rsid w:val="00AA6928"/>
    <w:rsid w:val="00AA69A1"/>
    <w:rsid w:val="00AB043E"/>
    <w:rsid w:val="00AB1659"/>
    <w:rsid w:val="00AB239D"/>
    <w:rsid w:val="00AB244A"/>
    <w:rsid w:val="00AB2893"/>
    <w:rsid w:val="00AB2953"/>
    <w:rsid w:val="00AB29CE"/>
    <w:rsid w:val="00AB2BE3"/>
    <w:rsid w:val="00AB2C2D"/>
    <w:rsid w:val="00AB2DD8"/>
    <w:rsid w:val="00AB397C"/>
    <w:rsid w:val="00AB39C3"/>
    <w:rsid w:val="00AB3CBB"/>
    <w:rsid w:val="00AB4138"/>
    <w:rsid w:val="00AB49D2"/>
    <w:rsid w:val="00AB4D16"/>
    <w:rsid w:val="00AB4D85"/>
    <w:rsid w:val="00AB524E"/>
    <w:rsid w:val="00AB58EC"/>
    <w:rsid w:val="00AB5D04"/>
    <w:rsid w:val="00AB5E4E"/>
    <w:rsid w:val="00AB5EC5"/>
    <w:rsid w:val="00AB5F18"/>
    <w:rsid w:val="00AB614A"/>
    <w:rsid w:val="00AB620F"/>
    <w:rsid w:val="00AB69AF"/>
    <w:rsid w:val="00AB6D09"/>
    <w:rsid w:val="00AB6D7B"/>
    <w:rsid w:val="00AB6EEB"/>
    <w:rsid w:val="00AB7529"/>
    <w:rsid w:val="00AB77F2"/>
    <w:rsid w:val="00AB7DA2"/>
    <w:rsid w:val="00AB7EAC"/>
    <w:rsid w:val="00AC09F2"/>
    <w:rsid w:val="00AC239F"/>
    <w:rsid w:val="00AC240C"/>
    <w:rsid w:val="00AC33C2"/>
    <w:rsid w:val="00AC3AE0"/>
    <w:rsid w:val="00AC403D"/>
    <w:rsid w:val="00AC42A7"/>
    <w:rsid w:val="00AC432F"/>
    <w:rsid w:val="00AC4B2B"/>
    <w:rsid w:val="00AC4C6A"/>
    <w:rsid w:val="00AC4C7B"/>
    <w:rsid w:val="00AC5070"/>
    <w:rsid w:val="00AC5121"/>
    <w:rsid w:val="00AC5A57"/>
    <w:rsid w:val="00AC7141"/>
    <w:rsid w:val="00AC72E1"/>
    <w:rsid w:val="00AC766A"/>
    <w:rsid w:val="00AD062C"/>
    <w:rsid w:val="00AD0C11"/>
    <w:rsid w:val="00AD0C54"/>
    <w:rsid w:val="00AD1752"/>
    <w:rsid w:val="00AD1BE5"/>
    <w:rsid w:val="00AD22C8"/>
    <w:rsid w:val="00AD2725"/>
    <w:rsid w:val="00AD3717"/>
    <w:rsid w:val="00AD445B"/>
    <w:rsid w:val="00AD50E3"/>
    <w:rsid w:val="00AD563B"/>
    <w:rsid w:val="00AD567A"/>
    <w:rsid w:val="00AD58A6"/>
    <w:rsid w:val="00AD5B4E"/>
    <w:rsid w:val="00AD5F99"/>
    <w:rsid w:val="00AD60A8"/>
    <w:rsid w:val="00AD611D"/>
    <w:rsid w:val="00AD6979"/>
    <w:rsid w:val="00AD76C4"/>
    <w:rsid w:val="00AD76D6"/>
    <w:rsid w:val="00AD7884"/>
    <w:rsid w:val="00AD7BA3"/>
    <w:rsid w:val="00AE01F3"/>
    <w:rsid w:val="00AE055E"/>
    <w:rsid w:val="00AE1045"/>
    <w:rsid w:val="00AE1470"/>
    <w:rsid w:val="00AE174A"/>
    <w:rsid w:val="00AE2429"/>
    <w:rsid w:val="00AE3037"/>
    <w:rsid w:val="00AE388D"/>
    <w:rsid w:val="00AE3C20"/>
    <w:rsid w:val="00AE4312"/>
    <w:rsid w:val="00AE48EE"/>
    <w:rsid w:val="00AE4BA6"/>
    <w:rsid w:val="00AE5627"/>
    <w:rsid w:val="00AE63C5"/>
    <w:rsid w:val="00AE65EC"/>
    <w:rsid w:val="00AF02BF"/>
    <w:rsid w:val="00AF02FF"/>
    <w:rsid w:val="00AF08C7"/>
    <w:rsid w:val="00AF0A26"/>
    <w:rsid w:val="00AF1443"/>
    <w:rsid w:val="00AF1C3D"/>
    <w:rsid w:val="00AF23EE"/>
    <w:rsid w:val="00AF2411"/>
    <w:rsid w:val="00AF2961"/>
    <w:rsid w:val="00AF3971"/>
    <w:rsid w:val="00AF408F"/>
    <w:rsid w:val="00AF50AC"/>
    <w:rsid w:val="00AF528B"/>
    <w:rsid w:val="00AF550B"/>
    <w:rsid w:val="00AF5593"/>
    <w:rsid w:val="00AF5A0C"/>
    <w:rsid w:val="00AF6389"/>
    <w:rsid w:val="00AF6FBD"/>
    <w:rsid w:val="00AF716F"/>
    <w:rsid w:val="00AF7D42"/>
    <w:rsid w:val="00AF7DB0"/>
    <w:rsid w:val="00B00377"/>
    <w:rsid w:val="00B009F3"/>
    <w:rsid w:val="00B01D24"/>
    <w:rsid w:val="00B02621"/>
    <w:rsid w:val="00B03138"/>
    <w:rsid w:val="00B032A6"/>
    <w:rsid w:val="00B03F76"/>
    <w:rsid w:val="00B047B6"/>
    <w:rsid w:val="00B04A16"/>
    <w:rsid w:val="00B04B15"/>
    <w:rsid w:val="00B04ED8"/>
    <w:rsid w:val="00B050E7"/>
    <w:rsid w:val="00B0521F"/>
    <w:rsid w:val="00B05425"/>
    <w:rsid w:val="00B054D8"/>
    <w:rsid w:val="00B0582F"/>
    <w:rsid w:val="00B05A4B"/>
    <w:rsid w:val="00B05ED8"/>
    <w:rsid w:val="00B0606C"/>
    <w:rsid w:val="00B065F2"/>
    <w:rsid w:val="00B0744A"/>
    <w:rsid w:val="00B074A9"/>
    <w:rsid w:val="00B07739"/>
    <w:rsid w:val="00B077CB"/>
    <w:rsid w:val="00B106B6"/>
    <w:rsid w:val="00B1090A"/>
    <w:rsid w:val="00B10D10"/>
    <w:rsid w:val="00B110AD"/>
    <w:rsid w:val="00B1130B"/>
    <w:rsid w:val="00B113BE"/>
    <w:rsid w:val="00B1177C"/>
    <w:rsid w:val="00B117F3"/>
    <w:rsid w:val="00B11C0E"/>
    <w:rsid w:val="00B11C74"/>
    <w:rsid w:val="00B1286A"/>
    <w:rsid w:val="00B12A07"/>
    <w:rsid w:val="00B12B45"/>
    <w:rsid w:val="00B12E8A"/>
    <w:rsid w:val="00B130E0"/>
    <w:rsid w:val="00B13496"/>
    <w:rsid w:val="00B1390D"/>
    <w:rsid w:val="00B13F47"/>
    <w:rsid w:val="00B14012"/>
    <w:rsid w:val="00B14F4E"/>
    <w:rsid w:val="00B160A9"/>
    <w:rsid w:val="00B16494"/>
    <w:rsid w:val="00B16955"/>
    <w:rsid w:val="00B16E1D"/>
    <w:rsid w:val="00B16F7A"/>
    <w:rsid w:val="00B170B9"/>
    <w:rsid w:val="00B170ED"/>
    <w:rsid w:val="00B1742A"/>
    <w:rsid w:val="00B17446"/>
    <w:rsid w:val="00B17631"/>
    <w:rsid w:val="00B17D43"/>
    <w:rsid w:val="00B17F89"/>
    <w:rsid w:val="00B17FC7"/>
    <w:rsid w:val="00B20328"/>
    <w:rsid w:val="00B2071C"/>
    <w:rsid w:val="00B21031"/>
    <w:rsid w:val="00B21B7D"/>
    <w:rsid w:val="00B22172"/>
    <w:rsid w:val="00B226ED"/>
    <w:rsid w:val="00B23432"/>
    <w:rsid w:val="00B236A3"/>
    <w:rsid w:val="00B2403A"/>
    <w:rsid w:val="00B24544"/>
    <w:rsid w:val="00B247BC"/>
    <w:rsid w:val="00B24F99"/>
    <w:rsid w:val="00B256B5"/>
    <w:rsid w:val="00B257F6"/>
    <w:rsid w:val="00B25E9A"/>
    <w:rsid w:val="00B26111"/>
    <w:rsid w:val="00B261F8"/>
    <w:rsid w:val="00B262AD"/>
    <w:rsid w:val="00B26488"/>
    <w:rsid w:val="00B265F6"/>
    <w:rsid w:val="00B26639"/>
    <w:rsid w:val="00B2681B"/>
    <w:rsid w:val="00B274DD"/>
    <w:rsid w:val="00B27A54"/>
    <w:rsid w:val="00B27E93"/>
    <w:rsid w:val="00B30376"/>
    <w:rsid w:val="00B30B20"/>
    <w:rsid w:val="00B314B5"/>
    <w:rsid w:val="00B31897"/>
    <w:rsid w:val="00B31D11"/>
    <w:rsid w:val="00B3222D"/>
    <w:rsid w:val="00B3230D"/>
    <w:rsid w:val="00B33377"/>
    <w:rsid w:val="00B33484"/>
    <w:rsid w:val="00B33D82"/>
    <w:rsid w:val="00B34350"/>
    <w:rsid w:val="00B352D8"/>
    <w:rsid w:val="00B3609A"/>
    <w:rsid w:val="00B36178"/>
    <w:rsid w:val="00B3632F"/>
    <w:rsid w:val="00B363B8"/>
    <w:rsid w:val="00B3693B"/>
    <w:rsid w:val="00B36E6A"/>
    <w:rsid w:val="00B37010"/>
    <w:rsid w:val="00B371F4"/>
    <w:rsid w:val="00B3739D"/>
    <w:rsid w:val="00B3740D"/>
    <w:rsid w:val="00B3745C"/>
    <w:rsid w:val="00B401BF"/>
    <w:rsid w:val="00B40719"/>
    <w:rsid w:val="00B40963"/>
    <w:rsid w:val="00B40DC7"/>
    <w:rsid w:val="00B41A6B"/>
    <w:rsid w:val="00B41C96"/>
    <w:rsid w:val="00B4264D"/>
    <w:rsid w:val="00B42AB6"/>
    <w:rsid w:val="00B435B3"/>
    <w:rsid w:val="00B43A1A"/>
    <w:rsid w:val="00B43AD7"/>
    <w:rsid w:val="00B43CF9"/>
    <w:rsid w:val="00B44B40"/>
    <w:rsid w:val="00B4506E"/>
    <w:rsid w:val="00B45611"/>
    <w:rsid w:val="00B45D5C"/>
    <w:rsid w:val="00B461F6"/>
    <w:rsid w:val="00B46640"/>
    <w:rsid w:val="00B46801"/>
    <w:rsid w:val="00B46BC1"/>
    <w:rsid w:val="00B46E4F"/>
    <w:rsid w:val="00B47C90"/>
    <w:rsid w:val="00B500A8"/>
    <w:rsid w:val="00B5084E"/>
    <w:rsid w:val="00B51DB7"/>
    <w:rsid w:val="00B521D2"/>
    <w:rsid w:val="00B52499"/>
    <w:rsid w:val="00B52683"/>
    <w:rsid w:val="00B5295E"/>
    <w:rsid w:val="00B5305F"/>
    <w:rsid w:val="00B53AEA"/>
    <w:rsid w:val="00B53D99"/>
    <w:rsid w:val="00B5435A"/>
    <w:rsid w:val="00B54619"/>
    <w:rsid w:val="00B54AF4"/>
    <w:rsid w:val="00B54C27"/>
    <w:rsid w:val="00B54F54"/>
    <w:rsid w:val="00B551DE"/>
    <w:rsid w:val="00B556B8"/>
    <w:rsid w:val="00B55B30"/>
    <w:rsid w:val="00B5615D"/>
    <w:rsid w:val="00B564E4"/>
    <w:rsid w:val="00B5661F"/>
    <w:rsid w:val="00B567D0"/>
    <w:rsid w:val="00B56D48"/>
    <w:rsid w:val="00B5755A"/>
    <w:rsid w:val="00B57C3F"/>
    <w:rsid w:val="00B603F9"/>
    <w:rsid w:val="00B609FC"/>
    <w:rsid w:val="00B616F8"/>
    <w:rsid w:val="00B61D4C"/>
    <w:rsid w:val="00B63F78"/>
    <w:rsid w:val="00B63FC5"/>
    <w:rsid w:val="00B64498"/>
    <w:rsid w:val="00B6476F"/>
    <w:rsid w:val="00B64774"/>
    <w:rsid w:val="00B64CF6"/>
    <w:rsid w:val="00B64F65"/>
    <w:rsid w:val="00B651DB"/>
    <w:rsid w:val="00B659E7"/>
    <w:rsid w:val="00B65AC8"/>
    <w:rsid w:val="00B65BCF"/>
    <w:rsid w:val="00B65D3C"/>
    <w:rsid w:val="00B65F51"/>
    <w:rsid w:val="00B66783"/>
    <w:rsid w:val="00B66B4B"/>
    <w:rsid w:val="00B66FD5"/>
    <w:rsid w:val="00B67403"/>
    <w:rsid w:val="00B67778"/>
    <w:rsid w:val="00B67BFD"/>
    <w:rsid w:val="00B701F7"/>
    <w:rsid w:val="00B70C92"/>
    <w:rsid w:val="00B7222E"/>
    <w:rsid w:val="00B731EB"/>
    <w:rsid w:val="00B73B28"/>
    <w:rsid w:val="00B73B9F"/>
    <w:rsid w:val="00B740B7"/>
    <w:rsid w:val="00B7513E"/>
    <w:rsid w:val="00B754F1"/>
    <w:rsid w:val="00B75714"/>
    <w:rsid w:val="00B75B9D"/>
    <w:rsid w:val="00B76C5F"/>
    <w:rsid w:val="00B76D08"/>
    <w:rsid w:val="00B770F8"/>
    <w:rsid w:val="00B77274"/>
    <w:rsid w:val="00B7781A"/>
    <w:rsid w:val="00B77D4F"/>
    <w:rsid w:val="00B77DE2"/>
    <w:rsid w:val="00B803C4"/>
    <w:rsid w:val="00B80D48"/>
    <w:rsid w:val="00B80EB3"/>
    <w:rsid w:val="00B811F8"/>
    <w:rsid w:val="00B81B03"/>
    <w:rsid w:val="00B8270A"/>
    <w:rsid w:val="00B827C4"/>
    <w:rsid w:val="00B828FA"/>
    <w:rsid w:val="00B82E49"/>
    <w:rsid w:val="00B82FB4"/>
    <w:rsid w:val="00B83154"/>
    <w:rsid w:val="00B83191"/>
    <w:rsid w:val="00B83833"/>
    <w:rsid w:val="00B83919"/>
    <w:rsid w:val="00B83CC7"/>
    <w:rsid w:val="00B83E84"/>
    <w:rsid w:val="00B83E8F"/>
    <w:rsid w:val="00B848A5"/>
    <w:rsid w:val="00B84D65"/>
    <w:rsid w:val="00B856A2"/>
    <w:rsid w:val="00B85AF5"/>
    <w:rsid w:val="00B85D43"/>
    <w:rsid w:val="00B86B9F"/>
    <w:rsid w:val="00B870F0"/>
    <w:rsid w:val="00B87402"/>
    <w:rsid w:val="00B875A8"/>
    <w:rsid w:val="00B87794"/>
    <w:rsid w:val="00B87808"/>
    <w:rsid w:val="00B87970"/>
    <w:rsid w:val="00B87ECD"/>
    <w:rsid w:val="00B87EEB"/>
    <w:rsid w:val="00B91040"/>
    <w:rsid w:val="00B914A9"/>
    <w:rsid w:val="00B914E2"/>
    <w:rsid w:val="00B9206A"/>
    <w:rsid w:val="00B9219E"/>
    <w:rsid w:val="00B92F24"/>
    <w:rsid w:val="00B92F44"/>
    <w:rsid w:val="00B93CCB"/>
    <w:rsid w:val="00B941D7"/>
    <w:rsid w:val="00B9451C"/>
    <w:rsid w:val="00B95209"/>
    <w:rsid w:val="00B95295"/>
    <w:rsid w:val="00B95990"/>
    <w:rsid w:val="00B964BA"/>
    <w:rsid w:val="00B96A48"/>
    <w:rsid w:val="00B96EDD"/>
    <w:rsid w:val="00B97AB2"/>
    <w:rsid w:val="00B97F38"/>
    <w:rsid w:val="00BA0F1E"/>
    <w:rsid w:val="00BA0F93"/>
    <w:rsid w:val="00BA12D7"/>
    <w:rsid w:val="00BA1870"/>
    <w:rsid w:val="00BA1A19"/>
    <w:rsid w:val="00BA1ACA"/>
    <w:rsid w:val="00BA2933"/>
    <w:rsid w:val="00BA36BC"/>
    <w:rsid w:val="00BA3783"/>
    <w:rsid w:val="00BA383D"/>
    <w:rsid w:val="00BA39E9"/>
    <w:rsid w:val="00BA3DDB"/>
    <w:rsid w:val="00BA3FCF"/>
    <w:rsid w:val="00BA45D2"/>
    <w:rsid w:val="00BA4942"/>
    <w:rsid w:val="00BA4C1B"/>
    <w:rsid w:val="00BA5622"/>
    <w:rsid w:val="00BA5A7E"/>
    <w:rsid w:val="00BA5F0D"/>
    <w:rsid w:val="00BA611D"/>
    <w:rsid w:val="00BA614F"/>
    <w:rsid w:val="00BA628D"/>
    <w:rsid w:val="00BA67B0"/>
    <w:rsid w:val="00BA699E"/>
    <w:rsid w:val="00BA6C20"/>
    <w:rsid w:val="00BA747B"/>
    <w:rsid w:val="00BA752E"/>
    <w:rsid w:val="00BA77A8"/>
    <w:rsid w:val="00BA7A9A"/>
    <w:rsid w:val="00BA7E97"/>
    <w:rsid w:val="00BB06F0"/>
    <w:rsid w:val="00BB089D"/>
    <w:rsid w:val="00BB0919"/>
    <w:rsid w:val="00BB09C0"/>
    <w:rsid w:val="00BB0DC7"/>
    <w:rsid w:val="00BB1108"/>
    <w:rsid w:val="00BB124F"/>
    <w:rsid w:val="00BB12A8"/>
    <w:rsid w:val="00BB1423"/>
    <w:rsid w:val="00BB1FC7"/>
    <w:rsid w:val="00BB299C"/>
    <w:rsid w:val="00BB2C60"/>
    <w:rsid w:val="00BB2DE7"/>
    <w:rsid w:val="00BB393C"/>
    <w:rsid w:val="00BB415A"/>
    <w:rsid w:val="00BB4239"/>
    <w:rsid w:val="00BB4C12"/>
    <w:rsid w:val="00BB5545"/>
    <w:rsid w:val="00BB5915"/>
    <w:rsid w:val="00BB5D7F"/>
    <w:rsid w:val="00BB5F96"/>
    <w:rsid w:val="00BB6303"/>
    <w:rsid w:val="00BB671F"/>
    <w:rsid w:val="00BB690D"/>
    <w:rsid w:val="00BB7634"/>
    <w:rsid w:val="00BB79D9"/>
    <w:rsid w:val="00BB7B8C"/>
    <w:rsid w:val="00BC0509"/>
    <w:rsid w:val="00BC0942"/>
    <w:rsid w:val="00BC1002"/>
    <w:rsid w:val="00BC1351"/>
    <w:rsid w:val="00BC15D1"/>
    <w:rsid w:val="00BC1F73"/>
    <w:rsid w:val="00BC34B6"/>
    <w:rsid w:val="00BC38AD"/>
    <w:rsid w:val="00BC491D"/>
    <w:rsid w:val="00BC4C0D"/>
    <w:rsid w:val="00BC4F61"/>
    <w:rsid w:val="00BC53CB"/>
    <w:rsid w:val="00BC63B2"/>
    <w:rsid w:val="00BC6663"/>
    <w:rsid w:val="00BC66E3"/>
    <w:rsid w:val="00BC69E8"/>
    <w:rsid w:val="00BC7575"/>
    <w:rsid w:val="00BC75FB"/>
    <w:rsid w:val="00BC7D10"/>
    <w:rsid w:val="00BD03CC"/>
    <w:rsid w:val="00BD0421"/>
    <w:rsid w:val="00BD07C7"/>
    <w:rsid w:val="00BD0B41"/>
    <w:rsid w:val="00BD0BE0"/>
    <w:rsid w:val="00BD13F5"/>
    <w:rsid w:val="00BD1934"/>
    <w:rsid w:val="00BD1D3C"/>
    <w:rsid w:val="00BD228E"/>
    <w:rsid w:val="00BD239A"/>
    <w:rsid w:val="00BD250C"/>
    <w:rsid w:val="00BD27BC"/>
    <w:rsid w:val="00BD299D"/>
    <w:rsid w:val="00BD2B3A"/>
    <w:rsid w:val="00BD2DCF"/>
    <w:rsid w:val="00BD360F"/>
    <w:rsid w:val="00BD414C"/>
    <w:rsid w:val="00BD446C"/>
    <w:rsid w:val="00BD45E1"/>
    <w:rsid w:val="00BD5526"/>
    <w:rsid w:val="00BD577F"/>
    <w:rsid w:val="00BD5893"/>
    <w:rsid w:val="00BD6C36"/>
    <w:rsid w:val="00BD7441"/>
    <w:rsid w:val="00BD75FE"/>
    <w:rsid w:val="00BD7657"/>
    <w:rsid w:val="00BE0001"/>
    <w:rsid w:val="00BE03A8"/>
    <w:rsid w:val="00BE079A"/>
    <w:rsid w:val="00BE082C"/>
    <w:rsid w:val="00BE0A30"/>
    <w:rsid w:val="00BE0D84"/>
    <w:rsid w:val="00BE0F18"/>
    <w:rsid w:val="00BE0FE6"/>
    <w:rsid w:val="00BE11B5"/>
    <w:rsid w:val="00BE160C"/>
    <w:rsid w:val="00BE1ABA"/>
    <w:rsid w:val="00BE1D64"/>
    <w:rsid w:val="00BE1FAA"/>
    <w:rsid w:val="00BE28CD"/>
    <w:rsid w:val="00BE2B42"/>
    <w:rsid w:val="00BE2EC5"/>
    <w:rsid w:val="00BE2EE4"/>
    <w:rsid w:val="00BE2F99"/>
    <w:rsid w:val="00BE36FB"/>
    <w:rsid w:val="00BE4824"/>
    <w:rsid w:val="00BE497F"/>
    <w:rsid w:val="00BE5473"/>
    <w:rsid w:val="00BE5538"/>
    <w:rsid w:val="00BE5792"/>
    <w:rsid w:val="00BE57B4"/>
    <w:rsid w:val="00BE5DAE"/>
    <w:rsid w:val="00BE5F51"/>
    <w:rsid w:val="00BE6505"/>
    <w:rsid w:val="00BE6AB2"/>
    <w:rsid w:val="00BE6CB4"/>
    <w:rsid w:val="00BE77E5"/>
    <w:rsid w:val="00BE7EA9"/>
    <w:rsid w:val="00BE7F0B"/>
    <w:rsid w:val="00BF020A"/>
    <w:rsid w:val="00BF1047"/>
    <w:rsid w:val="00BF136C"/>
    <w:rsid w:val="00BF1651"/>
    <w:rsid w:val="00BF1804"/>
    <w:rsid w:val="00BF1B6C"/>
    <w:rsid w:val="00BF1DC4"/>
    <w:rsid w:val="00BF1EA7"/>
    <w:rsid w:val="00BF28E2"/>
    <w:rsid w:val="00BF2F4B"/>
    <w:rsid w:val="00BF3903"/>
    <w:rsid w:val="00BF3992"/>
    <w:rsid w:val="00BF47E8"/>
    <w:rsid w:val="00BF534A"/>
    <w:rsid w:val="00BF57FA"/>
    <w:rsid w:val="00BF5E8A"/>
    <w:rsid w:val="00BF64F4"/>
    <w:rsid w:val="00BF6B2A"/>
    <w:rsid w:val="00BF6BF5"/>
    <w:rsid w:val="00BF7C2E"/>
    <w:rsid w:val="00BF7DB1"/>
    <w:rsid w:val="00C007A1"/>
    <w:rsid w:val="00C00A71"/>
    <w:rsid w:val="00C00EB6"/>
    <w:rsid w:val="00C00F87"/>
    <w:rsid w:val="00C00FB6"/>
    <w:rsid w:val="00C01532"/>
    <w:rsid w:val="00C0189B"/>
    <w:rsid w:val="00C0221F"/>
    <w:rsid w:val="00C02338"/>
    <w:rsid w:val="00C03082"/>
    <w:rsid w:val="00C0351B"/>
    <w:rsid w:val="00C05176"/>
    <w:rsid w:val="00C065F3"/>
    <w:rsid w:val="00C06C8F"/>
    <w:rsid w:val="00C073B0"/>
    <w:rsid w:val="00C07769"/>
    <w:rsid w:val="00C07911"/>
    <w:rsid w:val="00C07CBB"/>
    <w:rsid w:val="00C1021F"/>
    <w:rsid w:val="00C10546"/>
    <w:rsid w:val="00C10D05"/>
    <w:rsid w:val="00C11640"/>
    <w:rsid w:val="00C123A3"/>
    <w:rsid w:val="00C1249F"/>
    <w:rsid w:val="00C128E6"/>
    <w:rsid w:val="00C13314"/>
    <w:rsid w:val="00C1354C"/>
    <w:rsid w:val="00C13711"/>
    <w:rsid w:val="00C13748"/>
    <w:rsid w:val="00C14707"/>
    <w:rsid w:val="00C14994"/>
    <w:rsid w:val="00C14FDD"/>
    <w:rsid w:val="00C15064"/>
    <w:rsid w:val="00C1573B"/>
    <w:rsid w:val="00C15C08"/>
    <w:rsid w:val="00C15C10"/>
    <w:rsid w:val="00C15D13"/>
    <w:rsid w:val="00C15DF4"/>
    <w:rsid w:val="00C16903"/>
    <w:rsid w:val="00C16A35"/>
    <w:rsid w:val="00C16A38"/>
    <w:rsid w:val="00C17246"/>
    <w:rsid w:val="00C202CA"/>
    <w:rsid w:val="00C20444"/>
    <w:rsid w:val="00C204A1"/>
    <w:rsid w:val="00C2055A"/>
    <w:rsid w:val="00C20561"/>
    <w:rsid w:val="00C2081A"/>
    <w:rsid w:val="00C20923"/>
    <w:rsid w:val="00C20A1E"/>
    <w:rsid w:val="00C20B40"/>
    <w:rsid w:val="00C2138D"/>
    <w:rsid w:val="00C2186F"/>
    <w:rsid w:val="00C22EEB"/>
    <w:rsid w:val="00C2306E"/>
    <w:rsid w:val="00C23B6F"/>
    <w:rsid w:val="00C24000"/>
    <w:rsid w:val="00C2429D"/>
    <w:rsid w:val="00C243FE"/>
    <w:rsid w:val="00C25053"/>
    <w:rsid w:val="00C2519C"/>
    <w:rsid w:val="00C251B1"/>
    <w:rsid w:val="00C252FA"/>
    <w:rsid w:val="00C25384"/>
    <w:rsid w:val="00C2559E"/>
    <w:rsid w:val="00C25BDE"/>
    <w:rsid w:val="00C25C99"/>
    <w:rsid w:val="00C25E75"/>
    <w:rsid w:val="00C26096"/>
    <w:rsid w:val="00C264C7"/>
    <w:rsid w:val="00C265CE"/>
    <w:rsid w:val="00C267E3"/>
    <w:rsid w:val="00C26A3A"/>
    <w:rsid w:val="00C27018"/>
    <w:rsid w:val="00C31089"/>
    <w:rsid w:val="00C315FD"/>
    <w:rsid w:val="00C3163E"/>
    <w:rsid w:val="00C31671"/>
    <w:rsid w:val="00C31F1E"/>
    <w:rsid w:val="00C35640"/>
    <w:rsid w:val="00C358A9"/>
    <w:rsid w:val="00C3597E"/>
    <w:rsid w:val="00C36261"/>
    <w:rsid w:val="00C363ED"/>
    <w:rsid w:val="00C368AA"/>
    <w:rsid w:val="00C368EB"/>
    <w:rsid w:val="00C36C0B"/>
    <w:rsid w:val="00C37A1F"/>
    <w:rsid w:val="00C37C02"/>
    <w:rsid w:val="00C401FA"/>
    <w:rsid w:val="00C40214"/>
    <w:rsid w:val="00C405EF"/>
    <w:rsid w:val="00C4090D"/>
    <w:rsid w:val="00C40A1D"/>
    <w:rsid w:val="00C40DFD"/>
    <w:rsid w:val="00C41ED2"/>
    <w:rsid w:val="00C424BF"/>
    <w:rsid w:val="00C42646"/>
    <w:rsid w:val="00C43485"/>
    <w:rsid w:val="00C43632"/>
    <w:rsid w:val="00C43815"/>
    <w:rsid w:val="00C44493"/>
    <w:rsid w:val="00C445C2"/>
    <w:rsid w:val="00C448C8"/>
    <w:rsid w:val="00C45025"/>
    <w:rsid w:val="00C45A49"/>
    <w:rsid w:val="00C45BAB"/>
    <w:rsid w:val="00C45E00"/>
    <w:rsid w:val="00C45E42"/>
    <w:rsid w:val="00C46640"/>
    <w:rsid w:val="00C466EE"/>
    <w:rsid w:val="00C46987"/>
    <w:rsid w:val="00C46E48"/>
    <w:rsid w:val="00C47058"/>
    <w:rsid w:val="00C47075"/>
    <w:rsid w:val="00C47592"/>
    <w:rsid w:val="00C47AE1"/>
    <w:rsid w:val="00C47E42"/>
    <w:rsid w:val="00C47F04"/>
    <w:rsid w:val="00C50687"/>
    <w:rsid w:val="00C507F8"/>
    <w:rsid w:val="00C509B0"/>
    <w:rsid w:val="00C51900"/>
    <w:rsid w:val="00C51BC0"/>
    <w:rsid w:val="00C5246A"/>
    <w:rsid w:val="00C527DE"/>
    <w:rsid w:val="00C52B2C"/>
    <w:rsid w:val="00C52D11"/>
    <w:rsid w:val="00C52E23"/>
    <w:rsid w:val="00C5396D"/>
    <w:rsid w:val="00C53A08"/>
    <w:rsid w:val="00C53C0E"/>
    <w:rsid w:val="00C53E31"/>
    <w:rsid w:val="00C54501"/>
    <w:rsid w:val="00C54939"/>
    <w:rsid w:val="00C54A0C"/>
    <w:rsid w:val="00C54DD6"/>
    <w:rsid w:val="00C55428"/>
    <w:rsid w:val="00C55712"/>
    <w:rsid w:val="00C55749"/>
    <w:rsid w:val="00C55A92"/>
    <w:rsid w:val="00C563AC"/>
    <w:rsid w:val="00C569B0"/>
    <w:rsid w:val="00C56EA9"/>
    <w:rsid w:val="00C57627"/>
    <w:rsid w:val="00C57966"/>
    <w:rsid w:val="00C57F51"/>
    <w:rsid w:val="00C601CC"/>
    <w:rsid w:val="00C60207"/>
    <w:rsid w:val="00C6038D"/>
    <w:rsid w:val="00C60738"/>
    <w:rsid w:val="00C61114"/>
    <w:rsid w:val="00C61C02"/>
    <w:rsid w:val="00C61CC4"/>
    <w:rsid w:val="00C61DF8"/>
    <w:rsid w:val="00C62154"/>
    <w:rsid w:val="00C6253F"/>
    <w:rsid w:val="00C6259F"/>
    <w:rsid w:val="00C62842"/>
    <w:rsid w:val="00C62BD2"/>
    <w:rsid w:val="00C6328C"/>
    <w:rsid w:val="00C63394"/>
    <w:rsid w:val="00C6455C"/>
    <w:rsid w:val="00C64841"/>
    <w:rsid w:val="00C64C08"/>
    <w:rsid w:val="00C64C6F"/>
    <w:rsid w:val="00C64D31"/>
    <w:rsid w:val="00C65199"/>
    <w:rsid w:val="00C65248"/>
    <w:rsid w:val="00C6614C"/>
    <w:rsid w:val="00C66873"/>
    <w:rsid w:val="00C668B8"/>
    <w:rsid w:val="00C66D8A"/>
    <w:rsid w:val="00C6720A"/>
    <w:rsid w:val="00C67302"/>
    <w:rsid w:val="00C67796"/>
    <w:rsid w:val="00C67FEB"/>
    <w:rsid w:val="00C70025"/>
    <w:rsid w:val="00C702B7"/>
    <w:rsid w:val="00C704B2"/>
    <w:rsid w:val="00C707F5"/>
    <w:rsid w:val="00C711FF"/>
    <w:rsid w:val="00C713E4"/>
    <w:rsid w:val="00C71D55"/>
    <w:rsid w:val="00C7222C"/>
    <w:rsid w:val="00C723E7"/>
    <w:rsid w:val="00C72C28"/>
    <w:rsid w:val="00C72EB4"/>
    <w:rsid w:val="00C72ECA"/>
    <w:rsid w:val="00C72F49"/>
    <w:rsid w:val="00C73A12"/>
    <w:rsid w:val="00C73A93"/>
    <w:rsid w:val="00C74B0B"/>
    <w:rsid w:val="00C74E4E"/>
    <w:rsid w:val="00C752FE"/>
    <w:rsid w:val="00C759F6"/>
    <w:rsid w:val="00C75A8F"/>
    <w:rsid w:val="00C75D78"/>
    <w:rsid w:val="00C75EE7"/>
    <w:rsid w:val="00C75FC8"/>
    <w:rsid w:val="00C7639A"/>
    <w:rsid w:val="00C77185"/>
    <w:rsid w:val="00C77403"/>
    <w:rsid w:val="00C77D6B"/>
    <w:rsid w:val="00C77DB9"/>
    <w:rsid w:val="00C8047B"/>
    <w:rsid w:val="00C808EF"/>
    <w:rsid w:val="00C814FD"/>
    <w:rsid w:val="00C81813"/>
    <w:rsid w:val="00C81995"/>
    <w:rsid w:val="00C81DF8"/>
    <w:rsid w:val="00C8213A"/>
    <w:rsid w:val="00C82869"/>
    <w:rsid w:val="00C82B12"/>
    <w:rsid w:val="00C82D40"/>
    <w:rsid w:val="00C82E48"/>
    <w:rsid w:val="00C837E8"/>
    <w:rsid w:val="00C83E01"/>
    <w:rsid w:val="00C8409F"/>
    <w:rsid w:val="00C842DC"/>
    <w:rsid w:val="00C84388"/>
    <w:rsid w:val="00C844DC"/>
    <w:rsid w:val="00C84D2C"/>
    <w:rsid w:val="00C85622"/>
    <w:rsid w:val="00C85A0C"/>
    <w:rsid w:val="00C85B71"/>
    <w:rsid w:val="00C861FD"/>
    <w:rsid w:val="00C86257"/>
    <w:rsid w:val="00C862CD"/>
    <w:rsid w:val="00C86967"/>
    <w:rsid w:val="00C86CF5"/>
    <w:rsid w:val="00C86E4B"/>
    <w:rsid w:val="00C86FD2"/>
    <w:rsid w:val="00C8724B"/>
    <w:rsid w:val="00C87833"/>
    <w:rsid w:val="00C904FA"/>
    <w:rsid w:val="00C90803"/>
    <w:rsid w:val="00C9081D"/>
    <w:rsid w:val="00C9097E"/>
    <w:rsid w:val="00C90CC0"/>
    <w:rsid w:val="00C90D4E"/>
    <w:rsid w:val="00C90E88"/>
    <w:rsid w:val="00C918E4"/>
    <w:rsid w:val="00C92456"/>
    <w:rsid w:val="00C92529"/>
    <w:rsid w:val="00C92AC1"/>
    <w:rsid w:val="00C92BA9"/>
    <w:rsid w:val="00C93535"/>
    <w:rsid w:val="00C94537"/>
    <w:rsid w:val="00C94A80"/>
    <w:rsid w:val="00C94A94"/>
    <w:rsid w:val="00C94BB4"/>
    <w:rsid w:val="00C9567B"/>
    <w:rsid w:val="00C96088"/>
    <w:rsid w:val="00C96B72"/>
    <w:rsid w:val="00C96E9B"/>
    <w:rsid w:val="00C97389"/>
    <w:rsid w:val="00C976A6"/>
    <w:rsid w:val="00C97A0C"/>
    <w:rsid w:val="00C97C08"/>
    <w:rsid w:val="00CA0012"/>
    <w:rsid w:val="00CA07FD"/>
    <w:rsid w:val="00CA0B57"/>
    <w:rsid w:val="00CA10CA"/>
    <w:rsid w:val="00CA1671"/>
    <w:rsid w:val="00CA1C6E"/>
    <w:rsid w:val="00CA25CE"/>
    <w:rsid w:val="00CA293A"/>
    <w:rsid w:val="00CA2FE9"/>
    <w:rsid w:val="00CA33A1"/>
    <w:rsid w:val="00CA3D6C"/>
    <w:rsid w:val="00CA4322"/>
    <w:rsid w:val="00CA43F7"/>
    <w:rsid w:val="00CA4990"/>
    <w:rsid w:val="00CA4A59"/>
    <w:rsid w:val="00CA63BD"/>
    <w:rsid w:val="00CA6AAD"/>
    <w:rsid w:val="00CA704C"/>
    <w:rsid w:val="00CA72BF"/>
    <w:rsid w:val="00CA7592"/>
    <w:rsid w:val="00CA75BF"/>
    <w:rsid w:val="00CA77CA"/>
    <w:rsid w:val="00CB0E65"/>
    <w:rsid w:val="00CB1317"/>
    <w:rsid w:val="00CB162B"/>
    <w:rsid w:val="00CB1C1A"/>
    <w:rsid w:val="00CB2074"/>
    <w:rsid w:val="00CB212A"/>
    <w:rsid w:val="00CB28F6"/>
    <w:rsid w:val="00CB2FF0"/>
    <w:rsid w:val="00CB39F7"/>
    <w:rsid w:val="00CB3A3F"/>
    <w:rsid w:val="00CB42C2"/>
    <w:rsid w:val="00CB4BBD"/>
    <w:rsid w:val="00CB52F6"/>
    <w:rsid w:val="00CB5413"/>
    <w:rsid w:val="00CB5BCE"/>
    <w:rsid w:val="00CB6997"/>
    <w:rsid w:val="00CB6AC6"/>
    <w:rsid w:val="00CB78D1"/>
    <w:rsid w:val="00CB7F85"/>
    <w:rsid w:val="00CC00E2"/>
    <w:rsid w:val="00CC0709"/>
    <w:rsid w:val="00CC0830"/>
    <w:rsid w:val="00CC086F"/>
    <w:rsid w:val="00CC1257"/>
    <w:rsid w:val="00CC17AC"/>
    <w:rsid w:val="00CC1875"/>
    <w:rsid w:val="00CC1F43"/>
    <w:rsid w:val="00CC1F53"/>
    <w:rsid w:val="00CC37ED"/>
    <w:rsid w:val="00CC3C1D"/>
    <w:rsid w:val="00CC4272"/>
    <w:rsid w:val="00CC442E"/>
    <w:rsid w:val="00CC49E3"/>
    <w:rsid w:val="00CC4B55"/>
    <w:rsid w:val="00CC4C0F"/>
    <w:rsid w:val="00CC4E71"/>
    <w:rsid w:val="00CC54A7"/>
    <w:rsid w:val="00CC5595"/>
    <w:rsid w:val="00CC5E6E"/>
    <w:rsid w:val="00CC5EB2"/>
    <w:rsid w:val="00CC6AB1"/>
    <w:rsid w:val="00CC6B96"/>
    <w:rsid w:val="00CC713B"/>
    <w:rsid w:val="00CC72B6"/>
    <w:rsid w:val="00CC7371"/>
    <w:rsid w:val="00CC79B4"/>
    <w:rsid w:val="00CC7F4D"/>
    <w:rsid w:val="00CC7F61"/>
    <w:rsid w:val="00CD045A"/>
    <w:rsid w:val="00CD0974"/>
    <w:rsid w:val="00CD0DD6"/>
    <w:rsid w:val="00CD1049"/>
    <w:rsid w:val="00CD11A8"/>
    <w:rsid w:val="00CD1942"/>
    <w:rsid w:val="00CD27A6"/>
    <w:rsid w:val="00CD2C88"/>
    <w:rsid w:val="00CD3C03"/>
    <w:rsid w:val="00CD41A3"/>
    <w:rsid w:val="00CD4698"/>
    <w:rsid w:val="00CD4AA6"/>
    <w:rsid w:val="00CD55ED"/>
    <w:rsid w:val="00CD70B6"/>
    <w:rsid w:val="00CD751C"/>
    <w:rsid w:val="00CD76AA"/>
    <w:rsid w:val="00CD7DBD"/>
    <w:rsid w:val="00CE143C"/>
    <w:rsid w:val="00CE1623"/>
    <w:rsid w:val="00CE1B10"/>
    <w:rsid w:val="00CE1D95"/>
    <w:rsid w:val="00CE2C91"/>
    <w:rsid w:val="00CE303E"/>
    <w:rsid w:val="00CE316E"/>
    <w:rsid w:val="00CE451C"/>
    <w:rsid w:val="00CE4BC3"/>
    <w:rsid w:val="00CE5355"/>
    <w:rsid w:val="00CE556A"/>
    <w:rsid w:val="00CE5B45"/>
    <w:rsid w:val="00CE5BD8"/>
    <w:rsid w:val="00CE5CA4"/>
    <w:rsid w:val="00CE5FA8"/>
    <w:rsid w:val="00CE6325"/>
    <w:rsid w:val="00CE71C0"/>
    <w:rsid w:val="00CE71F8"/>
    <w:rsid w:val="00CE7607"/>
    <w:rsid w:val="00CE776F"/>
    <w:rsid w:val="00CE777A"/>
    <w:rsid w:val="00CE7C31"/>
    <w:rsid w:val="00CE7DC3"/>
    <w:rsid w:val="00CE7F43"/>
    <w:rsid w:val="00CF037B"/>
    <w:rsid w:val="00CF07B8"/>
    <w:rsid w:val="00CF080D"/>
    <w:rsid w:val="00CF0963"/>
    <w:rsid w:val="00CF099D"/>
    <w:rsid w:val="00CF0D9B"/>
    <w:rsid w:val="00CF0E5E"/>
    <w:rsid w:val="00CF10F8"/>
    <w:rsid w:val="00CF15CE"/>
    <w:rsid w:val="00CF1776"/>
    <w:rsid w:val="00CF28AD"/>
    <w:rsid w:val="00CF4572"/>
    <w:rsid w:val="00CF5301"/>
    <w:rsid w:val="00CF5BC5"/>
    <w:rsid w:val="00CF6E60"/>
    <w:rsid w:val="00CF7AAC"/>
    <w:rsid w:val="00D00622"/>
    <w:rsid w:val="00D00BF2"/>
    <w:rsid w:val="00D00D8D"/>
    <w:rsid w:val="00D011F4"/>
    <w:rsid w:val="00D01496"/>
    <w:rsid w:val="00D01615"/>
    <w:rsid w:val="00D019CF"/>
    <w:rsid w:val="00D01B32"/>
    <w:rsid w:val="00D01B92"/>
    <w:rsid w:val="00D01C55"/>
    <w:rsid w:val="00D01C9A"/>
    <w:rsid w:val="00D01E88"/>
    <w:rsid w:val="00D02327"/>
    <w:rsid w:val="00D02682"/>
    <w:rsid w:val="00D02AA7"/>
    <w:rsid w:val="00D02E72"/>
    <w:rsid w:val="00D03022"/>
    <w:rsid w:val="00D032CA"/>
    <w:rsid w:val="00D03919"/>
    <w:rsid w:val="00D03A39"/>
    <w:rsid w:val="00D03DB7"/>
    <w:rsid w:val="00D04ACD"/>
    <w:rsid w:val="00D04D5F"/>
    <w:rsid w:val="00D04E93"/>
    <w:rsid w:val="00D0510D"/>
    <w:rsid w:val="00D05826"/>
    <w:rsid w:val="00D05C12"/>
    <w:rsid w:val="00D0602E"/>
    <w:rsid w:val="00D0686E"/>
    <w:rsid w:val="00D068A4"/>
    <w:rsid w:val="00D069D6"/>
    <w:rsid w:val="00D06B94"/>
    <w:rsid w:val="00D10A3A"/>
    <w:rsid w:val="00D10C6B"/>
    <w:rsid w:val="00D1138C"/>
    <w:rsid w:val="00D11633"/>
    <w:rsid w:val="00D117D2"/>
    <w:rsid w:val="00D118AC"/>
    <w:rsid w:val="00D1196C"/>
    <w:rsid w:val="00D11A72"/>
    <w:rsid w:val="00D11AC0"/>
    <w:rsid w:val="00D125C6"/>
    <w:rsid w:val="00D1287C"/>
    <w:rsid w:val="00D12A01"/>
    <w:rsid w:val="00D12DFD"/>
    <w:rsid w:val="00D13281"/>
    <w:rsid w:val="00D13443"/>
    <w:rsid w:val="00D1362F"/>
    <w:rsid w:val="00D13707"/>
    <w:rsid w:val="00D138BD"/>
    <w:rsid w:val="00D13B5B"/>
    <w:rsid w:val="00D13E38"/>
    <w:rsid w:val="00D14072"/>
    <w:rsid w:val="00D151D1"/>
    <w:rsid w:val="00D15563"/>
    <w:rsid w:val="00D15FF9"/>
    <w:rsid w:val="00D1669D"/>
    <w:rsid w:val="00D17390"/>
    <w:rsid w:val="00D176FB"/>
    <w:rsid w:val="00D178CD"/>
    <w:rsid w:val="00D17F55"/>
    <w:rsid w:val="00D210A1"/>
    <w:rsid w:val="00D22148"/>
    <w:rsid w:val="00D221E9"/>
    <w:rsid w:val="00D22ADD"/>
    <w:rsid w:val="00D24022"/>
    <w:rsid w:val="00D241ED"/>
    <w:rsid w:val="00D24669"/>
    <w:rsid w:val="00D248B7"/>
    <w:rsid w:val="00D2504C"/>
    <w:rsid w:val="00D2541A"/>
    <w:rsid w:val="00D2541E"/>
    <w:rsid w:val="00D25F57"/>
    <w:rsid w:val="00D260D5"/>
    <w:rsid w:val="00D2693E"/>
    <w:rsid w:val="00D26C86"/>
    <w:rsid w:val="00D26D85"/>
    <w:rsid w:val="00D26E28"/>
    <w:rsid w:val="00D275A6"/>
    <w:rsid w:val="00D27B9E"/>
    <w:rsid w:val="00D27D50"/>
    <w:rsid w:val="00D30233"/>
    <w:rsid w:val="00D30260"/>
    <w:rsid w:val="00D305B8"/>
    <w:rsid w:val="00D30A78"/>
    <w:rsid w:val="00D311C8"/>
    <w:rsid w:val="00D318A6"/>
    <w:rsid w:val="00D31BDB"/>
    <w:rsid w:val="00D322A3"/>
    <w:rsid w:val="00D3251F"/>
    <w:rsid w:val="00D325C0"/>
    <w:rsid w:val="00D326E9"/>
    <w:rsid w:val="00D3304E"/>
    <w:rsid w:val="00D33281"/>
    <w:rsid w:val="00D33595"/>
    <w:rsid w:val="00D33A3F"/>
    <w:rsid w:val="00D33D42"/>
    <w:rsid w:val="00D3402A"/>
    <w:rsid w:val="00D342CC"/>
    <w:rsid w:val="00D34517"/>
    <w:rsid w:val="00D3540B"/>
    <w:rsid w:val="00D355D8"/>
    <w:rsid w:val="00D35ED4"/>
    <w:rsid w:val="00D35FB8"/>
    <w:rsid w:val="00D36866"/>
    <w:rsid w:val="00D36BD0"/>
    <w:rsid w:val="00D36C54"/>
    <w:rsid w:val="00D37053"/>
    <w:rsid w:val="00D377F9"/>
    <w:rsid w:val="00D400DB"/>
    <w:rsid w:val="00D404E5"/>
    <w:rsid w:val="00D40E8C"/>
    <w:rsid w:val="00D4101C"/>
    <w:rsid w:val="00D41546"/>
    <w:rsid w:val="00D41747"/>
    <w:rsid w:val="00D41FBC"/>
    <w:rsid w:val="00D422A6"/>
    <w:rsid w:val="00D43AF0"/>
    <w:rsid w:val="00D44515"/>
    <w:rsid w:val="00D44860"/>
    <w:rsid w:val="00D44E21"/>
    <w:rsid w:val="00D44F20"/>
    <w:rsid w:val="00D45076"/>
    <w:rsid w:val="00D45163"/>
    <w:rsid w:val="00D462AC"/>
    <w:rsid w:val="00D462CF"/>
    <w:rsid w:val="00D464DF"/>
    <w:rsid w:val="00D47106"/>
    <w:rsid w:val="00D47725"/>
    <w:rsid w:val="00D47ACA"/>
    <w:rsid w:val="00D5017E"/>
    <w:rsid w:val="00D505AB"/>
    <w:rsid w:val="00D506A2"/>
    <w:rsid w:val="00D50F4A"/>
    <w:rsid w:val="00D511C5"/>
    <w:rsid w:val="00D51C0A"/>
    <w:rsid w:val="00D5204B"/>
    <w:rsid w:val="00D52B67"/>
    <w:rsid w:val="00D52F93"/>
    <w:rsid w:val="00D53A05"/>
    <w:rsid w:val="00D53DCB"/>
    <w:rsid w:val="00D53EF2"/>
    <w:rsid w:val="00D5427D"/>
    <w:rsid w:val="00D54B44"/>
    <w:rsid w:val="00D55169"/>
    <w:rsid w:val="00D55396"/>
    <w:rsid w:val="00D56F82"/>
    <w:rsid w:val="00D57031"/>
    <w:rsid w:val="00D570E1"/>
    <w:rsid w:val="00D5728F"/>
    <w:rsid w:val="00D577FE"/>
    <w:rsid w:val="00D57DA6"/>
    <w:rsid w:val="00D57F9F"/>
    <w:rsid w:val="00D60151"/>
    <w:rsid w:val="00D603C2"/>
    <w:rsid w:val="00D60638"/>
    <w:rsid w:val="00D60F10"/>
    <w:rsid w:val="00D6158B"/>
    <w:rsid w:val="00D61B18"/>
    <w:rsid w:val="00D61B4A"/>
    <w:rsid w:val="00D61DF6"/>
    <w:rsid w:val="00D6202C"/>
    <w:rsid w:val="00D62363"/>
    <w:rsid w:val="00D62404"/>
    <w:rsid w:val="00D62741"/>
    <w:rsid w:val="00D629D4"/>
    <w:rsid w:val="00D62B62"/>
    <w:rsid w:val="00D6308C"/>
    <w:rsid w:val="00D63097"/>
    <w:rsid w:val="00D63B28"/>
    <w:rsid w:val="00D63BA7"/>
    <w:rsid w:val="00D63F0F"/>
    <w:rsid w:val="00D644DF"/>
    <w:rsid w:val="00D652B1"/>
    <w:rsid w:val="00D654E3"/>
    <w:rsid w:val="00D656C6"/>
    <w:rsid w:val="00D65873"/>
    <w:rsid w:val="00D65DB6"/>
    <w:rsid w:val="00D65EB4"/>
    <w:rsid w:val="00D66AA5"/>
    <w:rsid w:val="00D66C8F"/>
    <w:rsid w:val="00D66CA2"/>
    <w:rsid w:val="00D66D7E"/>
    <w:rsid w:val="00D66F4D"/>
    <w:rsid w:val="00D67518"/>
    <w:rsid w:val="00D67671"/>
    <w:rsid w:val="00D6772C"/>
    <w:rsid w:val="00D70052"/>
    <w:rsid w:val="00D7026F"/>
    <w:rsid w:val="00D708D8"/>
    <w:rsid w:val="00D70971"/>
    <w:rsid w:val="00D70B5D"/>
    <w:rsid w:val="00D70BD1"/>
    <w:rsid w:val="00D71058"/>
    <w:rsid w:val="00D7136C"/>
    <w:rsid w:val="00D71CFA"/>
    <w:rsid w:val="00D71F78"/>
    <w:rsid w:val="00D7222F"/>
    <w:rsid w:val="00D72F87"/>
    <w:rsid w:val="00D73133"/>
    <w:rsid w:val="00D73622"/>
    <w:rsid w:val="00D73DFE"/>
    <w:rsid w:val="00D740D9"/>
    <w:rsid w:val="00D750CE"/>
    <w:rsid w:val="00D75C33"/>
    <w:rsid w:val="00D75D43"/>
    <w:rsid w:val="00D7634C"/>
    <w:rsid w:val="00D7674E"/>
    <w:rsid w:val="00D76A82"/>
    <w:rsid w:val="00D76B73"/>
    <w:rsid w:val="00D77023"/>
    <w:rsid w:val="00D77184"/>
    <w:rsid w:val="00D77726"/>
    <w:rsid w:val="00D804FA"/>
    <w:rsid w:val="00D80667"/>
    <w:rsid w:val="00D807F6"/>
    <w:rsid w:val="00D8082A"/>
    <w:rsid w:val="00D80ED5"/>
    <w:rsid w:val="00D81800"/>
    <w:rsid w:val="00D81930"/>
    <w:rsid w:val="00D81A8E"/>
    <w:rsid w:val="00D81D4A"/>
    <w:rsid w:val="00D83007"/>
    <w:rsid w:val="00D831AD"/>
    <w:rsid w:val="00D83298"/>
    <w:rsid w:val="00D833E5"/>
    <w:rsid w:val="00D83AE7"/>
    <w:rsid w:val="00D83BF6"/>
    <w:rsid w:val="00D83F55"/>
    <w:rsid w:val="00D842DB"/>
    <w:rsid w:val="00D843EE"/>
    <w:rsid w:val="00D846E6"/>
    <w:rsid w:val="00D8497C"/>
    <w:rsid w:val="00D84A52"/>
    <w:rsid w:val="00D84E25"/>
    <w:rsid w:val="00D84F97"/>
    <w:rsid w:val="00D85494"/>
    <w:rsid w:val="00D85509"/>
    <w:rsid w:val="00D856A3"/>
    <w:rsid w:val="00D856A4"/>
    <w:rsid w:val="00D85C04"/>
    <w:rsid w:val="00D860A0"/>
    <w:rsid w:val="00D86A94"/>
    <w:rsid w:val="00D86D8F"/>
    <w:rsid w:val="00D90193"/>
    <w:rsid w:val="00D90AF4"/>
    <w:rsid w:val="00D9125E"/>
    <w:rsid w:val="00D9129E"/>
    <w:rsid w:val="00D91BF2"/>
    <w:rsid w:val="00D91C0C"/>
    <w:rsid w:val="00D91D4D"/>
    <w:rsid w:val="00D91D73"/>
    <w:rsid w:val="00D93864"/>
    <w:rsid w:val="00D939AB"/>
    <w:rsid w:val="00D93AEE"/>
    <w:rsid w:val="00D93D1D"/>
    <w:rsid w:val="00D93F24"/>
    <w:rsid w:val="00D93F41"/>
    <w:rsid w:val="00D9404A"/>
    <w:rsid w:val="00D940A9"/>
    <w:rsid w:val="00D941BC"/>
    <w:rsid w:val="00D945A4"/>
    <w:rsid w:val="00D94878"/>
    <w:rsid w:val="00D94D58"/>
    <w:rsid w:val="00D94E8C"/>
    <w:rsid w:val="00D9593A"/>
    <w:rsid w:val="00D95E66"/>
    <w:rsid w:val="00D95FBD"/>
    <w:rsid w:val="00D960C4"/>
    <w:rsid w:val="00D966F1"/>
    <w:rsid w:val="00D96938"/>
    <w:rsid w:val="00D96AF2"/>
    <w:rsid w:val="00D96C2E"/>
    <w:rsid w:val="00D97C8F"/>
    <w:rsid w:val="00DA0A3D"/>
    <w:rsid w:val="00DA135B"/>
    <w:rsid w:val="00DA1652"/>
    <w:rsid w:val="00DA1839"/>
    <w:rsid w:val="00DA1D56"/>
    <w:rsid w:val="00DA1E5B"/>
    <w:rsid w:val="00DA212C"/>
    <w:rsid w:val="00DA268A"/>
    <w:rsid w:val="00DA3248"/>
    <w:rsid w:val="00DA343D"/>
    <w:rsid w:val="00DA4197"/>
    <w:rsid w:val="00DA4B84"/>
    <w:rsid w:val="00DA4D97"/>
    <w:rsid w:val="00DA5614"/>
    <w:rsid w:val="00DA576B"/>
    <w:rsid w:val="00DA57F0"/>
    <w:rsid w:val="00DA6193"/>
    <w:rsid w:val="00DA62AB"/>
    <w:rsid w:val="00DA6393"/>
    <w:rsid w:val="00DA652E"/>
    <w:rsid w:val="00DA6988"/>
    <w:rsid w:val="00DA6A75"/>
    <w:rsid w:val="00DA6BD6"/>
    <w:rsid w:val="00DA7296"/>
    <w:rsid w:val="00DA78D9"/>
    <w:rsid w:val="00DA7908"/>
    <w:rsid w:val="00DA7AC8"/>
    <w:rsid w:val="00DA7D6C"/>
    <w:rsid w:val="00DA7D6D"/>
    <w:rsid w:val="00DA7F74"/>
    <w:rsid w:val="00DB05CC"/>
    <w:rsid w:val="00DB2897"/>
    <w:rsid w:val="00DB2AB6"/>
    <w:rsid w:val="00DB2D24"/>
    <w:rsid w:val="00DB314E"/>
    <w:rsid w:val="00DB32CA"/>
    <w:rsid w:val="00DB3408"/>
    <w:rsid w:val="00DB35BF"/>
    <w:rsid w:val="00DB3E8C"/>
    <w:rsid w:val="00DB42C4"/>
    <w:rsid w:val="00DB4653"/>
    <w:rsid w:val="00DB4795"/>
    <w:rsid w:val="00DB4A72"/>
    <w:rsid w:val="00DB4FB0"/>
    <w:rsid w:val="00DB5B80"/>
    <w:rsid w:val="00DB64CB"/>
    <w:rsid w:val="00DB6701"/>
    <w:rsid w:val="00DB6A12"/>
    <w:rsid w:val="00DB6C29"/>
    <w:rsid w:val="00DB6E74"/>
    <w:rsid w:val="00DB7659"/>
    <w:rsid w:val="00DB78D4"/>
    <w:rsid w:val="00DB7C8F"/>
    <w:rsid w:val="00DC0B5C"/>
    <w:rsid w:val="00DC1266"/>
    <w:rsid w:val="00DC226C"/>
    <w:rsid w:val="00DC2755"/>
    <w:rsid w:val="00DC27DA"/>
    <w:rsid w:val="00DC3161"/>
    <w:rsid w:val="00DC34C4"/>
    <w:rsid w:val="00DC34F6"/>
    <w:rsid w:val="00DC3510"/>
    <w:rsid w:val="00DC397E"/>
    <w:rsid w:val="00DC3E43"/>
    <w:rsid w:val="00DC418B"/>
    <w:rsid w:val="00DC4BEA"/>
    <w:rsid w:val="00DC4C42"/>
    <w:rsid w:val="00DC5BA3"/>
    <w:rsid w:val="00DC5C41"/>
    <w:rsid w:val="00DC6399"/>
    <w:rsid w:val="00DC6558"/>
    <w:rsid w:val="00DC665E"/>
    <w:rsid w:val="00DC7995"/>
    <w:rsid w:val="00DC7C2E"/>
    <w:rsid w:val="00DD1555"/>
    <w:rsid w:val="00DD18C0"/>
    <w:rsid w:val="00DD22B6"/>
    <w:rsid w:val="00DD2369"/>
    <w:rsid w:val="00DD2731"/>
    <w:rsid w:val="00DD3D6D"/>
    <w:rsid w:val="00DD4966"/>
    <w:rsid w:val="00DD4B4F"/>
    <w:rsid w:val="00DD620A"/>
    <w:rsid w:val="00DD67DA"/>
    <w:rsid w:val="00DD6E70"/>
    <w:rsid w:val="00DD734A"/>
    <w:rsid w:val="00DD7E15"/>
    <w:rsid w:val="00DE0128"/>
    <w:rsid w:val="00DE09F3"/>
    <w:rsid w:val="00DE0B86"/>
    <w:rsid w:val="00DE1077"/>
    <w:rsid w:val="00DE10FB"/>
    <w:rsid w:val="00DE1367"/>
    <w:rsid w:val="00DE1573"/>
    <w:rsid w:val="00DE1AE5"/>
    <w:rsid w:val="00DE1E09"/>
    <w:rsid w:val="00DE1E1D"/>
    <w:rsid w:val="00DE2313"/>
    <w:rsid w:val="00DE2970"/>
    <w:rsid w:val="00DE37E6"/>
    <w:rsid w:val="00DE385E"/>
    <w:rsid w:val="00DE3D24"/>
    <w:rsid w:val="00DE4F09"/>
    <w:rsid w:val="00DE5182"/>
    <w:rsid w:val="00DE5AEA"/>
    <w:rsid w:val="00DE5E40"/>
    <w:rsid w:val="00DE61E0"/>
    <w:rsid w:val="00DE629D"/>
    <w:rsid w:val="00DE637D"/>
    <w:rsid w:val="00DE65BE"/>
    <w:rsid w:val="00DE6D31"/>
    <w:rsid w:val="00DE7371"/>
    <w:rsid w:val="00DE7399"/>
    <w:rsid w:val="00DE7410"/>
    <w:rsid w:val="00DE78E5"/>
    <w:rsid w:val="00DE7ADD"/>
    <w:rsid w:val="00DF0380"/>
    <w:rsid w:val="00DF0B60"/>
    <w:rsid w:val="00DF0DCE"/>
    <w:rsid w:val="00DF1188"/>
    <w:rsid w:val="00DF12DF"/>
    <w:rsid w:val="00DF1391"/>
    <w:rsid w:val="00DF1909"/>
    <w:rsid w:val="00DF1B30"/>
    <w:rsid w:val="00DF2456"/>
    <w:rsid w:val="00DF2AE0"/>
    <w:rsid w:val="00DF2B3B"/>
    <w:rsid w:val="00DF2DB3"/>
    <w:rsid w:val="00DF2E08"/>
    <w:rsid w:val="00DF33BB"/>
    <w:rsid w:val="00DF3FB6"/>
    <w:rsid w:val="00DF5369"/>
    <w:rsid w:val="00DF560F"/>
    <w:rsid w:val="00DF5823"/>
    <w:rsid w:val="00DF5876"/>
    <w:rsid w:val="00DF66E8"/>
    <w:rsid w:val="00DF6C5D"/>
    <w:rsid w:val="00DF7DDE"/>
    <w:rsid w:val="00E0005F"/>
    <w:rsid w:val="00E008E4"/>
    <w:rsid w:val="00E011CA"/>
    <w:rsid w:val="00E01A8A"/>
    <w:rsid w:val="00E0204F"/>
    <w:rsid w:val="00E02230"/>
    <w:rsid w:val="00E0246D"/>
    <w:rsid w:val="00E029DC"/>
    <w:rsid w:val="00E04738"/>
    <w:rsid w:val="00E04A14"/>
    <w:rsid w:val="00E04D54"/>
    <w:rsid w:val="00E058AF"/>
    <w:rsid w:val="00E05B7F"/>
    <w:rsid w:val="00E05E05"/>
    <w:rsid w:val="00E0618D"/>
    <w:rsid w:val="00E06358"/>
    <w:rsid w:val="00E06A27"/>
    <w:rsid w:val="00E06AB4"/>
    <w:rsid w:val="00E07750"/>
    <w:rsid w:val="00E07AB1"/>
    <w:rsid w:val="00E07B0E"/>
    <w:rsid w:val="00E1050A"/>
    <w:rsid w:val="00E10811"/>
    <w:rsid w:val="00E10AF3"/>
    <w:rsid w:val="00E116A6"/>
    <w:rsid w:val="00E1173F"/>
    <w:rsid w:val="00E11AE4"/>
    <w:rsid w:val="00E11B6B"/>
    <w:rsid w:val="00E11BEF"/>
    <w:rsid w:val="00E12122"/>
    <w:rsid w:val="00E125A4"/>
    <w:rsid w:val="00E125C0"/>
    <w:rsid w:val="00E126D5"/>
    <w:rsid w:val="00E12A2D"/>
    <w:rsid w:val="00E12E37"/>
    <w:rsid w:val="00E12F26"/>
    <w:rsid w:val="00E14D5A"/>
    <w:rsid w:val="00E15029"/>
    <w:rsid w:val="00E1506D"/>
    <w:rsid w:val="00E150E0"/>
    <w:rsid w:val="00E156DF"/>
    <w:rsid w:val="00E15B39"/>
    <w:rsid w:val="00E16220"/>
    <w:rsid w:val="00E16297"/>
    <w:rsid w:val="00E165F3"/>
    <w:rsid w:val="00E168EF"/>
    <w:rsid w:val="00E16CE6"/>
    <w:rsid w:val="00E16D5B"/>
    <w:rsid w:val="00E16D8D"/>
    <w:rsid w:val="00E17426"/>
    <w:rsid w:val="00E17682"/>
    <w:rsid w:val="00E17AAE"/>
    <w:rsid w:val="00E17F3C"/>
    <w:rsid w:val="00E207BB"/>
    <w:rsid w:val="00E209C1"/>
    <w:rsid w:val="00E20C8B"/>
    <w:rsid w:val="00E2103A"/>
    <w:rsid w:val="00E21687"/>
    <w:rsid w:val="00E21A26"/>
    <w:rsid w:val="00E21D08"/>
    <w:rsid w:val="00E2204F"/>
    <w:rsid w:val="00E2219B"/>
    <w:rsid w:val="00E2250F"/>
    <w:rsid w:val="00E228A0"/>
    <w:rsid w:val="00E229CB"/>
    <w:rsid w:val="00E22A94"/>
    <w:rsid w:val="00E22D20"/>
    <w:rsid w:val="00E231F2"/>
    <w:rsid w:val="00E2336A"/>
    <w:rsid w:val="00E23572"/>
    <w:rsid w:val="00E23A88"/>
    <w:rsid w:val="00E2466C"/>
    <w:rsid w:val="00E24A8F"/>
    <w:rsid w:val="00E24EDC"/>
    <w:rsid w:val="00E251CB"/>
    <w:rsid w:val="00E2595C"/>
    <w:rsid w:val="00E25AF1"/>
    <w:rsid w:val="00E26A2B"/>
    <w:rsid w:val="00E26FDF"/>
    <w:rsid w:val="00E279B6"/>
    <w:rsid w:val="00E27C78"/>
    <w:rsid w:val="00E27D7F"/>
    <w:rsid w:val="00E306F0"/>
    <w:rsid w:val="00E30DF3"/>
    <w:rsid w:val="00E30EA5"/>
    <w:rsid w:val="00E317F0"/>
    <w:rsid w:val="00E318ED"/>
    <w:rsid w:val="00E31A9F"/>
    <w:rsid w:val="00E31BF8"/>
    <w:rsid w:val="00E32139"/>
    <w:rsid w:val="00E32261"/>
    <w:rsid w:val="00E3226E"/>
    <w:rsid w:val="00E322ED"/>
    <w:rsid w:val="00E3238A"/>
    <w:rsid w:val="00E324A8"/>
    <w:rsid w:val="00E324D5"/>
    <w:rsid w:val="00E32637"/>
    <w:rsid w:val="00E326CA"/>
    <w:rsid w:val="00E33A68"/>
    <w:rsid w:val="00E33E27"/>
    <w:rsid w:val="00E33FED"/>
    <w:rsid w:val="00E343E6"/>
    <w:rsid w:val="00E344ED"/>
    <w:rsid w:val="00E348A5"/>
    <w:rsid w:val="00E348BC"/>
    <w:rsid w:val="00E357BB"/>
    <w:rsid w:val="00E35CD0"/>
    <w:rsid w:val="00E3601E"/>
    <w:rsid w:val="00E36286"/>
    <w:rsid w:val="00E36597"/>
    <w:rsid w:val="00E369BC"/>
    <w:rsid w:val="00E36C3E"/>
    <w:rsid w:val="00E4013E"/>
    <w:rsid w:val="00E401C4"/>
    <w:rsid w:val="00E405F7"/>
    <w:rsid w:val="00E41122"/>
    <w:rsid w:val="00E4119E"/>
    <w:rsid w:val="00E4172A"/>
    <w:rsid w:val="00E43F4B"/>
    <w:rsid w:val="00E45C96"/>
    <w:rsid w:val="00E45E36"/>
    <w:rsid w:val="00E45EB3"/>
    <w:rsid w:val="00E463D0"/>
    <w:rsid w:val="00E4647F"/>
    <w:rsid w:val="00E46649"/>
    <w:rsid w:val="00E4668E"/>
    <w:rsid w:val="00E47654"/>
    <w:rsid w:val="00E47C9C"/>
    <w:rsid w:val="00E47D88"/>
    <w:rsid w:val="00E503FB"/>
    <w:rsid w:val="00E5063C"/>
    <w:rsid w:val="00E50729"/>
    <w:rsid w:val="00E50CFE"/>
    <w:rsid w:val="00E51010"/>
    <w:rsid w:val="00E52EC2"/>
    <w:rsid w:val="00E52F13"/>
    <w:rsid w:val="00E53790"/>
    <w:rsid w:val="00E537B5"/>
    <w:rsid w:val="00E54239"/>
    <w:rsid w:val="00E54500"/>
    <w:rsid w:val="00E5476A"/>
    <w:rsid w:val="00E54967"/>
    <w:rsid w:val="00E55A77"/>
    <w:rsid w:val="00E55C4C"/>
    <w:rsid w:val="00E56416"/>
    <w:rsid w:val="00E56577"/>
    <w:rsid w:val="00E56896"/>
    <w:rsid w:val="00E576D0"/>
    <w:rsid w:val="00E577A1"/>
    <w:rsid w:val="00E577E0"/>
    <w:rsid w:val="00E57FF9"/>
    <w:rsid w:val="00E60440"/>
    <w:rsid w:val="00E60A40"/>
    <w:rsid w:val="00E60FEE"/>
    <w:rsid w:val="00E619F5"/>
    <w:rsid w:val="00E619FC"/>
    <w:rsid w:val="00E621BF"/>
    <w:rsid w:val="00E62212"/>
    <w:rsid w:val="00E62939"/>
    <w:rsid w:val="00E62A1B"/>
    <w:rsid w:val="00E62FCB"/>
    <w:rsid w:val="00E64B7D"/>
    <w:rsid w:val="00E652E8"/>
    <w:rsid w:val="00E6590E"/>
    <w:rsid w:val="00E65DD1"/>
    <w:rsid w:val="00E66098"/>
    <w:rsid w:val="00E660C2"/>
    <w:rsid w:val="00E669C7"/>
    <w:rsid w:val="00E66C3D"/>
    <w:rsid w:val="00E67470"/>
    <w:rsid w:val="00E67621"/>
    <w:rsid w:val="00E700C7"/>
    <w:rsid w:val="00E70975"/>
    <w:rsid w:val="00E7121E"/>
    <w:rsid w:val="00E712DA"/>
    <w:rsid w:val="00E71415"/>
    <w:rsid w:val="00E7242A"/>
    <w:rsid w:val="00E72DC8"/>
    <w:rsid w:val="00E72E14"/>
    <w:rsid w:val="00E72FF2"/>
    <w:rsid w:val="00E73002"/>
    <w:rsid w:val="00E734E5"/>
    <w:rsid w:val="00E7378F"/>
    <w:rsid w:val="00E738E0"/>
    <w:rsid w:val="00E73D5C"/>
    <w:rsid w:val="00E74334"/>
    <w:rsid w:val="00E74520"/>
    <w:rsid w:val="00E74A0A"/>
    <w:rsid w:val="00E74D73"/>
    <w:rsid w:val="00E74D94"/>
    <w:rsid w:val="00E750A8"/>
    <w:rsid w:val="00E750BA"/>
    <w:rsid w:val="00E753FB"/>
    <w:rsid w:val="00E75ADC"/>
    <w:rsid w:val="00E75CAB"/>
    <w:rsid w:val="00E762E8"/>
    <w:rsid w:val="00E76344"/>
    <w:rsid w:val="00E771CF"/>
    <w:rsid w:val="00E7778D"/>
    <w:rsid w:val="00E77B6C"/>
    <w:rsid w:val="00E80759"/>
    <w:rsid w:val="00E80869"/>
    <w:rsid w:val="00E808DF"/>
    <w:rsid w:val="00E80EE3"/>
    <w:rsid w:val="00E80FF8"/>
    <w:rsid w:val="00E810E3"/>
    <w:rsid w:val="00E8145C"/>
    <w:rsid w:val="00E8164F"/>
    <w:rsid w:val="00E81903"/>
    <w:rsid w:val="00E82164"/>
    <w:rsid w:val="00E8241A"/>
    <w:rsid w:val="00E82445"/>
    <w:rsid w:val="00E8271C"/>
    <w:rsid w:val="00E82C53"/>
    <w:rsid w:val="00E834CB"/>
    <w:rsid w:val="00E836A8"/>
    <w:rsid w:val="00E83786"/>
    <w:rsid w:val="00E83C82"/>
    <w:rsid w:val="00E83C8E"/>
    <w:rsid w:val="00E84202"/>
    <w:rsid w:val="00E84288"/>
    <w:rsid w:val="00E842A5"/>
    <w:rsid w:val="00E84917"/>
    <w:rsid w:val="00E851BF"/>
    <w:rsid w:val="00E855B7"/>
    <w:rsid w:val="00E85D4B"/>
    <w:rsid w:val="00E862C4"/>
    <w:rsid w:val="00E86673"/>
    <w:rsid w:val="00E86DD3"/>
    <w:rsid w:val="00E87445"/>
    <w:rsid w:val="00E878BF"/>
    <w:rsid w:val="00E87E96"/>
    <w:rsid w:val="00E87F85"/>
    <w:rsid w:val="00E90AC1"/>
    <w:rsid w:val="00E90B15"/>
    <w:rsid w:val="00E90B69"/>
    <w:rsid w:val="00E9123B"/>
    <w:rsid w:val="00E91240"/>
    <w:rsid w:val="00E91265"/>
    <w:rsid w:val="00E914B6"/>
    <w:rsid w:val="00E914E5"/>
    <w:rsid w:val="00E91FAA"/>
    <w:rsid w:val="00E92573"/>
    <w:rsid w:val="00E92A68"/>
    <w:rsid w:val="00E930AF"/>
    <w:rsid w:val="00E9310E"/>
    <w:rsid w:val="00E942ED"/>
    <w:rsid w:val="00E946E1"/>
    <w:rsid w:val="00E94CB2"/>
    <w:rsid w:val="00E951A2"/>
    <w:rsid w:val="00E95312"/>
    <w:rsid w:val="00E9557B"/>
    <w:rsid w:val="00E95645"/>
    <w:rsid w:val="00E95774"/>
    <w:rsid w:val="00E95BBA"/>
    <w:rsid w:val="00E9678A"/>
    <w:rsid w:val="00E96869"/>
    <w:rsid w:val="00E976C7"/>
    <w:rsid w:val="00EA044B"/>
    <w:rsid w:val="00EA04F4"/>
    <w:rsid w:val="00EA0552"/>
    <w:rsid w:val="00EA0C4C"/>
    <w:rsid w:val="00EA1571"/>
    <w:rsid w:val="00EA15C1"/>
    <w:rsid w:val="00EA1729"/>
    <w:rsid w:val="00EA24F7"/>
    <w:rsid w:val="00EA31B1"/>
    <w:rsid w:val="00EA352C"/>
    <w:rsid w:val="00EA357E"/>
    <w:rsid w:val="00EA35BD"/>
    <w:rsid w:val="00EA3757"/>
    <w:rsid w:val="00EA37C5"/>
    <w:rsid w:val="00EA3B42"/>
    <w:rsid w:val="00EA4662"/>
    <w:rsid w:val="00EA49AC"/>
    <w:rsid w:val="00EA4DD6"/>
    <w:rsid w:val="00EA4DDA"/>
    <w:rsid w:val="00EA5080"/>
    <w:rsid w:val="00EA53ED"/>
    <w:rsid w:val="00EA5738"/>
    <w:rsid w:val="00EA57CD"/>
    <w:rsid w:val="00EA57D7"/>
    <w:rsid w:val="00EA5BA9"/>
    <w:rsid w:val="00EA5EE4"/>
    <w:rsid w:val="00EA600E"/>
    <w:rsid w:val="00EA6217"/>
    <w:rsid w:val="00EA6673"/>
    <w:rsid w:val="00EA680D"/>
    <w:rsid w:val="00EA6949"/>
    <w:rsid w:val="00EA6B52"/>
    <w:rsid w:val="00EA75D6"/>
    <w:rsid w:val="00EA7C30"/>
    <w:rsid w:val="00EA7DA3"/>
    <w:rsid w:val="00EA7F32"/>
    <w:rsid w:val="00EA7FB8"/>
    <w:rsid w:val="00EB05BB"/>
    <w:rsid w:val="00EB06D0"/>
    <w:rsid w:val="00EB0A33"/>
    <w:rsid w:val="00EB0B47"/>
    <w:rsid w:val="00EB0E54"/>
    <w:rsid w:val="00EB0F00"/>
    <w:rsid w:val="00EB1031"/>
    <w:rsid w:val="00EB1179"/>
    <w:rsid w:val="00EB1618"/>
    <w:rsid w:val="00EB1961"/>
    <w:rsid w:val="00EB19EC"/>
    <w:rsid w:val="00EB24C9"/>
    <w:rsid w:val="00EB2FB3"/>
    <w:rsid w:val="00EB3434"/>
    <w:rsid w:val="00EB3B07"/>
    <w:rsid w:val="00EB3C23"/>
    <w:rsid w:val="00EB438B"/>
    <w:rsid w:val="00EB4F68"/>
    <w:rsid w:val="00EB5163"/>
    <w:rsid w:val="00EB5279"/>
    <w:rsid w:val="00EB52EB"/>
    <w:rsid w:val="00EB54C6"/>
    <w:rsid w:val="00EB5E3B"/>
    <w:rsid w:val="00EB68A5"/>
    <w:rsid w:val="00EB6A9C"/>
    <w:rsid w:val="00EB7A3D"/>
    <w:rsid w:val="00EB7E31"/>
    <w:rsid w:val="00EC0073"/>
    <w:rsid w:val="00EC08D8"/>
    <w:rsid w:val="00EC096F"/>
    <w:rsid w:val="00EC0A08"/>
    <w:rsid w:val="00EC202E"/>
    <w:rsid w:val="00EC209C"/>
    <w:rsid w:val="00EC3A1C"/>
    <w:rsid w:val="00EC456D"/>
    <w:rsid w:val="00EC479A"/>
    <w:rsid w:val="00EC4B8D"/>
    <w:rsid w:val="00EC4E5A"/>
    <w:rsid w:val="00EC51AA"/>
    <w:rsid w:val="00EC52F2"/>
    <w:rsid w:val="00EC54DE"/>
    <w:rsid w:val="00EC56AC"/>
    <w:rsid w:val="00EC5E08"/>
    <w:rsid w:val="00EC6307"/>
    <w:rsid w:val="00EC6739"/>
    <w:rsid w:val="00EC67CA"/>
    <w:rsid w:val="00EC6C1D"/>
    <w:rsid w:val="00EC719E"/>
    <w:rsid w:val="00EC74FC"/>
    <w:rsid w:val="00EC753E"/>
    <w:rsid w:val="00EC7AF8"/>
    <w:rsid w:val="00ED00A9"/>
    <w:rsid w:val="00ED062A"/>
    <w:rsid w:val="00ED066C"/>
    <w:rsid w:val="00ED0A73"/>
    <w:rsid w:val="00ED0B93"/>
    <w:rsid w:val="00ED11AD"/>
    <w:rsid w:val="00ED13E5"/>
    <w:rsid w:val="00ED20FB"/>
    <w:rsid w:val="00ED2944"/>
    <w:rsid w:val="00ED2954"/>
    <w:rsid w:val="00ED31EA"/>
    <w:rsid w:val="00ED323E"/>
    <w:rsid w:val="00ED37B6"/>
    <w:rsid w:val="00ED3967"/>
    <w:rsid w:val="00ED4368"/>
    <w:rsid w:val="00ED460C"/>
    <w:rsid w:val="00ED4DEB"/>
    <w:rsid w:val="00ED50DD"/>
    <w:rsid w:val="00ED57D7"/>
    <w:rsid w:val="00ED62D0"/>
    <w:rsid w:val="00ED68A0"/>
    <w:rsid w:val="00ED695F"/>
    <w:rsid w:val="00ED6C6A"/>
    <w:rsid w:val="00ED7095"/>
    <w:rsid w:val="00ED70FB"/>
    <w:rsid w:val="00EE039A"/>
    <w:rsid w:val="00EE0467"/>
    <w:rsid w:val="00EE0582"/>
    <w:rsid w:val="00EE06F7"/>
    <w:rsid w:val="00EE0A27"/>
    <w:rsid w:val="00EE114D"/>
    <w:rsid w:val="00EE1215"/>
    <w:rsid w:val="00EE13CA"/>
    <w:rsid w:val="00EE147B"/>
    <w:rsid w:val="00EE154D"/>
    <w:rsid w:val="00EE1AC6"/>
    <w:rsid w:val="00EE1BB2"/>
    <w:rsid w:val="00EE1BF9"/>
    <w:rsid w:val="00EE2870"/>
    <w:rsid w:val="00EE2882"/>
    <w:rsid w:val="00EE28A4"/>
    <w:rsid w:val="00EE2C85"/>
    <w:rsid w:val="00EE2D13"/>
    <w:rsid w:val="00EE2D3C"/>
    <w:rsid w:val="00EE3947"/>
    <w:rsid w:val="00EE433C"/>
    <w:rsid w:val="00EE4839"/>
    <w:rsid w:val="00EE51A0"/>
    <w:rsid w:val="00EE5747"/>
    <w:rsid w:val="00EE57C1"/>
    <w:rsid w:val="00EE65A8"/>
    <w:rsid w:val="00EE690A"/>
    <w:rsid w:val="00EE6993"/>
    <w:rsid w:val="00EE7631"/>
    <w:rsid w:val="00EE7665"/>
    <w:rsid w:val="00EF06CE"/>
    <w:rsid w:val="00EF141D"/>
    <w:rsid w:val="00EF2132"/>
    <w:rsid w:val="00EF2612"/>
    <w:rsid w:val="00EF2847"/>
    <w:rsid w:val="00EF2BB6"/>
    <w:rsid w:val="00EF2CA3"/>
    <w:rsid w:val="00EF3007"/>
    <w:rsid w:val="00EF3444"/>
    <w:rsid w:val="00EF35B2"/>
    <w:rsid w:val="00EF37DD"/>
    <w:rsid w:val="00EF3801"/>
    <w:rsid w:val="00EF38BD"/>
    <w:rsid w:val="00EF409C"/>
    <w:rsid w:val="00EF41C5"/>
    <w:rsid w:val="00EF45CF"/>
    <w:rsid w:val="00EF4A0C"/>
    <w:rsid w:val="00EF514D"/>
    <w:rsid w:val="00EF5152"/>
    <w:rsid w:val="00EF5495"/>
    <w:rsid w:val="00EF6097"/>
    <w:rsid w:val="00EF667E"/>
    <w:rsid w:val="00EF6887"/>
    <w:rsid w:val="00EF6D71"/>
    <w:rsid w:val="00EF72CD"/>
    <w:rsid w:val="00EF75C6"/>
    <w:rsid w:val="00EF78BE"/>
    <w:rsid w:val="00EF79F7"/>
    <w:rsid w:val="00F00185"/>
    <w:rsid w:val="00F00415"/>
    <w:rsid w:val="00F0090B"/>
    <w:rsid w:val="00F00D1A"/>
    <w:rsid w:val="00F013B2"/>
    <w:rsid w:val="00F015FA"/>
    <w:rsid w:val="00F01677"/>
    <w:rsid w:val="00F01A62"/>
    <w:rsid w:val="00F01C0B"/>
    <w:rsid w:val="00F01C99"/>
    <w:rsid w:val="00F01E3B"/>
    <w:rsid w:val="00F02213"/>
    <w:rsid w:val="00F024B2"/>
    <w:rsid w:val="00F02628"/>
    <w:rsid w:val="00F03751"/>
    <w:rsid w:val="00F04184"/>
    <w:rsid w:val="00F04D89"/>
    <w:rsid w:val="00F056A1"/>
    <w:rsid w:val="00F05A28"/>
    <w:rsid w:val="00F068B2"/>
    <w:rsid w:val="00F06A97"/>
    <w:rsid w:val="00F072CB"/>
    <w:rsid w:val="00F07591"/>
    <w:rsid w:val="00F078ED"/>
    <w:rsid w:val="00F07DA6"/>
    <w:rsid w:val="00F07DDC"/>
    <w:rsid w:val="00F1055C"/>
    <w:rsid w:val="00F10ADB"/>
    <w:rsid w:val="00F10B5D"/>
    <w:rsid w:val="00F1100A"/>
    <w:rsid w:val="00F118FF"/>
    <w:rsid w:val="00F12551"/>
    <w:rsid w:val="00F128D9"/>
    <w:rsid w:val="00F1318C"/>
    <w:rsid w:val="00F1324D"/>
    <w:rsid w:val="00F13BCB"/>
    <w:rsid w:val="00F13F83"/>
    <w:rsid w:val="00F157FA"/>
    <w:rsid w:val="00F160BC"/>
    <w:rsid w:val="00F16179"/>
    <w:rsid w:val="00F165FC"/>
    <w:rsid w:val="00F16A8C"/>
    <w:rsid w:val="00F16B06"/>
    <w:rsid w:val="00F17B67"/>
    <w:rsid w:val="00F200DC"/>
    <w:rsid w:val="00F20A7B"/>
    <w:rsid w:val="00F20FE0"/>
    <w:rsid w:val="00F22541"/>
    <w:rsid w:val="00F22CC8"/>
    <w:rsid w:val="00F22F19"/>
    <w:rsid w:val="00F23FBD"/>
    <w:rsid w:val="00F24E6A"/>
    <w:rsid w:val="00F251DA"/>
    <w:rsid w:val="00F2525D"/>
    <w:rsid w:val="00F25345"/>
    <w:rsid w:val="00F2550E"/>
    <w:rsid w:val="00F25578"/>
    <w:rsid w:val="00F2575A"/>
    <w:rsid w:val="00F25969"/>
    <w:rsid w:val="00F25B57"/>
    <w:rsid w:val="00F25FB3"/>
    <w:rsid w:val="00F2626F"/>
    <w:rsid w:val="00F266E1"/>
    <w:rsid w:val="00F26C5B"/>
    <w:rsid w:val="00F278B3"/>
    <w:rsid w:val="00F27A96"/>
    <w:rsid w:val="00F30127"/>
    <w:rsid w:val="00F3017D"/>
    <w:rsid w:val="00F302D4"/>
    <w:rsid w:val="00F304EA"/>
    <w:rsid w:val="00F30513"/>
    <w:rsid w:val="00F305D5"/>
    <w:rsid w:val="00F307C3"/>
    <w:rsid w:val="00F30FF5"/>
    <w:rsid w:val="00F3107C"/>
    <w:rsid w:val="00F325D7"/>
    <w:rsid w:val="00F32765"/>
    <w:rsid w:val="00F327B9"/>
    <w:rsid w:val="00F32B61"/>
    <w:rsid w:val="00F330FE"/>
    <w:rsid w:val="00F334AF"/>
    <w:rsid w:val="00F33DED"/>
    <w:rsid w:val="00F349FA"/>
    <w:rsid w:val="00F34A67"/>
    <w:rsid w:val="00F34D2B"/>
    <w:rsid w:val="00F350BE"/>
    <w:rsid w:val="00F36E97"/>
    <w:rsid w:val="00F3752B"/>
    <w:rsid w:val="00F3773F"/>
    <w:rsid w:val="00F3780F"/>
    <w:rsid w:val="00F378CB"/>
    <w:rsid w:val="00F40505"/>
    <w:rsid w:val="00F408F5"/>
    <w:rsid w:val="00F40B35"/>
    <w:rsid w:val="00F417DF"/>
    <w:rsid w:val="00F41B00"/>
    <w:rsid w:val="00F41C4D"/>
    <w:rsid w:val="00F42439"/>
    <w:rsid w:val="00F42629"/>
    <w:rsid w:val="00F42AF9"/>
    <w:rsid w:val="00F42BA2"/>
    <w:rsid w:val="00F42BC2"/>
    <w:rsid w:val="00F43291"/>
    <w:rsid w:val="00F43552"/>
    <w:rsid w:val="00F435A3"/>
    <w:rsid w:val="00F446BC"/>
    <w:rsid w:val="00F447F7"/>
    <w:rsid w:val="00F44CEE"/>
    <w:rsid w:val="00F45089"/>
    <w:rsid w:val="00F451C9"/>
    <w:rsid w:val="00F45227"/>
    <w:rsid w:val="00F45357"/>
    <w:rsid w:val="00F45636"/>
    <w:rsid w:val="00F45812"/>
    <w:rsid w:val="00F45D4E"/>
    <w:rsid w:val="00F45E4F"/>
    <w:rsid w:val="00F46156"/>
    <w:rsid w:val="00F461EA"/>
    <w:rsid w:val="00F469A5"/>
    <w:rsid w:val="00F46D40"/>
    <w:rsid w:val="00F46F0C"/>
    <w:rsid w:val="00F47418"/>
    <w:rsid w:val="00F47618"/>
    <w:rsid w:val="00F47812"/>
    <w:rsid w:val="00F479A8"/>
    <w:rsid w:val="00F47F04"/>
    <w:rsid w:val="00F5108A"/>
    <w:rsid w:val="00F515EB"/>
    <w:rsid w:val="00F52162"/>
    <w:rsid w:val="00F523F1"/>
    <w:rsid w:val="00F52737"/>
    <w:rsid w:val="00F52765"/>
    <w:rsid w:val="00F52D15"/>
    <w:rsid w:val="00F52EC3"/>
    <w:rsid w:val="00F52ED0"/>
    <w:rsid w:val="00F5425B"/>
    <w:rsid w:val="00F5439B"/>
    <w:rsid w:val="00F54551"/>
    <w:rsid w:val="00F5487F"/>
    <w:rsid w:val="00F54888"/>
    <w:rsid w:val="00F54B74"/>
    <w:rsid w:val="00F54CC0"/>
    <w:rsid w:val="00F54D3B"/>
    <w:rsid w:val="00F5539E"/>
    <w:rsid w:val="00F55F05"/>
    <w:rsid w:val="00F562C1"/>
    <w:rsid w:val="00F565D2"/>
    <w:rsid w:val="00F56EF3"/>
    <w:rsid w:val="00F57334"/>
    <w:rsid w:val="00F5759E"/>
    <w:rsid w:val="00F57AA9"/>
    <w:rsid w:val="00F57AE8"/>
    <w:rsid w:val="00F57BA8"/>
    <w:rsid w:val="00F60438"/>
    <w:rsid w:val="00F605D3"/>
    <w:rsid w:val="00F606BE"/>
    <w:rsid w:val="00F60802"/>
    <w:rsid w:val="00F60979"/>
    <w:rsid w:val="00F61B07"/>
    <w:rsid w:val="00F61E5E"/>
    <w:rsid w:val="00F621C9"/>
    <w:rsid w:val="00F6244E"/>
    <w:rsid w:val="00F634DA"/>
    <w:rsid w:val="00F63A90"/>
    <w:rsid w:val="00F64236"/>
    <w:rsid w:val="00F64FBE"/>
    <w:rsid w:val="00F64FED"/>
    <w:rsid w:val="00F652C8"/>
    <w:rsid w:val="00F65559"/>
    <w:rsid w:val="00F65F33"/>
    <w:rsid w:val="00F66813"/>
    <w:rsid w:val="00F66B08"/>
    <w:rsid w:val="00F66B54"/>
    <w:rsid w:val="00F66E4B"/>
    <w:rsid w:val="00F66E6B"/>
    <w:rsid w:val="00F66FB1"/>
    <w:rsid w:val="00F70259"/>
    <w:rsid w:val="00F70A80"/>
    <w:rsid w:val="00F70A84"/>
    <w:rsid w:val="00F70A99"/>
    <w:rsid w:val="00F70DE9"/>
    <w:rsid w:val="00F70F12"/>
    <w:rsid w:val="00F71298"/>
    <w:rsid w:val="00F71794"/>
    <w:rsid w:val="00F723A7"/>
    <w:rsid w:val="00F72895"/>
    <w:rsid w:val="00F731DA"/>
    <w:rsid w:val="00F736D7"/>
    <w:rsid w:val="00F73B39"/>
    <w:rsid w:val="00F75C32"/>
    <w:rsid w:val="00F75F84"/>
    <w:rsid w:val="00F767B3"/>
    <w:rsid w:val="00F76847"/>
    <w:rsid w:val="00F768DA"/>
    <w:rsid w:val="00F76C31"/>
    <w:rsid w:val="00F76CAC"/>
    <w:rsid w:val="00F76E2B"/>
    <w:rsid w:val="00F770ED"/>
    <w:rsid w:val="00F773F4"/>
    <w:rsid w:val="00F778D6"/>
    <w:rsid w:val="00F77966"/>
    <w:rsid w:val="00F77B7E"/>
    <w:rsid w:val="00F77C02"/>
    <w:rsid w:val="00F77D3A"/>
    <w:rsid w:val="00F80B1E"/>
    <w:rsid w:val="00F80CA6"/>
    <w:rsid w:val="00F81227"/>
    <w:rsid w:val="00F816BF"/>
    <w:rsid w:val="00F81887"/>
    <w:rsid w:val="00F81BD7"/>
    <w:rsid w:val="00F81C3D"/>
    <w:rsid w:val="00F82727"/>
    <w:rsid w:val="00F82AED"/>
    <w:rsid w:val="00F82BC4"/>
    <w:rsid w:val="00F832D4"/>
    <w:rsid w:val="00F834DD"/>
    <w:rsid w:val="00F83685"/>
    <w:rsid w:val="00F838BE"/>
    <w:rsid w:val="00F83F3A"/>
    <w:rsid w:val="00F84306"/>
    <w:rsid w:val="00F84DE1"/>
    <w:rsid w:val="00F850ED"/>
    <w:rsid w:val="00F85564"/>
    <w:rsid w:val="00F8569F"/>
    <w:rsid w:val="00F8573F"/>
    <w:rsid w:val="00F86B31"/>
    <w:rsid w:val="00F873A7"/>
    <w:rsid w:val="00F8788C"/>
    <w:rsid w:val="00F87A26"/>
    <w:rsid w:val="00F87A93"/>
    <w:rsid w:val="00F87B6E"/>
    <w:rsid w:val="00F87EAE"/>
    <w:rsid w:val="00F87FCA"/>
    <w:rsid w:val="00F90E42"/>
    <w:rsid w:val="00F91E27"/>
    <w:rsid w:val="00F922ED"/>
    <w:rsid w:val="00F92754"/>
    <w:rsid w:val="00F92794"/>
    <w:rsid w:val="00F927B4"/>
    <w:rsid w:val="00F93188"/>
    <w:rsid w:val="00F93F2F"/>
    <w:rsid w:val="00F94F67"/>
    <w:rsid w:val="00F95100"/>
    <w:rsid w:val="00F9528A"/>
    <w:rsid w:val="00F95844"/>
    <w:rsid w:val="00F95A9A"/>
    <w:rsid w:val="00F96449"/>
    <w:rsid w:val="00F96559"/>
    <w:rsid w:val="00F9691A"/>
    <w:rsid w:val="00F96D2B"/>
    <w:rsid w:val="00F97986"/>
    <w:rsid w:val="00F97A3C"/>
    <w:rsid w:val="00F97A89"/>
    <w:rsid w:val="00FA0AE1"/>
    <w:rsid w:val="00FA0E76"/>
    <w:rsid w:val="00FA2BC0"/>
    <w:rsid w:val="00FA2C0F"/>
    <w:rsid w:val="00FA2CE9"/>
    <w:rsid w:val="00FA2D54"/>
    <w:rsid w:val="00FA318D"/>
    <w:rsid w:val="00FA3265"/>
    <w:rsid w:val="00FA3B5A"/>
    <w:rsid w:val="00FA3CDD"/>
    <w:rsid w:val="00FA3E87"/>
    <w:rsid w:val="00FA4E66"/>
    <w:rsid w:val="00FA5374"/>
    <w:rsid w:val="00FA5521"/>
    <w:rsid w:val="00FA5683"/>
    <w:rsid w:val="00FA5B87"/>
    <w:rsid w:val="00FA5F66"/>
    <w:rsid w:val="00FA62EC"/>
    <w:rsid w:val="00FA6528"/>
    <w:rsid w:val="00FA6FAD"/>
    <w:rsid w:val="00FA70D8"/>
    <w:rsid w:val="00FA7845"/>
    <w:rsid w:val="00FB0A1C"/>
    <w:rsid w:val="00FB1216"/>
    <w:rsid w:val="00FB189F"/>
    <w:rsid w:val="00FB1972"/>
    <w:rsid w:val="00FB1A4A"/>
    <w:rsid w:val="00FB1F1F"/>
    <w:rsid w:val="00FB242D"/>
    <w:rsid w:val="00FB2753"/>
    <w:rsid w:val="00FB2774"/>
    <w:rsid w:val="00FB2BC4"/>
    <w:rsid w:val="00FB2C74"/>
    <w:rsid w:val="00FB2FCB"/>
    <w:rsid w:val="00FB31C5"/>
    <w:rsid w:val="00FB6181"/>
    <w:rsid w:val="00FB6381"/>
    <w:rsid w:val="00FB65E4"/>
    <w:rsid w:val="00FB7A1D"/>
    <w:rsid w:val="00FC024E"/>
    <w:rsid w:val="00FC09D9"/>
    <w:rsid w:val="00FC1795"/>
    <w:rsid w:val="00FC1EA5"/>
    <w:rsid w:val="00FC1EC7"/>
    <w:rsid w:val="00FC1FC4"/>
    <w:rsid w:val="00FC28A4"/>
    <w:rsid w:val="00FC2F83"/>
    <w:rsid w:val="00FC2FC2"/>
    <w:rsid w:val="00FC34C5"/>
    <w:rsid w:val="00FC3943"/>
    <w:rsid w:val="00FC3AFE"/>
    <w:rsid w:val="00FC4687"/>
    <w:rsid w:val="00FC46A1"/>
    <w:rsid w:val="00FC4769"/>
    <w:rsid w:val="00FC4A53"/>
    <w:rsid w:val="00FC4D73"/>
    <w:rsid w:val="00FC4EA9"/>
    <w:rsid w:val="00FC522B"/>
    <w:rsid w:val="00FC5478"/>
    <w:rsid w:val="00FC55B3"/>
    <w:rsid w:val="00FC58BB"/>
    <w:rsid w:val="00FC6390"/>
    <w:rsid w:val="00FC6DCD"/>
    <w:rsid w:val="00FC7273"/>
    <w:rsid w:val="00FC7921"/>
    <w:rsid w:val="00FD0560"/>
    <w:rsid w:val="00FD1F52"/>
    <w:rsid w:val="00FD216A"/>
    <w:rsid w:val="00FD227D"/>
    <w:rsid w:val="00FD2534"/>
    <w:rsid w:val="00FD2A57"/>
    <w:rsid w:val="00FD3BF5"/>
    <w:rsid w:val="00FD4059"/>
    <w:rsid w:val="00FD43B1"/>
    <w:rsid w:val="00FD4691"/>
    <w:rsid w:val="00FD4AC8"/>
    <w:rsid w:val="00FD59E0"/>
    <w:rsid w:val="00FD5E63"/>
    <w:rsid w:val="00FD6026"/>
    <w:rsid w:val="00FD67F7"/>
    <w:rsid w:val="00FD6C6A"/>
    <w:rsid w:val="00FD723F"/>
    <w:rsid w:val="00FD7285"/>
    <w:rsid w:val="00FD7B66"/>
    <w:rsid w:val="00FE01F1"/>
    <w:rsid w:val="00FE0B74"/>
    <w:rsid w:val="00FE13D2"/>
    <w:rsid w:val="00FE1EE7"/>
    <w:rsid w:val="00FE22A1"/>
    <w:rsid w:val="00FE2518"/>
    <w:rsid w:val="00FE302B"/>
    <w:rsid w:val="00FE3054"/>
    <w:rsid w:val="00FE361E"/>
    <w:rsid w:val="00FE3869"/>
    <w:rsid w:val="00FE3A5B"/>
    <w:rsid w:val="00FE3B08"/>
    <w:rsid w:val="00FE3B14"/>
    <w:rsid w:val="00FE3C75"/>
    <w:rsid w:val="00FE4199"/>
    <w:rsid w:val="00FE4586"/>
    <w:rsid w:val="00FE64FD"/>
    <w:rsid w:val="00FE71DC"/>
    <w:rsid w:val="00FE72A0"/>
    <w:rsid w:val="00FE7FA5"/>
    <w:rsid w:val="00FF0BD2"/>
    <w:rsid w:val="00FF15DE"/>
    <w:rsid w:val="00FF183A"/>
    <w:rsid w:val="00FF1B11"/>
    <w:rsid w:val="00FF1CB0"/>
    <w:rsid w:val="00FF1DDA"/>
    <w:rsid w:val="00FF1F64"/>
    <w:rsid w:val="00FF22FC"/>
    <w:rsid w:val="00FF29E0"/>
    <w:rsid w:val="00FF3AEB"/>
    <w:rsid w:val="00FF400F"/>
    <w:rsid w:val="00FF48CE"/>
    <w:rsid w:val="00FF4B03"/>
    <w:rsid w:val="00FF58B4"/>
    <w:rsid w:val="00FF5ADE"/>
    <w:rsid w:val="00FF66B5"/>
    <w:rsid w:val="00FF6862"/>
    <w:rsid w:val="00FF6C1E"/>
    <w:rsid w:val="00FF6DB5"/>
    <w:rsid w:val="00FF6E50"/>
    <w:rsid w:val="00FF6ECA"/>
    <w:rsid w:val="00FF70E0"/>
    <w:rsid w:val="00FF7655"/>
    <w:rsid w:val="00FF76B8"/>
    <w:rsid w:val="00FF79C4"/>
    <w:rsid w:val="00FF7C50"/>
    <w:rsid w:val="00FF7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74FC"/>
    <w:pPr>
      <w:adjustRightInd w:val="0"/>
      <w:spacing w:after="240" w:line="260" w:lineRule="atLeast"/>
      <w:textAlignment w:val="baseline"/>
    </w:pPr>
    <w:rPr>
      <w:rFonts w:ascii="Cambria" w:hAnsi="Cambria"/>
      <w:szCs w:val="22"/>
    </w:rPr>
  </w:style>
  <w:style w:type="paragraph" w:styleId="Heading1">
    <w:name w:val="heading 1"/>
    <w:basedOn w:val="Normal"/>
    <w:next w:val="Normal"/>
    <w:link w:val="Heading1Char"/>
    <w:autoRedefine/>
    <w:qFormat/>
    <w:rsid w:val="004C0C16"/>
    <w:pPr>
      <w:keepNext/>
      <w:keepLines/>
      <w:pageBreakBefore/>
      <w:numPr>
        <w:numId w:val="7"/>
      </w:numPr>
      <w:adjustRightInd/>
      <w:textAlignment w:val="auto"/>
      <w:outlineLvl w:val="0"/>
    </w:pPr>
    <w:rPr>
      <w:rFonts w:ascii="Calibri" w:hAnsi="Calibri"/>
      <w:b/>
      <w:bCs/>
      <w:color w:val="1795D2" w:themeColor="accent1"/>
      <w:sz w:val="36"/>
      <w:szCs w:val="36"/>
    </w:rPr>
  </w:style>
  <w:style w:type="paragraph" w:styleId="Heading2">
    <w:name w:val="heading 2"/>
    <w:basedOn w:val="Normal"/>
    <w:next w:val="Normal"/>
    <w:link w:val="Heading2Char"/>
    <w:autoRedefine/>
    <w:qFormat/>
    <w:rsid w:val="00B8270A"/>
    <w:pPr>
      <w:keepNext/>
      <w:keepLines/>
      <w:numPr>
        <w:ilvl w:val="1"/>
        <w:numId w:val="7"/>
      </w:numPr>
      <w:pBdr>
        <w:bottom w:val="single" w:sz="2" w:space="1" w:color="auto"/>
      </w:pBdr>
      <w:spacing w:after="120"/>
      <w:outlineLvl w:val="1"/>
    </w:pPr>
    <w:rPr>
      <w:rFonts w:ascii="Calibri" w:hAnsi="Calibri"/>
      <w:b/>
      <w:bCs/>
      <w:sz w:val="24"/>
      <w:szCs w:val="24"/>
    </w:rPr>
  </w:style>
  <w:style w:type="paragraph" w:styleId="Heading3">
    <w:name w:val="heading 3"/>
    <w:basedOn w:val="Normal"/>
    <w:next w:val="Normal"/>
    <w:link w:val="Heading3Char"/>
    <w:autoRedefine/>
    <w:qFormat/>
    <w:rsid w:val="00912A17"/>
    <w:pPr>
      <w:keepNext/>
      <w:keepLines/>
      <w:numPr>
        <w:ilvl w:val="2"/>
        <w:numId w:val="7"/>
      </w:numPr>
      <w:spacing w:after="120" w:line="240" w:lineRule="auto"/>
      <w:ind w:left="0"/>
      <w:outlineLvl w:val="2"/>
    </w:pPr>
    <w:rPr>
      <w:rFonts w:ascii="Calibri" w:hAnsi="Calibri"/>
      <w:b/>
      <w:iCs/>
      <w:color w:val="000000"/>
      <w:szCs w:val="18"/>
    </w:rPr>
  </w:style>
  <w:style w:type="paragraph" w:styleId="Heading4">
    <w:name w:val="heading 4"/>
    <w:basedOn w:val="Normal"/>
    <w:next w:val="Normal"/>
    <w:link w:val="Heading4Char"/>
    <w:autoRedefine/>
    <w:qFormat/>
    <w:rsid w:val="00F30127"/>
    <w:pPr>
      <w:keepNext/>
      <w:keepLines/>
      <w:numPr>
        <w:ilvl w:val="3"/>
        <w:numId w:val="7"/>
      </w:numPr>
      <w:spacing w:after="120"/>
      <w:outlineLvl w:val="3"/>
    </w:pPr>
    <w:rPr>
      <w:rFonts w:ascii="Calibri" w:hAnsi="Calibri"/>
      <w:bCs/>
      <w:i/>
      <w:szCs w:val="20"/>
    </w:rPr>
  </w:style>
  <w:style w:type="paragraph" w:styleId="Heading5">
    <w:name w:val="heading 5"/>
    <w:basedOn w:val="Normal"/>
    <w:next w:val="Normal"/>
    <w:qFormat/>
    <w:pPr>
      <w:keepNext/>
      <w:outlineLvl w:val="4"/>
    </w:pPr>
    <w:rPr>
      <w:b/>
      <w:bCs/>
    </w:rPr>
  </w:style>
  <w:style w:type="paragraph" w:styleId="Heading6">
    <w:name w:val="heading 6"/>
    <w:basedOn w:val="Normal"/>
    <w:next w:val="Normal"/>
    <w:qFormat/>
    <w:pPr>
      <w:keepNext/>
      <w:jc w:val="center"/>
      <w:outlineLvl w:val="5"/>
    </w:pPr>
    <w:rPr>
      <w:sz w:val="44"/>
    </w:rPr>
  </w:style>
  <w:style w:type="paragraph" w:styleId="Heading7">
    <w:name w:val="heading 7"/>
    <w:basedOn w:val="Normal"/>
    <w:next w:val="Normal"/>
    <w:qFormat/>
    <w:pPr>
      <w:keepNext/>
      <w:jc w:val="center"/>
      <w:outlineLvl w:val="6"/>
    </w:pPr>
    <w:rPr>
      <w:b/>
      <w:bCs/>
    </w:rPr>
  </w:style>
  <w:style w:type="paragraph" w:styleId="Heading8">
    <w:name w:val="heading 8"/>
    <w:basedOn w:val="Normal"/>
    <w:next w:val="Normal"/>
    <w:qFormat/>
    <w:pPr>
      <w:keepNext/>
      <w:jc w:val="center"/>
      <w:outlineLvl w:val="7"/>
    </w:pPr>
    <w:rPr>
      <w:b/>
      <w:bCs/>
    </w:rPr>
  </w:style>
  <w:style w:type="paragraph" w:styleId="Heading9">
    <w:name w:val="heading 9"/>
    <w:basedOn w:val="Normal"/>
    <w:next w:val="Normal"/>
    <w:qFormat/>
    <w:pPr>
      <w:keepNext/>
      <w:ind w:right="-147"/>
      <w:jc w:val="center"/>
      <w:outlineLvl w:val="8"/>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8ptLeftText">
    <w:name w:val="Table 8 pt Left Text"/>
    <w:basedOn w:val="Normal"/>
    <w:rPr>
      <w:rFonts w:ascii="Arial" w:hAnsi="Arial"/>
      <w:sz w:val="16"/>
    </w:rPr>
  </w:style>
  <w:style w:type="paragraph" w:styleId="Caption">
    <w:name w:val="caption"/>
    <w:basedOn w:val="Normal"/>
    <w:next w:val="Normal"/>
    <w:link w:val="CaptionChar"/>
    <w:qFormat/>
    <w:rsid w:val="00EB3C23"/>
    <w:pPr>
      <w:keepNext/>
      <w:keepLines/>
      <w:tabs>
        <w:tab w:val="left" w:pos="1260"/>
        <w:tab w:val="left" w:pos="9000"/>
      </w:tabs>
      <w:spacing w:after="120" w:line="240" w:lineRule="auto"/>
    </w:pPr>
    <w:rPr>
      <w:rFonts w:ascii="Calibri" w:hAnsi="Calibri"/>
      <w:b/>
      <w:bCs/>
      <w:szCs w:val="20"/>
    </w:rPr>
  </w:style>
  <w:style w:type="paragraph" w:styleId="Header">
    <w:name w:val="header"/>
    <w:basedOn w:val="Normal"/>
    <w:link w:val="HeaderChar"/>
    <w:uiPriority w:val="99"/>
    <w:pPr>
      <w:tabs>
        <w:tab w:val="center" w:pos="4320"/>
        <w:tab w:val="right" w:pos="8640"/>
      </w:tabs>
    </w:pPr>
  </w:style>
  <w:style w:type="paragraph" w:styleId="TableofFigures">
    <w:name w:val="table of figures"/>
    <w:basedOn w:val="Normal"/>
    <w:next w:val="Normal"/>
    <w:autoRedefine/>
    <w:uiPriority w:val="99"/>
    <w:rsid w:val="001F5E1A"/>
    <w:pPr>
      <w:tabs>
        <w:tab w:val="right" w:leader="dot" w:pos="8990"/>
      </w:tabs>
      <w:spacing w:after="120" w:line="240" w:lineRule="auto"/>
      <w:ind w:left="1260" w:hanging="1260"/>
    </w:pPr>
    <w:rPr>
      <w:rFonts w:ascii="Calibri" w:hAnsi="Calibri" w:cstheme="minorHAnsi"/>
      <w:b/>
      <w:noProof/>
      <w:szCs w:val="20"/>
    </w:rPr>
  </w:style>
  <w:style w:type="paragraph" w:styleId="FootnoteText">
    <w:name w:val="footnote text"/>
    <w:aliases w:val="ft,Footnote Text Char1,Footnote Text Char Char,fn Char Char,Footnote Text Char1 Char1 Char,Footnote Text Char Char Char1 Char,Footnote Text Char1 Char Char Char,Footnote Text Char Char Char Char Char,Footnote Text Char Char1,fn,ft Char1,f"/>
    <w:basedOn w:val="Normal"/>
    <w:link w:val="FootnoteTextChar"/>
    <w:uiPriority w:val="99"/>
    <w:qFormat/>
    <w:rsid w:val="009C2B5B"/>
    <w:pPr>
      <w:keepLines/>
      <w:spacing w:after="80" w:line="240" w:lineRule="auto"/>
    </w:pPr>
    <w:rPr>
      <w:sz w:val="18"/>
      <w:szCs w:val="18"/>
    </w:rPr>
  </w:style>
  <w:style w:type="character" w:styleId="FootnoteReference">
    <w:name w:val="footnote reference"/>
    <w:aliases w:val="o,Style 17,fr,Style 13,Style 12,Style 15,Style 9,o1,fr1,o2,fr2,o3,fr3,Style 18,(NECG) Footnote Reference,Style 20,Style 7,Style 8,Style 19,Style 32,o + Times New Roman,Style 16,StyFootnote Reference,Style 11,Style 28,Styl"/>
    <w:autoRedefine/>
    <w:uiPriority w:val="99"/>
    <w:qFormat/>
    <w:rPr>
      <w:sz w:val="22"/>
      <w:szCs w:val="22"/>
      <w:vertAlign w:val="superscript"/>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C2">
    <w:name w:val="toc 2"/>
    <w:basedOn w:val="Normal"/>
    <w:next w:val="Normal"/>
    <w:autoRedefine/>
    <w:uiPriority w:val="39"/>
    <w:rsid w:val="005D20DB"/>
    <w:pPr>
      <w:keepNext/>
      <w:tabs>
        <w:tab w:val="right" w:leader="dot" w:pos="8990"/>
      </w:tabs>
      <w:spacing w:after="120" w:line="240" w:lineRule="auto"/>
      <w:ind w:left="331" w:hanging="331"/>
    </w:pPr>
    <w:rPr>
      <w:rFonts w:asciiTheme="minorHAnsi" w:hAnsiTheme="minorHAnsi"/>
      <w:bCs/>
      <w:noProof/>
      <w:szCs w:val="20"/>
    </w:rPr>
  </w:style>
  <w:style w:type="paragraph" w:styleId="TOC1">
    <w:name w:val="toc 1"/>
    <w:basedOn w:val="Normal"/>
    <w:next w:val="Normal"/>
    <w:autoRedefine/>
    <w:uiPriority w:val="39"/>
    <w:qFormat/>
    <w:rsid w:val="005D20DB"/>
    <w:pPr>
      <w:tabs>
        <w:tab w:val="right" w:leader="dot" w:pos="8990"/>
      </w:tabs>
      <w:spacing w:after="120" w:line="240" w:lineRule="auto"/>
    </w:pPr>
    <w:rPr>
      <w:rFonts w:asciiTheme="minorHAnsi" w:hAnsiTheme="minorHAnsi" w:cs="Arial"/>
      <w:b/>
      <w:bCs/>
      <w:noProof/>
      <w:szCs w:val="20"/>
    </w:rPr>
  </w:style>
  <w:style w:type="paragraph" w:styleId="TOC3">
    <w:name w:val="toc 3"/>
    <w:basedOn w:val="Normal"/>
    <w:next w:val="Normal"/>
    <w:uiPriority w:val="39"/>
    <w:pPr>
      <w:tabs>
        <w:tab w:val="right" w:leader="dot" w:pos="8990"/>
      </w:tabs>
      <w:ind w:left="216"/>
    </w:pPr>
    <w:rPr>
      <w:szCs w:val="20"/>
    </w:rPr>
  </w:style>
  <w:style w:type="paragraph" w:styleId="TOC4">
    <w:name w:val="toc 4"/>
    <w:basedOn w:val="Normal"/>
    <w:next w:val="Normal"/>
    <w:autoRedefine/>
    <w:semiHidden/>
    <w:pPr>
      <w:ind w:left="440"/>
    </w:pPr>
    <w:rPr>
      <w:szCs w:val="20"/>
    </w:rPr>
  </w:style>
  <w:style w:type="character" w:styleId="Hyperlink">
    <w:name w:val="Hyperlink"/>
    <w:uiPriority w:val="99"/>
    <w:qFormat/>
    <w:rPr>
      <w:color w:val="0000FF"/>
      <w:u w:val="single"/>
    </w:rPr>
  </w:style>
  <w:style w:type="paragraph" w:customStyle="1" w:styleId="Table-a-b-c">
    <w:name w:val="Table-a-b-c"/>
    <w:basedOn w:val="Normal"/>
    <w:pPr>
      <w:spacing w:after="80" w:line="240" w:lineRule="auto"/>
      <w:ind w:left="-720"/>
    </w:pPr>
    <w:rPr>
      <w:rFonts w:ascii="Arial" w:hAnsi="Arial" w:cs="Arial"/>
      <w:sz w:val="16"/>
      <w:szCs w:val="16"/>
    </w:rPr>
  </w:style>
  <w:style w:type="paragraph" w:styleId="TOC5">
    <w:name w:val="toc 5"/>
    <w:basedOn w:val="Normal"/>
    <w:next w:val="Normal"/>
    <w:autoRedefine/>
    <w:semiHidden/>
    <w:pPr>
      <w:ind w:left="660"/>
    </w:pPr>
    <w:rPr>
      <w:szCs w:val="20"/>
    </w:rPr>
  </w:style>
  <w:style w:type="paragraph" w:styleId="TOC6">
    <w:name w:val="toc 6"/>
    <w:basedOn w:val="Normal"/>
    <w:next w:val="Normal"/>
    <w:autoRedefine/>
    <w:semiHidden/>
    <w:pPr>
      <w:ind w:left="880"/>
    </w:pPr>
    <w:rPr>
      <w:szCs w:val="20"/>
    </w:rPr>
  </w:style>
  <w:style w:type="paragraph" w:styleId="TOC7">
    <w:name w:val="toc 7"/>
    <w:basedOn w:val="Normal"/>
    <w:next w:val="Normal"/>
    <w:autoRedefine/>
    <w:semiHidden/>
    <w:pPr>
      <w:ind w:left="1100"/>
    </w:pPr>
    <w:rPr>
      <w:szCs w:val="20"/>
    </w:rPr>
  </w:style>
  <w:style w:type="paragraph" w:styleId="TOC8">
    <w:name w:val="toc 8"/>
    <w:basedOn w:val="Normal"/>
    <w:next w:val="Normal"/>
    <w:autoRedefine/>
    <w:semiHidden/>
    <w:pPr>
      <w:ind w:left="1320"/>
    </w:pPr>
    <w:rPr>
      <w:szCs w:val="20"/>
    </w:rPr>
  </w:style>
  <w:style w:type="paragraph" w:styleId="TOC9">
    <w:name w:val="toc 9"/>
    <w:basedOn w:val="Normal"/>
    <w:next w:val="Normal"/>
    <w:autoRedefine/>
    <w:semiHidden/>
    <w:pPr>
      <w:ind w:left="1540"/>
    </w:pPr>
    <w:rPr>
      <w:szCs w:val="20"/>
    </w:rPr>
  </w:style>
  <w:style w:type="paragraph" w:customStyle="1" w:styleId="TableTextCentered">
    <w:name w:val="Table Text Centered"/>
    <w:basedOn w:val="Normal"/>
    <w:pPr>
      <w:tabs>
        <w:tab w:val="left" w:pos="-720"/>
      </w:tabs>
      <w:suppressAutoHyphens/>
      <w:spacing w:before="60" w:after="60" w:line="180" w:lineRule="exact"/>
      <w:jc w:val="center"/>
    </w:pPr>
    <w:rPr>
      <w:sz w:val="18"/>
    </w:rPr>
  </w:style>
  <w:style w:type="paragraph" w:styleId="Footer">
    <w:name w:val="footer"/>
    <w:basedOn w:val="Normal"/>
    <w:link w:val="FooterChar"/>
    <w:uiPriority w:val="99"/>
    <w:pPr>
      <w:tabs>
        <w:tab w:val="center" w:pos="4320"/>
        <w:tab w:val="right" w:pos="8640"/>
      </w:tabs>
    </w:pPr>
  </w:style>
  <w:style w:type="paragraph" w:styleId="Subtitle">
    <w:name w:val="Subtitle"/>
    <w:basedOn w:val="Normal"/>
    <w:qFormat/>
    <w:rPr>
      <w:b/>
      <w:bCs/>
    </w:rPr>
  </w:style>
  <w:style w:type="paragraph" w:customStyle="1" w:styleId="TableCaption">
    <w:name w:val="Table Caption"/>
    <w:basedOn w:val="Caption"/>
    <w:autoRedefine/>
    <w:rsid w:val="004315EE"/>
    <w:pPr>
      <w:tabs>
        <w:tab w:val="left" w:pos="7740"/>
      </w:tabs>
      <w:ind w:left="1267" w:right="1267"/>
    </w:pPr>
  </w:style>
  <w:style w:type="paragraph" w:customStyle="1" w:styleId="Table8ptTextCentered">
    <w:name w:val="Table 8 pt Text Centered"/>
    <w:basedOn w:val="Normal"/>
    <w:pPr>
      <w:adjustRightInd/>
      <w:spacing w:line="240" w:lineRule="auto"/>
      <w:jc w:val="center"/>
      <w:textAlignment w:val="auto"/>
    </w:pPr>
    <w:rPr>
      <w:rFonts w:ascii="Arial" w:hAnsi="Arial" w:cs="Arial"/>
      <w:sz w:val="16"/>
      <w:szCs w:val="16"/>
    </w:rPr>
  </w:style>
  <w:style w:type="paragraph" w:customStyle="1" w:styleId="Table8ptCtrBoldText">
    <w:name w:val="Table 8 pt Ctr Bold Text"/>
    <w:basedOn w:val="Normal"/>
    <w:autoRedefine/>
    <w:pPr>
      <w:keepNext/>
      <w:keepLines/>
      <w:adjustRightInd/>
      <w:spacing w:line="240" w:lineRule="auto"/>
      <w:jc w:val="center"/>
      <w:textAlignment w:val="auto"/>
    </w:pPr>
    <w:rPr>
      <w:rFonts w:ascii="Arial" w:hAnsi="Arial" w:cs="Arial"/>
      <w:b/>
      <w:bCs/>
      <w:sz w:val="16"/>
      <w:szCs w:val="16"/>
    </w:rPr>
  </w:style>
  <w:style w:type="character" w:styleId="FollowedHyperlink">
    <w:name w:val="FollowedHyperlink"/>
    <w:rPr>
      <w:color w:val="800080"/>
      <w:u w:val="single"/>
    </w:r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customStyle="1" w:styleId="Table8ptLeftBoldText">
    <w:name w:val="Table 8 pt Left Bold Text"/>
    <w:basedOn w:val="Normal"/>
    <w:pPr>
      <w:adjustRightInd/>
      <w:spacing w:line="240" w:lineRule="auto"/>
      <w:textAlignment w:val="auto"/>
    </w:pPr>
    <w:rPr>
      <w:rFonts w:ascii="Arial" w:hAnsi="Arial" w:cs="Arial"/>
      <w:b/>
      <w:bCs/>
      <w:sz w:val="16"/>
      <w:szCs w:val="16"/>
    </w:rPr>
  </w:style>
  <w:style w:type="paragraph" w:customStyle="1" w:styleId="Table9ptLeftText">
    <w:name w:val="Table 9 pt Left Text"/>
    <w:basedOn w:val="Normal"/>
    <w:pPr>
      <w:keepNext/>
      <w:keepLines/>
      <w:spacing w:line="240" w:lineRule="auto"/>
    </w:pPr>
    <w:rPr>
      <w:rFonts w:ascii="Arial" w:hAnsi="Arial" w:cs="Arial"/>
      <w:sz w:val="18"/>
      <w:szCs w:val="18"/>
    </w:rPr>
  </w:style>
  <w:style w:type="paragraph" w:customStyle="1" w:styleId="Table9ptCtrBoldText">
    <w:name w:val="Table 9 pt Ctr Bold Text"/>
    <w:basedOn w:val="Normal"/>
    <w:pPr>
      <w:jc w:val="center"/>
    </w:pPr>
    <w:rPr>
      <w:rFonts w:ascii="Arial" w:hAnsi="Arial"/>
      <w:b/>
      <w:sz w:val="18"/>
      <w:szCs w:val="18"/>
    </w:rPr>
  </w:style>
  <w:style w:type="paragraph" w:customStyle="1" w:styleId="StyleTable9ptCtrBoldText">
    <w:name w:val="Style Table 9 pt Ctr Bold Text"/>
    <w:basedOn w:val="Table9ptCtrBoldText"/>
    <w:rPr>
      <w:b w:val="0"/>
      <w:bCs/>
    </w:rPr>
  </w:style>
  <w:style w:type="paragraph" w:customStyle="1" w:styleId="Table9ptCtrText">
    <w:name w:val="Table 9 pt Ctr Text"/>
    <w:basedOn w:val="Table9ptCtrBoldText"/>
    <w:rPr>
      <w:b w:val="0"/>
    </w:rPr>
  </w:style>
  <w:style w:type="character" w:styleId="Strong">
    <w:name w:val="Strong"/>
    <w:qFormat/>
    <w:rPr>
      <w:b/>
      <w:bCs/>
    </w:rPr>
  </w:style>
  <w:style w:type="character" w:styleId="PageNumber">
    <w:name w:val="page number"/>
    <w:basedOn w:val="DefaultParagraphFont"/>
  </w:style>
  <w:style w:type="paragraph" w:customStyle="1" w:styleId="Table9ptLeftBoldText">
    <w:name w:val="Table 9 pt Left Bold Text"/>
    <w:basedOn w:val="Table9ptLeftText"/>
  </w:style>
  <w:style w:type="paragraph" w:customStyle="1" w:styleId="FigureCaption">
    <w:name w:val="Figure Caption"/>
    <w:basedOn w:val="Caption"/>
  </w:style>
  <w:style w:type="paragraph" w:customStyle="1" w:styleId="BulletedList">
    <w:name w:val="Bulleted List"/>
    <w:basedOn w:val="Normal"/>
    <w:pPr>
      <w:numPr>
        <w:ilvl w:val="2"/>
        <w:numId w:val="2"/>
      </w:numPr>
    </w:pPr>
  </w:style>
  <w:style w:type="paragraph" w:customStyle="1" w:styleId="StyleBulletedListBefore0ptAfter13pt">
    <w:name w:val="Style Bulleted List + Before:  0 pt After:  13 pt"/>
    <w:basedOn w:val="BulletedList"/>
    <w:autoRedefine/>
    <w:pPr>
      <w:numPr>
        <w:ilvl w:val="0"/>
        <w:numId w:val="0"/>
      </w:numPr>
    </w:pPr>
    <w:rPr>
      <w:szCs w:val="20"/>
    </w:rPr>
  </w:style>
  <w:style w:type="paragraph" w:styleId="BalloonText">
    <w:name w:val="Balloon Text"/>
    <w:basedOn w:val="Normal"/>
    <w:semiHidden/>
    <w:rPr>
      <w:rFonts w:ascii="Tahoma" w:hAnsi="Tahoma" w:cs="Tahoma"/>
      <w:sz w:val="16"/>
      <w:szCs w:val="16"/>
    </w:rPr>
  </w:style>
  <w:style w:type="paragraph" w:styleId="DocumentMap">
    <w:name w:val="Document Map"/>
    <w:basedOn w:val="Normal"/>
    <w:semiHidden/>
    <w:pPr>
      <w:shd w:val="clear" w:color="auto" w:fill="000080"/>
    </w:pPr>
    <w:rPr>
      <w:rFonts w:ascii="Tahoma" w:hAnsi="Tahoma" w:cs="Tahoma"/>
      <w:szCs w:val="20"/>
    </w:rPr>
  </w:style>
  <w:style w:type="paragraph" w:customStyle="1" w:styleId="StyleLeft">
    <w:name w:val="Style Left"/>
    <w:basedOn w:val="Normal"/>
    <w:autoRedefine/>
    <w:rPr>
      <w:rFonts w:ascii="Arial" w:hAnsi="Arial" w:cs="Arial"/>
      <w:b/>
      <w:sz w:val="36"/>
      <w:szCs w:val="36"/>
    </w:rPr>
  </w:style>
  <w:style w:type="character" w:customStyle="1" w:styleId="StyleLeftChar">
    <w:name w:val="Style Left Char"/>
    <w:rPr>
      <w:rFonts w:ascii="Arial" w:hAnsi="Arial" w:cs="Arial"/>
      <w:b/>
      <w:sz w:val="36"/>
      <w:szCs w:val="36"/>
      <w:lang w:val="en-US" w:eastAsia="en-US" w:bidi="ar-SA"/>
    </w:rPr>
  </w:style>
  <w:style w:type="paragraph" w:customStyle="1" w:styleId="StyleNormalBefore0pt">
    <w:name w:val="Style Normal + Before:  0 pt"/>
    <w:basedOn w:val="Normal"/>
    <w:pPr>
      <w:tabs>
        <w:tab w:val="num" w:pos="720"/>
      </w:tabs>
      <w:spacing w:after="120"/>
      <w:ind w:left="720" w:hanging="360"/>
    </w:pPr>
  </w:style>
  <w:style w:type="paragraph" w:styleId="ListBullet">
    <w:name w:val="List Bullet"/>
    <w:basedOn w:val="Normal"/>
    <w:pPr>
      <w:numPr>
        <w:numId w:val="1"/>
      </w:numPr>
    </w:pPr>
  </w:style>
  <w:style w:type="character" w:customStyle="1" w:styleId="StyleNormalBefore0ptChar">
    <w:name w:val="Style Normal + Before:  0 pt Char"/>
    <w:rPr>
      <w:sz w:val="22"/>
      <w:szCs w:val="22"/>
      <w:lang w:val="en-US" w:eastAsia="en-US" w:bidi="ar-SA"/>
    </w:rPr>
  </w:style>
  <w:style w:type="paragraph" w:styleId="CommentSubject">
    <w:name w:val="annotation subject"/>
    <w:basedOn w:val="CommentText"/>
    <w:next w:val="CommentText"/>
    <w:semiHidden/>
    <w:rPr>
      <w:b/>
      <w:bCs/>
      <w:szCs w:val="20"/>
    </w:rPr>
  </w:style>
  <w:style w:type="paragraph" w:customStyle="1" w:styleId="StyleAfter6pt">
    <w:name w:val="Style After:  6 pt"/>
    <w:basedOn w:val="StyleLeft"/>
    <w:pPr>
      <w:tabs>
        <w:tab w:val="num" w:pos="360"/>
      </w:tabs>
      <w:spacing w:after="120"/>
    </w:pPr>
    <w:rPr>
      <w:rFonts w:ascii="Times New Roman" w:hAnsi="Times New Roman"/>
      <w:b w:val="0"/>
      <w:sz w:val="22"/>
      <w:szCs w:val="20"/>
    </w:rPr>
  </w:style>
  <w:style w:type="character" w:customStyle="1" w:styleId="msoins0">
    <w:name w:val="msoins"/>
    <w:basedOn w:val="DefaultParagraphFont"/>
  </w:style>
  <w:style w:type="paragraph" w:customStyle="1" w:styleId="Default">
    <w:name w:val="Default"/>
    <w:pPr>
      <w:autoSpaceDE w:val="0"/>
      <w:autoSpaceDN w:val="0"/>
      <w:adjustRightInd w:val="0"/>
    </w:pPr>
    <w:rPr>
      <w:color w:val="000000"/>
      <w:sz w:val="24"/>
      <w:szCs w:val="24"/>
    </w:rPr>
  </w:style>
  <w:style w:type="paragraph" w:styleId="NormalWeb">
    <w:name w:val="Normal (Web)"/>
    <w:basedOn w:val="Normal"/>
    <w:uiPriority w:val="99"/>
    <w:pPr>
      <w:adjustRightInd/>
      <w:spacing w:before="100" w:beforeAutospacing="1" w:after="100" w:afterAutospacing="1" w:line="240" w:lineRule="auto"/>
      <w:textAlignment w:val="auto"/>
    </w:pPr>
    <w:rPr>
      <w:sz w:val="24"/>
      <w:szCs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Courier New" w:hAnsi="Courier New" w:cs="Courier New"/>
      <w:szCs w:val="20"/>
    </w:rPr>
  </w:style>
  <w:style w:type="paragraph" w:customStyle="1" w:styleId="FoonoteText">
    <w:name w:val="Foonote Text"/>
    <w:basedOn w:val="FootnoteText"/>
  </w:style>
  <w:style w:type="table" w:styleId="TableGrid">
    <w:name w:val="Table Grid"/>
    <w:basedOn w:val="TableNormal"/>
    <w:rsid w:val="005A5A02"/>
    <w:pPr>
      <w:widowControl w:val="0"/>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A53E17"/>
    <w:pPr>
      <w:widowControl w:val="0"/>
      <w:suppressAutoHyphens/>
      <w:autoSpaceDE w:val="0"/>
      <w:autoSpaceDN w:val="0"/>
      <w:spacing w:before="260"/>
      <w:textAlignment w:val="center"/>
    </w:pPr>
    <w:rPr>
      <w:rFonts w:ascii="Whitney-Book" w:hAnsi="Whitney-Book" w:cs="Whitney-Book"/>
      <w:color w:val="000000"/>
      <w:sz w:val="18"/>
      <w:szCs w:val="18"/>
    </w:rPr>
  </w:style>
  <w:style w:type="paragraph" w:styleId="ListParagraph">
    <w:name w:val="List Paragraph"/>
    <w:basedOn w:val="Normal"/>
    <w:uiPriority w:val="1"/>
    <w:qFormat/>
    <w:rsid w:val="008A5837"/>
    <w:pPr>
      <w:adjustRightInd/>
      <w:spacing w:after="120"/>
      <w:ind w:left="720"/>
      <w:textAlignment w:val="auto"/>
    </w:pPr>
  </w:style>
  <w:style w:type="character" w:customStyle="1" w:styleId="Heading1Char">
    <w:name w:val="Heading 1 Char"/>
    <w:link w:val="Heading1"/>
    <w:rsid w:val="004C0C16"/>
    <w:rPr>
      <w:rFonts w:ascii="Calibri" w:hAnsi="Calibri"/>
      <w:b/>
      <w:bCs/>
      <w:color w:val="1795D2" w:themeColor="accent1"/>
      <w:sz w:val="36"/>
      <w:szCs w:val="36"/>
    </w:rPr>
  </w:style>
  <w:style w:type="character" w:customStyle="1" w:styleId="Heading2Char">
    <w:name w:val="Heading 2 Char"/>
    <w:link w:val="Heading2"/>
    <w:rsid w:val="00B8270A"/>
    <w:rPr>
      <w:rFonts w:ascii="Calibri" w:hAnsi="Calibri"/>
      <w:b/>
      <w:bCs/>
      <w:sz w:val="24"/>
      <w:szCs w:val="24"/>
    </w:rPr>
  </w:style>
  <w:style w:type="paragraph" w:styleId="BodyText">
    <w:name w:val="Body Text"/>
    <w:basedOn w:val="Normal"/>
    <w:link w:val="BodyTextChar"/>
    <w:uiPriority w:val="1"/>
    <w:qFormat/>
    <w:rsid w:val="008E3011"/>
    <w:pPr>
      <w:widowControl w:val="0"/>
      <w:autoSpaceDE w:val="0"/>
      <w:autoSpaceDN w:val="0"/>
      <w:spacing w:before="232" w:after="0" w:line="240" w:lineRule="auto"/>
      <w:ind w:left="2123" w:hanging="540"/>
      <w:textAlignment w:val="auto"/>
    </w:pPr>
    <w:rPr>
      <w:rFonts w:ascii="Calibri" w:hAnsi="Calibri" w:cs="Calibri"/>
      <w:sz w:val="36"/>
      <w:szCs w:val="36"/>
    </w:rPr>
  </w:style>
  <w:style w:type="character" w:customStyle="1" w:styleId="BodyTextChar">
    <w:name w:val="Body Text Char"/>
    <w:link w:val="BodyText"/>
    <w:uiPriority w:val="1"/>
    <w:rsid w:val="008E3011"/>
    <w:rPr>
      <w:rFonts w:ascii="Calibri" w:hAnsi="Calibri" w:cs="Calibri"/>
      <w:sz w:val="36"/>
      <w:szCs w:val="36"/>
    </w:rPr>
  </w:style>
  <w:style w:type="character" w:customStyle="1" w:styleId="FootnoteTextChar">
    <w:name w:val="Footnote Text Char"/>
    <w:aliases w:val="ft Char,Footnote Text Char1 Char,Footnote Text Char Char Char,fn Char Char Char,Footnote Text Char1 Char1 Char Char,Footnote Text Char Char Char1 Char Char,Footnote Text Char1 Char Char Char Char,Footnote Text Char Char1 Char,fn Char"/>
    <w:link w:val="FootnoteText"/>
    <w:uiPriority w:val="99"/>
    <w:qFormat/>
    <w:rsid w:val="009C2B5B"/>
    <w:rPr>
      <w:rFonts w:ascii="Cambria" w:hAnsi="Cambria"/>
      <w:sz w:val="18"/>
      <w:szCs w:val="18"/>
    </w:rPr>
  </w:style>
  <w:style w:type="paragraph" w:customStyle="1" w:styleId="TableParagraph">
    <w:name w:val="Table Paragraph"/>
    <w:basedOn w:val="Normal"/>
    <w:uiPriority w:val="1"/>
    <w:qFormat/>
    <w:rsid w:val="00035C76"/>
    <w:pPr>
      <w:widowControl w:val="0"/>
      <w:adjustRightInd/>
      <w:spacing w:after="0" w:line="240" w:lineRule="auto"/>
      <w:textAlignment w:val="auto"/>
    </w:pPr>
    <w:rPr>
      <w:rFonts w:ascii="Calibri" w:eastAsia="Calibri" w:hAnsi="Calibri"/>
      <w:sz w:val="22"/>
    </w:rPr>
  </w:style>
  <w:style w:type="character" w:customStyle="1" w:styleId="Heading3Char">
    <w:name w:val="Heading 3 Char"/>
    <w:link w:val="Heading3"/>
    <w:rsid w:val="00912A17"/>
    <w:rPr>
      <w:rFonts w:ascii="Calibri" w:hAnsi="Calibri"/>
      <w:b/>
      <w:iCs/>
      <w:color w:val="000000"/>
      <w:szCs w:val="18"/>
    </w:rPr>
  </w:style>
  <w:style w:type="paragraph" w:styleId="Revision">
    <w:name w:val="Revision"/>
    <w:hidden/>
    <w:uiPriority w:val="99"/>
    <w:semiHidden/>
    <w:rsid w:val="000F140B"/>
    <w:rPr>
      <w:rFonts w:ascii="Cambria" w:hAnsi="Cambria"/>
      <w:szCs w:val="22"/>
    </w:rPr>
  </w:style>
  <w:style w:type="character" w:customStyle="1" w:styleId="FooterChar">
    <w:name w:val="Footer Char"/>
    <w:basedOn w:val="DefaultParagraphFont"/>
    <w:link w:val="Footer"/>
    <w:uiPriority w:val="99"/>
    <w:rsid w:val="00C368EB"/>
    <w:rPr>
      <w:rFonts w:ascii="Cambria" w:hAnsi="Cambria"/>
      <w:szCs w:val="22"/>
    </w:rPr>
  </w:style>
  <w:style w:type="paragraph" w:styleId="EndnoteText">
    <w:name w:val="endnote text"/>
    <w:basedOn w:val="Normal"/>
    <w:link w:val="EndnoteTextChar"/>
    <w:rsid w:val="0028767E"/>
    <w:pPr>
      <w:spacing w:after="0" w:line="240" w:lineRule="auto"/>
    </w:pPr>
    <w:rPr>
      <w:szCs w:val="20"/>
    </w:rPr>
  </w:style>
  <w:style w:type="character" w:customStyle="1" w:styleId="EndnoteTextChar">
    <w:name w:val="Endnote Text Char"/>
    <w:basedOn w:val="DefaultParagraphFont"/>
    <w:link w:val="EndnoteText"/>
    <w:rsid w:val="0028767E"/>
    <w:rPr>
      <w:rFonts w:ascii="Cambria" w:hAnsi="Cambria"/>
    </w:rPr>
  </w:style>
  <w:style w:type="character" w:styleId="EndnoteReference">
    <w:name w:val="endnote reference"/>
    <w:basedOn w:val="DefaultParagraphFont"/>
    <w:rsid w:val="0028767E"/>
    <w:rPr>
      <w:vertAlign w:val="superscript"/>
    </w:rPr>
  </w:style>
  <w:style w:type="character" w:customStyle="1" w:styleId="HeaderChar">
    <w:name w:val="Header Char"/>
    <w:basedOn w:val="DefaultParagraphFont"/>
    <w:link w:val="Header"/>
    <w:uiPriority w:val="99"/>
    <w:rsid w:val="00A4310D"/>
    <w:rPr>
      <w:rFonts w:ascii="Cambria" w:hAnsi="Cambria"/>
      <w:szCs w:val="22"/>
    </w:rPr>
  </w:style>
  <w:style w:type="paragraph" w:styleId="NoSpacing">
    <w:name w:val="No Spacing"/>
    <w:uiPriority w:val="1"/>
    <w:qFormat/>
    <w:rsid w:val="00A4310D"/>
    <w:rPr>
      <w:rFonts w:asciiTheme="minorHAnsi" w:eastAsiaTheme="minorHAnsi" w:hAnsiTheme="minorHAnsi" w:cstheme="minorBidi"/>
      <w:sz w:val="22"/>
      <w:szCs w:val="22"/>
    </w:rPr>
  </w:style>
  <w:style w:type="character" w:customStyle="1" w:styleId="CommentTextChar">
    <w:name w:val="Comment Text Char"/>
    <w:basedOn w:val="DefaultParagraphFont"/>
    <w:link w:val="CommentText"/>
    <w:semiHidden/>
    <w:rsid w:val="007175D2"/>
    <w:rPr>
      <w:rFonts w:ascii="Cambria" w:hAnsi="Cambria"/>
      <w:szCs w:val="22"/>
    </w:rPr>
  </w:style>
  <w:style w:type="character" w:customStyle="1" w:styleId="Heading4Char">
    <w:name w:val="Heading 4 Char"/>
    <w:basedOn w:val="DefaultParagraphFont"/>
    <w:link w:val="Heading4"/>
    <w:rsid w:val="00F30127"/>
    <w:rPr>
      <w:rFonts w:ascii="Calibri" w:hAnsi="Calibri"/>
      <w:bCs/>
      <w:i/>
    </w:rPr>
  </w:style>
  <w:style w:type="paragraph" w:styleId="IntenseQuote">
    <w:name w:val="Intense Quote"/>
    <w:basedOn w:val="Normal"/>
    <w:next w:val="Normal"/>
    <w:link w:val="IntenseQuoteChar"/>
    <w:uiPriority w:val="30"/>
    <w:qFormat/>
    <w:rsid w:val="009C435E"/>
    <w:pPr>
      <w:pBdr>
        <w:bottom w:val="single" w:sz="4" w:space="4" w:color="1795D2" w:themeColor="accent1"/>
      </w:pBdr>
      <w:spacing w:before="200" w:after="280"/>
      <w:ind w:left="936" w:right="936"/>
    </w:pPr>
    <w:rPr>
      <w:b/>
      <w:bCs/>
      <w:i/>
      <w:iCs/>
      <w:color w:val="1795D2" w:themeColor="accent1"/>
    </w:rPr>
  </w:style>
  <w:style w:type="character" w:customStyle="1" w:styleId="IntenseQuoteChar">
    <w:name w:val="Intense Quote Char"/>
    <w:basedOn w:val="DefaultParagraphFont"/>
    <w:link w:val="IntenseQuote"/>
    <w:uiPriority w:val="30"/>
    <w:rsid w:val="009C435E"/>
    <w:rPr>
      <w:rFonts w:ascii="Cambria" w:hAnsi="Cambria"/>
      <w:b/>
      <w:bCs/>
      <w:i/>
      <w:iCs/>
      <w:color w:val="1795D2" w:themeColor="accent1"/>
      <w:szCs w:val="22"/>
    </w:rPr>
  </w:style>
  <w:style w:type="character" w:customStyle="1" w:styleId="CaptionChar">
    <w:name w:val="Caption Char"/>
    <w:basedOn w:val="DefaultParagraphFont"/>
    <w:link w:val="Caption"/>
    <w:locked/>
    <w:rsid w:val="00EB3C23"/>
    <w:rPr>
      <w:rFonts w:ascii="Calibri" w:hAnsi="Calibri"/>
      <w:b/>
      <w:bCs/>
    </w:rPr>
  </w:style>
  <w:style w:type="character" w:customStyle="1" w:styleId="ftChar3">
    <w:name w:val="ft Char3"/>
    <w:aliases w:val="Footnote Text Char Char Char2,fn Char Char Char2,Footnote Text Char1 Char1 Char Char2,Footnote Text Char Char Char1 Char Char2,Footnote Text Char1 Char Char Char Char2,Footnote Text Char Char Char Char Char Char,fn Char1"/>
    <w:basedOn w:val="DefaultParagraphFont"/>
    <w:uiPriority w:val="99"/>
    <w:rsid w:val="00C24000"/>
    <w:rPr>
      <w:rFonts w:ascii="Cambria" w:hAnsi="Cambria"/>
      <w:color w:val="auto"/>
      <w:sz w:val="18"/>
    </w:rPr>
  </w:style>
  <w:style w:type="paragraph" w:styleId="PlainText">
    <w:name w:val="Plain Text"/>
    <w:basedOn w:val="Normal"/>
    <w:link w:val="PlainTextChar"/>
    <w:uiPriority w:val="99"/>
    <w:semiHidden/>
    <w:unhideWhenUsed/>
    <w:rsid w:val="00300BFD"/>
    <w:pPr>
      <w:adjustRightInd/>
      <w:spacing w:after="0" w:line="240" w:lineRule="auto"/>
      <w:textAlignment w:val="auto"/>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300BFD"/>
    <w:rPr>
      <w:rFonts w:ascii="Calibri" w:eastAsiaTheme="minorHAnsi" w:hAnsi="Calibri" w:cstheme="minorBidi"/>
      <w:sz w:val="22"/>
      <w:szCs w:val="21"/>
    </w:rPr>
  </w:style>
  <w:style w:type="character" w:styleId="Emphasis">
    <w:name w:val="Emphasis"/>
    <w:basedOn w:val="DefaultParagraphFont"/>
    <w:uiPriority w:val="20"/>
    <w:qFormat/>
    <w:rsid w:val="00D01C55"/>
    <w:rPr>
      <w:b w:val="0"/>
      <w:bCs w:val="0"/>
      <w:i/>
      <w:iCs/>
    </w:rPr>
  </w:style>
  <w:style w:type="paragraph" w:customStyle="1" w:styleId="NESCOEfn">
    <w:name w:val="NESCOE_fn"/>
    <w:basedOn w:val="FootnoteText"/>
    <w:autoRedefine/>
    <w:qFormat/>
    <w:rsid w:val="00BA6C20"/>
    <w:pPr>
      <w:keepLines w:val="0"/>
      <w:tabs>
        <w:tab w:val="left" w:pos="432"/>
      </w:tabs>
      <w:adjustRightInd/>
      <w:spacing w:after="120"/>
      <w:ind w:left="432" w:hanging="432"/>
      <w:textAlignment w:val="auto"/>
    </w:pPr>
    <w:rPr>
      <w:rFonts w:ascii="Times New Roman" w:eastAsiaTheme="minorEastAsia" w:hAnsi="Times New Roman"/>
      <w:color w:val="62777F"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19494">
      <w:bodyDiv w:val="1"/>
      <w:marLeft w:val="0"/>
      <w:marRight w:val="0"/>
      <w:marTop w:val="0"/>
      <w:marBottom w:val="0"/>
      <w:divBdr>
        <w:top w:val="none" w:sz="0" w:space="0" w:color="auto"/>
        <w:left w:val="none" w:sz="0" w:space="0" w:color="auto"/>
        <w:bottom w:val="none" w:sz="0" w:space="0" w:color="auto"/>
        <w:right w:val="none" w:sz="0" w:space="0" w:color="auto"/>
      </w:divBdr>
      <w:divsChild>
        <w:div w:id="1537624538">
          <w:marLeft w:val="0"/>
          <w:marRight w:val="0"/>
          <w:marTop w:val="0"/>
          <w:marBottom w:val="0"/>
          <w:divBdr>
            <w:top w:val="none" w:sz="0" w:space="0" w:color="auto"/>
            <w:left w:val="none" w:sz="0" w:space="0" w:color="auto"/>
            <w:bottom w:val="none" w:sz="0" w:space="0" w:color="auto"/>
            <w:right w:val="none" w:sz="0" w:space="0" w:color="auto"/>
          </w:divBdr>
        </w:div>
        <w:div w:id="1564875504">
          <w:marLeft w:val="0"/>
          <w:marRight w:val="0"/>
          <w:marTop w:val="0"/>
          <w:marBottom w:val="0"/>
          <w:divBdr>
            <w:top w:val="none" w:sz="0" w:space="0" w:color="auto"/>
            <w:left w:val="none" w:sz="0" w:space="0" w:color="auto"/>
            <w:bottom w:val="none" w:sz="0" w:space="0" w:color="auto"/>
            <w:right w:val="none" w:sz="0" w:space="0" w:color="auto"/>
          </w:divBdr>
        </w:div>
      </w:divsChild>
    </w:div>
    <w:div w:id="30611459">
      <w:bodyDiv w:val="1"/>
      <w:marLeft w:val="0"/>
      <w:marRight w:val="0"/>
      <w:marTop w:val="0"/>
      <w:marBottom w:val="0"/>
      <w:divBdr>
        <w:top w:val="none" w:sz="0" w:space="0" w:color="auto"/>
        <w:left w:val="none" w:sz="0" w:space="0" w:color="auto"/>
        <w:bottom w:val="none" w:sz="0" w:space="0" w:color="auto"/>
        <w:right w:val="none" w:sz="0" w:space="0" w:color="auto"/>
      </w:divBdr>
      <w:divsChild>
        <w:div w:id="967978734">
          <w:marLeft w:val="547"/>
          <w:marRight w:val="0"/>
          <w:marTop w:val="240"/>
          <w:marBottom w:val="0"/>
          <w:divBdr>
            <w:top w:val="none" w:sz="0" w:space="0" w:color="auto"/>
            <w:left w:val="none" w:sz="0" w:space="0" w:color="auto"/>
            <w:bottom w:val="none" w:sz="0" w:space="0" w:color="auto"/>
            <w:right w:val="none" w:sz="0" w:space="0" w:color="auto"/>
          </w:divBdr>
        </w:div>
      </w:divsChild>
    </w:div>
    <w:div w:id="44765850">
      <w:bodyDiv w:val="1"/>
      <w:marLeft w:val="0"/>
      <w:marRight w:val="0"/>
      <w:marTop w:val="0"/>
      <w:marBottom w:val="0"/>
      <w:divBdr>
        <w:top w:val="none" w:sz="0" w:space="0" w:color="auto"/>
        <w:left w:val="none" w:sz="0" w:space="0" w:color="auto"/>
        <w:bottom w:val="none" w:sz="0" w:space="0" w:color="auto"/>
        <w:right w:val="none" w:sz="0" w:space="0" w:color="auto"/>
      </w:divBdr>
    </w:div>
    <w:div w:id="45031356">
      <w:bodyDiv w:val="1"/>
      <w:marLeft w:val="0"/>
      <w:marRight w:val="0"/>
      <w:marTop w:val="0"/>
      <w:marBottom w:val="0"/>
      <w:divBdr>
        <w:top w:val="none" w:sz="0" w:space="0" w:color="auto"/>
        <w:left w:val="none" w:sz="0" w:space="0" w:color="auto"/>
        <w:bottom w:val="none" w:sz="0" w:space="0" w:color="auto"/>
        <w:right w:val="none" w:sz="0" w:space="0" w:color="auto"/>
      </w:divBdr>
      <w:divsChild>
        <w:div w:id="97913941">
          <w:marLeft w:val="547"/>
          <w:marRight w:val="0"/>
          <w:marTop w:val="240"/>
          <w:marBottom w:val="0"/>
          <w:divBdr>
            <w:top w:val="none" w:sz="0" w:space="0" w:color="auto"/>
            <w:left w:val="none" w:sz="0" w:space="0" w:color="auto"/>
            <w:bottom w:val="none" w:sz="0" w:space="0" w:color="auto"/>
            <w:right w:val="none" w:sz="0" w:space="0" w:color="auto"/>
          </w:divBdr>
        </w:div>
        <w:div w:id="836187683">
          <w:marLeft w:val="1166"/>
          <w:marRight w:val="0"/>
          <w:marTop w:val="0"/>
          <w:marBottom w:val="0"/>
          <w:divBdr>
            <w:top w:val="none" w:sz="0" w:space="0" w:color="auto"/>
            <w:left w:val="none" w:sz="0" w:space="0" w:color="auto"/>
            <w:bottom w:val="none" w:sz="0" w:space="0" w:color="auto"/>
            <w:right w:val="none" w:sz="0" w:space="0" w:color="auto"/>
          </w:divBdr>
        </w:div>
        <w:div w:id="2021353114">
          <w:marLeft w:val="1166"/>
          <w:marRight w:val="0"/>
          <w:marTop w:val="0"/>
          <w:marBottom w:val="0"/>
          <w:divBdr>
            <w:top w:val="none" w:sz="0" w:space="0" w:color="auto"/>
            <w:left w:val="none" w:sz="0" w:space="0" w:color="auto"/>
            <w:bottom w:val="none" w:sz="0" w:space="0" w:color="auto"/>
            <w:right w:val="none" w:sz="0" w:space="0" w:color="auto"/>
          </w:divBdr>
        </w:div>
        <w:div w:id="2093312485">
          <w:marLeft w:val="1166"/>
          <w:marRight w:val="0"/>
          <w:marTop w:val="0"/>
          <w:marBottom w:val="0"/>
          <w:divBdr>
            <w:top w:val="none" w:sz="0" w:space="0" w:color="auto"/>
            <w:left w:val="none" w:sz="0" w:space="0" w:color="auto"/>
            <w:bottom w:val="none" w:sz="0" w:space="0" w:color="auto"/>
            <w:right w:val="none" w:sz="0" w:space="0" w:color="auto"/>
          </w:divBdr>
        </w:div>
      </w:divsChild>
    </w:div>
    <w:div w:id="54203941">
      <w:bodyDiv w:val="1"/>
      <w:marLeft w:val="0"/>
      <w:marRight w:val="0"/>
      <w:marTop w:val="0"/>
      <w:marBottom w:val="0"/>
      <w:divBdr>
        <w:top w:val="none" w:sz="0" w:space="0" w:color="auto"/>
        <w:left w:val="none" w:sz="0" w:space="0" w:color="auto"/>
        <w:bottom w:val="none" w:sz="0" w:space="0" w:color="auto"/>
        <w:right w:val="none" w:sz="0" w:space="0" w:color="auto"/>
      </w:divBdr>
    </w:div>
    <w:div w:id="84542275">
      <w:bodyDiv w:val="1"/>
      <w:marLeft w:val="0"/>
      <w:marRight w:val="0"/>
      <w:marTop w:val="0"/>
      <w:marBottom w:val="0"/>
      <w:divBdr>
        <w:top w:val="none" w:sz="0" w:space="0" w:color="auto"/>
        <w:left w:val="none" w:sz="0" w:space="0" w:color="auto"/>
        <w:bottom w:val="none" w:sz="0" w:space="0" w:color="auto"/>
        <w:right w:val="none" w:sz="0" w:space="0" w:color="auto"/>
      </w:divBdr>
    </w:div>
    <w:div w:id="91777577">
      <w:bodyDiv w:val="1"/>
      <w:marLeft w:val="0"/>
      <w:marRight w:val="0"/>
      <w:marTop w:val="0"/>
      <w:marBottom w:val="0"/>
      <w:divBdr>
        <w:top w:val="none" w:sz="0" w:space="0" w:color="auto"/>
        <w:left w:val="none" w:sz="0" w:space="0" w:color="auto"/>
        <w:bottom w:val="none" w:sz="0" w:space="0" w:color="auto"/>
        <w:right w:val="none" w:sz="0" w:space="0" w:color="auto"/>
      </w:divBdr>
    </w:div>
    <w:div w:id="100683380">
      <w:bodyDiv w:val="1"/>
      <w:marLeft w:val="0"/>
      <w:marRight w:val="0"/>
      <w:marTop w:val="0"/>
      <w:marBottom w:val="0"/>
      <w:divBdr>
        <w:top w:val="none" w:sz="0" w:space="0" w:color="auto"/>
        <w:left w:val="none" w:sz="0" w:space="0" w:color="auto"/>
        <w:bottom w:val="none" w:sz="0" w:space="0" w:color="auto"/>
        <w:right w:val="none" w:sz="0" w:space="0" w:color="auto"/>
      </w:divBdr>
    </w:div>
    <w:div w:id="101732731">
      <w:bodyDiv w:val="1"/>
      <w:marLeft w:val="0"/>
      <w:marRight w:val="0"/>
      <w:marTop w:val="0"/>
      <w:marBottom w:val="0"/>
      <w:divBdr>
        <w:top w:val="none" w:sz="0" w:space="0" w:color="auto"/>
        <w:left w:val="none" w:sz="0" w:space="0" w:color="auto"/>
        <w:bottom w:val="none" w:sz="0" w:space="0" w:color="auto"/>
        <w:right w:val="none" w:sz="0" w:space="0" w:color="auto"/>
      </w:divBdr>
    </w:div>
    <w:div w:id="107050295">
      <w:bodyDiv w:val="1"/>
      <w:marLeft w:val="0"/>
      <w:marRight w:val="0"/>
      <w:marTop w:val="0"/>
      <w:marBottom w:val="0"/>
      <w:divBdr>
        <w:top w:val="none" w:sz="0" w:space="0" w:color="auto"/>
        <w:left w:val="none" w:sz="0" w:space="0" w:color="auto"/>
        <w:bottom w:val="none" w:sz="0" w:space="0" w:color="auto"/>
        <w:right w:val="none" w:sz="0" w:space="0" w:color="auto"/>
      </w:divBdr>
    </w:div>
    <w:div w:id="110169592">
      <w:bodyDiv w:val="1"/>
      <w:marLeft w:val="0"/>
      <w:marRight w:val="0"/>
      <w:marTop w:val="0"/>
      <w:marBottom w:val="0"/>
      <w:divBdr>
        <w:top w:val="none" w:sz="0" w:space="0" w:color="auto"/>
        <w:left w:val="none" w:sz="0" w:space="0" w:color="auto"/>
        <w:bottom w:val="none" w:sz="0" w:space="0" w:color="auto"/>
        <w:right w:val="none" w:sz="0" w:space="0" w:color="auto"/>
      </w:divBdr>
    </w:div>
    <w:div w:id="121458343">
      <w:bodyDiv w:val="1"/>
      <w:marLeft w:val="0"/>
      <w:marRight w:val="0"/>
      <w:marTop w:val="0"/>
      <w:marBottom w:val="0"/>
      <w:divBdr>
        <w:top w:val="none" w:sz="0" w:space="0" w:color="auto"/>
        <w:left w:val="none" w:sz="0" w:space="0" w:color="auto"/>
        <w:bottom w:val="none" w:sz="0" w:space="0" w:color="auto"/>
        <w:right w:val="none" w:sz="0" w:space="0" w:color="auto"/>
      </w:divBdr>
      <w:divsChild>
        <w:div w:id="62531518">
          <w:marLeft w:val="547"/>
          <w:marRight w:val="0"/>
          <w:marTop w:val="240"/>
          <w:marBottom w:val="0"/>
          <w:divBdr>
            <w:top w:val="none" w:sz="0" w:space="0" w:color="auto"/>
            <w:left w:val="none" w:sz="0" w:space="0" w:color="auto"/>
            <w:bottom w:val="none" w:sz="0" w:space="0" w:color="auto"/>
            <w:right w:val="none" w:sz="0" w:space="0" w:color="auto"/>
          </w:divBdr>
        </w:div>
        <w:div w:id="278343131">
          <w:marLeft w:val="1166"/>
          <w:marRight w:val="0"/>
          <w:marTop w:val="0"/>
          <w:marBottom w:val="0"/>
          <w:divBdr>
            <w:top w:val="none" w:sz="0" w:space="0" w:color="auto"/>
            <w:left w:val="none" w:sz="0" w:space="0" w:color="auto"/>
            <w:bottom w:val="none" w:sz="0" w:space="0" w:color="auto"/>
            <w:right w:val="none" w:sz="0" w:space="0" w:color="auto"/>
          </w:divBdr>
        </w:div>
        <w:div w:id="1104614952">
          <w:marLeft w:val="547"/>
          <w:marRight w:val="0"/>
          <w:marTop w:val="240"/>
          <w:marBottom w:val="0"/>
          <w:divBdr>
            <w:top w:val="none" w:sz="0" w:space="0" w:color="auto"/>
            <w:left w:val="none" w:sz="0" w:space="0" w:color="auto"/>
            <w:bottom w:val="none" w:sz="0" w:space="0" w:color="auto"/>
            <w:right w:val="none" w:sz="0" w:space="0" w:color="auto"/>
          </w:divBdr>
        </w:div>
        <w:div w:id="1170487365">
          <w:marLeft w:val="1166"/>
          <w:marRight w:val="0"/>
          <w:marTop w:val="0"/>
          <w:marBottom w:val="0"/>
          <w:divBdr>
            <w:top w:val="none" w:sz="0" w:space="0" w:color="auto"/>
            <w:left w:val="none" w:sz="0" w:space="0" w:color="auto"/>
            <w:bottom w:val="none" w:sz="0" w:space="0" w:color="auto"/>
            <w:right w:val="none" w:sz="0" w:space="0" w:color="auto"/>
          </w:divBdr>
        </w:div>
        <w:div w:id="1354302771">
          <w:marLeft w:val="1166"/>
          <w:marRight w:val="0"/>
          <w:marTop w:val="0"/>
          <w:marBottom w:val="0"/>
          <w:divBdr>
            <w:top w:val="none" w:sz="0" w:space="0" w:color="auto"/>
            <w:left w:val="none" w:sz="0" w:space="0" w:color="auto"/>
            <w:bottom w:val="none" w:sz="0" w:space="0" w:color="auto"/>
            <w:right w:val="none" w:sz="0" w:space="0" w:color="auto"/>
          </w:divBdr>
        </w:div>
        <w:div w:id="1396709099">
          <w:marLeft w:val="547"/>
          <w:marRight w:val="0"/>
          <w:marTop w:val="240"/>
          <w:marBottom w:val="0"/>
          <w:divBdr>
            <w:top w:val="none" w:sz="0" w:space="0" w:color="auto"/>
            <w:left w:val="none" w:sz="0" w:space="0" w:color="auto"/>
            <w:bottom w:val="none" w:sz="0" w:space="0" w:color="auto"/>
            <w:right w:val="none" w:sz="0" w:space="0" w:color="auto"/>
          </w:divBdr>
        </w:div>
        <w:div w:id="1685325614">
          <w:marLeft w:val="547"/>
          <w:marRight w:val="0"/>
          <w:marTop w:val="240"/>
          <w:marBottom w:val="0"/>
          <w:divBdr>
            <w:top w:val="none" w:sz="0" w:space="0" w:color="auto"/>
            <w:left w:val="none" w:sz="0" w:space="0" w:color="auto"/>
            <w:bottom w:val="none" w:sz="0" w:space="0" w:color="auto"/>
            <w:right w:val="none" w:sz="0" w:space="0" w:color="auto"/>
          </w:divBdr>
        </w:div>
      </w:divsChild>
    </w:div>
    <w:div w:id="122695178">
      <w:bodyDiv w:val="1"/>
      <w:marLeft w:val="0"/>
      <w:marRight w:val="0"/>
      <w:marTop w:val="0"/>
      <w:marBottom w:val="0"/>
      <w:divBdr>
        <w:top w:val="none" w:sz="0" w:space="0" w:color="auto"/>
        <w:left w:val="none" w:sz="0" w:space="0" w:color="auto"/>
        <w:bottom w:val="none" w:sz="0" w:space="0" w:color="auto"/>
        <w:right w:val="none" w:sz="0" w:space="0" w:color="auto"/>
      </w:divBdr>
    </w:div>
    <w:div w:id="126239703">
      <w:bodyDiv w:val="1"/>
      <w:marLeft w:val="0"/>
      <w:marRight w:val="0"/>
      <w:marTop w:val="0"/>
      <w:marBottom w:val="0"/>
      <w:divBdr>
        <w:top w:val="none" w:sz="0" w:space="0" w:color="auto"/>
        <w:left w:val="none" w:sz="0" w:space="0" w:color="auto"/>
        <w:bottom w:val="none" w:sz="0" w:space="0" w:color="auto"/>
        <w:right w:val="none" w:sz="0" w:space="0" w:color="auto"/>
      </w:divBdr>
    </w:div>
    <w:div w:id="155153729">
      <w:bodyDiv w:val="1"/>
      <w:marLeft w:val="0"/>
      <w:marRight w:val="0"/>
      <w:marTop w:val="0"/>
      <w:marBottom w:val="0"/>
      <w:divBdr>
        <w:top w:val="none" w:sz="0" w:space="0" w:color="auto"/>
        <w:left w:val="none" w:sz="0" w:space="0" w:color="auto"/>
        <w:bottom w:val="none" w:sz="0" w:space="0" w:color="auto"/>
        <w:right w:val="none" w:sz="0" w:space="0" w:color="auto"/>
      </w:divBdr>
    </w:div>
    <w:div w:id="178086445">
      <w:bodyDiv w:val="1"/>
      <w:marLeft w:val="0"/>
      <w:marRight w:val="0"/>
      <w:marTop w:val="0"/>
      <w:marBottom w:val="0"/>
      <w:divBdr>
        <w:top w:val="none" w:sz="0" w:space="0" w:color="auto"/>
        <w:left w:val="none" w:sz="0" w:space="0" w:color="auto"/>
        <w:bottom w:val="none" w:sz="0" w:space="0" w:color="auto"/>
        <w:right w:val="none" w:sz="0" w:space="0" w:color="auto"/>
      </w:divBdr>
    </w:div>
    <w:div w:id="181356513">
      <w:bodyDiv w:val="1"/>
      <w:marLeft w:val="0"/>
      <w:marRight w:val="0"/>
      <w:marTop w:val="0"/>
      <w:marBottom w:val="0"/>
      <w:divBdr>
        <w:top w:val="none" w:sz="0" w:space="0" w:color="auto"/>
        <w:left w:val="none" w:sz="0" w:space="0" w:color="auto"/>
        <w:bottom w:val="none" w:sz="0" w:space="0" w:color="auto"/>
        <w:right w:val="none" w:sz="0" w:space="0" w:color="auto"/>
      </w:divBdr>
    </w:div>
    <w:div w:id="198709180">
      <w:bodyDiv w:val="1"/>
      <w:marLeft w:val="0"/>
      <w:marRight w:val="0"/>
      <w:marTop w:val="0"/>
      <w:marBottom w:val="0"/>
      <w:divBdr>
        <w:top w:val="none" w:sz="0" w:space="0" w:color="auto"/>
        <w:left w:val="none" w:sz="0" w:space="0" w:color="auto"/>
        <w:bottom w:val="none" w:sz="0" w:space="0" w:color="auto"/>
        <w:right w:val="none" w:sz="0" w:space="0" w:color="auto"/>
      </w:divBdr>
    </w:div>
    <w:div w:id="206113332">
      <w:marLeft w:val="0"/>
      <w:marRight w:val="0"/>
      <w:marTop w:val="0"/>
      <w:marBottom w:val="0"/>
      <w:divBdr>
        <w:top w:val="none" w:sz="0" w:space="0" w:color="auto"/>
        <w:left w:val="none" w:sz="0" w:space="0" w:color="auto"/>
        <w:bottom w:val="none" w:sz="0" w:space="0" w:color="auto"/>
        <w:right w:val="none" w:sz="0" w:space="0" w:color="auto"/>
      </w:divBdr>
      <w:divsChild>
        <w:div w:id="860976510">
          <w:marLeft w:val="0"/>
          <w:marRight w:val="0"/>
          <w:marTop w:val="0"/>
          <w:marBottom w:val="0"/>
          <w:divBdr>
            <w:top w:val="none" w:sz="0" w:space="0" w:color="auto"/>
            <w:left w:val="none" w:sz="0" w:space="0" w:color="auto"/>
            <w:bottom w:val="none" w:sz="0" w:space="0" w:color="auto"/>
            <w:right w:val="none" w:sz="0" w:space="0" w:color="auto"/>
          </w:divBdr>
          <w:divsChild>
            <w:div w:id="941953810">
              <w:marLeft w:val="0"/>
              <w:marRight w:val="0"/>
              <w:marTop w:val="0"/>
              <w:marBottom w:val="0"/>
              <w:divBdr>
                <w:top w:val="none" w:sz="0" w:space="0" w:color="auto"/>
                <w:left w:val="none" w:sz="0" w:space="0" w:color="auto"/>
                <w:bottom w:val="none" w:sz="0" w:space="0" w:color="auto"/>
                <w:right w:val="none" w:sz="0" w:space="0" w:color="auto"/>
              </w:divBdr>
              <w:divsChild>
                <w:div w:id="2031293102">
                  <w:marLeft w:val="0"/>
                  <w:marRight w:val="-150"/>
                  <w:marTop w:val="0"/>
                  <w:marBottom w:val="0"/>
                  <w:divBdr>
                    <w:top w:val="none" w:sz="0" w:space="0" w:color="auto"/>
                    <w:left w:val="none" w:sz="0" w:space="0" w:color="auto"/>
                    <w:bottom w:val="none" w:sz="0" w:space="0" w:color="auto"/>
                    <w:right w:val="none" w:sz="0" w:space="0" w:color="auto"/>
                  </w:divBdr>
                  <w:divsChild>
                    <w:div w:id="195897184">
                      <w:marLeft w:val="0"/>
                      <w:marRight w:val="0"/>
                      <w:marTop w:val="0"/>
                      <w:marBottom w:val="0"/>
                      <w:divBdr>
                        <w:top w:val="none" w:sz="0" w:space="0" w:color="auto"/>
                        <w:left w:val="none" w:sz="0" w:space="0" w:color="auto"/>
                        <w:bottom w:val="none" w:sz="0" w:space="0" w:color="auto"/>
                        <w:right w:val="none" w:sz="0" w:space="0" w:color="auto"/>
                      </w:divBdr>
                      <w:divsChild>
                        <w:div w:id="31855064">
                          <w:marLeft w:val="0"/>
                          <w:marRight w:val="0"/>
                          <w:marTop w:val="0"/>
                          <w:marBottom w:val="0"/>
                          <w:divBdr>
                            <w:top w:val="none" w:sz="0" w:space="0" w:color="auto"/>
                            <w:left w:val="none" w:sz="0" w:space="0" w:color="auto"/>
                            <w:bottom w:val="none" w:sz="0" w:space="0" w:color="auto"/>
                            <w:right w:val="none" w:sz="0" w:space="0" w:color="auto"/>
                          </w:divBdr>
                          <w:divsChild>
                            <w:div w:id="172576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49715">
                      <w:marLeft w:val="0"/>
                      <w:marRight w:val="0"/>
                      <w:marTop w:val="0"/>
                      <w:marBottom w:val="0"/>
                      <w:divBdr>
                        <w:top w:val="none" w:sz="0" w:space="0" w:color="auto"/>
                        <w:left w:val="none" w:sz="0" w:space="0" w:color="auto"/>
                        <w:bottom w:val="none" w:sz="0" w:space="0" w:color="auto"/>
                        <w:right w:val="none" w:sz="0" w:space="0" w:color="auto"/>
                      </w:divBdr>
                      <w:divsChild>
                        <w:div w:id="545917044">
                          <w:marLeft w:val="0"/>
                          <w:marRight w:val="0"/>
                          <w:marTop w:val="0"/>
                          <w:marBottom w:val="0"/>
                          <w:divBdr>
                            <w:top w:val="none" w:sz="0" w:space="0" w:color="auto"/>
                            <w:left w:val="none" w:sz="0" w:space="0" w:color="auto"/>
                            <w:bottom w:val="none" w:sz="0" w:space="0" w:color="auto"/>
                            <w:right w:val="none" w:sz="0" w:space="0" w:color="auto"/>
                          </w:divBdr>
                        </w:div>
                        <w:div w:id="124271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511286">
      <w:bodyDiv w:val="1"/>
      <w:marLeft w:val="0"/>
      <w:marRight w:val="0"/>
      <w:marTop w:val="0"/>
      <w:marBottom w:val="0"/>
      <w:divBdr>
        <w:top w:val="none" w:sz="0" w:space="0" w:color="auto"/>
        <w:left w:val="none" w:sz="0" w:space="0" w:color="auto"/>
        <w:bottom w:val="none" w:sz="0" w:space="0" w:color="auto"/>
        <w:right w:val="none" w:sz="0" w:space="0" w:color="auto"/>
      </w:divBdr>
    </w:div>
    <w:div w:id="229460076">
      <w:marLeft w:val="0"/>
      <w:marRight w:val="0"/>
      <w:marTop w:val="0"/>
      <w:marBottom w:val="0"/>
      <w:divBdr>
        <w:top w:val="none" w:sz="0" w:space="0" w:color="auto"/>
        <w:left w:val="none" w:sz="0" w:space="0" w:color="auto"/>
        <w:bottom w:val="none" w:sz="0" w:space="0" w:color="auto"/>
        <w:right w:val="none" w:sz="0" w:space="0" w:color="auto"/>
      </w:divBdr>
      <w:divsChild>
        <w:div w:id="1157765509">
          <w:marLeft w:val="0"/>
          <w:marRight w:val="0"/>
          <w:marTop w:val="0"/>
          <w:marBottom w:val="0"/>
          <w:divBdr>
            <w:top w:val="none" w:sz="0" w:space="0" w:color="auto"/>
            <w:left w:val="none" w:sz="0" w:space="0" w:color="auto"/>
            <w:bottom w:val="none" w:sz="0" w:space="0" w:color="auto"/>
            <w:right w:val="none" w:sz="0" w:space="0" w:color="auto"/>
          </w:divBdr>
          <w:divsChild>
            <w:div w:id="161360822">
              <w:marLeft w:val="0"/>
              <w:marRight w:val="0"/>
              <w:marTop w:val="0"/>
              <w:marBottom w:val="0"/>
              <w:divBdr>
                <w:top w:val="none" w:sz="0" w:space="0" w:color="auto"/>
                <w:left w:val="none" w:sz="0" w:space="0" w:color="auto"/>
                <w:bottom w:val="none" w:sz="0" w:space="0" w:color="auto"/>
                <w:right w:val="none" w:sz="0" w:space="0" w:color="auto"/>
              </w:divBdr>
              <w:divsChild>
                <w:div w:id="1611544887">
                  <w:marLeft w:val="0"/>
                  <w:marRight w:val="0"/>
                  <w:marTop w:val="0"/>
                  <w:marBottom w:val="0"/>
                  <w:divBdr>
                    <w:top w:val="none" w:sz="0" w:space="0" w:color="auto"/>
                    <w:left w:val="none" w:sz="0" w:space="0" w:color="auto"/>
                    <w:bottom w:val="none" w:sz="0" w:space="0" w:color="auto"/>
                    <w:right w:val="none" w:sz="0" w:space="0" w:color="auto"/>
                  </w:divBdr>
                </w:div>
              </w:divsChild>
            </w:div>
            <w:div w:id="731274155">
              <w:marLeft w:val="0"/>
              <w:marRight w:val="0"/>
              <w:marTop w:val="0"/>
              <w:marBottom w:val="0"/>
              <w:divBdr>
                <w:top w:val="none" w:sz="0" w:space="0" w:color="auto"/>
                <w:left w:val="none" w:sz="0" w:space="0" w:color="auto"/>
                <w:bottom w:val="none" w:sz="0" w:space="0" w:color="auto"/>
                <w:right w:val="none" w:sz="0" w:space="0" w:color="auto"/>
              </w:divBdr>
            </w:div>
            <w:div w:id="953513975">
              <w:marLeft w:val="0"/>
              <w:marRight w:val="0"/>
              <w:marTop w:val="0"/>
              <w:marBottom w:val="0"/>
              <w:divBdr>
                <w:top w:val="none" w:sz="0" w:space="0" w:color="auto"/>
                <w:left w:val="none" w:sz="0" w:space="0" w:color="auto"/>
                <w:bottom w:val="none" w:sz="0" w:space="0" w:color="auto"/>
                <w:right w:val="none" w:sz="0" w:space="0" w:color="auto"/>
              </w:divBdr>
            </w:div>
            <w:div w:id="963772838">
              <w:marLeft w:val="0"/>
              <w:marRight w:val="0"/>
              <w:marTop w:val="0"/>
              <w:marBottom w:val="0"/>
              <w:divBdr>
                <w:top w:val="none" w:sz="0" w:space="0" w:color="auto"/>
                <w:left w:val="none" w:sz="0" w:space="0" w:color="auto"/>
                <w:bottom w:val="none" w:sz="0" w:space="0" w:color="auto"/>
                <w:right w:val="none" w:sz="0" w:space="0" w:color="auto"/>
              </w:divBdr>
            </w:div>
            <w:div w:id="1189753930">
              <w:marLeft w:val="0"/>
              <w:marRight w:val="0"/>
              <w:marTop w:val="0"/>
              <w:marBottom w:val="0"/>
              <w:divBdr>
                <w:top w:val="none" w:sz="0" w:space="0" w:color="auto"/>
                <w:left w:val="none" w:sz="0" w:space="0" w:color="auto"/>
                <w:bottom w:val="none" w:sz="0" w:space="0" w:color="auto"/>
                <w:right w:val="none" w:sz="0" w:space="0" w:color="auto"/>
              </w:divBdr>
            </w:div>
            <w:div w:id="1218935689">
              <w:marLeft w:val="0"/>
              <w:marRight w:val="0"/>
              <w:marTop w:val="0"/>
              <w:marBottom w:val="0"/>
              <w:divBdr>
                <w:top w:val="none" w:sz="0" w:space="0" w:color="auto"/>
                <w:left w:val="none" w:sz="0" w:space="0" w:color="auto"/>
                <w:bottom w:val="none" w:sz="0" w:space="0" w:color="auto"/>
                <w:right w:val="none" w:sz="0" w:space="0" w:color="auto"/>
              </w:divBdr>
            </w:div>
            <w:div w:id="1242301744">
              <w:marLeft w:val="0"/>
              <w:marRight w:val="0"/>
              <w:marTop w:val="0"/>
              <w:marBottom w:val="0"/>
              <w:divBdr>
                <w:top w:val="none" w:sz="0" w:space="0" w:color="auto"/>
                <w:left w:val="none" w:sz="0" w:space="0" w:color="auto"/>
                <w:bottom w:val="none" w:sz="0" w:space="0" w:color="auto"/>
                <w:right w:val="none" w:sz="0" w:space="0" w:color="auto"/>
              </w:divBdr>
            </w:div>
            <w:div w:id="1306853958">
              <w:marLeft w:val="0"/>
              <w:marRight w:val="0"/>
              <w:marTop w:val="0"/>
              <w:marBottom w:val="0"/>
              <w:divBdr>
                <w:top w:val="none" w:sz="0" w:space="0" w:color="auto"/>
                <w:left w:val="none" w:sz="0" w:space="0" w:color="auto"/>
                <w:bottom w:val="none" w:sz="0" w:space="0" w:color="auto"/>
                <w:right w:val="none" w:sz="0" w:space="0" w:color="auto"/>
              </w:divBdr>
            </w:div>
            <w:div w:id="1550141036">
              <w:marLeft w:val="0"/>
              <w:marRight w:val="0"/>
              <w:marTop w:val="0"/>
              <w:marBottom w:val="0"/>
              <w:divBdr>
                <w:top w:val="none" w:sz="0" w:space="0" w:color="auto"/>
                <w:left w:val="none" w:sz="0" w:space="0" w:color="auto"/>
                <w:bottom w:val="none" w:sz="0" w:space="0" w:color="auto"/>
                <w:right w:val="none" w:sz="0" w:space="0" w:color="auto"/>
              </w:divBdr>
            </w:div>
            <w:div w:id="1745756725">
              <w:marLeft w:val="0"/>
              <w:marRight w:val="0"/>
              <w:marTop w:val="0"/>
              <w:marBottom w:val="0"/>
              <w:divBdr>
                <w:top w:val="none" w:sz="0" w:space="0" w:color="auto"/>
                <w:left w:val="none" w:sz="0" w:space="0" w:color="auto"/>
                <w:bottom w:val="none" w:sz="0" w:space="0" w:color="auto"/>
                <w:right w:val="none" w:sz="0" w:space="0" w:color="auto"/>
              </w:divBdr>
            </w:div>
            <w:div w:id="1878815133">
              <w:marLeft w:val="0"/>
              <w:marRight w:val="0"/>
              <w:marTop w:val="0"/>
              <w:marBottom w:val="0"/>
              <w:divBdr>
                <w:top w:val="none" w:sz="0" w:space="0" w:color="auto"/>
                <w:left w:val="none" w:sz="0" w:space="0" w:color="auto"/>
                <w:bottom w:val="none" w:sz="0" w:space="0" w:color="auto"/>
                <w:right w:val="none" w:sz="0" w:space="0" w:color="auto"/>
              </w:divBdr>
            </w:div>
            <w:div w:id="2049524048">
              <w:marLeft w:val="0"/>
              <w:marRight w:val="0"/>
              <w:marTop w:val="0"/>
              <w:marBottom w:val="0"/>
              <w:divBdr>
                <w:top w:val="none" w:sz="0" w:space="0" w:color="auto"/>
                <w:left w:val="none" w:sz="0" w:space="0" w:color="auto"/>
                <w:bottom w:val="none" w:sz="0" w:space="0" w:color="auto"/>
                <w:right w:val="none" w:sz="0" w:space="0" w:color="auto"/>
              </w:divBdr>
              <w:divsChild>
                <w:div w:id="970137061">
                  <w:marLeft w:val="0"/>
                  <w:marRight w:val="0"/>
                  <w:marTop w:val="0"/>
                  <w:marBottom w:val="0"/>
                  <w:divBdr>
                    <w:top w:val="none" w:sz="0" w:space="0" w:color="auto"/>
                    <w:left w:val="none" w:sz="0" w:space="0" w:color="auto"/>
                    <w:bottom w:val="none" w:sz="0" w:space="0" w:color="auto"/>
                    <w:right w:val="none" w:sz="0" w:space="0" w:color="auto"/>
                  </w:divBdr>
                  <w:divsChild>
                    <w:div w:id="436563327">
                      <w:marLeft w:val="0"/>
                      <w:marRight w:val="0"/>
                      <w:marTop w:val="0"/>
                      <w:marBottom w:val="0"/>
                      <w:divBdr>
                        <w:top w:val="none" w:sz="0" w:space="0" w:color="auto"/>
                        <w:left w:val="none" w:sz="0" w:space="0" w:color="auto"/>
                        <w:bottom w:val="none" w:sz="0" w:space="0" w:color="auto"/>
                        <w:right w:val="none" w:sz="0" w:space="0" w:color="auto"/>
                      </w:divBdr>
                    </w:div>
                    <w:div w:id="577787273">
                      <w:marLeft w:val="0"/>
                      <w:marRight w:val="0"/>
                      <w:marTop w:val="0"/>
                      <w:marBottom w:val="0"/>
                      <w:divBdr>
                        <w:top w:val="none" w:sz="0" w:space="0" w:color="auto"/>
                        <w:left w:val="none" w:sz="0" w:space="0" w:color="auto"/>
                        <w:bottom w:val="none" w:sz="0" w:space="0" w:color="auto"/>
                        <w:right w:val="none" w:sz="0" w:space="0" w:color="auto"/>
                      </w:divBdr>
                    </w:div>
                  </w:divsChild>
                </w:div>
                <w:div w:id="1605990663">
                  <w:marLeft w:val="0"/>
                  <w:marRight w:val="0"/>
                  <w:marTop w:val="0"/>
                  <w:marBottom w:val="0"/>
                  <w:divBdr>
                    <w:top w:val="none" w:sz="0" w:space="0" w:color="auto"/>
                    <w:left w:val="none" w:sz="0" w:space="0" w:color="auto"/>
                    <w:bottom w:val="none" w:sz="0" w:space="0" w:color="auto"/>
                    <w:right w:val="none" w:sz="0" w:space="0" w:color="auto"/>
                  </w:divBdr>
                </w:div>
                <w:div w:id="202605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89143">
      <w:bodyDiv w:val="1"/>
      <w:marLeft w:val="0"/>
      <w:marRight w:val="0"/>
      <w:marTop w:val="0"/>
      <w:marBottom w:val="0"/>
      <w:divBdr>
        <w:top w:val="none" w:sz="0" w:space="0" w:color="auto"/>
        <w:left w:val="none" w:sz="0" w:space="0" w:color="auto"/>
        <w:bottom w:val="none" w:sz="0" w:space="0" w:color="auto"/>
        <w:right w:val="none" w:sz="0" w:space="0" w:color="auto"/>
      </w:divBdr>
      <w:divsChild>
        <w:div w:id="29451894">
          <w:marLeft w:val="0"/>
          <w:marRight w:val="0"/>
          <w:marTop w:val="0"/>
          <w:marBottom w:val="0"/>
          <w:divBdr>
            <w:top w:val="none" w:sz="0" w:space="0" w:color="auto"/>
            <w:left w:val="none" w:sz="0" w:space="0" w:color="auto"/>
            <w:bottom w:val="none" w:sz="0" w:space="0" w:color="auto"/>
            <w:right w:val="none" w:sz="0" w:space="0" w:color="auto"/>
          </w:divBdr>
        </w:div>
        <w:div w:id="31879472">
          <w:marLeft w:val="0"/>
          <w:marRight w:val="0"/>
          <w:marTop w:val="0"/>
          <w:marBottom w:val="0"/>
          <w:divBdr>
            <w:top w:val="none" w:sz="0" w:space="0" w:color="auto"/>
            <w:left w:val="none" w:sz="0" w:space="0" w:color="auto"/>
            <w:bottom w:val="none" w:sz="0" w:space="0" w:color="auto"/>
            <w:right w:val="none" w:sz="0" w:space="0" w:color="auto"/>
          </w:divBdr>
        </w:div>
        <w:div w:id="88697990">
          <w:marLeft w:val="0"/>
          <w:marRight w:val="0"/>
          <w:marTop w:val="0"/>
          <w:marBottom w:val="0"/>
          <w:divBdr>
            <w:top w:val="none" w:sz="0" w:space="0" w:color="auto"/>
            <w:left w:val="none" w:sz="0" w:space="0" w:color="auto"/>
            <w:bottom w:val="none" w:sz="0" w:space="0" w:color="auto"/>
            <w:right w:val="none" w:sz="0" w:space="0" w:color="auto"/>
          </w:divBdr>
        </w:div>
        <w:div w:id="207185679">
          <w:marLeft w:val="0"/>
          <w:marRight w:val="0"/>
          <w:marTop w:val="0"/>
          <w:marBottom w:val="0"/>
          <w:divBdr>
            <w:top w:val="none" w:sz="0" w:space="0" w:color="auto"/>
            <w:left w:val="none" w:sz="0" w:space="0" w:color="auto"/>
            <w:bottom w:val="none" w:sz="0" w:space="0" w:color="auto"/>
            <w:right w:val="none" w:sz="0" w:space="0" w:color="auto"/>
          </w:divBdr>
        </w:div>
        <w:div w:id="362488163">
          <w:marLeft w:val="0"/>
          <w:marRight w:val="0"/>
          <w:marTop w:val="0"/>
          <w:marBottom w:val="0"/>
          <w:divBdr>
            <w:top w:val="none" w:sz="0" w:space="0" w:color="auto"/>
            <w:left w:val="none" w:sz="0" w:space="0" w:color="auto"/>
            <w:bottom w:val="none" w:sz="0" w:space="0" w:color="auto"/>
            <w:right w:val="none" w:sz="0" w:space="0" w:color="auto"/>
          </w:divBdr>
        </w:div>
        <w:div w:id="385104547">
          <w:marLeft w:val="0"/>
          <w:marRight w:val="0"/>
          <w:marTop w:val="0"/>
          <w:marBottom w:val="0"/>
          <w:divBdr>
            <w:top w:val="none" w:sz="0" w:space="0" w:color="auto"/>
            <w:left w:val="none" w:sz="0" w:space="0" w:color="auto"/>
            <w:bottom w:val="none" w:sz="0" w:space="0" w:color="auto"/>
            <w:right w:val="none" w:sz="0" w:space="0" w:color="auto"/>
          </w:divBdr>
        </w:div>
        <w:div w:id="389035035">
          <w:marLeft w:val="0"/>
          <w:marRight w:val="0"/>
          <w:marTop w:val="0"/>
          <w:marBottom w:val="0"/>
          <w:divBdr>
            <w:top w:val="none" w:sz="0" w:space="0" w:color="auto"/>
            <w:left w:val="none" w:sz="0" w:space="0" w:color="auto"/>
            <w:bottom w:val="none" w:sz="0" w:space="0" w:color="auto"/>
            <w:right w:val="none" w:sz="0" w:space="0" w:color="auto"/>
          </w:divBdr>
        </w:div>
        <w:div w:id="425001163">
          <w:marLeft w:val="0"/>
          <w:marRight w:val="0"/>
          <w:marTop w:val="0"/>
          <w:marBottom w:val="0"/>
          <w:divBdr>
            <w:top w:val="none" w:sz="0" w:space="0" w:color="auto"/>
            <w:left w:val="none" w:sz="0" w:space="0" w:color="auto"/>
            <w:bottom w:val="none" w:sz="0" w:space="0" w:color="auto"/>
            <w:right w:val="none" w:sz="0" w:space="0" w:color="auto"/>
          </w:divBdr>
        </w:div>
        <w:div w:id="435832945">
          <w:marLeft w:val="0"/>
          <w:marRight w:val="0"/>
          <w:marTop w:val="0"/>
          <w:marBottom w:val="0"/>
          <w:divBdr>
            <w:top w:val="none" w:sz="0" w:space="0" w:color="auto"/>
            <w:left w:val="none" w:sz="0" w:space="0" w:color="auto"/>
            <w:bottom w:val="none" w:sz="0" w:space="0" w:color="auto"/>
            <w:right w:val="none" w:sz="0" w:space="0" w:color="auto"/>
          </w:divBdr>
        </w:div>
        <w:div w:id="475614214">
          <w:marLeft w:val="0"/>
          <w:marRight w:val="0"/>
          <w:marTop w:val="0"/>
          <w:marBottom w:val="0"/>
          <w:divBdr>
            <w:top w:val="none" w:sz="0" w:space="0" w:color="auto"/>
            <w:left w:val="none" w:sz="0" w:space="0" w:color="auto"/>
            <w:bottom w:val="none" w:sz="0" w:space="0" w:color="auto"/>
            <w:right w:val="none" w:sz="0" w:space="0" w:color="auto"/>
          </w:divBdr>
        </w:div>
        <w:div w:id="479886627">
          <w:marLeft w:val="0"/>
          <w:marRight w:val="0"/>
          <w:marTop w:val="0"/>
          <w:marBottom w:val="0"/>
          <w:divBdr>
            <w:top w:val="none" w:sz="0" w:space="0" w:color="auto"/>
            <w:left w:val="none" w:sz="0" w:space="0" w:color="auto"/>
            <w:bottom w:val="none" w:sz="0" w:space="0" w:color="auto"/>
            <w:right w:val="none" w:sz="0" w:space="0" w:color="auto"/>
          </w:divBdr>
        </w:div>
        <w:div w:id="490752644">
          <w:marLeft w:val="0"/>
          <w:marRight w:val="0"/>
          <w:marTop w:val="0"/>
          <w:marBottom w:val="0"/>
          <w:divBdr>
            <w:top w:val="none" w:sz="0" w:space="0" w:color="auto"/>
            <w:left w:val="none" w:sz="0" w:space="0" w:color="auto"/>
            <w:bottom w:val="none" w:sz="0" w:space="0" w:color="auto"/>
            <w:right w:val="none" w:sz="0" w:space="0" w:color="auto"/>
          </w:divBdr>
        </w:div>
        <w:div w:id="494881304">
          <w:marLeft w:val="0"/>
          <w:marRight w:val="0"/>
          <w:marTop w:val="0"/>
          <w:marBottom w:val="0"/>
          <w:divBdr>
            <w:top w:val="none" w:sz="0" w:space="0" w:color="auto"/>
            <w:left w:val="none" w:sz="0" w:space="0" w:color="auto"/>
            <w:bottom w:val="none" w:sz="0" w:space="0" w:color="auto"/>
            <w:right w:val="none" w:sz="0" w:space="0" w:color="auto"/>
          </w:divBdr>
        </w:div>
        <w:div w:id="510029531">
          <w:marLeft w:val="0"/>
          <w:marRight w:val="0"/>
          <w:marTop w:val="0"/>
          <w:marBottom w:val="0"/>
          <w:divBdr>
            <w:top w:val="none" w:sz="0" w:space="0" w:color="auto"/>
            <w:left w:val="none" w:sz="0" w:space="0" w:color="auto"/>
            <w:bottom w:val="none" w:sz="0" w:space="0" w:color="auto"/>
            <w:right w:val="none" w:sz="0" w:space="0" w:color="auto"/>
          </w:divBdr>
        </w:div>
        <w:div w:id="788281632">
          <w:marLeft w:val="0"/>
          <w:marRight w:val="0"/>
          <w:marTop w:val="0"/>
          <w:marBottom w:val="0"/>
          <w:divBdr>
            <w:top w:val="none" w:sz="0" w:space="0" w:color="auto"/>
            <w:left w:val="none" w:sz="0" w:space="0" w:color="auto"/>
            <w:bottom w:val="none" w:sz="0" w:space="0" w:color="auto"/>
            <w:right w:val="none" w:sz="0" w:space="0" w:color="auto"/>
          </w:divBdr>
        </w:div>
        <w:div w:id="828712255">
          <w:marLeft w:val="0"/>
          <w:marRight w:val="0"/>
          <w:marTop w:val="0"/>
          <w:marBottom w:val="0"/>
          <w:divBdr>
            <w:top w:val="none" w:sz="0" w:space="0" w:color="auto"/>
            <w:left w:val="none" w:sz="0" w:space="0" w:color="auto"/>
            <w:bottom w:val="none" w:sz="0" w:space="0" w:color="auto"/>
            <w:right w:val="none" w:sz="0" w:space="0" w:color="auto"/>
          </w:divBdr>
        </w:div>
        <w:div w:id="885609061">
          <w:marLeft w:val="0"/>
          <w:marRight w:val="0"/>
          <w:marTop w:val="0"/>
          <w:marBottom w:val="0"/>
          <w:divBdr>
            <w:top w:val="none" w:sz="0" w:space="0" w:color="auto"/>
            <w:left w:val="none" w:sz="0" w:space="0" w:color="auto"/>
            <w:bottom w:val="none" w:sz="0" w:space="0" w:color="auto"/>
            <w:right w:val="none" w:sz="0" w:space="0" w:color="auto"/>
          </w:divBdr>
        </w:div>
        <w:div w:id="902638496">
          <w:marLeft w:val="0"/>
          <w:marRight w:val="0"/>
          <w:marTop w:val="0"/>
          <w:marBottom w:val="0"/>
          <w:divBdr>
            <w:top w:val="none" w:sz="0" w:space="0" w:color="auto"/>
            <w:left w:val="none" w:sz="0" w:space="0" w:color="auto"/>
            <w:bottom w:val="none" w:sz="0" w:space="0" w:color="auto"/>
            <w:right w:val="none" w:sz="0" w:space="0" w:color="auto"/>
          </w:divBdr>
        </w:div>
        <w:div w:id="907299834">
          <w:marLeft w:val="0"/>
          <w:marRight w:val="0"/>
          <w:marTop w:val="0"/>
          <w:marBottom w:val="0"/>
          <w:divBdr>
            <w:top w:val="none" w:sz="0" w:space="0" w:color="auto"/>
            <w:left w:val="none" w:sz="0" w:space="0" w:color="auto"/>
            <w:bottom w:val="none" w:sz="0" w:space="0" w:color="auto"/>
            <w:right w:val="none" w:sz="0" w:space="0" w:color="auto"/>
          </w:divBdr>
        </w:div>
        <w:div w:id="1027366894">
          <w:marLeft w:val="0"/>
          <w:marRight w:val="0"/>
          <w:marTop w:val="0"/>
          <w:marBottom w:val="0"/>
          <w:divBdr>
            <w:top w:val="none" w:sz="0" w:space="0" w:color="auto"/>
            <w:left w:val="none" w:sz="0" w:space="0" w:color="auto"/>
            <w:bottom w:val="none" w:sz="0" w:space="0" w:color="auto"/>
            <w:right w:val="none" w:sz="0" w:space="0" w:color="auto"/>
          </w:divBdr>
        </w:div>
        <w:div w:id="1052458513">
          <w:marLeft w:val="0"/>
          <w:marRight w:val="0"/>
          <w:marTop w:val="0"/>
          <w:marBottom w:val="0"/>
          <w:divBdr>
            <w:top w:val="none" w:sz="0" w:space="0" w:color="auto"/>
            <w:left w:val="none" w:sz="0" w:space="0" w:color="auto"/>
            <w:bottom w:val="none" w:sz="0" w:space="0" w:color="auto"/>
            <w:right w:val="none" w:sz="0" w:space="0" w:color="auto"/>
          </w:divBdr>
        </w:div>
        <w:div w:id="1095981116">
          <w:marLeft w:val="0"/>
          <w:marRight w:val="0"/>
          <w:marTop w:val="0"/>
          <w:marBottom w:val="0"/>
          <w:divBdr>
            <w:top w:val="none" w:sz="0" w:space="0" w:color="auto"/>
            <w:left w:val="none" w:sz="0" w:space="0" w:color="auto"/>
            <w:bottom w:val="none" w:sz="0" w:space="0" w:color="auto"/>
            <w:right w:val="none" w:sz="0" w:space="0" w:color="auto"/>
          </w:divBdr>
        </w:div>
        <w:div w:id="1116292613">
          <w:marLeft w:val="0"/>
          <w:marRight w:val="0"/>
          <w:marTop w:val="0"/>
          <w:marBottom w:val="0"/>
          <w:divBdr>
            <w:top w:val="none" w:sz="0" w:space="0" w:color="auto"/>
            <w:left w:val="none" w:sz="0" w:space="0" w:color="auto"/>
            <w:bottom w:val="none" w:sz="0" w:space="0" w:color="auto"/>
            <w:right w:val="none" w:sz="0" w:space="0" w:color="auto"/>
          </w:divBdr>
        </w:div>
        <w:div w:id="1162115659">
          <w:marLeft w:val="0"/>
          <w:marRight w:val="0"/>
          <w:marTop w:val="0"/>
          <w:marBottom w:val="0"/>
          <w:divBdr>
            <w:top w:val="none" w:sz="0" w:space="0" w:color="auto"/>
            <w:left w:val="none" w:sz="0" w:space="0" w:color="auto"/>
            <w:bottom w:val="none" w:sz="0" w:space="0" w:color="auto"/>
            <w:right w:val="none" w:sz="0" w:space="0" w:color="auto"/>
          </w:divBdr>
        </w:div>
        <w:div w:id="1172180590">
          <w:marLeft w:val="0"/>
          <w:marRight w:val="0"/>
          <w:marTop w:val="0"/>
          <w:marBottom w:val="0"/>
          <w:divBdr>
            <w:top w:val="none" w:sz="0" w:space="0" w:color="auto"/>
            <w:left w:val="none" w:sz="0" w:space="0" w:color="auto"/>
            <w:bottom w:val="none" w:sz="0" w:space="0" w:color="auto"/>
            <w:right w:val="none" w:sz="0" w:space="0" w:color="auto"/>
          </w:divBdr>
        </w:div>
        <w:div w:id="1202326178">
          <w:marLeft w:val="0"/>
          <w:marRight w:val="0"/>
          <w:marTop w:val="0"/>
          <w:marBottom w:val="0"/>
          <w:divBdr>
            <w:top w:val="none" w:sz="0" w:space="0" w:color="auto"/>
            <w:left w:val="none" w:sz="0" w:space="0" w:color="auto"/>
            <w:bottom w:val="none" w:sz="0" w:space="0" w:color="auto"/>
            <w:right w:val="none" w:sz="0" w:space="0" w:color="auto"/>
          </w:divBdr>
        </w:div>
        <w:div w:id="1221987085">
          <w:marLeft w:val="0"/>
          <w:marRight w:val="0"/>
          <w:marTop w:val="0"/>
          <w:marBottom w:val="0"/>
          <w:divBdr>
            <w:top w:val="none" w:sz="0" w:space="0" w:color="auto"/>
            <w:left w:val="none" w:sz="0" w:space="0" w:color="auto"/>
            <w:bottom w:val="none" w:sz="0" w:space="0" w:color="auto"/>
            <w:right w:val="none" w:sz="0" w:space="0" w:color="auto"/>
          </w:divBdr>
        </w:div>
        <w:div w:id="1237089520">
          <w:marLeft w:val="0"/>
          <w:marRight w:val="0"/>
          <w:marTop w:val="0"/>
          <w:marBottom w:val="0"/>
          <w:divBdr>
            <w:top w:val="none" w:sz="0" w:space="0" w:color="auto"/>
            <w:left w:val="none" w:sz="0" w:space="0" w:color="auto"/>
            <w:bottom w:val="none" w:sz="0" w:space="0" w:color="auto"/>
            <w:right w:val="none" w:sz="0" w:space="0" w:color="auto"/>
          </w:divBdr>
        </w:div>
        <w:div w:id="1317419737">
          <w:marLeft w:val="0"/>
          <w:marRight w:val="0"/>
          <w:marTop w:val="0"/>
          <w:marBottom w:val="0"/>
          <w:divBdr>
            <w:top w:val="none" w:sz="0" w:space="0" w:color="auto"/>
            <w:left w:val="none" w:sz="0" w:space="0" w:color="auto"/>
            <w:bottom w:val="none" w:sz="0" w:space="0" w:color="auto"/>
            <w:right w:val="none" w:sz="0" w:space="0" w:color="auto"/>
          </w:divBdr>
        </w:div>
        <w:div w:id="1342077422">
          <w:marLeft w:val="0"/>
          <w:marRight w:val="0"/>
          <w:marTop w:val="0"/>
          <w:marBottom w:val="0"/>
          <w:divBdr>
            <w:top w:val="none" w:sz="0" w:space="0" w:color="auto"/>
            <w:left w:val="none" w:sz="0" w:space="0" w:color="auto"/>
            <w:bottom w:val="none" w:sz="0" w:space="0" w:color="auto"/>
            <w:right w:val="none" w:sz="0" w:space="0" w:color="auto"/>
          </w:divBdr>
        </w:div>
        <w:div w:id="1351565378">
          <w:marLeft w:val="0"/>
          <w:marRight w:val="0"/>
          <w:marTop w:val="0"/>
          <w:marBottom w:val="0"/>
          <w:divBdr>
            <w:top w:val="none" w:sz="0" w:space="0" w:color="auto"/>
            <w:left w:val="none" w:sz="0" w:space="0" w:color="auto"/>
            <w:bottom w:val="none" w:sz="0" w:space="0" w:color="auto"/>
            <w:right w:val="none" w:sz="0" w:space="0" w:color="auto"/>
          </w:divBdr>
        </w:div>
        <w:div w:id="1362903271">
          <w:marLeft w:val="0"/>
          <w:marRight w:val="0"/>
          <w:marTop w:val="0"/>
          <w:marBottom w:val="0"/>
          <w:divBdr>
            <w:top w:val="none" w:sz="0" w:space="0" w:color="auto"/>
            <w:left w:val="none" w:sz="0" w:space="0" w:color="auto"/>
            <w:bottom w:val="none" w:sz="0" w:space="0" w:color="auto"/>
            <w:right w:val="none" w:sz="0" w:space="0" w:color="auto"/>
          </w:divBdr>
        </w:div>
        <w:div w:id="1383286829">
          <w:marLeft w:val="0"/>
          <w:marRight w:val="0"/>
          <w:marTop w:val="0"/>
          <w:marBottom w:val="0"/>
          <w:divBdr>
            <w:top w:val="none" w:sz="0" w:space="0" w:color="auto"/>
            <w:left w:val="none" w:sz="0" w:space="0" w:color="auto"/>
            <w:bottom w:val="none" w:sz="0" w:space="0" w:color="auto"/>
            <w:right w:val="none" w:sz="0" w:space="0" w:color="auto"/>
          </w:divBdr>
        </w:div>
        <w:div w:id="1399867247">
          <w:marLeft w:val="0"/>
          <w:marRight w:val="0"/>
          <w:marTop w:val="0"/>
          <w:marBottom w:val="0"/>
          <w:divBdr>
            <w:top w:val="none" w:sz="0" w:space="0" w:color="auto"/>
            <w:left w:val="none" w:sz="0" w:space="0" w:color="auto"/>
            <w:bottom w:val="none" w:sz="0" w:space="0" w:color="auto"/>
            <w:right w:val="none" w:sz="0" w:space="0" w:color="auto"/>
          </w:divBdr>
        </w:div>
        <w:div w:id="1465392363">
          <w:marLeft w:val="0"/>
          <w:marRight w:val="0"/>
          <w:marTop w:val="0"/>
          <w:marBottom w:val="0"/>
          <w:divBdr>
            <w:top w:val="none" w:sz="0" w:space="0" w:color="auto"/>
            <w:left w:val="none" w:sz="0" w:space="0" w:color="auto"/>
            <w:bottom w:val="none" w:sz="0" w:space="0" w:color="auto"/>
            <w:right w:val="none" w:sz="0" w:space="0" w:color="auto"/>
          </w:divBdr>
        </w:div>
        <w:div w:id="1563558410">
          <w:marLeft w:val="0"/>
          <w:marRight w:val="0"/>
          <w:marTop w:val="0"/>
          <w:marBottom w:val="0"/>
          <w:divBdr>
            <w:top w:val="none" w:sz="0" w:space="0" w:color="auto"/>
            <w:left w:val="none" w:sz="0" w:space="0" w:color="auto"/>
            <w:bottom w:val="none" w:sz="0" w:space="0" w:color="auto"/>
            <w:right w:val="none" w:sz="0" w:space="0" w:color="auto"/>
          </w:divBdr>
        </w:div>
        <w:div w:id="1587499172">
          <w:marLeft w:val="0"/>
          <w:marRight w:val="0"/>
          <w:marTop w:val="0"/>
          <w:marBottom w:val="0"/>
          <w:divBdr>
            <w:top w:val="none" w:sz="0" w:space="0" w:color="auto"/>
            <w:left w:val="none" w:sz="0" w:space="0" w:color="auto"/>
            <w:bottom w:val="none" w:sz="0" w:space="0" w:color="auto"/>
            <w:right w:val="none" w:sz="0" w:space="0" w:color="auto"/>
          </w:divBdr>
        </w:div>
        <w:div w:id="1641302213">
          <w:marLeft w:val="0"/>
          <w:marRight w:val="0"/>
          <w:marTop w:val="0"/>
          <w:marBottom w:val="0"/>
          <w:divBdr>
            <w:top w:val="none" w:sz="0" w:space="0" w:color="auto"/>
            <w:left w:val="none" w:sz="0" w:space="0" w:color="auto"/>
            <w:bottom w:val="none" w:sz="0" w:space="0" w:color="auto"/>
            <w:right w:val="none" w:sz="0" w:space="0" w:color="auto"/>
          </w:divBdr>
        </w:div>
        <w:div w:id="1687054879">
          <w:marLeft w:val="0"/>
          <w:marRight w:val="0"/>
          <w:marTop w:val="0"/>
          <w:marBottom w:val="0"/>
          <w:divBdr>
            <w:top w:val="none" w:sz="0" w:space="0" w:color="auto"/>
            <w:left w:val="none" w:sz="0" w:space="0" w:color="auto"/>
            <w:bottom w:val="none" w:sz="0" w:space="0" w:color="auto"/>
            <w:right w:val="none" w:sz="0" w:space="0" w:color="auto"/>
          </w:divBdr>
        </w:div>
        <w:div w:id="1695494732">
          <w:marLeft w:val="0"/>
          <w:marRight w:val="0"/>
          <w:marTop w:val="0"/>
          <w:marBottom w:val="0"/>
          <w:divBdr>
            <w:top w:val="none" w:sz="0" w:space="0" w:color="auto"/>
            <w:left w:val="none" w:sz="0" w:space="0" w:color="auto"/>
            <w:bottom w:val="none" w:sz="0" w:space="0" w:color="auto"/>
            <w:right w:val="none" w:sz="0" w:space="0" w:color="auto"/>
          </w:divBdr>
        </w:div>
        <w:div w:id="1860966955">
          <w:marLeft w:val="0"/>
          <w:marRight w:val="0"/>
          <w:marTop w:val="0"/>
          <w:marBottom w:val="0"/>
          <w:divBdr>
            <w:top w:val="none" w:sz="0" w:space="0" w:color="auto"/>
            <w:left w:val="none" w:sz="0" w:space="0" w:color="auto"/>
            <w:bottom w:val="none" w:sz="0" w:space="0" w:color="auto"/>
            <w:right w:val="none" w:sz="0" w:space="0" w:color="auto"/>
          </w:divBdr>
        </w:div>
        <w:div w:id="1862742219">
          <w:marLeft w:val="0"/>
          <w:marRight w:val="0"/>
          <w:marTop w:val="0"/>
          <w:marBottom w:val="0"/>
          <w:divBdr>
            <w:top w:val="none" w:sz="0" w:space="0" w:color="auto"/>
            <w:left w:val="none" w:sz="0" w:space="0" w:color="auto"/>
            <w:bottom w:val="none" w:sz="0" w:space="0" w:color="auto"/>
            <w:right w:val="none" w:sz="0" w:space="0" w:color="auto"/>
          </w:divBdr>
        </w:div>
        <w:div w:id="1891332859">
          <w:marLeft w:val="0"/>
          <w:marRight w:val="0"/>
          <w:marTop w:val="0"/>
          <w:marBottom w:val="0"/>
          <w:divBdr>
            <w:top w:val="none" w:sz="0" w:space="0" w:color="auto"/>
            <w:left w:val="none" w:sz="0" w:space="0" w:color="auto"/>
            <w:bottom w:val="none" w:sz="0" w:space="0" w:color="auto"/>
            <w:right w:val="none" w:sz="0" w:space="0" w:color="auto"/>
          </w:divBdr>
        </w:div>
        <w:div w:id="1903367126">
          <w:marLeft w:val="0"/>
          <w:marRight w:val="0"/>
          <w:marTop w:val="0"/>
          <w:marBottom w:val="0"/>
          <w:divBdr>
            <w:top w:val="none" w:sz="0" w:space="0" w:color="auto"/>
            <w:left w:val="none" w:sz="0" w:space="0" w:color="auto"/>
            <w:bottom w:val="none" w:sz="0" w:space="0" w:color="auto"/>
            <w:right w:val="none" w:sz="0" w:space="0" w:color="auto"/>
          </w:divBdr>
        </w:div>
        <w:div w:id="1922713283">
          <w:marLeft w:val="0"/>
          <w:marRight w:val="0"/>
          <w:marTop w:val="0"/>
          <w:marBottom w:val="0"/>
          <w:divBdr>
            <w:top w:val="none" w:sz="0" w:space="0" w:color="auto"/>
            <w:left w:val="none" w:sz="0" w:space="0" w:color="auto"/>
            <w:bottom w:val="none" w:sz="0" w:space="0" w:color="auto"/>
            <w:right w:val="none" w:sz="0" w:space="0" w:color="auto"/>
          </w:divBdr>
        </w:div>
        <w:div w:id="1933736000">
          <w:marLeft w:val="0"/>
          <w:marRight w:val="0"/>
          <w:marTop w:val="0"/>
          <w:marBottom w:val="0"/>
          <w:divBdr>
            <w:top w:val="none" w:sz="0" w:space="0" w:color="auto"/>
            <w:left w:val="none" w:sz="0" w:space="0" w:color="auto"/>
            <w:bottom w:val="none" w:sz="0" w:space="0" w:color="auto"/>
            <w:right w:val="none" w:sz="0" w:space="0" w:color="auto"/>
          </w:divBdr>
        </w:div>
        <w:div w:id="1984115143">
          <w:marLeft w:val="0"/>
          <w:marRight w:val="0"/>
          <w:marTop w:val="0"/>
          <w:marBottom w:val="0"/>
          <w:divBdr>
            <w:top w:val="none" w:sz="0" w:space="0" w:color="auto"/>
            <w:left w:val="none" w:sz="0" w:space="0" w:color="auto"/>
            <w:bottom w:val="none" w:sz="0" w:space="0" w:color="auto"/>
            <w:right w:val="none" w:sz="0" w:space="0" w:color="auto"/>
          </w:divBdr>
        </w:div>
        <w:div w:id="2073498171">
          <w:marLeft w:val="0"/>
          <w:marRight w:val="0"/>
          <w:marTop w:val="0"/>
          <w:marBottom w:val="0"/>
          <w:divBdr>
            <w:top w:val="none" w:sz="0" w:space="0" w:color="auto"/>
            <w:left w:val="none" w:sz="0" w:space="0" w:color="auto"/>
            <w:bottom w:val="none" w:sz="0" w:space="0" w:color="auto"/>
            <w:right w:val="none" w:sz="0" w:space="0" w:color="auto"/>
          </w:divBdr>
        </w:div>
        <w:div w:id="2095936255">
          <w:marLeft w:val="0"/>
          <w:marRight w:val="0"/>
          <w:marTop w:val="0"/>
          <w:marBottom w:val="0"/>
          <w:divBdr>
            <w:top w:val="none" w:sz="0" w:space="0" w:color="auto"/>
            <w:left w:val="none" w:sz="0" w:space="0" w:color="auto"/>
            <w:bottom w:val="none" w:sz="0" w:space="0" w:color="auto"/>
            <w:right w:val="none" w:sz="0" w:space="0" w:color="auto"/>
          </w:divBdr>
        </w:div>
      </w:divsChild>
    </w:div>
    <w:div w:id="271671032">
      <w:bodyDiv w:val="1"/>
      <w:marLeft w:val="0"/>
      <w:marRight w:val="0"/>
      <w:marTop w:val="0"/>
      <w:marBottom w:val="0"/>
      <w:divBdr>
        <w:top w:val="none" w:sz="0" w:space="0" w:color="auto"/>
        <w:left w:val="none" w:sz="0" w:space="0" w:color="auto"/>
        <w:bottom w:val="none" w:sz="0" w:space="0" w:color="auto"/>
        <w:right w:val="none" w:sz="0" w:space="0" w:color="auto"/>
      </w:divBdr>
    </w:div>
    <w:div w:id="278222052">
      <w:bodyDiv w:val="1"/>
      <w:marLeft w:val="0"/>
      <w:marRight w:val="0"/>
      <w:marTop w:val="0"/>
      <w:marBottom w:val="0"/>
      <w:divBdr>
        <w:top w:val="none" w:sz="0" w:space="0" w:color="auto"/>
        <w:left w:val="none" w:sz="0" w:space="0" w:color="auto"/>
        <w:bottom w:val="none" w:sz="0" w:space="0" w:color="auto"/>
        <w:right w:val="none" w:sz="0" w:space="0" w:color="auto"/>
      </w:divBdr>
    </w:div>
    <w:div w:id="279383296">
      <w:bodyDiv w:val="1"/>
      <w:marLeft w:val="0"/>
      <w:marRight w:val="0"/>
      <w:marTop w:val="0"/>
      <w:marBottom w:val="0"/>
      <w:divBdr>
        <w:top w:val="none" w:sz="0" w:space="0" w:color="auto"/>
        <w:left w:val="none" w:sz="0" w:space="0" w:color="auto"/>
        <w:bottom w:val="none" w:sz="0" w:space="0" w:color="auto"/>
        <w:right w:val="none" w:sz="0" w:space="0" w:color="auto"/>
      </w:divBdr>
    </w:div>
    <w:div w:id="291061643">
      <w:bodyDiv w:val="1"/>
      <w:marLeft w:val="0"/>
      <w:marRight w:val="0"/>
      <w:marTop w:val="0"/>
      <w:marBottom w:val="0"/>
      <w:divBdr>
        <w:top w:val="none" w:sz="0" w:space="0" w:color="auto"/>
        <w:left w:val="none" w:sz="0" w:space="0" w:color="auto"/>
        <w:bottom w:val="none" w:sz="0" w:space="0" w:color="auto"/>
        <w:right w:val="none" w:sz="0" w:space="0" w:color="auto"/>
      </w:divBdr>
    </w:div>
    <w:div w:id="322587086">
      <w:bodyDiv w:val="1"/>
      <w:marLeft w:val="0"/>
      <w:marRight w:val="0"/>
      <w:marTop w:val="0"/>
      <w:marBottom w:val="0"/>
      <w:divBdr>
        <w:top w:val="none" w:sz="0" w:space="0" w:color="auto"/>
        <w:left w:val="none" w:sz="0" w:space="0" w:color="auto"/>
        <w:bottom w:val="none" w:sz="0" w:space="0" w:color="auto"/>
        <w:right w:val="none" w:sz="0" w:space="0" w:color="auto"/>
      </w:divBdr>
    </w:div>
    <w:div w:id="341318246">
      <w:bodyDiv w:val="1"/>
      <w:marLeft w:val="0"/>
      <w:marRight w:val="0"/>
      <w:marTop w:val="0"/>
      <w:marBottom w:val="0"/>
      <w:divBdr>
        <w:top w:val="none" w:sz="0" w:space="0" w:color="auto"/>
        <w:left w:val="none" w:sz="0" w:space="0" w:color="auto"/>
        <w:bottom w:val="none" w:sz="0" w:space="0" w:color="auto"/>
        <w:right w:val="none" w:sz="0" w:space="0" w:color="auto"/>
      </w:divBdr>
    </w:div>
    <w:div w:id="355817710">
      <w:bodyDiv w:val="1"/>
      <w:marLeft w:val="0"/>
      <w:marRight w:val="0"/>
      <w:marTop w:val="0"/>
      <w:marBottom w:val="0"/>
      <w:divBdr>
        <w:top w:val="none" w:sz="0" w:space="0" w:color="auto"/>
        <w:left w:val="none" w:sz="0" w:space="0" w:color="auto"/>
        <w:bottom w:val="none" w:sz="0" w:space="0" w:color="auto"/>
        <w:right w:val="none" w:sz="0" w:space="0" w:color="auto"/>
      </w:divBdr>
    </w:div>
    <w:div w:id="361712613">
      <w:bodyDiv w:val="1"/>
      <w:marLeft w:val="0"/>
      <w:marRight w:val="0"/>
      <w:marTop w:val="0"/>
      <w:marBottom w:val="0"/>
      <w:divBdr>
        <w:top w:val="none" w:sz="0" w:space="0" w:color="auto"/>
        <w:left w:val="none" w:sz="0" w:space="0" w:color="auto"/>
        <w:bottom w:val="none" w:sz="0" w:space="0" w:color="auto"/>
        <w:right w:val="none" w:sz="0" w:space="0" w:color="auto"/>
      </w:divBdr>
      <w:divsChild>
        <w:div w:id="341592353">
          <w:marLeft w:val="1166"/>
          <w:marRight w:val="0"/>
          <w:marTop w:val="0"/>
          <w:marBottom w:val="0"/>
          <w:divBdr>
            <w:top w:val="none" w:sz="0" w:space="0" w:color="auto"/>
            <w:left w:val="none" w:sz="0" w:space="0" w:color="auto"/>
            <w:bottom w:val="none" w:sz="0" w:space="0" w:color="auto"/>
            <w:right w:val="none" w:sz="0" w:space="0" w:color="auto"/>
          </w:divBdr>
        </w:div>
        <w:div w:id="714500602">
          <w:marLeft w:val="547"/>
          <w:marRight w:val="0"/>
          <w:marTop w:val="240"/>
          <w:marBottom w:val="0"/>
          <w:divBdr>
            <w:top w:val="none" w:sz="0" w:space="0" w:color="auto"/>
            <w:left w:val="none" w:sz="0" w:space="0" w:color="auto"/>
            <w:bottom w:val="none" w:sz="0" w:space="0" w:color="auto"/>
            <w:right w:val="none" w:sz="0" w:space="0" w:color="auto"/>
          </w:divBdr>
        </w:div>
      </w:divsChild>
    </w:div>
    <w:div w:id="372119455">
      <w:bodyDiv w:val="1"/>
      <w:marLeft w:val="0"/>
      <w:marRight w:val="0"/>
      <w:marTop w:val="0"/>
      <w:marBottom w:val="0"/>
      <w:divBdr>
        <w:top w:val="none" w:sz="0" w:space="0" w:color="auto"/>
        <w:left w:val="none" w:sz="0" w:space="0" w:color="auto"/>
        <w:bottom w:val="none" w:sz="0" w:space="0" w:color="auto"/>
        <w:right w:val="none" w:sz="0" w:space="0" w:color="auto"/>
      </w:divBdr>
      <w:divsChild>
        <w:div w:id="652562321">
          <w:marLeft w:val="547"/>
          <w:marRight w:val="0"/>
          <w:marTop w:val="240"/>
          <w:marBottom w:val="0"/>
          <w:divBdr>
            <w:top w:val="none" w:sz="0" w:space="0" w:color="auto"/>
            <w:left w:val="none" w:sz="0" w:space="0" w:color="auto"/>
            <w:bottom w:val="none" w:sz="0" w:space="0" w:color="auto"/>
            <w:right w:val="none" w:sz="0" w:space="0" w:color="auto"/>
          </w:divBdr>
        </w:div>
      </w:divsChild>
    </w:div>
    <w:div w:id="381245741">
      <w:bodyDiv w:val="1"/>
      <w:marLeft w:val="0"/>
      <w:marRight w:val="0"/>
      <w:marTop w:val="0"/>
      <w:marBottom w:val="0"/>
      <w:divBdr>
        <w:top w:val="none" w:sz="0" w:space="0" w:color="auto"/>
        <w:left w:val="none" w:sz="0" w:space="0" w:color="auto"/>
        <w:bottom w:val="none" w:sz="0" w:space="0" w:color="auto"/>
        <w:right w:val="none" w:sz="0" w:space="0" w:color="auto"/>
      </w:divBdr>
    </w:div>
    <w:div w:id="381833048">
      <w:bodyDiv w:val="1"/>
      <w:marLeft w:val="0"/>
      <w:marRight w:val="0"/>
      <w:marTop w:val="0"/>
      <w:marBottom w:val="0"/>
      <w:divBdr>
        <w:top w:val="none" w:sz="0" w:space="0" w:color="auto"/>
        <w:left w:val="none" w:sz="0" w:space="0" w:color="auto"/>
        <w:bottom w:val="none" w:sz="0" w:space="0" w:color="auto"/>
        <w:right w:val="none" w:sz="0" w:space="0" w:color="auto"/>
      </w:divBdr>
    </w:div>
    <w:div w:id="399136102">
      <w:bodyDiv w:val="1"/>
      <w:marLeft w:val="0"/>
      <w:marRight w:val="0"/>
      <w:marTop w:val="0"/>
      <w:marBottom w:val="0"/>
      <w:divBdr>
        <w:top w:val="none" w:sz="0" w:space="0" w:color="auto"/>
        <w:left w:val="none" w:sz="0" w:space="0" w:color="auto"/>
        <w:bottom w:val="none" w:sz="0" w:space="0" w:color="auto"/>
        <w:right w:val="none" w:sz="0" w:space="0" w:color="auto"/>
      </w:divBdr>
      <w:divsChild>
        <w:div w:id="126053834">
          <w:marLeft w:val="446"/>
          <w:marRight w:val="0"/>
          <w:marTop w:val="0"/>
          <w:marBottom w:val="0"/>
          <w:divBdr>
            <w:top w:val="none" w:sz="0" w:space="0" w:color="auto"/>
            <w:left w:val="none" w:sz="0" w:space="0" w:color="auto"/>
            <w:bottom w:val="none" w:sz="0" w:space="0" w:color="auto"/>
            <w:right w:val="none" w:sz="0" w:space="0" w:color="auto"/>
          </w:divBdr>
        </w:div>
        <w:div w:id="1092625813">
          <w:marLeft w:val="446"/>
          <w:marRight w:val="0"/>
          <w:marTop w:val="0"/>
          <w:marBottom w:val="0"/>
          <w:divBdr>
            <w:top w:val="none" w:sz="0" w:space="0" w:color="auto"/>
            <w:left w:val="none" w:sz="0" w:space="0" w:color="auto"/>
            <w:bottom w:val="none" w:sz="0" w:space="0" w:color="auto"/>
            <w:right w:val="none" w:sz="0" w:space="0" w:color="auto"/>
          </w:divBdr>
        </w:div>
      </w:divsChild>
    </w:div>
    <w:div w:id="403265979">
      <w:bodyDiv w:val="1"/>
      <w:marLeft w:val="0"/>
      <w:marRight w:val="0"/>
      <w:marTop w:val="0"/>
      <w:marBottom w:val="0"/>
      <w:divBdr>
        <w:top w:val="none" w:sz="0" w:space="0" w:color="auto"/>
        <w:left w:val="none" w:sz="0" w:space="0" w:color="auto"/>
        <w:bottom w:val="none" w:sz="0" w:space="0" w:color="auto"/>
        <w:right w:val="none" w:sz="0" w:space="0" w:color="auto"/>
      </w:divBdr>
    </w:div>
    <w:div w:id="421681623">
      <w:bodyDiv w:val="1"/>
      <w:marLeft w:val="0"/>
      <w:marRight w:val="0"/>
      <w:marTop w:val="0"/>
      <w:marBottom w:val="0"/>
      <w:divBdr>
        <w:top w:val="none" w:sz="0" w:space="0" w:color="auto"/>
        <w:left w:val="none" w:sz="0" w:space="0" w:color="auto"/>
        <w:bottom w:val="none" w:sz="0" w:space="0" w:color="auto"/>
        <w:right w:val="none" w:sz="0" w:space="0" w:color="auto"/>
      </w:divBdr>
    </w:div>
    <w:div w:id="424617327">
      <w:bodyDiv w:val="1"/>
      <w:marLeft w:val="0"/>
      <w:marRight w:val="0"/>
      <w:marTop w:val="0"/>
      <w:marBottom w:val="0"/>
      <w:divBdr>
        <w:top w:val="none" w:sz="0" w:space="0" w:color="auto"/>
        <w:left w:val="none" w:sz="0" w:space="0" w:color="auto"/>
        <w:bottom w:val="none" w:sz="0" w:space="0" w:color="auto"/>
        <w:right w:val="none" w:sz="0" w:space="0" w:color="auto"/>
      </w:divBdr>
      <w:divsChild>
        <w:div w:id="713045447">
          <w:marLeft w:val="547"/>
          <w:marRight w:val="0"/>
          <w:marTop w:val="240"/>
          <w:marBottom w:val="0"/>
          <w:divBdr>
            <w:top w:val="none" w:sz="0" w:space="0" w:color="auto"/>
            <w:left w:val="none" w:sz="0" w:space="0" w:color="auto"/>
            <w:bottom w:val="none" w:sz="0" w:space="0" w:color="auto"/>
            <w:right w:val="none" w:sz="0" w:space="0" w:color="auto"/>
          </w:divBdr>
        </w:div>
      </w:divsChild>
    </w:div>
    <w:div w:id="501551539">
      <w:marLeft w:val="0"/>
      <w:marRight w:val="0"/>
      <w:marTop w:val="0"/>
      <w:marBottom w:val="0"/>
      <w:divBdr>
        <w:top w:val="none" w:sz="0" w:space="0" w:color="auto"/>
        <w:left w:val="none" w:sz="0" w:space="0" w:color="auto"/>
        <w:bottom w:val="none" w:sz="0" w:space="0" w:color="auto"/>
        <w:right w:val="none" w:sz="0" w:space="0" w:color="auto"/>
      </w:divBdr>
      <w:divsChild>
        <w:div w:id="939681283">
          <w:marLeft w:val="0"/>
          <w:marRight w:val="0"/>
          <w:marTop w:val="0"/>
          <w:marBottom w:val="0"/>
          <w:divBdr>
            <w:top w:val="none" w:sz="0" w:space="0" w:color="auto"/>
            <w:left w:val="none" w:sz="0" w:space="0" w:color="auto"/>
            <w:bottom w:val="none" w:sz="0" w:space="0" w:color="auto"/>
            <w:right w:val="none" w:sz="0" w:space="0" w:color="auto"/>
          </w:divBdr>
          <w:divsChild>
            <w:div w:id="494343097">
              <w:marLeft w:val="0"/>
              <w:marRight w:val="0"/>
              <w:marTop w:val="0"/>
              <w:marBottom w:val="0"/>
              <w:divBdr>
                <w:top w:val="none" w:sz="0" w:space="0" w:color="auto"/>
                <w:left w:val="none" w:sz="0" w:space="0" w:color="auto"/>
                <w:bottom w:val="none" w:sz="0" w:space="0" w:color="auto"/>
                <w:right w:val="none" w:sz="0" w:space="0" w:color="auto"/>
              </w:divBdr>
              <w:divsChild>
                <w:div w:id="535851854">
                  <w:marLeft w:val="0"/>
                  <w:marRight w:val="0"/>
                  <w:marTop w:val="0"/>
                  <w:marBottom w:val="0"/>
                  <w:divBdr>
                    <w:top w:val="none" w:sz="0" w:space="0" w:color="auto"/>
                    <w:left w:val="none" w:sz="0" w:space="0" w:color="auto"/>
                    <w:bottom w:val="none" w:sz="0" w:space="0" w:color="auto"/>
                    <w:right w:val="none" w:sz="0" w:space="0" w:color="auto"/>
                  </w:divBdr>
                  <w:divsChild>
                    <w:div w:id="646595386">
                      <w:marLeft w:val="0"/>
                      <w:marRight w:val="0"/>
                      <w:marTop w:val="0"/>
                      <w:marBottom w:val="0"/>
                      <w:divBdr>
                        <w:top w:val="none" w:sz="0" w:space="0" w:color="auto"/>
                        <w:left w:val="none" w:sz="0" w:space="0" w:color="auto"/>
                        <w:bottom w:val="none" w:sz="0" w:space="0" w:color="auto"/>
                        <w:right w:val="none" w:sz="0" w:space="0" w:color="auto"/>
                      </w:divBdr>
                    </w:div>
                  </w:divsChild>
                </w:div>
                <w:div w:id="756558712">
                  <w:marLeft w:val="0"/>
                  <w:marRight w:val="0"/>
                  <w:marTop w:val="0"/>
                  <w:marBottom w:val="0"/>
                  <w:divBdr>
                    <w:top w:val="none" w:sz="0" w:space="0" w:color="auto"/>
                    <w:left w:val="none" w:sz="0" w:space="0" w:color="auto"/>
                    <w:bottom w:val="none" w:sz="0" w:space="0" w:color="auto"/>
                    <w:right w:val="none" w:sz="0" w:space="0" w:color="auto"/>
                  </w:divBdr>
                </w:div>
                <w:div w:id="965621721">
                  <w:marLeft w:val="0"/>
                  <w:marRight w:val="0"/>
                  <w:marTop w:val="0"/>
                  <w:marBottom w:val="0"/>
                  <w:divBdr>
                    <w:top w:val="none" w:sz="0" w:space="0" w:color="auto"/>
                    <w:left w:val="none" w:sz="0" w:space="0" w:color="auto"/>
                    <w:bottom w:val="none" w:sz="0" w:space="0" w:color="auto"/>
                    <w:right w:val="none" w:sz="0" w:space="0" w:color="auto"/>
                  </w:divBdr>
                </w:div>
              </w:divsChild>
            </w:div>
            <w:div w:id="1306279905">
              <w:marLeft w:val="0"/>
              <w:marRight w:val="0"/>
              <w:marTop w:val="0"/>
              <w:marBottom w:val="0"/>
              <w:divBdr>
                <w:top w:val="none" w:sz="0" w:space="0" w:color="auto"/>
                <w:left w:val="none" w:sz="0" w:space="0" w:color="auto"/>
                <w:bottom w:val="none" w:sz="0" w:space="0" w:color="auto"/>
                <w:right w:val="none" w:sz="0" w:space="0" w:color="auto"/>
              </w:divBdr>
              <w:divsChild>
                <w:div w:id="623388424">
                  <w:marLeft w:val="0"/>
                  <w:marRight w:val="0"/>
                  <w:marTop w:val="0"/>
                  <w:marBottom w:val="0"/>
                  <w:divBdr>
                    <w:top w:val="none" w:sz="0" w:space="0" w:color="auto"/>
                    <w:left w:val="none" w:sz="0" w:space="0" w:color="auto"/>
                    <w:bottom w:val="none" w:sz="0" w:space="0" w:color="auto"/>
                    <w:right w:val="none" w:sz="0" w:space="0" w:color="auto"/>
                  </w:divBdr>
                </w:div>
                <w:div w:id="1462386893">
                  <w:marLeft w:val="0"/>
                  <w:marRight w:val="0"/>
                  <w:marTop w:val="0"/>
                  <w:marBottom w:val="0"/>
                  <w:divBdr>
                    <w:top w:val="none" w:sz="0" w:space="0" w:color="auto"/>
                    <w:left w:val="none" w:sz="0" w:space="0" w:color="auto"/>
                    <w:bottom w:val="none" w:sz="0" w:space="0" w:color="auto"/>
                    <w:right w:val="none" w:sz="0" w:space="0" w:color="auto"/>
                  </w:divBdr>
                </w:div>
                <w:div w:id="2071146274">
                  <w:marLeft w:val="0"/>
                  <w:marRight w:val="0"/>
                  <w:marTop w:val="0"/>
                  <w:marBottom w:val="0"/>
                  <w:divBdr>
                    <w:top w:val="none" w:sz="0" w:space="0" w:color="auto"/>
                    <w:left w:val="none" w:sz="0" w:space="0" w:color="auto"/>
                    <w:bottom w:val="none" w:sz="0" w:space="0" w:color="auto"/>
                    <w:right w:val="none" w:sz="0" w:space="0" w:color="auto"/>
                  </w:divBdr>
                </w:div>
              </w:divsChild>
            </w:div>
            <w:div w:id="1549797279">
              <w:marLeft w:val="0"/>
              <w:marRight w:val="0"/>
              <w:marTop w:val="0"/>
              <w:marBottom w:val="0"/>
              <w:divBdr>
                <w:top w:val="none" w:sz="0" w:space="0" w:color="auto"/>
                <w:left w:val="none" w:sz="0" w:space="0" w:color="auto"/>
                <w:bottom w:val="none" w:sz="0" w:space="0" w:color="auto"/>
                <w:right w:val="none" w:sz="0" w:space="0" w:color="auto"/>
              </w:divBdr>
            </w:div>
          </w:divsChild>
        </w:div>
        <w:div w:id="1174882288">
          <w:marLeft w:val="0"/>
          <w:marRight w:val="0"/>
          <w:marTop w:val="0"/>
          <w:marBottom w:val="0"/>
          <w:divBdr>
            <w:top w:val="none" w:sz="0" w:space="0" w:color="auto"/>
            <w:left w:val="none" w:sz="0" w:space="0" w:color="auto"/>
            <w:bottom w:val="none" w:sz="0" w:space="0" w:color="auto"/>
            <w:right w:val="none" w:sz="0" w:space="0" w:color="auto"/>
          </w:divBdr>
          <w:divsChild>
            <w:div w:id="433477623">
              <w:marLeft w:val="0"/>
              <w:marRight w:val="0"/>
              <w:marTop w:val="0"/>
              <w:marBottom w:val="0"/>
              <w:divBdr>
                <w:top w:val="none" w:sz="0" w:space="0" w:color="auto"/>
                <w:left w:val="none" w:sz="0" w:space="0" w:color="auto"/>
                <w:bottom w:val="none" w:sz="0" w:space="0" w:color="auto"/>
                <w:right w:val="none" w:sz="0" w:space="0" w:color="auto"/>
              </w:divBdr>
              <w:divsChild>
                <w:div w:id="629938318">
                  <w:marLeft w:val="0"/>
                  <w:marRight w:val="0"/>
                  <w:marTop w:val="0"/>
                  <w:marBottom w:val="0"/>
                  <w:divBdr>
                    <w:top w:val="none" w:sz="0" w:space="0" w:color="auto"/>
                    <w:left w:val="none" w:sz="0" w:space="0" w:color="auto"/>
                    <w:bottom w:val="none" w:sz="0" w:space="0" w:color="auto"/>
                    <w:right w:val="none" w:sz="0" w:space="0" w:color="auto"/>
                  </w:divBdr>
                  <w:divsChild>
                    <w:div w:id="249315447">
                      <w:marLeft w:val="0"/>
                      <w:marRight w:val="0"/>
                      <w:marTop w:val="0"/>
                      <w:marBottom w:val="0"/>
                      <w:divBdr>
                        <w:top w:val="none" w:sz="0" w:space="0" w:color="auto"/>
                        <w:left w:val="none" w:sz="0" w:space="0" w:color="auto"/>
                        <w:bottom w:val="none" w:sz="0" w:space="0" w:color="auto"/>
                        <w:right w:val="none" w:sz="0" w:space="0" w:color="auto"/>
                      </w:divBdr>
                    </w:div>
                  </w:divsChild>
                </w:div>
                <w:div w:id="9582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108895">
      <w:bodyDiv w:val="1"/>
      <w:marLeft w:val="0"/>
      <w:marRight w:val="0"/>
      <w:marTop w:val="0"/>
      <w:marBottom w:val="0"/>
      <w:divBdr>
        <w:top w:val="none" w:sz="0" w:space="0" w:color="auto"/>
        <w:left w:val="none" w:sz="0" w:space="0" w:color="auto"/>
        <w:bottom w:val="none" w:sz="0" w:space="0" w:color="auto"/>
        <w:right w:val="none" w:sz="0" w:space="0" w:color="auto"/>
      </w:divBdr>
    </w:div>
    <w:div w:id="514344492">
      <w:bodyDiv w:val="1"/>
      <w:marLeft w:val="0"/>
      <w:marRight w:val="0"/>
      <w:marTop w:val="0"/>
      <w:marBottom w:val="0"/>
      <w:divBdr>
        <w:top w:val="none" w:sz="0" w:space="0" w:color="auto"/>
        <w:left w:val="none" w:sz="0" w:space="0" w:color="auto"/>
        <w:bottom w:val="none" w:sz="0" w:space="0" w:color="auto"/>
        <w:right w:val="none" w:sz="0" w:space="0" w:color="auto"/>
      </w:divBdr>
    </w:div>
    <w:div w:id="516967329">
      <w:bodyDiv w:val="1"/>
      <w:marLeft w:val="0"/>
      <w:marRight w:val="0"/>
      <w:marTop w:val="0"/>
      <w:marBottom w:val="0"/>
      <w:divBdr>
        <w:top w:val="none" w:sz="0" w:space="0" w:color="auto"/>
        <w:left w:val="none" w:sz="0" w:space="0" w:color="auto"/>
        <w:bottom w:val="none" w:sz="0" w:space="0" w:color="auto"/>
        <w:right w:val="none" w:sz="0" w:space="0" w:color="auto"/>
      </w:divBdr>
    </w:div>
    <w:div w:id="524053977">
      <w:bodyDiv w:val="1"/>
      <w:marLeft w:val="0"/>
      <w:marRight w:val="0"/>
      <w:marTop w:val="0"/>
      <w:marBottom w:val="0"/>
      <w:divBdr>
        <w:top w:val="none" w:sz="0" w:space="0" w:color="auto"/>
        <w:left w:val="none" w:sz="0" w:space="0" w:color="auto"/>
        <w:bottom w:val="none" w:sz="0" w:space="0" w:color="auto"/>
        <w:right w:val="none" w:sz="0" w:space="0" w:color="auto"/>
      </w:divBdr>
    </w:div>
    <w:div w:id="543564287">
      <w:bodyDiv w:val="1"/>
      <w:marLeft w:val="0"/>
      <w:marRight w:val="0"/>
      <w:marTop w:val="0"/>
      <w:marBottom w:val="0"/>
      <w:divBdr>
        <w:top w:val="none" w:sz="0" w:space="0" w:color="auto"/>
        <w:left w:val="none" w:sz="0" w:space="0" w:color="auto"/>
        <w:bottom w:val="none" w:sz="0" w:space="0" w:color="auto"/>
        <w:right w:val="none" w:sz="0" w:space="0" w:color="auto"/>
      </w:divBdr>
    </w:div>
    <w:div w:id="551188538">
      <w:bodyDiv w:val="1"/>
      <w:marLeft w:val="0"/>
      <w:marRight w:val="0"/>
      <w:marTop w:val="0"/>
      <w:marBottom w:val="0"/>
      <w:divBdr>
        <w:top w:val="none" w:sz="0" w:space="0" w:color="auto"/>
        <w:left w:val="none" w:sz="0" w:space="0" w:color="auto"/>
        <w:bottom w:val="none" w:sz="0" w:space="0" w:color="auto"/>
        <w:right w:val="none" w:sz="0" w:space="0" w:color="auto"/>
      </w:divBdr>
    </w:div>
    <w:div w:id="556357140">
      <w:bodyDiv w:val="1"/>
      <w:marLeft w:val="0"/>
      <w:marRight w:val="0"/>
      <w:marTop w:val="0"/>
      <w:marBottom w:val="0"/>
      <w:divBdr>
        <w:top w:val="none" w:sz="0" w:space="0" w:color="auto"/>
        <w:left w:val="none" w:sz="0" w:space="0" w:color="auto"/>
        <w:bottom w:val="none" w:sz="0" w:space="0" w:color="auto"/>
        <w:right w:val="none" w:sz="0" w:space="0" w:color="auto"/>
      </w:divBdr>
    </w:div>
    <w:div w:id="567884084">
      <w:bodyDiv w:val="1"/>
      <w:marLeft w:val="0"/>
      <w:marRight w:val="0"/>
      <w:marTop w:val="0"/>
      <w:marBottom w:val="0"/>
      <w:divBdr>
        <w:top w:val="none" w:sz="0" w:space="0" w:color="auto"/>
        <w:left w:val="none" w:sz="0" w:space="0" w:color="auto"/>
        <w:bottom w:val="none" w:sz="0" w:space="0" w:color="auto"/>
        <w:right w:val="none" w:sz="0" w:space="0" w:color="auto"/>
      </w:divBdr>
    </w:div>
    <w:div w:id="588739021">
      <w:bodyDiv w:val="1"/>
      <w:marLeft w:val="0"/>
      <w:marRight w:val="0"/>
      <w:marTop w:val="0"/>
      <w:marBottom w:val="0"/>
      <w:divBdr>
        <w:top w:val="none" w:sz="0" w:space="0" w:color="auto"/>
        <w:left w:val="none" w:sz="0" w:space="0" w:color="auto"/>
        <w:bottom w:val="none" w:sz="0" w:space="0" w:color="auto"/>
        <w:right w:val="none" w:sz="0" w:space="0" w:color="auto"/>
      </w:divBdr>
    </w:div>
    <w:div w:id="630408081">
      <w:bodyDiv w:val="1"/>
      <w:marLeft w:val="0"/>
      <w:marRight w:val="0"/>
      <w:marTop w:val="0"/>
      <w:marBottom w:val="0"/>
      <w:divBdr>
        <w:top w:val="none" w:sz="0" w:space="0" w:color="auto"/>
        <w:left w:val="none" w:sz="0" w:space="0" w:color="auto"/>
        <w:bottom w:val="none" w:sz="0" w:space="0" w:color="auto"/>
        <w:right w:val="none" w:sz="0" w:space="0" w:color="auto"/>
      </w:divBdr>
      <w:divsChild>
        <w:div w:id="43414458">
          <w:marLeft w:val="1800"/>
          <w:marRight w:val="0"/>
          <w:marTop w:val="0"/>
          <w:marBottom w:val="0"/>
          <w:divBdr>
            <w:top w:val="none" w:sz="0" w:space="0" w:color="auto"/>
            <w:left w:val="none" w:sz="0" w:space="0" w:color="auto"/>
            <w:bottom w:val="none" w:sz="0" w:space="0" w:color="auto"/>
            <w:right w:val="none" w:sz="0" w:space="0" w:color="auto"/>
          </w:divBdr>
        </w:div>
        <w:div w:id="310214434">
          <w:marLeft w:val="1800"/>
          <w:marRight w:val="0"/>
          <w:marTop w:val="0"/>
          <w:marBottom w:val="0"/>
          <w:divBdr>
            <w:top w:val="none" w:sz="0" w:space="0" w:color="auto"/>
            <w:left w:val="none" w:sz="0" w:space="0" w:color="auto"/>
            <w:bottom w:val="none" w:sz="0" w:space="0" w:color="auto"/>
            <w:right w:val="none" w:sz="0" w:space="0" w:color="auto"/>
          </w:divBdr>
        </w:div>
        <w:div w:id="457648307">
          <w:marLeft w:val="1800"/>
          <w:marRight w:val="0"/>
          <w:marTop w:val="0"/>
          <w:marBottom w:val="0"/>
          <w:divBdr>
            <w:top w:val="none" w:sz="0" w:space="0" w:color="auto"/>
            <w:left w:val="none" w:sz="0" w:space="0" w:color="auto"/>
            <w:bottom w:val="none" w:sz="0" w:space="0" w:color="auto"/>
            <w:right w:val="none" w:sz="0" w:space="0" w:color="auto"/>
          </w:divBdr>
        </w:div>
        <w:div w:id="660541685">
          <w:marLeft w:val="1166"/>
          <w:marRight w:val="0"/>
          <w:marTop w:val="0"/>
          <w:marBottom w:val="0"/>
          <w:divBdr>
            <w:top w:val="none" w:sz="0" w:space="0" w:color="auto"/>
            <w:left w:val="none" w:sz="0" w:space="0" w:color="auto"/>
            <w:bottom w:val="none" w:sz="0" w:space="0" w:color="auto"/>
            <w:right w:val="none" w:sz="0" w:space="0" w:color="auto"/>
          </w:divBdr>
        </w:div>
        <w:div w:id="713188988">
          <w:marLeft w:val="2520"/>
          <w:marRight w:val="0"/>
          <w:marTop w:val="0"/>
          <w:marBottom w:val="0"/>
          <w:divBdr>
            <w:top w:val="none" w:sz="0" w:space="0" w:color="auto"/>
            <w:left w:val="none" w:sz="0" w:space="0" w:color="auto"/>
            <w:bottom w:val="none" w:sz="0" w:space="0" w:color="auto"/>
            <w:right w:val="none" w:sz="0" w:space="0" w:color="auto"/>
          </w:divBdr>
        </w:div>
        <w:div w:id="725909437">
          <w:marLeft w:val="1800"/>
          <w:marRight w:val="0"/>
          <w:marTop w:val="0"/>
          <w:marBottom w:val="0"/>
          <w:divBdr>
            <w:top w:val="none" w:sz="0" w:space="0" w:color="auto"/>
            <w:left w:val="none" w:sz="0" w:space="0" w:color="auto"/>
            <w:bottom w:val="none" w:sz="0" w:space="0" w:color="auto"/>
            <w:right w:val="none" w:sz="0" w:space="0" w:color="auto"/>
          </w:divBdr>
        </w:div>
        <w:div w:id="1180510485">
          <w:marLeft w:val="2520"/>
          <w:marRight w:val="0"/>
          <w:marTop w:val="0"/>
          <w:marBottom w:val="0"/>
          <w:divBdr>
            <w:top w:val="none" w:sz="0" w:space="0" w:color="auto"/>
            <w:left w:val="none" w:sz="0" w:space="0" w:color="auto"/>
            <w:bottom w:val="none" w:sz="0" w:space="0" w:color="auto"/>
            <w:right w:val="none" w:sz="0" w:space="0" w:color="auto"/>
          </w:divBdr>
        </w:div>
        <w:div w:id="1306007329">
          <w:marLeft w:val="2520"/>
          <w:marRight w:val="0"/>
          <w:marTop w:val="0"/>
          <w:marBottom w:val="0"/>
          <w:divBdr>
            <w:top w:val="none" w:sz="0" w:space="0" w:color="auto"/>
            <w:left w:val="none" w:sz="0" w:space="0" w:color="auto"/>
            <w:bottom w:val="none" w:sz="0" w:space="0" w:color="auto"/>
            <w:right w:val="none" w:sz="0" w:space="0" w:color="auto"/>
          </w:divBdr>
        </w:div>
        <w:div w:id="1429035541">
          <w:marLeft w:val="2520"/>
          <w:marRight w:val="0"/>
          <w:marTop w:val="0"/>
          <w:marBottom w:val="0"/>
          <w:divBdr>
            <w:top w:val="none" w:sz="0" w:space="0" w:color="auto"/>
            <w:left w:val="none" w:sz="0" w:space="0" w:color="auto"/>
            <w:bottom w:val="none" w:sz="0" w:space="0" w:color="auto"/>
            <w:right w:val="none" w:sz="0" w:space="0" w:color="auto"/>
          </w:divBdr>
        </w:div>
        <w:div w:id="1461846052">
          <w:marLeft w:val="2520"/>
          <w:marRight w:val="0"/>
          <w:marTop w:val="0"/>
          <w:marBottom w:val="0"/>
          <w:divBdr>
            <w:top w:val="none" w:sz="0" w:space="0" w:color="auto"/>
            <w:left w:val="none" w:sz="0" w:space="0" w:color="auto"/>
            <w:bottom w:val="none" w:sz="0" w:space="0" w:color="auto"/>
            <w:right w:val="none" w:sz="0" w:space="0" w:color="auto"/>
          </w:divBdr>
        </w:div>
        <w:div w:id="1537503192">
          <w:marLeft w:val="1800"/>
          <w:marRight w:val="0"/>
          <w:marTop w:val="0"/>
          <w:marBottom w:val="0"/>
          <w:divBdr>
            <w:top w:val="none" w:sz="0" w:space="0" w:color="auto"/>
            <w:left w:val="none" w:sz="0" w:space="0" w:color="auto"/>
            <w:bottom w:val="none" w:sz="0" w:space="0" w:color="auto"/>
            <w:right w:val="none" w:sz="0" w:space="0" w:color="auto"/>
          </w:divBdr>
        </w:div>
        <w:div w:id="1682244552">
          <w:marLeft w:val="547"/>
          <w:marRight w:val="0"/>
          <w:marTop w:val="240"/>
          <w:marBottom w:val="0"/>
          <w:divBdr>
            <w:top w:val="none" w:sz="0" w:space="0" w:color="auto"/>
            <w:left w:val="none" w:sz="0" w:space="0" w:color="auto"/>
            <w:bottom w:val="none" w:sz="0" w:space="0" w:color="auto"/>
            <w:right w:val="none" w:sz="0" w:space="0" w:color="auto"/>
          </w:divBdr>
        </w:div>
        <w:div w:id="1732338969">
          <w:marLeft w:val="1800"/>
          <w:marRight w:val="0"/>
          <w:marTop w:val="0"/>
          <w:marBottom w:val="0"/>
          <w:divBdr>
            <w:top w:val="none" w:sz="0" w:space="0" w:color="auto"/>
            <w:left w:val="none" w:sz="0" w:space="0" w:color="auto"/>
            <w:bottom w:val="none" w:sz="0" w:space="0" w:color="auto"/>
            <w:right w:val="none" w:sz="0" w:space="0" w:color="auto"/>
          </w:divBdr>
        </w:div>
        <w:div w:id="2018388804">
          <w:marLeft w:val="1166"/>
          <w:marRight w:val="0"/>
          <w:marTop w:val="0"/>
          <w:marBottom w:val="0"/>
          <w:divBdr>
            <w:top w:val="none" w:sz="0" w:space="0" w:color="auto"/>
            <w:left w:val="none" w:sz="0" w:space="0" w:color="auto"/>
            <w:bottom w:val="none" w:sz="0" w:space="0" w:color="auto"/>
            <w:right w:val="none" w:sz="0" w:space="0" w:color="auto"/>
          </w:divBdr>
        </w:div>
        <w:div w:id="2089301575">
          <w:marLeft w:val="1800"/>
          <w:marRight w:val="0"/>
          <w:marTop w:val="0"/>
          <w:marBottom w:val="0"/>
          <w:divBdr>
            <w:top w:val="none" w:sz="0" w:space="0" w:color="auto"/>
            <w:left w:val="none" w:sz="0" w:space="0" w:color="auto"/>
            <w:bottom w:val="none" w:sz="0" w:space="0" w:color="auto"/>
            <w:right w:val="none" w:sz="0" w:space="0" w:color="auto"/>
          </w:divBdr>
        </w:div>
      </w:divsChild>
    </w:div>
    <w:div w:id="646325274">
      <w:bodyDiv w:val="1"/>
      <w:marLeft w:val="0"/>
      <w:marRight w:val="0"/>
      <w:marTop w:val="0"/>
      <w:marBottom w:val="0"/>
      <w:divBdr>
        <w:top w:val="none" w:sz="0" w:space="0" w:color="auto"/>
        <w:left w:val="none" w:sz="0" w:space="0" w:color="auto"/>
        <w:bottom w:val="none" w:sz="0" w:space="0" w:color="auto"/>
        <w:right w:val="none" w:sz="0" w:space="0" w:color="auto"/>
      </w:divBdr>
      <w:divsChild>
        <w:div w:id="306593083">
          <w:marLeft w:val="0"/>
          <w:marRight w:val="0"/>
          <w:marTop w:val="0"/>
          <w:marBottom w:val="0"/>
          <w:divBdr>
            <w:top w:val="none" w:sz="0" w:space="0" w:color="auto"/>
            <w:left w:val="none" w:sz="0" w:space="0" w:color="auto"/>
            <w:bottom w:val="none" w:sz="0" w:space="0" w:color="auto"/>
            <w:right w:val="none" w:sz="0" w:space="0" w:color="auto"/>
          </w:divBdr>
        </w:div>
      </w:divsChild>
    </w:div>
    <w:div w:id="651257586">
      <w:bodyDiv w:val="1"/>
      <w:marLeft w:val="0"/>
      <w:marRight w:val="0"/>
      <w:marTop w:val="0"/>
      <w:marBottom w:val="0"/>
      <w:divBdr>
        <w:top w:val="none" w:sz="0" w:space="0" w:color="auto"/>
        <w:left w:val="none" w:sz="0" w:space="0" w:color="auto"/>
        <w:bottom w:val="none" w:sz="0" w:space="0" w:color="auto"/>
        <w:right w:val="none" w:sz="0" w:space="0" w:color="auto"/>
      </w:divBdr>
    </w:div>
    <w:div w:id="676158831">
      <w:marLeft w:val="0"/>
      <w:marRight w:val="0"/>
      <w:marTop w:val="0"/>
      <w:marBottom w:val="0"/>
      <w:divBdr>
        <w:top w:val="none" w:sz="0" w:space="0" w:color="auto"/>
        <w:left w:val="none" w:sz="0" w:space="0" w:color="auto"/>
        <w:bottom w:val="none" w:sz="0" w:space="0" w:color="auto"/>
        <w:right w:val="none" w:sz="0" w:space="0" w:color="auto"/>
      </w:divBdr>
      <w:divsChild>
        <w:div w:id="99185883">
          <w:marLeft w:val="0"/>
          <w:marRight w:val="0"/>
          <w:marTop w:val="0"/>
          <w:marBottom w:val="0"/>
          <w:divBdr>
            <w:top w:val="none" w:sz="0" w:space="0" w:color="auto"/>
            <w:left w:val="none" w:sz="0" w:space="0" w:color="auto"/>
            <w:bottom w:val="none" w:sz="0" w:space="0" w:color="auto"/>
            <w:right w:val="none" w:sz="0" w:space="0" w:color="auto"/>
          </w:divBdr>
          <w:divsChild>
            <w:div w:id="1009525649">
              <w:marLeft w:val="0"/>
              <w:marRight w:val="0"/>
              <w:marTop w:val="0"/>
              <w:marBottom w:val="0"/>
              <w:divBdr>
                <w:top w:val="none" w:sz="0" w:space="0" w:color="auto"/>
                <w:left w:val="none" w:sz="0" w:space="0" w:color="auto"/>
                <w:bottom w:val="none" w:sz="0" w:space="0" w:color="auto"/>
                <w:right w:val="none" w:sz="0" w:space="0" w:color="auto"/>
              </w:divBdr>
              <w:divsChild>
                <w:div w:id="909655716">
                  <w:marLeft w:val="0"/>
                  <w:marRight w:val="0"/>
                  <w:marTop w:val="0"/>
                  <w:marBottom w:val="0"/>
                  <w:divBdr>
                    <w:top w:val="none" w:sz="0" w:space="0" w:color="auto"/>
                    <w:left w:val="none" w:sz="0" w:space="0" w:color="auto"/>
                    <w:bottom w:val="none" w:sz="0" w:space="0" w:color="auto"/>
                    <w:right w:val="none" w:sz="0" w:space="0" w:color="auto"/>
                  </w:divBdr>
                </w:div>
              </w:divsChild>
            </w:div>
            <w:div w:id="185279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8009">
      <w:bodyDiv w:val="1"/>
      <w:marLeft w:val="0"/>
      <w:marRight w:val="0"/>
      <w:marTop w:val="0"/>
      <w:marBottom w:val="0"/>
      <w:divBdr>
        <w:top w:val="none" w:sz="0" w:space="0" w:color="auto"/>
        <w:left w:val="none" w:sz="0" w:space="0" w:color="auto"/>
        <w:bottom w:val="none" w:sz="0" w:space="0" w:color="auto"/>
        <w:right w:val="none" w:sz="0" w:space="0" w:color="auto"/>
      </w:divBdr>
    </w:div>
    <w:div w:id="733502906">
      <w:bodyDiv w:val="1"/>
      <w:marLeft w:val="0"/>
      <w:marRight w:val="0"/>
      <w:marTop w:val="0"/>
      <w:marBottom w:val="0"/>
      <w:divBdr>
        <w:top w:val="none" w:sz="0" w:space="0" w:color="auto"/>
        <w:left w:val="none" w:sz="0" w:space="0" w:color="auto"/>
        <w:bottom w:val="none" w:sz="0" w:space="0" w:color="auto"/>
        <w:right w:val="none" w:sz="0" w:space="0" w:color="auto"/>
      </w:divBdr>
    </w:div>
    <w:div w:id="771435156">
      <w:bodyDiv w:val="1"/>
      <w:marLeft w:val="0"/>
      <w:marRight w:val="0"/>
      <w:marTop w:val="0"/>
      <w:marBottom w:val="0"/>
      <w:divBdr>
        <w:top w:val="none" w:sz="0" w:space="0" w:color="auto"/>
        <w:left w:val="none" w:sz="0" w:space="0" w:color="auto"/>
        <w:bottom w:val="none" w:sz="0" w:space="0" w:color="auto"/>
        <w:right w:val="none" w:sz="0" w:space="0" w:color="auto"/>
      </w:divBdr>
      <w:divsChild>
        <w:div w:id="238828353">
          <w:marLeft w:val="1166"/>
          <w:marRight w:val="0"/>
          <w:marTop w:val="0"/>
          <w:marBottom w:val="0"/>
          <w:divBdr>
            <w:top w:val="none" w:sz="0" w:space="0" w:color="auto"/>
            <w:left w:val="none" w:sz="0" w:space="0" w:color="auto"/>
            <w:bottom w:val="none" w:sz="0" w:space="0" w:color="auto"/>
            <w:right w:val="none" w:sz="0" w:space="0" w:color="auto"/>
          </w:divBdr>
        </w:div>
        <w:div w:id="376704823">
          <w:marLeft w:val="547"/>
          <w:marRight w:val="0"/>
          <w:marTop w:val="240"/>
          <w:marBottom w:val="0"/>
          <w:divBdr>
            <w:top w:val="none" w:sz="0" w:space="0" w:color="auto"/>
            <w:left w:val="none" w:sz="0" w:space="0" w:color="auto"/>
            <w:bottom w:val="none" w:sz="0" w:space="0" w:color="auto"/>
            <w:right w:val="none" w:sz="0" w:space="0" w:color="auto"/>
          </w:divBdr>
        </w:div>
        <w:div w:id="1060978276">
          <w:marLeft w:val="1166"/>
          <w:marRight w:val="0"/>
          <w:marTop w:val="0"/>
          <w:marBottom w:val="0"/>
          <w:divBdr>
            <w:top w:val="none" w:sz="0" w:space="0" w:color="auto"/>
            <w:left w:val="none" w:sz="0" w:space="0" w:color="auto"/>
            <w:bottom w:val="none" w:sz="0" w:space="0" w:color="auto"/>
            <w:right w:val="none" w:sz="0" w:space="0" w:color="auto"/>
          </w:divBdr>
        </w:div>
        <w:div w:id="1705204465">
          <w:marLeft w:val="1166"/>
          <w:marRight w:val="0"/>
          <w:marTop w:val="0"/>
          <w:marBottom w:val="0"/>
          <w:divBdr>
            <w:top w:val="none" w:sz="0" w:space="0" w:color="auto"/>
            <w:left w:val="none" w:sz="0" w:space="0" w:color="auto"/>
            <w:bottom w:val="none" w:sz="0" w:space="0" w:color="auto"/>
            <w:right w:val="none" w:sz="0" w:space="0" w:color="auto"/>
          </w:divBdr>
        </w:div>
      </w:divsChild>
    </w:div>
    <w:div w:id="805509130">
      <w:bodyDiv w:val="1"/>
      <w:marLeft w:val="0"/>
      <w:marRight w:val="0"/>
      <w:marTop w:val="0"/>
      <w:marBottom w:val="0"/>
      <w:divBdr>
        <w:top w:val="none" w:sz="0" w:space="0" w:color="auto"/>
        <w:left w:val="none" w:sz="0" w:space="0" w:color="auto"/>
        <w:bottom w:val="none" w:sz="0" w:space="0" w:color="auto"/>
        <w:right w:val="none" w:sz="0" w:space="0" w:color="auto"/>
      </w:divBdr>
    </w:div>
    <w:div w:id="833304356">
      <w:bodyDiv w:val="1"/>
      <w:marLeft w:val="0"/>
      <w:marRight w:val="0"/>
      <w:marTop w:val="0"/>
      <w:marBottom w:val="0"/>
      <w:divBdr>
        <w:top w:val="none" w:sz="0" w:space="0" w:color="auto"/>
        <w:left w:val="none" w:sz="0" w:space="0" w:color="auto"/>
        <w:bottom w:val="none" w:sz="0" w:space="0" w:color="auto"/>
        <w:right w:val="none" w:sz="0" w:space="0" w:color="auto"/>
      </w:divBdr>
    </w:div>
    <w:div w:id="863789516">
      <w:bodyDiv w:val="1"/>
      <w:marLeft w:val="0"/>
      <w:marRight w:val="0"/>
      <w:marTop w:val="0"/>
      <w:marBottom w:val="0"/>
      <w:divBdr>
        <w:top w:val="none" w:sz="0" w:space="0" w:color="auto"/>
        <w:left w:val="none" w:sz="0" w:space="0" w:color="auto"/>
        <w:bottom w:val="none" w:sz="0" w:space="0" w:color="auto"/>
        <w:right w:val="none" w:sz="0" w:space="0" w:color="auto"/>
      </w:divBdr>
    </w:div>
    <w:div w:id="884293645">
      <w:bodyDiv w:val="1"/>
      <w:marLeft w:val="0"/>
      <w:marRight w:val="0"/>
      <w:marTop w:val="0"/>
      <w:marBottom w:val="0"/>
      <w:divBdr>
        <w:top w:val="none" w:sz="0" w:space="0" w:color="auto"/>
        <w:left w:val="none" w:sz="0" w:space="0" w:color="auto"/>
        <w:bottom w:val="none" w:sz="0" w:space="0" w:color="auto"/>
        <w:right w:val="none" w:sz="0" w:space="0" w:color="auto"/>
      </w:divBdr>
    </w:div>
    <w:div w:id="891305995">
      <w:marLeft w:val="0"/>
      <w:marRight w:val="0"/>
      <w:marTop w:val="0"/>
      <w:marBottom w:val="0"/>
      <w:divBdr>
        <w:top w:val="none" w:sz="0" w:space="0" w:color="auto"/>
        <w:left w:val="none" w:sz="0" w:space="0" w:color="auto"/>
        <w:bottom w:val="none" w:sz="0" w:space="0" w:color="auto"/>
        <w:right w:val="none" w:sz="0" w:space="0" w:color="auto"/>
      </w:divBdr>
      <w:divsChild>
        <w:div w:id="143014620">
          <w:marLeft w:val="0"/>
          <w:marRight w:val="0"/>
          <w:marTop w:val="0"/>
          <w:marBottom w:val="0"/>
          <w:divBdr>
            <w:top w:val="none" w:sz="0" w:space="0" w:color="auto"/>
            <w:left w:val="none" w:sz="0" w:space="0" w:color="auto"/>
            <w:bottom w:val="none" w:sz="0" w:space="0" w:color="auto"/>
            <w:right w:val="none" w:sz="0" w:space="0" w:color="auto"/>
          </w:divBdr>
          <w:divsChild>
            <w:div w:id="1054155254">
              <w:marLeft w:val="0"/>
              <w:marRight w:val="0"/>
              <w:marTop w:val="0"/>
              <w:marBottom w:val="0"/>
              <w:divBdr>
                <w:top w:val="none" w:sz="0" w:space="0" w:color="auto"/>
                <w:left w:val="none" w:sz="0" w:space="0" w:color="auto"/>
                <w:bottom w:val="none" w:sz="0" w:space="0" w:color="auto"/>
                <w:right w:val="none" w:sz="0" w:space="0" w:color="auto"/>
              </w:divBdr>
              <w:divsChild>
                <w:div w:id="1938711550">
                  <w:marLeft w:val="0"/>
                  <w:marRight w:val="0"/>
                  <w:marTop w:val="0"/>
                  <w:marBottom w:val="0"/>
                  <w:divBdr>
                    <w:top w:val="none" w:sz="0" w:space="0" w:color="auto"/>
                    <w:left w:val="none" w:sz="0" w:space="0" w:color="auto"/>
                    <w:bottom w:val="none" w:sz="0" w:space="0" w:color="auto"/>
                    <w:right w:val="none" w:sz="0" w:space="0" w:color="auto"/>
                  </w:divBdr>
                </w:div>
              </w:divsChild>
            </w:div>
            <w:div w:id="1538935582">
              <w:marLeft w:val="0"/>
              <w:marRight w:val="0"/>
              <w:marTop w:val="0"/>
              <w:marBottom w:val="0"/>
              <w:divBdr>
                <w:top w:val="none" w:sz="0" w:space="0" w:color="auto"/>
                <w:left w:val="none" w:sz="0" w:space="0" w:color="auto"/>
                <w:bottom w:val="none" w:sz="0" w:space="0" w:color="auto"/>
                <w:right w:val="none" w:sz="0" w:space="0" w:color="auto"/>
              </w:divBdr>
            </w:div>
            <w:div w:id="2064864629">
              <w:marLeft w:val="0"/>
              <w:marRight w:val="0"/>
              <w:marTop w:val="0"/>
              <w:marBottom w:val="0"/>
              <w:divBdr>
                <w:top w:val="none" w:sz="0" w:space="0" w:color="auto"/>
                <w:left w:val="none" w:sz="0" w:space="0" w:color="auto"/>
                <w:bottom w:val="none" w:sz="0" w:space="0" w:color="auto"/>
                <w:right w:val="none" w:sz="0" w:space="0" w:color="auto"/>
              </w:divBdr>
              <w:divsChild>
                <w:div w:id="369844667">
                  <w:marLeft w:val="0"/>
                  <w:marRight w:val="0"/>
                  <w:marTop w:val="0"/>
                  <w:marBottom w:val="0"/>
                  <w:divBdr>
                    <w:top w:val="none" w:sz="0" w:space="0" w:color="auto"/>
                    <w:left w:val="none" w:sz="0" w:space="0" w:color="auto"/>
                    <w:bottom w:val="none" w:sz="0" w:space="0" w:color="auto"/>
                    <w:right w:val="none" w:sz="0" w:space="0" w:color="auto"/>
                  </w:divBdr>
                  <w:divsChild>
                    <w:div w:id="1812018173">
                      <w:marLeft w:val="0"/>
                      <w:marRight w:val="0"/>
                      <w:marTop w:val="0"/>
                      <w:marBottom w:val="0"/>
                      <w:divBdr>
                        <w:top w:val="none" w:sz="0" w:space="0" w:color="auto"/>
                        <w:left w:val="none" w:sz="0" w:space="0" w:color="auto"/>
                        <w:bottom w:val="none" w:sz="0" w:space="0" w:color="auto"/>
                        <w:right w:val="none" w:sz="0" w:space="0" w:color="auto"/>
                      </w:divBdr>
                      <w:divsChild>
                        <w:div w:id="254167075">
                          <w:marLeft w:val="0"/>
                          <w:marRight w:val="0"/>
                          <w:marTop w:val="0"/>
                          <w:marBottom w:val="0"/>
                          <w:divBdr>
                            <w:top w:val="none" w:sz="0" w:space="0" w:color="auto"/>
                            <w:left w:val="none" w:sz="0" w:space="0" w:color="auto"/>
                            <w:bottom w:val="none" w:sz="0" w:space="0" w:color="auto"/>
                            <w:right w:val="none" w:sz="0" w:space="0" w:color="auto"/>
                          </w:divBdr>
                        </w:div>
                        <w:div w:id="1532307138">
                          <w:marLeft w:val="0"/>
                          <w:marRight w:val="0"/>
                          <w:marTop w:val="0"/>
                          <w:marBottom w:val="0"/>
                          <w:divBdr>
                            <w:top w:val="none" w:sz="0" w:space="0" w:color="auto"/>
                            <w:left w:val="none" w:sz="0" w:space="0" w:color="auto"/>
                            <w:bottom w:val="none" w:sz="0" w:space="0" w:color="auto"/>
                            <w:right w:val="none" w:sz="0" w:space="0" w:color="auto"/>
                          </w:divBdr>
                        </w:div>
                        <w:div w:id="1533107092">
                          <w:marLeft w:val="0"/>
                          <w:marRight w:val="0"/>
                          <w:marTop w:val="0"/>
                          <w:marBottom w:val="0"/>
                          <w:divBdr>
                            <w:top w:val="none" w:sz="0" w:space="0" w:color="auto"/>
                            <w:left w:val="none" w:sz="0" w:space="0" w:color="auto"/>
                            <w:bottom w:val="none" w:sz="0" w:space="0" w:color="auto"/>
                            <w:right w:val="none" w:sz="0" w:space="0" w:color="auto"/>
                          </w:divBdr>
                          <w:divsChild>
                            <w:div w:id="302929632">
                              <w:marLeft w:val="0"/>
                              <w:marRight w:val="0"/>
                              <w:marTop w:val="0"/>
                              <w:marBottom w:val="0"/>
                              <w:divBdr>
                                <w:top w:val="none" w:sz="0" w:space="0" w:color="auto"/>
                                <w:left w:val="none" w:sz="0" w:space="0" w:color="auto"/>
                                <w:bottom w:val="none" w:sz="0" w:space="0" w:color="auto"/>
                                <w:right w:val="none" w:sz="0" w:space="0" w:color="auto"/>
                              </w:divBdr>
                            </w:div>
                            <w:div w:id="1849442861">
                              <w:marLeft w:val="0"/>
                              <w:marRight w:val="0"/>
                              <w:marTop w:val="0"/>
                              <w:marBottom w:val="0"/>
                              <w:divBdr>
                                <w:top w:val="none" w:sz="0" w:space="0" w:color="auto"/>
                                <w:left w:val="none" w:sz="0" w:space="0" w:color="auto"/>
                                <w:bottom w:val="none" w:sz="0" w:space="0" w:color="auto"/>
                                <w:right w:val="none" w:sz="0" w:space="0" w:color="auto"/>
                              </w:divBdr>
                            </w:div>
                          </w:divsChild>
                        </w:div>
                        <w:div w:id="1586959151">
                          <w:marLeft w:val="0"/>
                          <w:marRight w:val="0"/>
                          <w:marTop w:val="0"/>
                          <w:marBottom w:val="0"/>
                          <w:divBdr>
                            <w:top w:val="none" w:sz="0" w:space="0" w:color="auto"/>
                            <w:left w:val="none" w:sz="0" w:space="0" w:color="auto"/>
                            <w:bottom w:val="none" w:sz="0" w:space="0" w:color="auto"/>
                            <w:right w:val="none" w:sz="0" w:space="0" w:color="auto"/>
                          </w:divBdr>
                        </w:div>
                      </w:divsChild>
                    </w:div>
                    <w:div w:id="1938560761">
                      <w:marLeft w:val="0"/>
                      <w:marRight w:val="0"/>
                      <w:marTop w:val="0"/>
                      <w:marBottom w:val="0"/>
                      <w:divBdr>
                        <w:top w:val="none" w:sz="0" w:space="0" w:color="auto"/>
                        <w:left w:val="none" w:sz="0" w:space="0" w:color="auto"/>
                        <w:bottom w:val="none" w:sz="0" w:space="0" w:color="auto"/>
                        <w:right w:val="none" w:sz="0" w:space="0" w:color="auto"/>
                      </w:divBdr>
                      <w:divsChild>
                        <w:div w:id="581765281">
                          <w:marLeft w:val="0"/>
                          <w:marRight w:val="0"/>
                          <w:marTop w:val="0"/>
                          <w:marBottom w:val="0"/>
                          <w:divBdr>
                            <w:top w:val="none" w:sz="0" w:space="0" w:color="auto"/>
                            <w:left w:val="none" w:sz="0" w:space="0" w:color="auto"/>
                            <w:bottom w:val="none" w:sz="0" w:space="0" w:color="auto"/>
                            <w:right w:val="none" w:sz="0" w:space="0" w:color="auto"/>
                          </w:divBdr>
                        </w:div>
                        <w:div w:id="1575160323">
                          <w:marLeft w:val="0"/>
                          <w:marRight w:val="0"/>
                          <w:marTop w:val="0"/>
                          <w:marBottom w:val="0"/>
                          <w:divBdr>
                            <w:top w:val="none" w:sz="0" w:space="0" w:color="auto"/>
                            <w:left w:val="none" w:sz="0" w:space="0" w:color="auto"/>
                            <w:bottom w:val="none" w:sz="0" w:space="0" w:color="auto"/>
                            <w:right w:val="none" w:sz="0" w:space="0" w:color="auto"/>
                          </w:divBdr>
                          <w:divsChild>
                            <w:div w:id="109670266">
                              <w:marLeft w:val="0"/>
                              <w:marRight w:val="0"/>
                              <w:marTop w:val="0"/>
                              <w:marBottom w:val="0"/>
                              <w:divBdr>
                                <w:top w:val="none" w:sz="0" w:space="0" w:color="auto"/>
                                <w:left w:val="none" w:sz="0" w:space="0" w:color="auto"/>
                                <w:bottom w:val="none" w:sz="0" w:space="0" w:color="auto"/>
                                <w:right w:val="none" w:sz="0" w:space="0" w:color="auto"/>
                              </w:divBdr>
                            </w:div>
                            <w:div w:id="911428329">
                              <w:marLeft w:val="0"/>
                              <w:marRight w:val="0"/>
                              <w:marTop w:val="0"/>
                              <w:marBottom w:val="0"/>
                              <w:divBdr>
                                <w:top w:val="none" w:sz="0" w:space="0" w:color="auto"/>
                                <w:left w:val="none" w:sz="0" w:space="0" w:color="auto"/>
                                <w:bottom w:val="none" w:sz="0" w:space="0" w:color="auto"/>
                                <w:right w:val="none" w:sz="0" w:space="0" w:color="auto"/>
                              </w:divBdr>
                            </w:div>
                            <w:div w:id="1616517010">
                              <w:marLeft w:val="0"/>
                              <w:marRight w:val="0"/>
                              <w:marTop w:val="0"/>
                              <w:marBottom w:val="0"/>
                              <w:divBdr>
                                <w:top w:val="none" w:sz="0" w:space="0" w:color="auto"/>
                                <w:left w:val="none" w:sz="0" w:space="0" w:color="auto"/>
                                <w:bottom w:val="none" w:sz="0" w:space="0" w:color="auto"/>
                                <w:right w:val="none" w:sz="0" w:space="0" w:color="auto"/>
                              </w:divBdr>
                            </w:div>
                          </w:divsChild>
                        </w:div>
                        <w:div w:id="1872380575">
                          <w:marLeft w:val="0"/>
                          <w:marRight w:val="0"/>
                          <w:marTop w:val="0"/>
                          <w:marBottom w:val="0"/>
                          <w:divBdr>
                            <w:top w:val="none" w:sz="0" w:space="0" w:color="auto"/>
                            <w:left w:val="none" w:sz="0" w:space="0" w:color="auto"/>
                            <w:bottom w:val="none" w:sz="0" w:space="0" w:color="auto"/>
                            <w:right w:val="none" w:sz="0" w:space="0" w:color="auto"/>
                          </w:divBdr>
                          <w:divsChild>
                            <w:div w:id="328873433">
                              <w:marLeft w:val="0"/>
                              <w:marRight w:val="0"/>
                              <w:marTop w:val="0"/>
                              <w:marBottom w:val="0"/>
                              <w:divBdr>
                                <w:top w:val="none" w:sz="0" w:space="0" w:color="auto"/>
                                <w:left w:val="none" w:sz="0" w:space="0" w:color="auto"/>
                                <w:bottom w:val="none" w:sz="0" w:space="0" w:color="auto"/>
                                <w:right w:val="none" w:sz="0" w:space="0" w:color="auto"/>
                              </w:divBdr>
                            </w:div>
                            <w:div w:id="64612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8821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04339827">
      <w:bodyDiv w:val="1"/>
      <w:marLeft w:val="0"/>
      <w:marRight w:val="0"/>
      <w:marTop w:val="0"/>
      <w:marBottom w:val="0"/>
      <w:divBdr>
        <w:top w:val="none" w:sz="0" w:space="0" w:color="auto"/>
        <w:left w:val="none" w:sz="0" w:space="0" w:color="auto"/>
        <w:bottom w:val="none" w:sz="0" w:space="0" w:color="auto"/>
        <w:right w:val="none" w:sz="0" w:space="0" w:color="auto"/>
      </w:divBdr>
    </w:div>
    <w:div w:id="928267856">
      <w:bodyDiv w:val="1"/>
      <w:marLeft w:val="0"/>
      <w:marRight w:val="0"/>
      <w:marTop w:val="0"/>
      <w:marBottom w:val="0"/>
      <w:divBdr>
        <w:top w:val="none" w:sz="0" w:space="0" w:color="auto"/>
        <w:left w:val="none" w:sz="0" w:space="0" w:color="auto"/>
        <w:bottom w:val="none" w:sz="0" w:space="0" w:color="auto"/>
        <w:right w:val="none" w:sz="0" w:space="0" w:color="auto"/>
      </w:divBdr>
      <w:divsChild>
        <w:div w:id="6174578">
          <w:marLeft w:val="1166"/>
          <w:marRight w:val="0"/>
          <w:marTop w:val="120"/>
          <w:marBottom w:val="0"/>
          <w:divBdr>
            <w:top w:val="none" w:sz="0" w:space="0" w:color="auto"/>
            <w:left w:val="none" w:sz="0" w:space="0" w:color="auto"/>
            <w:bottom w:val="none" w:sz="0" w:space="0" w:color="auto"/>
            <w:right w:val="none" w:sz="0" w:space="0" w:color="auto"/>
          </w:divBdr>
        </w:div>
        <w:div w:id="633559648">
          <w:marLeft w:val="1166"/>
          <w:marRight w:val="0"/>
          <w:marTop w:val="120"/>
          <w:marBottom w:val="0"/>
          <w:divBdr>
            <w:top w:val="none" w:sz="0" w:space="0" w:color="auto"/>
            <w:left w:val="none" w:sz="0" w:space="0" w:color="auto"/>
            <w:bottom w:val="none" w:sz="0" w:space="0" w:color="auto"/>
            <w:right w:val="none" w:sz="0" w:space="0" w:color="auto"/>
          </w:divBdr>
        </w:div>
        <w:div w:id="1597010906">
          <w:marLeft w:val="547"/>
          <w:marRight w:val="0"/>
          <w:marTop w:val="120"/>
          <w:marBottom w:val="0"/>
          <w:divBdr>
            <w:top w:val="none" w:sz="0" w:space="0" w:color="auto"/>
            <w:left w:val="none" w:sz="0" w:space="0" w:color="auto"/>
            <w:bottom w:val="none" w:sz="0" w:space="0" w:color="auto"/>
            <w:right w:val="none" w:sz="0" w:space="0" w:color="auto"/>
          </w:divBdr>
        </w:div>
        <w:div w:id="1620603874">
          <w:marLeft w:val="1166"/>
          <w:marRight w:val="0"/>
          <w:marTop w:val="120"/>
          <w:marBottom w:val="0"/>
          <w:divBdr>
            <w:top w:val="none" w:sz="0" w:space="0" w:color="auto"/>
            <w:left w:val="none" w:sz="0" w:space="0" w:color="auto"/>
            <w:bottom w:val="none" w:sz="0" w:space="0" w:color="auto"/>
            <w:right w:val="none" w:sz="0" w:space="0" w:color="auto"/>
          </w:divBdr>
        </w:div>
        <w:div w:id="1694384969">
          <w:marLeft w:val="1166"/>
          <w:marRight w:val="0"/>
          <w:marTop w:val="120"/>
          <w:marBottom w:val="0"/>
          <w:divBdr>
            <w:top w:val="none" w:sz="0" w:space="0" w:color="auto"/>
            <w:left w:val="none" w:sz="0" w:space="0" w:color="auto"/>
            <w:bottom w:val="none" w:sz="0" w:space="0" w:color="auto"/>
            <w:right w:val="none" w:sz="0" w:space="0" w:color="auto"/>
          </w:divBdr>
        </w:div>
        <w:div w:id="1807428751">
          <w:marLeft w:val="547"/>
          <w:marRight w:val="0"/>
          <w:marTop w:val="120"/>
          <w:marBottom w:val="0"/>
          <w:divBdr>
            <w:top w:val="none" w:sz="0" w:space="0" w:color="auto"/>
            <w:left w:val="none" w:sz="0" w:space="0" w:color="auto"/>
            <w:bottom w:val="none" w:sz="0" w:space="0" w:color="auto"/>
            <w:right w:val="none" w:sz="0" w:space="0" w:color="auto"/>
          </w:divBdr>
        </w:div>
        <w:div w:id="2089688507">
          <w:marLeft w:val="547"/>
          <w:marRight w:val="0"/>
          <w:marTop w:val="120"/>
          <w:marBottom w:val="0"/>
          <w:divBdr>
            <w:top w:val="none" w:sz="0" w:space="0" w:color="auto"/>
            <w:left w:val="none" w:sz="0" w:space="0" w:color="auto"/>
            <w:bottom w:val="none" w:sz="0" w:space="0" w:color="auto"/>
            <w:right w:val="none" w:sz="0" w:space="0" w:color="auto"/>
          </w:divBdr>
        </w:div>
      </w:divsChild>
    </w:div>
    <w:div w:id="930115875">
      <w:bodyDiv w:val="1"/>
      <w:marLeft w:val="0"/>
      <w:marRight w:val="0"/>
      <w:marTop w:val="0"/>
      <w:marBottom w:val="0"/>
      <w:divBdr>
        <w:top w:val="none" w:sz="0" w:space="0" w:color="auto"/>
        <w:left w:val="none" w:sz="0" w:space="0" w:color="auto"/>
        <w:bottom w:val="none" w:sz="0" w:space="0" w:color="auto"/>
        <w:right w:val="none" w:sz="0" w:space="0" w:color="auto"/>
      </w:divBdr>
      <w:divsChild>
        <w:div w:id="415171726">
          <w:marLeft w:val="1282"/>
          <w:marRight w:val="0"/>
          <w:marTop w:val="240"/>
          <w:marBottom w:val="0"/>
          <w:divBdr>
            <w:top w:val="none" w:sz="0" w:space="0" w:color="auto"/>
            <w:left w:val="none" w:sz="0" w:space="0" w:color="auto"/>
            <w:bottom w:val="none" w:sz="0" w:space="0" w:color="auto"/>
            <w:right w:val="none" w:sz="0" w:space="0" w:color="auto"/>
          </w:divBdr>
        </w:div>
        <w:div w:id="705520843">
          <w:marLeft w:val="1282"/>
          <w:marRight w:val="0"/>
          <w:marTop w:val="240"/>
          <w:marBottom w:val="0"/>
          <w:divBdr>
            <w:top w:val="none" w:sz="0" w:space="0" w:color="auto"/>
            <w:left w:val="none" w:sz="0" w:space="0" w:color="auto"/>
            <w:bottom w:val="none" w:sz="0" w:space="0" w:color="auto"/>
            <w:right w:val="none" w:sz="0" w:space="0" w:color="auto"/>
          </w:divBdr>
        </w:div>
        <w:div w:id="941768369">
          <w:marLeft w:val="562"/>
          <w:marRight w:val="576"/>
          <w:marTop w:val="240"/>
          <w:marBottom w:val="0"/>
          <w:divBdr>
            <w:top w:val="none" w:sz="0" w:space="0" w:color="auto"/>
            <w:left w:val="none" w:sz="0" w:space="0" w:color="auto"/>
            <w:bottom w:val="none" w:sz="0" w:space="0" w:color="auto"/>
            <w:right w:val="none" w:sz="0" w:space="0" w:color="auto"/>
          </w:divBdr>
        </w:div>
        <w:div w:id="1033841375">
          <w:marLeft w:val="1282"/>
          <w:marRight w:val="0"/>
          <w:marTop w:val="240"/>
          <w:marBottom w:val="0"/>
          <w:divBdr>
            <w:top w:val="none" w:sz="0" w:space="0" w:color="auto"/>
            <w:left w:val="none" w:sz="0" w:space="0" w:color="auto"/>
            <w:bottom w:val="none" w:sz="0" w:space="0" w:color="auto"/>
            <w:right w:val="none" w:sz="0" w:space="0" w:color="auto"/>
          </w:divBdr>
        </w:div>
        <w:div w:id="1264536603">
          <w:marLeft w:val="562"/>
          <w:marRight w:val="158"/>
          <w:marTop w:val="240"/>
          <w:marBottom w:val="0"/>
          <w:divBdr>
            <w:top w:val="none" w:sz="0" w:space="0" w:color="auto"/>
            <w:left w:val="none" w:sz="0" w:space="0" w:color="auto"/>
            <w:bottom w:val="none" w:sz="0" w:space="0" w:color="auto"/>
            <w:right w:val="none" w:sz="0" w:space="0" w:color="auto"/>
          </w:divBdr>
        </w:div>
        <w:div w:id="1754232972">
          <w:marLeft w:val="1282"/>
          <w:marRight w:val="0"/>
          <w:marTop w:val="240"/>
          <w:marBottom w:val="0"/>
          <w:divBdr>
            <w:top w:val="none" w:sz="0" w:space="0" w:color="auto"/>
            <w:left w:val="none" w:sz="0" w:space="0" w:color="auto"/>
            <w:bottom w:val="none" w:sz="0" w:space="0" w:color="auto"/>
            <w:right w:val="none" w:sz="0" w:space="0" w:color="auto"/>
          </w:divBdr>
        </w:div>
        <w:div w:id="1754667734">
          <w:marLeft w:val="1282"/>
          <w:marRight w:val="0"/>
          <w:marTop w:val="240"/>
          <w:marBottom w:val="0"/>
          <w:divBdr>
            <w:top w:val="none" w:sz="0" w:space="0" w:color="auto"/>
            <w:left w:val="none" w:sz="0" w:space="0" w:color="auto"/>
            <w:bottom w:val="none" w:sz="0" w:space="0" w:color="auto"/>
            <w:right w:val="none" w:sz="0" w:space="0" w:color="auto"/>
          </w:divBdr>
        </w:div>
        <w:div w:id="1991206912">
          <w:marLeft w:val="562"/>
          <w:marRight w:val="0"/>
          <w:marTop w:val="240"/>
          <w:marBottom w:val="0"/>
          <w:divBdr>
            <w:top w:val="none" w:sz="0" w:space="0" w:color="auto"/>
            <w:left w:val="none" w:sz="0" w:space="0" w:color="auto"/>
            <w:bottom w:val="none" w:sz="0" w:space="0" w:color="auto"/>
            <w:right w:val="none" w:sz="0" w:space="0" w:color="auto"/>
          </w:divBdr>
        </w:div>
        <w:div w:id="2049329068">
          <w:marLeft w:val="562"/>
          <w:marRight w:val="14"/>
          <w:marTop w:val="0"/>
          <w:marBottom w:val="0"/>
          <w:divBdr>
            <w:top w:val="none" w:sz="0" w:space="0" w:color="auto"/>
            <w:left w:val="none" w:sz="0" w:space="0" w:color="auto"/>
            <w:bottom w:val="none" w:sz="0" w:space="0" w:color="auto"/>
            <w:right w:val="none" w:sz="0" w:space="0" w:color="auto"/>
          </w:divBdr>
        </w:div>
      </w:divsChild>
    </w:div>
    <w:div w:id="934753916">
      <w:bodyDiv w:val="1"/>
      <w:marLeft w:val="0"/>
      <w:marRight w:val="0"/>
      <w:marTop w:val="0"/>
      <w:marBottom w:val="0"/>
      <w:divBdr>
        <w:top w:val="none" w:sz="0" w:space="0" w:color="auto"/>
        <w:left w:val="none" w:sz="0" w:space="0" w:color="auto"/>
        <w:bottom w:val="none" w:sz="0" w:space="0" w:color="auto"/>
        <w:right w:val="none" w:sz="0" w:space="0" w:color="auto"/>
      </w:divBdr>
    </w:div>
    <w:div w:id="943465201">
      <w:bodyDiv w:val="1"/>
      <w:marLeft w:val="0"/>
      <w:marRight w:val="0"/>
      <w:marTop w:val="0"/>
      <w:marBottom w:val="0"/>
      <w:divBdr>
        <w:top w:val="none" w:sz="0" w:space="0" w:color="auto"/>
        <w:left w:val="none" w:sz="0" w:space="0" w:color="auto"/>
        <w:bottom w:val="none" w:sz="0" w:space="0" w:color="auto"/>
        <w:right w:val="none" w:sz="0" w:space="0" w:color="auto"/>
      </w:divBdr>
    </w:div>
    <w:div w:id="947539913">
      <w:bodyDiv w:val="1"/>
      <w:marLeft w:val="0"/>
      <w:marRight w:val="0"/>
      <w:marTop w:val="0"/>
      <w:marBottom w:val="0"/>
      <w:divBdr>
        <w:top w:val="none" w:sz="0" w:space="0" w:color="auto"/>
        <w:left w:val="none" w:sz="0" w:space="0" w:color="auto"/>
        <w:bottom w:val="none" w:sz="0" w:space="0" w:color="auto"/>
        <w:right w:val="none" w:sz="0" w:space="0" w:color="auto"/>
      </w:divBdr>
    </w:div>
    <w:div w:id="977609214">
      <w:marLeft w:val="0"/>
      <w:marRight w:val="0"/>
      <w:marTop w:val="0"/>
      <w:marBottom w:val="0"/>
      <w:divBdr>
        <w:top w:val="none" w:sz="0" w:space="0" w:color="auto"/>
        <w:left w:val="none" w:sz="0" w:space="0" w:color="auto"/>
        <w:bottom w:val="none" w:sz="0" w:space="0" w:color="auto"/>
        <w:right w:val="none" w:sz="0" w:space="0" w:color="auto"/>
      </w:divBdr>
      <w:divsChild>
        <w:div w:id="589386621">
          <w:marLeft w:val="0"/>
          <w:marRight w:val="0"/>
          <w:marTop w:val="0"/>
          <w:marBottom w:val="0"/>
          <w:divBdr>
            <w:top w:val="none" w:sz="0" w:space="0" w:color="auto"/>
            <w:left w:val="none" w:sz="0" w:space="0" w:color="auto"/>
            <w:bottom w:val="none" w:sz="0" w:space="0" w:color="auto"/>
            <w:right w:val="none" w:sz="0" w:space="0" w:color="auto"/>
          </w:divBdr>
          <w:divsChild>
            <w:div w:id="1671640123">
              <w:marLeft w:val="0"/>
              <w:marRight w:val="0"/>
              <w:marTop w:val="0"/>
              <w:marBottom w:val="0"/>
              <w:divBdr>
                <w:top w:val="none" w:sz="0" w:space="0" w:color="auto"/>
                <w:left w:val="none" w:sz="0" w:space="0" w:color="auto"/>
                <w:bottom w:val="none" w:sz="0" w:space="0" w:color="auto"/>
                <w:right w:val="none" w:sz="0" w:space="0" w:color="auto"/>
              </w:divBdr>
            </w:div>
          </w:divsChild>
        </w:div>
        <w:div w:id="1928953026">
          <w:marLeft w:val="0"/>
          <w:marRight w:val="0"/>
          <w:marTop w:val="0"/>
          <w:marBottom w:val="0"/>
          <w:divBdr>
            <w:top w:val="none" w:sz="0" w:space="0" w:color="auto"/>
            <w:left w:val="none" w:sz="0" w:space="0" w:color="auto"/>
            <w:bottom w:val="none" w:sz="0" w:space="0" w:color="auto"/>
            <w:right w:val="none" w:sz="0" w:space="0" w:color="auto"/>
          </w:divBdr>
        </w:div>
      </w:divsChild>
    </w:div>
    <w:div w:id="982002898">
      <w:bodyDiv w:val="1"/>
      <w:marLeft w:val="0"/>
      <w:marRight w:val="0"/>
      <w:marTop w:val="0"/>
      <w:marBottom w:val="0"/>
      <w:divBdr>
        <w:top w:val="none" w:sz="0" w:space="0" w:color="auto"/>
        <w:left w:val="none" w:sz="0" w:space="0" w:color="auto"/>
        <w:bottom w:val="none" w:sz="0" w:space="0" w:color="auto"/>
        <w:right w:val="none" w:sz="0" w:space="0" w:color="auto"/>
      </w:divBdr>
    </w:div>
    <w:div w:id="986283014">
      <w:bodyDiv w:val="1"/>
      <w:marLeft w:val="0"/>
      <w:marRight w:val="0"/>
      <w:marTop w:val="0"/>
      <w:marBottom w:val="0"/>
      <w:divBdr>
        <w:top w:val="none" w:sz="0" w:space="0" w:color="auto"/>
        <w:left w:val="none" w:sz="0" w:space="0" w:color="auto"/>
        <w:bottom w:val="none" w:sz="0" w:space="0" w:color="auto"/>
        <w:right w:val="none" w:sz="0" w:space="0" w:color="auto"/>
      </w:divBdr>
    </w:div>
    <w:div w:id="989286523">
      <w:bodyDiv w:val="1"/>
      <w:marLeft w:val="0"/>
      <w:marRight w:val="0"/>
      <w:marTop w:val="0"/>
      <w:marBottom w:val="0"/>
      <w:divBdr>
        <w:top w:val="none" w:sz="0" w:space="0" w:color="auto"/>
        <w:left w:val="none" w:sz="0" w:space="0" w:color="auto"/>
        <w:bottom w:val="none" w:sz="0" w:space="0" w:color="auto"/>
        <w:right w:val="none" w:sz="0" w:space="0" w:color="auto"/>
      </w:divBdr>
    </w:div>
    <w:div w:id="993489338">
      <w:bodyDiv w:val="1"/>
      <w:marLeft w:val="0"/>
      <w:marRight w:val="0"/>
      <w:marTop w:val="0"/>
      <w:marBottom w:val="0"/>
      <w:divBdr>
        <w:top w:val="none" w:sz="0" w:space="0" w:color="auto"/>
        <w:left w:val="none" w:sz="0" w:space="0" w:color="auto"/>
        <w:bottom w:val="none" w:sz="0" w:space="0" w:color="auto"/>
        <w:right w:val="none" w:sz="0" w:space="0" w:color="auto"/>
      </w:divBdr>
    </w:div>
    <w:div w:id="1037391843">
      <w:bodyDiv w:val="1"/>
      <w:marLeft w:val="0"/>
      <w:marRight w:val="0"/>
      <w:marTop w:val="0"/>
      <w:marBottom w:val="0"/>
      <w:divBdr>
        <w:top w:val="none" w:sz="0" w:space="0" w:color="auto"/>
        <w:left w:val="none" w:sz="0" w:space="0" w:color="auto"/>
        <w:bottom w:val="none" w:sz="0" w:space="0" w:color="auto"/>
        <w:right w:val="none" w:sz="0" w:space="0" w:color="auto"/>
      </w:divBdr>
    </w:div>
    <w:div w:id="1048921283">
      <w:bodyDiv w:val="1"/>
      <w:marLeft w:val="0"/>
      <w:marRight w:val="0"/>
      <w:marTop w:val="0"/>
      <w:marBottom w:val="0"/>
      <w:divBdr>
        <w:top w:val="none" w:sz="0" w:space="0" w:color="auto"/>
        <w:left w:val="none" w:sz="0" w:space="0" w:color="auto"/>
        <w:bottom w:val="none" w:sz="0" w:space="0" w:color="auto"/>
        <w:right w:val="none" w:sz="0" w:space="0" w:color="auto"/>
      </w:divBdr>
      <w:divsChild>
        <w:div w:id="1795908933">
          <w:marLeft w:val="547"/>
          <w:marRight w:val="0"/>
          <w:marTop w:val="240"/>
          <w:marBottom w:val="0"/>
          <w:divBdr>
            <w:top w:val="none" w:sz="0" w:space="0" w:color="auto"/>
            <w:left w:val="none" w:sz="0" w:space="0" w:color="auto"/>
            <w:bottom w:val="none" w:sz="0" w:space="0" w:color="auto"/>
            <w:right w:val="none" w:sz="0" w:space="0" w:color="auto"/>
          </w:divBdr>
        </w:div>
      </w:divsChild>
    </w:div>
    <w:div w:id="1063482302">
      <w:bodyDiv w:val="1"/>
      <w:marLeft w:val="0"/>
      <w:marRight w:val="0"/>
      <w:marTop w:val="0"/>
      <w:marBottom w:val="0"/>
      <w:divBdr>
        <w:top w:val="none" w:sz="0" w:space="0" w:color="auto"/>
        <w:left w:val="none" w:sz="0" w:space="0" w:color="auto"/>
        <w:bottom w:val="none" w:sz="0" w:space="0" w:color="auto"/>
        <w:right w:val="none" w:sz="0" w:space="0" w:color="auto"/>
      </w:divBdr>
    </w:div>
    <w:div w:id="1073742037">
      <w:bodyDiv w:val="1"/>
      <w:marLeft w:val="0"/>
      <w:marRight w:val="0"/>
      <w:marTop w:val="0"/>
      <w:marBottom w:val="0"/>
      <w:divBdr>
        <w:top w:val="none" w:sz="0" w:space="0" w:color="auto"/>
        <w:left w:val="none" w:sz="0" w:space="0" w:color="auto"/>
        <w:bottom w:val="none" w:sz="0" w:space="0" w:color="auto"/>
        <w:right w:val="none" w:sz="0" w:space="0" w:color="auto"/>
      </w:divBdr>
    </w:div>
    <w:div w:id="1095781079">
      <w:marLeft w:val="0"/>
      <w:marRight w:val="0"/>
      <w:marTop w:val="0"/>
      <w:marBottom w:val="0"/>
      <w:divBdr>
        <w:top w:val="none" w:sz="0" w:space="0" w:color="auto"/>
        <w:left w:val="none" w:sz="0" w:space="0" w:color="auto"/>
        <w:bottom w:val="none" w:sz="0" w:space="0" w:color="auto"/>
        <w:right w:val="none" w:sz="0" w:space="0" w:color="auto"/>
      </w:divBdr>
    </w:div>
    <w:div w:id="1103765258">
      <w:bodyDiv w:val="1"/>
      <w:marLeft w:val="0"/>
      <w:marRight w:val="0"/>
      <w:marTop w:val="0"/>
      <w:marBottom w:val="0"/>
      <w:divBdr>
        <w:top w:val="none" w:sz="0" w:space="0" w:color="auto"/>
        <w:left w:val="none" w:sz="0" w:space="0" w:color="auto"/>
        <w:bottom w:val="none" w:sz="0" w:space="0" w:color="auto"/>
        <w:right w:val="none" w:sz="0" w:space="0" w:color="auto"/>
      </w:divBdr>
    </w:div>
    <w:div w:id="1117026115">
      <w:bodyDiv w:val="1"/>
      <w:marLeft w:val="0"/>
      <w:marRight w:val="0"/>
      <w:marTop w:val="0"/>
      <w:marBottom w:val="0"/>
      <w:divBdr>
        <w:top w:val="none" w:sz="0" w:space="0" w:color="auto"/>
        <w:left w:val="none" w:sz="0" w:space="0" w:color="auto"/>
        <w:bottom w:val="none" w:sz="0" w:space="0" w:color="auto"/>
        <w:right w:val="none" w:sz="0" w:space="0" w:color="auto"/>
      </w:divBdr>
    </w:div>
    <w:div w:id="1126389811">
      <w:bodyDiv w:val="1"/>
      <w:marLeft w:val="0"/>
      <w:marRight w:val="0"/>
      <w:marTop w:val="0"/>
      <w:marBottom w:val="0"/>
      <w:divBdr>
        <w:top w:val="none" w:sz="0" w:space="0" w:color="auto"/>
        <w:left w:val="none" w:sz="0" w:space="0" w:color="auto"/>
        <w:bottom w:val="none" w:sz="0" w:space="0" w:color="auto"/>
        <w:right w:val="none" w:sz="0" w:space="0" w:color="auto"/>
      </w:divBdr>
      <w:divsChild>
        <w:div w:id="352535478">
          <w:marLeft w:val="547"/>
          <w:marRight w:val="0"/>
          <w:marTop w:val="240"/>
          <w:marBottom w:val="0"/>
          <w:divBdr>
            <w:top w:val="none" w:sz="0" w:space="0" w:color="auto"/>
            <w:left w:val="none" w:sz="0" w:space="0" w:color="auto"/>
            <w:bottom w:val="none" w:sz="0" w:space="0" w:color="auto"/>
            <w:right w:val="none" w:sz="0" w:space="0" w:color="auto"/>
          </w:divBdr>
        </w:div>
      </w:divsChild>
    </w:div>
    <w:div w:id="1126656832">
      <w:bodyDiv w:val="1"/>
      <w:marLeft w:val="0"/>
      <w:marRight w:val="0"/>
      <w:marTop w:val="0"/>
      <w:marBottom w:val="0"/>
      <w:divBdr>
        <w:top w:val="none" w:sz="0" w:space="0" w:color="auto"/>
        <w:left w:val="none" w:sz="0" w:space="0" w:color="auto"/>
        <w:bottom w:val="none" w:sz="0" w:space="0" w:color="auto"/>
        <w:right w:val="none" w:sz="0" w:space="0" w:color="auto"/>
      </w:divBdr>
      <w:divsChild>
        <w:div w:id="261501445">
          <w:marLeft w:val="1282"/>
          <w:marRight w:val="0"/>
          <w:marTop w:val="132"/>
          <w:marBottom w:val="0"/>
          <w:divBdr>
            <w:top w:val="none" w:sz="0" w:space="0" w:color="auto"/>
            <w:left w:val="none" w:sz="0" w:space="0" w:color="auto"/>
            <w:bottom w:val="none" w:sz="0" w:space="0" w:color="auto"/>
            <w:right w:val="none" w:sz="0" w:space="0" w:color="auto"/>
          </w:divBdr>
        </w:div>
        <w:div w:id="825172215">
          <w:marLeft w:val="1282"/>
          <w:marRight w:val="0"/>
          <w:marTop w:val="132"/>
          <w:marBottom w:val="0"/>
          <w:divBdr>
            <w:top w:val="none" w:sz="0" w:space="0" w:color="auto"/>
            <w:left w:val="none" w:sz="0" w:space="0" w:color="auto"/>
            <w:bottom w:val="none" w:sz="0" w:space="0" w:color="auto"/>
            <w:right w:val="none" w:sz="0" w:space="0" w:color="auto"/>
          </w:divBdr>
        </w:div>
        <w:div w:id="2081057208">
          <w:marLeft w:val="1282"/>
          <w:marRight w:val="0"/>
          <w:marTop w:val="132"/>
          <w:marBottom w:val="0"/>
          <w:divBdr>
            <w:top w:val="none" w:sz="0" w:space="0" w:color="auto"/>
            <w:left w:val="none" w:sz="0" w:space="0" w:color="auto"/>
            <w:bottom w:val="none" w:sz="0" w:space="0" w:color="auto"/>
            <w:right w:val="none" w:sz="0" w:space="0" w:color="auto"/>
          </w:divBdr>
        </w:div>
        <w:div w:id="2106802581">
          <w:marLeft w:val="562"/>
          <w:marRight w:val="0"/>
          <w:marTop w:val="132"/>
          <w:marBottom w:val="0"/>
          <w:divBdr>
            <w:top w:val="none" w:sz="0" w:space="0" w:color="auto"/>
            <w:left w:val="none" w:sz="0" w:space="0" w:color="auto"/>
            <w:bottom w:val="none" w:sz="0" w:space="0" w:color="auto"/>
            <w:right w:val="none" w:sz="0" w:space="0" w:color="auto"/>
          </w:divBdr>
        </w:div>
      </w:divsChild>
    </w:div>
    <w:div w:id="1137068833">
      <w:bodyDiv w:val="1"/>
      <w:marLeft w:val="0"/>
      <w:marRight w:val="0"/>
      <w:marTop w:val="0"/>
      <w:marBottom w:val="0"/>
      <w:divBdr>
        <w:top w:val="none" w:sz="0" w:space="0" w:color="auto"/>
        <w:left w:val="none" w:sz="0" w:space="0" w:color="auto"/>
        <w:bottom w:val="none" w:sz="0" w:space="0" w:color="auto"/>
        <w:right w:val="none" w:sz="0" w:space="0" w:color="auto"/>
      </w:divBdr>
    </w:div>
    <w:div w:id="1164934447">
      <w:marLeft w:val="0"/>
      <w:marRight w:val="0"/>
      <w:marTop w:val="0"/>
      <w:marBottom w:val="0"/>
      <w:divBdr>
        <w:top w:val="none" w:sz="0" w:space="0" w:color="auto"/>
        <w:left w:val="none" w:sz="0" w:space="0" w:color="auto"/>
        <w:bottom w:val="none" w:sz="0" w:space="0" w:color="auto"/>
        <w:right w:val="none" w:sz="0" w:space="0" w:color="auto"/>
      </w:divBdr>
      <w:divsChild>
        <w:div w:id="45106913">
          <w:marLeft w:val="0"/>
          <w:marRight w:val="0"/>
          <w:marTop w:val="0"/>
          <w:marBottom w:val="0"/>
          <w:divBdr>
            <w:top w:val="none" w:sz="0" w:space="0" w:color="auto"/>
            <w:left w:val="none" w:sz="0" w:space="0" w:color="auto"/>
            <w:bottom w:val="none" w:sz="0" w:space="0" w:color="auto"/>
            <w:right w:val="none" w:sz="0" w:space="0" w:color="auto"/>
          </w:divBdr>
          <w:divsChild>
            <w:div w:id="39867748">
              <w:marLeft w:val="0"/>
              <w:marRight w:val="0"/>
              <w:marTop w:val="0"/>
              <w:marBottom w:val="0"/>
              <w:divBdr>
                <w:top w:val="none" w:sz="0" w:space="0" w:color="auto"/>
                <w:left w:val="none" w:sz="0" w:space="0" w:color="auto"/>
                <w:bottom w:val="none" w:sz="0" w:space="0" w:color="auto"/>
                <w:right w:val="none" w:sz="0" w:space="0" w:color="auto"/>
              </w:divBdr>
              <w:divsChild>
                <w:div w:id="1530223756">
                  <w:marLeft w:val="0"/>
                  <w:marRight w:val="0"/>
                  <w:marTop w:val="0"/>
                  <w:marBottom w:val="0"/>
                  <w:divBdr>
                    <w:top w:val="none" w:sz="0" w:space="0" w:color="auto"/>
                    <w:left w:val="none" w:sz="0" w:space="0" w:color="auto"/>
                    <w:bottom w:val="none" w:sz="0" w:space="0" w:color="auto"/>
                    <w:right w:val="none" w:sz="0" w:space="0" w:color="auto"/>
                  </w:divBdr>
                </w:div>
              </w:divsChild>
            </w:div>
            <w:div w:id="1154486849">
              <w:marLeft w:val="0"/>
              <w:marRight w:val="0"/>
              <w:marTop w:val="0"/>
              <w:marBottom w:val="0"/>
              <w:divBdr>
                <w:top w:val="none" w:sz="0" w:space="0" w:color="auto"/>
                <w:left w:val="none" w:sz="0" w:space="0" w:color="auto"/>
                <w:bottom w:val="none" w:sz="0" w:space="0" w:color="auto"/>
                <w:right w:val="none" w:sz="0" w:space="0" w:color="auto"/>
              </w:divBdr>
              <w:divsChild>
                <w:div w:id="1632053656">
                  <w:marLeft w:val="0"/>
                  <w:marRight w:val="0"/>
                  <w:marTop w:val="0"/>
                  <w:marBottom w:val="0"/>
                  <w:divBdr>
                    <w:top w:val="none" w:sz="0" w:space="0" w:color="auto"/>
                    <w:left w:val="none" w:sz="0" w:space="0" w:color="auto"/>
                    <w:bottom w:val="none" w:sz="0" w:space="0" w:color="auto"/>
                    <w:right w:val="none" w:sz="0" w:space="0" w:color="auto"/>
                  </w:divBdr>
                  <w:divsChild>
                    <w:div w:id="122962627">
                      <w:marLeft w:val="0"/>
                      <w:marRight w:val="0"/>
                      <w:marTop w:val="0"/>
                      <w:marBottom w:val="0"/>
                      <w:divBdr>
                        <w:top w:val="none" w:sz="0" w:space="0" w:color="auto"/>
                        <w:left w:val="none" w:sz="0" w:space="0" w:color="auto"/>
                        <w:bottom w:val="none" w:sz="0" w:space="0" w:color="auto"/>
                        <w:right w:val="none" w:sz="0" w:space="0" w:color="auto"/>
                      </w:divBdr>
                    </w:div>
                    <w:div w:id="143039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477436">
      <w:marLeft w:val="0"/>
      <w:marRight w:val="0"/>
      <w:marTop w:val="0"/>
      <w:marBottom w:val="0"/>
      <w:divBdr>
        <w:top w:val="none" w:sz="0" w:space="0" w:color="auto"/>
        <w:left w:val="none" w:sz="0" w:space="0" w:color="auto"/>
        <w:bottom w:val="none" w:sz="0" w:space="0" w:color="auto"/>
        <w:right w:val="none" w:sz="0" w:space="0" w:color="auto"/>
      </w:divBdr>
      <w:divsChild>
        <w:div w:id="1751538880">
          <w:marLeft w:val="0"/>
          <w:marRight w:val="0"/>
          <w:marTop w:val="0"/>
          <w:marBottom w:val="0"/>
          <w:divBdr>
            <w:top w:val="none" w:sz="0" w:space="0" w:color="auto"/>
            <w:left w:val="none" w:sz="0" w:space="0" w:color="auto"/>
            <w:bottom w:val="none" w:sz="0" w:space="0" w:color="auto"/>
            <w:right w:val="none" w:sz="0" w:space="0" w:color="auto"/>
          </w:divBdr>
          <w:divsChild>
            <w:div w:id="689530593">
              <w:marLeft w:val="0"/>
              <w:marRight w:val="0"/>
              <w:marTop w:val="0"/>
              <w:marBottom w:val="0"/>
              <w:divBdr>
                <w:top w:val="none" w:sz="0" w:space="0" w:color="auto"/>
                <w:left w:val="none" w:sz="0" w:space="0" w:color="auto"/>
                <w:bottom w:val="none" w:sz="0" w:space="0" w:color="auto"/>
                <w:right w:val="none" w:sz="0" w:space="0" w:color="auto"/>
              </w:divBdr>
              <w:divsChild>
                <w:div w:id="121003175">
                  <w:marLeft w:val="0"/>
                  <w:marRight w:val="0"/>
                  <w:marTop w:val="0"/>
                  <w:marBottom w:val="0"/>
                  <w:divBdr>
                    <w:top w:val="none" w:sz="0" w:space="0" w:color="auto"/>
                    <w:left w:val="none" w:sz="0" w:space="0" w:color="auto"/>
                    <w:bottom w:val="none" w:sz="0" w:space="0" w:color="auto"/>
                    <w:right w:val="none" w:sz="0" w:space="0" w:color="auto"/>
                  </w:divBdr>
                </w:div>
                <w:div w:id="1702902121">
                  <w:marLeft w:val="0"/>
                  <w:marRight w:val="0"/>
                  <w:marTop w:val="0"/>
                  <w:marBottom w:val="0"/>
                  <w:divBdr>
                    <w:top w:val="none" w:sz="0" w:space="0" w:color="auto"/>
                    <w:left w:val="none" w:sz="0" w:space="0" w:color="auto"/>
                    <w:bottom w:val="none" w:sz="0" w:space="0" w:color="auto"/>
                    <w:right w:val="none" w:sz="0" w:space="0" w:color="auto"/>
                  </w:divBdr>
                  <w:divsChild>
                    <w:div w:id="10692657">
                      <w:marLeft w:val="0"/>
                      <w:marRight w:val="0"/>
                      <w:marTop w:val="0"/>
                      <w:marBottom w:val="0"/>
                      <w:divBdr>
                        <w:top w:val="none" w:sz="0" w:space="0" w:color="auto"/>
                        <w:left w:val="none" w:sz="0" w:space="0" w:color="auto"/>
                        <w:bottom w:val="none" w:sz="0" w:space="0" w:color="auto"/>
                        <w:right w:val="none" w:sz="0" w:space="0" w:color="auto"/>
                      </w:divBdr>
                    </w:div>
                    <w:div w:id="120609968">
                      <w:marLeft w:val="0"/>
                      <w:marRight w:val="0"/>
                      <w:marTop w:val="0"/>
                      <w:marBottom w:val="0"/>
                      <w:divBdr>
                        <w:top w:val="none" w:sz="0" w:space="0" w:color="auto"/>
                        <w:left w:val="none" w:sz="0" w:space="0" w:color="auto"/>
                        <w:bottom w:val="none" w:sz="0" w:space="0" w:color="auto"/>
                        <w:right w:val="none" w:sz="0" w:space="0" w:color="auto"/>
                      </w:divBdr>
                    </w:div>
                    <w:div w:id="158814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961001">
              <w:marLeft w:val="0"/>
              <w:marRight w:val="0"/>
              <w:marTop w:val="0"/>
              <w:marBottom w:val="0"/>
              <w:divBdr>
                <w:top w:val="none" w:sz="0" w:space="0" w:color="auto"/>
                <w:left w:val="none" w:sz="0" w:space="0" w:color="auto"/>
                <w:bottom w:val="none" w:sz="0" w:space="0" w:color="auto"/>
                <w:right w:val="none" w:sz="0" w:space="0" w:color="auto"/>
              </w:divBdr>
            </w:div>
            <w:div w:id="190764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940333">
      <w:bodyDiv w:val="1"/>
      <w:marLeft w:val="0"/>
      <w:marRight w:val="0"/>
      <w:marTop w:val="0"/>
      <w:marBottom w:val="0"/>
      <w:divBdr>
        <w:top w:val="none" w:sz="0" w:space="0" w:color="auto"/>
        <w:left w:val="none" w:sz="0" w:space="0" w:color="auto"/>
        <w:bottom w:val="none" w:sz="0" w:space="0" w:color="auto"/>
        <w:right w:val="none" w:sz="0" w:space="0" w:color="auto"/>
      </w:divBdr>
    </w:div>
    <w:div w:id="1167869780">
      <w:bodyDiv w:val="1"/>
      <w:marLeft w:val="0"/>
      <w:marRight w:val="0"/>
      <w:marTop w:val="0"/>
      <w:marBottom w:val="0"/>
      <w:divBdr>
        <w:top w:val="none" w:sz="0" w:space="0" w:color="auto"/>
        <w:left w:val="none" w:sz="0" w:space="0" w:color="auto"/>
        <w:bottom w:val="none" w:sz="0" w:space="0" w:color="auto"/>
        <w:right w:val="none" w:sz="0" w:space="0" w:color="auto"/>
      </w:divBdr>
    </w:div>
    <w:div w:id="1193302812">
      <w:bodyDiv w:val="1"/>
      <w:marLeft w:val="0"/>
      <w:marRight w:val="0"/>
      <w:marTop w:val="0"/>
      <w:marBottom w:val="0"/>
      <w:divBdr>
        <w:top w:val="none" w:sz="0" w:space="0" w:color="auto"/>
        <w:left w:val="none" w:sz="0" w:space="0" w:color="auto"/>
        <w:bottom w:val="none" w:sz="0" w:space="0" w:color="auto"/>
        <w:right w:val="none" w:sz="0" w:space="0" w:color="auto"/>
      </w:divBdr>
    </w:div>
    <w:div w:id="1229268057">
      <w:bodyDiv w:val="1"/>
      <w:marLeft w:val="0"/>
      <w:marRight w:val="0"/>
      <w:marTop w:val="0"/>
      <w:marBottom w:val="0"/>
      <w:divBdr>
        <w:top w:val="none" w:sz="0" w:space="0" w:color="auto"/>
        <w:left w:val="none" w:sz="0" w:space="0" w:color="auto"/>
        <w:bottom w:val="none" w:sz="0" w:space="0" w:color="auto"/>
        <w:right w:val="none" w:sz="0" w:space="0" w:color="auto"/>
      </w:divBdr>
    </w:div>
    <w:div w:id="1231503118">
      <w:bodyDiv w:val="1"/>
      <w:marLeft w:val="0"/>
      <w:marRight w:val="0"/>
      <w:marTop w:val="0"/>
      <w:marBottom w:val="0"/>
      <w:divBdr>
        <w:top w:val="none" w:sz="0" w:space="0" w:color="auto"/>
        <w:left w:val="none" w:sz="0" w:space="0" w:color="auto"/>
        <w:bottom w:val="none" w:sz="0" w:space="0" w:color="auto"/>
        <w:right w:val="none" w:sz="0" w:space="0" w:color="auto"/>
      </w:divBdr>
    </w:div>
    <w:div w:id="1231844864">
      <w:bodyDiv w:val="1"/>
      <w:marLeft w:val="0"/>
      <w:marRight w:val="0"/>
      <w:marTop w:val="0"/>
      <w:marBottom w:val="0"/>
      <w:divBdr>
        <w:top w:val="none" w:sz="0" w:space="0" w:color="auto"/>
        <w:left w:val="none" w:sz="0" w:space="0" w:color="auto"/>
        <w:bottom w:val="none" w:sz="0" w:space="0" w:color="auto"/>
        <w:right w:val="none" w:sz="0" w:space="0" w:color="auto"/>
      </w:divBdr>
    </w:div>
    <w:div w:id="1236428129">
      <w:bodyDiv w:val="1"/>
      <w:marLeft w:val="0"/>
      <w:marRight w:val="0"/>
      <w:marTop w:val="0"/>
      <w:marBottom w:val="0"/>
      <w:divBdr>
        <w:top w:val="none" w:sz="0" w:space="0" w:color="auto"/>
        <w:left w:val="none" w:sz="0" w:space="0" w:color="auto"/>
        <w:bottom w:val="none" w:sz="0" w:space="0" w:color="auto"/>
        <w:right w:val="none" w:sz="0" w:space="0" w:color="auto"/>
      </w:divBdr>
    </w:div>
    <w:div w:id="1250390117">
      <w:bodyDiv w:val="1"/>
      <w:marLeft w:val="0"/>
      <w:marRight w:val="0"/>
      <w:marTop w:val="0"/>
      <w:marBottom w:val="0"/>
      <w:divBdr>
        <w:top w:val="none" w:sz="0" w:space="0" w:color="auto"/>
        <w:left w:val="none" w:sz="0" w:space="0" w:color="auto"/>
        <w:bottom w:val="none" w:sz="0" w:space="0" w:color="auto"/>
        <w:right w:val="none" w:sz="0" w:space="0" w:color="auto"/>
      </w:divBdr>
      <w:divsChild>
        <w:div w:id="109670331">
          <w:marLeft w:val="1166"/>
          <w:marRight w:val="0"/>
          <w:marTop w:val="0"/>
          <w:marBottom w:val="0"/>
          <w:divBdr>
            <w:top w:val="none" w:sz="0" w:space="0" w:color="auto"/>
            <w:left w:val="none" w:sz="0" w:space="0" w:color="auto"/>
            <w:bottom w:val="none" w:sz="0" w:space="0" w:color="auto"/>
            <w:right w:val="none" w:sz="0" w:space="0" w:color="auto"/>
          </w:divBdr>
        </w:div>
        <w:div w:id="180172891">
          <w:marLeft w:val="1166"/>
          <w:marRight w:val="0"/>
          <w:marTop w:val="0"/>
          <w:marBottom w:val="0"/>
          <w:divBdr>
            <w:top w:val="none" w:sz="0" w:space="0" w:color="auto"/>
            <w:left w:val="none" w:sz="0" w:space="0" w:color="auto"/>
            <w:bottom w:val="none" w:sz="0" w:space="0" w:color="auto"/>
            <w:right w:val="none" w:sz="0" w:space="0" w:color="auto"/>
          </w:divBdr>
        </w:div>
        <w:div w:id="1089543128">
          <w:marLeft w:val="1166"/>
          <w:marRight w:val="0"/>
          <w:marTop w:val="0"/>
          <w:marBottom w:val="0"/>
          <w:divBdr>
            <w:top w:val="none" w:sz="0" w:space="0" w:color="auto"/>
            <w:left w:val="none" w:sz="0" w:space="0" w:color="auto"/>
            <w:bottom w:val="none" w:sz="0" w:space="0" w:color="auto"/>
            <w:right w:val="none" w:sz="0" w:space="0" w:color="auto"/>
          </w:divBdr>
        </w:div>
        <w:div w:id="1819833862">
          <w:marLeft w:val="547"/>
          <w:marRight w:val="0"/>
          <w:marTop w:val="240"/>
          <w:marBottom w:val="0"/>
          <w:divBdr>
            <w:top w:val="none" w:sz="0" w:space="0" w:color="auto"/>
            <w:left w:val="none" w:sz="0" w:space="0" w:color="auto"/>
            <w:bottom w:val="none" w:sz="0" w:space="0" w:color="auto"/>
            <w:right w:val="none" w:sz="0" w:space="0" w:color="auto"/>
          </w:divBdr>
        </w:div>
        <w:div w:id="1929850878">
          <w:marLeft w:val="1166"/>
          <w:marRight w:val="0"/>
          <w:marTop w:val="0"/>
          <w:marBottom w:val="0"/>
          <w:divBdr>
            <w:top w:val="none" w:sz="0" w:space="0" w:color="auto"/>
            <w:left w:val="none" w:sz="0" w:space="0" w:color="auto"/>
            <w:bottom w:val="none" w:sz="0" w:space="0" w:color="auto"/>
            <w:right w:val="none" w:sz="0" w:space="0" w:color="auto"/>
          </w:divBdr>
        </w:div>
      </w:divsChild>
    </w:div>
    <w:div w:id="1252857760">
      <w:bodyDiv w:val="1"/>
      <w:marLeft w:val="0"/>
      <w:marRight w:val="0"/>
      <w:marTop w:val="0"/>
      <w:marBottom w:val="0"/>
      <w:divBdr>
        <w:top w:val="none" w:sz="0" w:space="0" w:color="auto"/>
        <w:left w:val="none" w:sz="0" w:space="0" w:color="auto"/>
        <w:bottom w:val="none" w:sz="0" w:space="0" w:color="auto"/>
        <w:right w:val="none" w:sz="0" w:space="0" w:color="auto"/>
      </w:divBdr>
    </w:div>
    <w:div w:id="1257711214">
      <w:bodyDiv w:val="1"/>
      <w:marLeft w:val="0"/>
      <w:marRight w:val="0"/>
      <w:marTop w:val="0"/>
      <w:marBottom w:val="0"/>
      <w:divBdr>
        <w:top w:val="none" w:sz="0" w:space="0" w:color="auto"/>
        <w:left w:val="none" w:sz="0" w:space="0" w:color="auto"/>
        <w:bottom w:val="none" w:sz="0" w:space="0" w:color="auto"/>
        <w:right w:val="none" w:sz="0" w:space="0" w:color="auto"/>
      </w:divBdr>
    </w:div>
    <w:div w:id="1268469497">
      <w:bodyDiv w:val="1"/>
      <w:marLeft w:val="0"/>
      <w:marRight w:val="0"/>
      <w:marTop w:val="0"/>
      <w:marBottom w:val="0"/>
      <w:divBdr>
        <w:top w:val="none" w:sz="0" w:space="0" w:color="auto"/>
        <w:left w:val="none" w:sz="0" w:space="0" w:color="auto"/>
        <w:bottom w:val="none" w:sz="0" w:space="0" w:color="auto"/>
        <w:right w:val="none" w:sz="0" w:space="0" w:color="auto"/>
      </w:divBdr>
    </w:div>
    <w:div w:id="1271398767">
      <w:bodyDiv w:val="1"/>
      <w:marLeft w:val="0"/>
      <w:marRight w:val="0"/>
      <w:marTop w:val="0"/>
      <w:marBottom w:val="0"/>
      <w:divBdr>
        <w:top w:val="none" w:sz="0" w:space="0" w:color="auto"/>
        <w:left w:val="none" w:sz="0" w:space="0" w:color="auto"/>
        <w:bottom w:val="none" w:sz="0" w:space="0" w:color="auto"/>
        <w:right w:val="none" w:sz="0" w:space="0" w:color="auto"/>
      </w:divBdr>
    </w:div>
    <w:div w:id="1278828545">
      <w:bodyDiv w:val="1"/>
      <w:marLeft w:val="0"/>
      <w:marRight w:val="0"/>
      <w:marTop w:val="0"/>
      <w:marBottom w:val="0"/>
      <w:divBdr>
        <w:top w:val="none" w:sz="0" w:space="0" w:color="auto"/>
        <w:left w:val="none" w:sz="0" w:space="0" w:color="auto"/>
        <w:bottom w:val="none" w:sz="0" w:space="0" w:color="auto"/>
        <w:right w:val="none" w:sz="0" w:space="0" w:color="auto"/>
      </w:divBdr>
    </w:div>
    <w:div w:id="1325204941">
      <w:bodyDiv w:val="1"/>
      <w:marLeft w:val="0"/>
      <w:marRight w:val="0"/>
      <w:marTop w:val="0"/>
      <w:marBottom w:val="0"/>
      <w:divBdr>
        <w:top w:val="none" w:sz="0" w:space="0" w:color="auto"/>
        <w:left w:val="none" w:sz="0" w:space="0" w:color="auto"/>
        <w:bottom w:val="none" w:sz="0" w:space="0" w:color="auto"/>
        <w:right w:val="none" w:sz="0" w:space="0" w:color="auto"/>
      </w:divBdr>
    </w:div>
    <w:div w:id="1351108575">
      <w:bodyDiv w:val="1"/>
      <w:marLeft w:val="0"/>
      <w:marRight w:val="0"/>
      <w:marTop w:val="0"/>
      <w:marBottom w:val="0"/>
      <w:divBdr>
        <w:top w:val="none" w:sz="0" w:space="0" w:color="auto"/>
        <w:left w:val="none" w:sz="0" w:space="0" w:color="auto"/>
        <w:bottom w:val="none" w:sz="0" w:space="0" w:color="auto"/>
        <w:right w:val="none" w:sz="0" w:space="0" w:color="auto"/>
      </w:divBdr>
    </w:div>
    <w:div w:id="1352683930">
      <w:bodyDiv w:val="1"/>
      <w:marLeft w:val="0"/>
      <w:marRight w:val="0"/>
      <w:marTop w:val="0"/>
      <w:marBottom w:val="0"/>
      <w:divBdr>
        <w:top w:val="none" w:sz="0" w:space="0" w:color="auto"/>
        <w:left w:val="none" w:sz="0" w:space="0" w:color="auto"/>
        <w:bottom w:val="none" w:sz="0" w:space="0" w:color="auto"/>
        <w:right w:val="none" w:sz="0" w:space="0" w:color="auto"/>
      </w:divBdr>
    </w:div>
    <w:div w:id="1372145073">
      <w:bodyDiv w:val="1"/>
      <w:marLeft w:val="0"/>
      <w:marRight w:val="0"/>
      <w:marTop w:val="0"/>
      <w:marBottom w:val="0"/>
      <w:divBdr>
        <w:top w:val="none" w:sz="0" w:space="0" w:color="auto"/>
        <w:left w:val="none" w:sz="0" w:space="0" w:color="auto"/>
        <w:bottom w:val="none" w:sz="0" w:space="0" w:color="auto"/>
        <w:right w:val="none" w:sz="0" w:space="0" w:color="auto"/>
      </w:divBdr>
      <w:divsChild>
        <w:div w:id="359092870">
          <w:marLeft w:val="1166"/>
          <w:marRight w:val="0"/>
          <w:marTop w:val="0"/>
          <w:marBottom w:val="0"/>
          <w:divBdr>
            <w:top w:val="none" w:sz="0" w:space="0" w:color="auto"/>
            <w:left w:val="none" w:sz="0" w:space="0" w:color="auto"/>
            <w:bottom w:val="none" w:sz="0" w:space="0" w:color="auto"/>
            <w:right w:val="none" w:sz="0" w:space="0" w:color="auto"/>
          </w:divBdr>
        </w:div>
        <w:div w:id="656030319">
          <w:marLeft w:val="1166"/>
          <w:marRight w:val="0"/>
          <w:marTop w:val="0"/>
          <w:marBottom w:val="0"/>
          <w:divBdr>
            <w:top w:val="none" w:sz="0" w:space="0" w:color="auto"/>
            <w:left w:val="none" w:sz="0" w:space="0" w:color="auto"/>
            <w:bottom w:val="none" w:sz="0" w:space="0" w:color="auto"/>
            <w:right w:val="none" w:sz="0" w:space="0" w:color="auto"/>
          </w:divBdr>
        </w:div>
        <w:div w:id="882984212">
          <w:marLeft w:val="1166"/>
          <w:marRight w:val="0"/>
          <w:marTop w:val="0"/>
          <w:marBottom w:val="0"/>
          <w:divBdr>
            <w:top w:val="none" w:sz="0" w:space="0" w:color="auto"/>
            <w:left w:val="none" w:sz="0" w:space="0" w:color="auto"/>
            <w:bottom w:val="none" w:sz="0" w:space="0" w:color="auto"/>
            <w:right w:val="none" w:sz="0" w:space="0" w:color="auto"/>
          </w:divBdr>
        </w:div>
      </w:divsChild>
    </w:div>
    <w:div w:id="1395469440">
      <w:bodyDiv w:val="1"/>
      <w:marLeft w:val="0"/>
      <w:marRight w:val="0"/>
      <w:marTop w:val="0"/>
      <w:marBottom w:val="0"/>
      <w:divBdr>
        <w:top w:val="none" w:sz="0" w:space="0" w:color="auto"/>
        <w:left w:val="none" w:sz="0" w:space="0" w:color="auto"/>
        <w:bottom w:val="none" w:sz="0" w:space="0" w:color="auto"/>
        <w:right w:val="none" w:sz="0" w:space="0" w:color="auto"/>
      </w:divBdr>
      <w:divsChild>
        <w:div w:id="669795515">
          <w:marLeft w:val="0"/>
          <w:marRight w:val="0"/>
          <w:marTop w:val="0"/>
          <w:marBottom w:val="0"/>
          <w:divBdr>
            <w:top w:val="none" w:sz="0" w:space="0" w:color="auto"/>
            <w:left w:val="none" w:sz="0" w:space="0" w:color="auto"/>
            <w:bottom w:val="none" w:sz="0" w:space="0" w:color="auto"/>
            <w:right w:val="none" w:sz="0" w:space="0" w:color="auto"/>
          </w:divBdr>
          <w:divsChild>
            <w:div w:id="100957494">
              <w:marLeft w:val="0"/>
              <w:marRight w:val="0"/>
              <w:marTop w:val="0"/>
              <w:marBottom w:val="0"/>
              <w:divBdr>
                <w:top w:val="none" w:sz="0" w:space="0" w:color="auto"/>
                <w:left w:val="none" w:sz="0" w:space="0" w:color="auto"/>
                <w:bottom w:val="none" w:sz="0" w:space="0" w:color="auto"/>
                <w:right w:val="none" w:sz="0" w:space="0" w:color="auto"/>
              </w:divBdr>
            </w:div>
            <w:div w:id="1498614788">
              <w:marLeft w:val="0"/>
              <w:marRight w:val="0"/>
              <w:marTop w:val="0"/>
              <w:marBottom w:val="0"/>
              <w:divBdr>
                <w:top w:val="none" w:sz="0" w:space="0" w:color="auto"/>
                <w:left w:val="none" w:sz="0" w:space="0" w:color="auto"/>
                <w:bottom w:val="none" w:sz="0" w:space="0" w:color="auto"/>
                <w:right w:val="none" w:sz="0" w:space="0" w:color="auto"/>
              </w:divBdr>
            </w:div>
            <w:div w:id="1963535207">
              <w:marLeft w:val="0"/>
              <w:marRight w:val="0"/>
              <w:marTop w:val="0"/>
              <w:marBottom w:val="0"/>
              <w:divBdr>
                <w:top w:val="none" w:sz="0" w:space="0" w:color="auto"/>
                <w:left w:val="none" w:sz="0" w:space="0" w:color="auto"/>
                <w:bottom w:val="none" w:sz="0" w:space="0" w:color="auto"/>
                <w:right w:val="none" w:sz="0" w:space="0" w:color="auto"/>
              </w:divBdr>
              <w:divsChild>
                <w:div w:id="88679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954783">
          <w:marLeft w:val="0"/>
          <w:marRight w:val="0"/>
          <w:marTop w:val="0"/>
          <w:marBottom w:val="0"/>
          <w:divBdr>
            <w:top w:val="none" w:sz="0" w:space="0" w:color="auto"/>
            <w:left w:val="none" w:sz="0" w:space="0" w:color="auto"/>
            <w:bottom w:val="none" w:sz="0" w:space="0" w:color="auto"/>
            <w:right w:val="none" w:sz="0" w:space="0" w:color="auto"/>
          </w:divBdr>
          <w:divsChild>
            <w:div w:id="278411284">
              <w:marLeft w:val="0"/>
              <w:marRight w:val="0"/>
              <w:marTop w:val="0"/>
              <w:marBottom w:val="0"/>
              <w:divBdr>
                <w:top w:val="none" w:sz="0" w:space="0" w:color="auto"/>
                <w:left w:val="none" w:sz="0" w:space="0" w:color="auto"/>
                <w:bottom w:val="none" w:sz="0" w:space="0" w:color="auto"/>
                <w:right w:val="none" w:sz="0" w:space="0" w:color="auto"/>
              </w:divBdr>
              <w:divsChild>
                <w:div w:id="873928936">
                  <w:marLeft w:val="0"/>
                  <w:marRight w:val="0"/>
                  <w:marTop w:val="0"/>
                  <w:marBottom w:val="0"/>
                  <w:divBdr>
                    <w:top w:val="none" w:sz="0" w:space="0" w:color="auto"/>
                    <w:left w:val="none" w:sz="0" w:space="0" w:color="auto"/>
                    <w:bottom w:val="none" w:sz="0" w:space="0" w:color="auto"/>
                    <w:right w:val="none" w:sz="0" w:space="0" w:color="auto"/>
                  </w:divBdr>
                  <w:divsChild>
                    <w:div w:id="1476407821">
                      <w:marLeft w:val="0"/>
                      <w:marRight w:val="0"/>
                      <w:marTop w:val="0"/>
                      <w:marBottom w:val="0"/>
                      <w:divBdr>
                        <w:top w:val="none" w:sz="0" w:space="0" w:color="auto"/>
                        <w:left w:val="none" w:sz="0" w:space="0" w:color="auto"/>
                        <w:bottom w:val="none" w:sz="0" w:space="0" w:color="auto"/>
                        <w:right w:val="none" w:sz="0" w:space="0" w:color="auto"/>
                      </w:divBdr>
                      <w:divsChild>
                        <w:div w:id="185568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72403">
                  <w:marLeft w:val="0"/>
                  <w:marRight w:val="0"/>
                  <w:marTop w:val="0"/>
                  <w:marBottom w:val="0"/>
                  <w:divBdr>
                    <w:top w:val="none" w:sz="0" w:space="0" w:color="auto"/>
                    <w:left w:val="none" w:sz="0" w:space="0" w:color="auto"/>
                    <w:bottom w:val="none" w:sz="0" w:space="0" w:color="auto"/>
                    <w:right w:val="none" w:sz="0" w:space="0" w:color="auto"/>
                  </w:divBdr>
                </w:div>
              </w:divsChild>
            </w:div>
            <w:div w:id="486363114">
              <w:marLeft w:val="0"/>
              <w:marRight w:val="0"/>
              <w:marTop w:val="0"/>
              <w:marBottom w:val="0"/>
              <w:divBdr>
                <w:top w:val="none" w:sz="0" w:space="0" w:color="auto"/>
                <w:left w:val="none" w:sz="0" w:space="0" w:color="auto"/>
                <w:bottom w:val="none" w:sz="0" w:space="0" w:color="auto"/>
                <w:right w:val="none" w:sz="0" w:space="0" w:color="auto"/>
              </w:divBdr>
            </w:div>
            <w:div w:id="1017275653">
              <w:marLeft w:val="0"/>
              <w:marRight w:val="0"/>
              <w:marTop w:val="0"/>
              <w:marBottom w:val="0"/>
              <w:divBdr>
                <w:top w:val="none" w:sz="0" w:space="0" w:color="auto"/>
                <w:left w:val="none" w:sz="0" w:space="0" w:color="auto"/>
                <w:bottom w:val="none" w:sz="0" w:space="0" w:color="auto"/>
                <w:right w:val="none" w:sz="0" w:space="0" w:color="auto"/>
              </w:divBdr>
              <w:divsChild>
                <w:div w:id="209501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018329">
      <w:bodyDiv w:val="1"/>
      <w:marLeft w:val="0"/>
      <w:marRight w:val="0"/>
      <w:marTop w:val="0"/>
      <w:marBottom w:val="0"/>
      <w:divBdr>
        <w:top w:val="none" w:sz="0" w:space="0" w:color="auto"/>
        <w:left w:val="none" w:sz="0" w:space="0" w:color="auto"/>
        <w:bottom w:val="none" w:sz="0" w:space="0" w:color="auto"/>
        <w:right w:val="none" w:sz="0" w:space="0" w:color="auto"/>
      </w:divBdr>
    </w:div>
    <w:div w:id="1442722663">
      <w:bodyDiv w:val="1"/>
      <w:marLeft w:val="0"/>
      <w:marRight w:val="0"/>
      <w:marTop w:val="0"/>
      <w:marBottom w:val="0"/>
      <w:divBdr>
        <w:top w:val="none" w:sz="0" w:space="0" w:color="auto"/>
        <w:left w:val="none" w:sz="0" w:space="0" w:color="auto"/>
        <w:bottom w:val="none" w:sz="0" w:space="0" w:color="auto"/>
        <w:right w:val="none" w:sz="0" w:space="0" w:color="auto"/>
      </w:divBdr>
    </w:div>
    <w:div w:id="1452016922">
      <w:bodyDiv w:val="1"/>
      <w:marLeft w:val="0"/>
      <w:marRight w:val="0"/>
      <w:marTop w:val="0"/>
      <w:marBottom w:val="0"/>
      <w:divBdr>
        <w:top w:val="none" w:sz="0" w:space="0" w:color="auto"/>
        <w:left w:val="none" w:sz="0" w:space="0" w:color="auto"/>
        <w:bottom w:val="none" w:sz="0" w:space="0" w:color="auto"/>
        <w:right w:val="none" w:sz="0" w:space="0" w:color="auto"/>
      </w:divBdr>
    </w:div>
    <w:div w:id="1455975845">
      <w:marLeft w:val="0"/>
      <w:marRight w:val="0"/>
      <w:marTop w:val="0"/>
      <w:marBottom w:val="0"/>
      <w:divBdr>
        <w:top w:val="none" w:sz="0" w:space="0" w:color="auto"/>
        <w:left w:val="none" w:sz="0" w:space="0" w:color="auto"/>
        <w:bottom w:val="none" w:sz="0" w:space="0" w:color="auto"/>
        <w:right w:val="none" w:sz="0" w:space="0" w:color="auto"/>
      </w:divBdr>
      <w:divsChild>
        <w:div w:id="185868462">
          <w:marLeft w:val="0"/>
          <w:marRight w:val="0"/>
          <w:marTop w:val="0"/>
          <w:marBottom w:val="0"/>
          <w:divBdr>
            <w:top w:val="none" w:sz="0" w:space="0" w:color="auto"/>
            <w:left w:val="none" w:sz="0" w:space="0" w:color="auto"/>
            <w:bottom w:val="none" w:sz="0" w:space="0" w:color="auto"/>
            <w:right w:val="none" w:sz="0" w:space="0" w:color="auto"/>
          </w:divBdr>
          <w:divsChild>
            <w:div w:id="1884126991">
              <w:marLeft w:val="0"/>
              <w:marRight w:val="0"/>
              <w:marTop w:val="0"/>
              <w:marBottom w:val="0"/>
              <w:divBdr>
                <w:top w:val="none" w:sz="0" w:space="0" w:color="auto"/>
                <w:left w:val="none" w:sz="0" w:space="0" w:color="auto"/>
                <w:bottom w:val="none" w:sz="0" w:space="0" w:color="auto"/>
                <w:right w:val="none" w:sz="0" w:space="0" w:color="auto"/>
              </w:divBdr>
              <w:divsChild>
                <w:div w:id="191042371">
                  <w:marLeft w:val="0"/>
                  <w:marRight w:val="0"/>
                  <w:marTop w:val="0"/>
                  <w:marBottom w:val="0"/>
                  <w:divBdr>
                    <w:top w:val="none" w:sz="0" w:space="0" w:color="auto"/>
                    <w:left w:val="none" w:sz="0" w:space="0" w:color="auto"/>
                    <w:bottom w:val="none" w:sz="0" w:space="0" w:color="auto"/>
                    <w:right w:val="none" w:sz="0" w:space="0" w:color="auto"/>
                  </w:divBdr>
                  <w:divsChild>
                    <w:div w:id="207377780">
                      <w:marLeft w:val="0"/>
                      <w:marRight w:val="0"/>
                      <w:marTop w:val="0"/>
                      <w:marBottom w:val="0"/>
                      <w:divBdr>
                        <w:top w:val="none" w:sz="0" w:space="0" w:color="auto"/>
                        <w:left w:val="none" w:sz="0" w:space="0" w:color="auto"/>
                        <w:bottom w:val="none" w:sz="0" w:space="0" w:color="auto"/>
                        <w:right w:val="none" w:sz="0" w:space="0" w:color="auto"/>
                      </w:divBdr>
                      <w:divsChild>
                        <w:div w:id="784235546">
                          <w:marLeft w:val="0"/>
                          <w:marRight w:val="0"/>
                          <w:marTop w:val="0"/>
                          <w:marBottom w:val="0"/>
                          <w:divBdr>
                            <w:top w:val="none" w:sz="0" w:space="0" w:color="auto"/>
                            <w:left w:val="none" w:sz="0" w:space="0" w:color="auto"/>
                            <w:bottom w:val="none" w:sz="0" w:space="0" w:color="auto"/>
                            <w:right w:val="none" w:sz="0" w:space="0" w:color="auto"/>
                          </w:divBdr>
                          <w:divsChild>
                            <w:div w:id="39941530">
                              <w:marLeft w:val="0"/>
                              <w:marRight w:val="-150"/>
                              <w:marTop w:val="0"/>
                              <w:marBottom w:val="0"/>
                              <w:divBdr>
                                <w:top w:val="none" w:sz="0" w:space="0" w:color="auto"/>
                                <w:left w:val="none" w:sz="0" w:space="0" w:color="auto"/>
                                <w:bottom w:val="none" w:sz="0" w:space="0" w:color="auto"/>
                                <w:right w:val="none" w:sz="0" w:space="0" w:color="auto"/>
                              </w:divBdr>
                              <w:divsChild>
                                <w:div w:id="1760323243">
                                  <w:marLeft w:val="0"/>
                                  <w:marRight w:val="0"/>
                                  <w:marTop w:val="0"/>
                                  <w:marBottom w:val="0"/>
                                  <w:divBdr>
                                    <w:top w:val="none" w:sz="0" w:space="0" w:color="auto"/>
                                    <w:left w:val="none" w:sz="0" w:space="0" w:color="auto"/>
                                    <w:bottom w:val="none" w:sz="0" w:space="0" w:color="auto"/>
                                    <w:right w:val="none" w:sz="0" w:space="0" w:color="auto"/>
                                  </w:divBdr>
                                  <w:divsChild>
                                    <w:div w:id="496308688">
                                      <w:marLeft w:val="0"/>
                                      <w:marRight w:val="0"/>
                                      <w:marTop w:val="0"/>
                                      <w:marBottom w:val="0"/>
                                      <w:divBdr>
                                        <w:top w:val="none" w:sz="0" w:space="0" w:color="auto"/>
                                        <w:left w:val="none" w:sz="0" w:space="0" w:color="auto"/>
                                        <w:bottom w:val="none" w:sz="0" w:space="0" w:color="auto"/>
                                        <w:right w:val="none" w:sz="0" w:space="0" w:color="auto"/>
                                      </w:divBdr>
                                      <w:divsChild>
                                        <w:div w:id="30022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781827">
                                  <w:marLeft w:val="0"/>
                                  <w:marRight w:val="0"/>
                                  <w:marTop w:val="0"/>
                                  <w:marBottom w:val="0"/>
                                  <w:divBdr>
                                    <w:top w:val="none" w:sz="0" w:space="0" w:color="auto"/>
                                    <w:left w:val="none" w:sz="0" w:space="0" w:color="auto"/>
                                    <w:bottom w:val="none" w:sz="0" w:space="0" w:color="auto"/>
                                    <w:right w:val="none" w:sz="0" w:space="0" w:color="auto"/>
                                  </w:divBdr>
                                  <w:divsChild>
                                    <w:div w:id="386032244">
                                      <w:marLeft w:val="0"/>
                                      <w:marRight w:val="0"/>
                                      <w:marTop w:val="0"/>
                                      <w:marBottom w:val="0"/>
                                      <w:divBdr>
                                        <w:top w:val="none" w:sz="0" w:space="0" w:color="auto"/>
                                        <w:left w:val="none" w:sz="0" w:space="0" w:color="auto"/>
                                        <w:bottom w:val="none" w:sz="0" w:space="0" w:color="auto"/>
                                        <w:right w:val="none" w:sz="0" w:space="0" w:color="auto"/>
                                      </w:divBdr>
                                    </w:div>
                                    <w:div w:id="623116304">
                                      <w:marLeft w:val="0"/>
                                      <w:marRight w:val="0"/>
                                      <w:marTop w:val="0"/>
                                      <w:marBottom w:val="0"/>
                                      <w:divBdr>
                                        <w:top w:val="none" w:sz="0" w:space="0" w:color="auto"/>
                                        <w:left w:val="none" w:sz="0" w:space="0" w:color="auto"/>
                                        <w:bottom w:val="none" w:sz="0" w:space="0" w:color="auto"/>
                                        <w:right w:val="none" w:sz="0" w:space="0" w:color="auto"/>
                                      </w:divBdr>
                                    </w:div>
                                    <w:div w:id="813303373">
                                      <w:marLeft w:val="0"/>
                                      <w:marRight w:val="0"/>
                                      <w:marTop w:val="0"/>
                                      <w:marBottom w:val="0"/>
                                      <w:divBdr>
                                        <w:top w:val="none" w:sz="0" w:space="0" w:color="auto"/>
                                        <w:left w:val="none" w:sz="0" w:space="0" w:color="auto"/>
                                        <w:bottom w:val="none" w:sz="0" w:space="0" w:color="auto"/>
                                        <w:right w:val="none" w:sz="0" w:space="0" w:color="auto"/>
                                      </w:divBdr>
                                      <w:divsChild>
                                        <w:div w:id="1200388159">
                                          <w:marLeft w:val="0"/>
                                          <w:marRight w:val="0"/>
                                          <w:marTop w:val="0"/>
                                          <w:marBottom w:val="0"/>
                                          <w:divBdr>
                                            <w:top w:val="none" w:sz="0" w:space="0" w:color="auto"/>
                                            <w:left w:val="none" w:sz="0" w:space="0" w:color="auto"/>
                                            <w:bottom w:val="none" w:sz="0" w:space="0" w:color="auto"/>
                                            <w:right w:val="none" w:sz="0" w:space="0" w:color="auto"/>
                                          </w:divBdr>
                                        </w:div>
                                      </w:divsChild>
                                    </w:div>
                                    <w:div w:id="99183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052282">
                      <w:marLeft w:val="0"/>
                      <w:marRight w:val="0"/>
                      <w:marTop w:val="0"/>
                      <w:marBottom w:val="0"/>
                      <w:divBdr>
                        <w:top w:val="none" w:sz="0" w:space="0" w:color="auto"/>
                        <w:left w:val="none" w:sz="0" w:space="0" w:color="auto"/>
                        <w:bottom w:val="none" w:sz="0" w:space="0" w:color="auto"/>
                        <w:right w:val="none" w:sz="0" w:space="0" w:color="auto"/>
                      </w:divBdr>
                      <w:divsChild>
                        <w:div w:id="2035614797">
                          <w:marLeft w:val="0"/>
                          <w:marRight w:val="0"/>
                          <w:marTop w:val="0"/>
                          <w:marBottom w:val="0"/>
                          <w:divBdr>
                            <w:top w:val="none" w:sz="0" w:space="0" w:color="auto"/>
                            <w:left w:val="none" w:sz="0" w:space="0" w:color="auto"/>
                            <w:bottom w:val="none" w:sz="0" w:space="0" w:color="auto"/>
                            <w:right w:val="none" w:sz="0" w:space="0" w:color="auto"/>
                          </w:divBdr>
                          <w:divsChild>
                            <w:div w:id="1526094981">
                              <w:marLeft w:val="0"/>
                              <w:marRight w:val="-150"/>
                              <w:marTop w:val="0"/>
                              <w:marBottom w:val="0"/>
                              <w:divBdr>
                                <w:top w:val="none" w:sz="0" w:space="0" w:color="auto"/>
                                <w:left w:val="none" w:sz="0" w:space="0" w:color="auto"/>
                                <w:bottom w:val="none" w:sz="0" w:space="0" w:color="auto"/>
                                <w:right w:val="none" w:sz="0" w:space="0" w:color="auto"/>
                              </w:divBdr>
                              <w:divsChild>
                                <w:div w:id="176698534">
                                  <w:marLeft w:val="0"/>
                                  <w:marRight w:val="0"/>
                                  <w:marTop w:val="0"/>
                                  <w:marBottom w:val="0"/>
                                  <w:divBdr>
                                    <w:top w:val="none" w:sz="0" w:space="0" w:color="auto"/>
                                    <w:left w:val="none" w:sz="0" w:space="0" w:color="auto"/>
                                    <w:bottom w:val="none" w:sz="0" w:space="0" w:color="auto"/>
                                    <w:right w:val="none" w:sz="0" w:space="0" w:color="auto"/>
                                  </w:divBdr>
                                  <w:divsChild>
                                    <w:div w:id="842207259">
                                      <w:marLeft w:val="0"/>
                                      <w:marRight w:val="0"/>
                                      <w:marTop w:val="0"/>
                                      <w:marBottom w:val="0"/>
                                      <w:divBdr>
                                        <w:top w:val="none" w:sz="0" w:space="0" w:color="auto"/>
                                        <w:left w:val="none" w:sz="0" w:space="0" w:color="auto"/>
                                        <w:bottom w:val="none" w:sz="0" w:space="0" w:color="auto"/>
                                        <w:right w:val="none" w:sz="0" w:space="0" w:color="auto"/>
                                      </w:divBdr>
                                    </w:div>
                                    <w:div w:id="1284312028">
                                      <w:marLeft w:val="0"/>
                                      <w:marRight w:val="0"/>
                                      <w:marTop w:val="0"/>
                                      <w:marBottom w:val="0"/>
                                      <w:divBdr>
                                        <w:top w:val="none" w:sz="0" w:space="0" w:color="auto"/>
                                        <w:left w:val="none" w:sz="0" w:space="0" w:color="auto"/>
                                        <w:bottom w:val="none" w:sz="0" w:space="0" w:color="auto"/>
                                        <w:right w:val="none" w:sz="0" w:space="0" w:color="auto"/>
                                      </w:divBdr>
                                    </w:div>
                                    <w:div w:id="1878467555">
                                      <w:marLeft w:val="0"/>
                                      <w:marRight w:val="0"/>
                                      <w:marTop w:val="0"/>
                                      <w:marBottom w:val="0"/>
                                      <w:divBdr>
                                        <w:top w:val="none" w:sz="0" w:space="0" w:color="auto"/>
                                        <w:left w:val="none" w:sz="0" w:space="0" w:color="auto"/>
                                        <w:bottom w:val="none" w:sz="0" w:space="0" w:color="auto"/>
                                        <w:right w:val="none" w:sz="0" w:space="0" w:color="auto"/>
                                      </w:divBdr>
                                    </w:div>
                                  </w:divsChild>
                                </w:div>
                                <w:div w:id="1728842177">
                                  <w:marLeft w:val="0"/>
                                  <w:marRight w:val="0"/>
                                  <w:marTop w:val="0"/>
                                  <w:marBottom w:val="0"/>
                                  <w:divBdr>
                                    <w:top w:val="none" w:sz="0" w:space="0" w:color="auto"/>
                                    <w:left w:val="none" w:sz="0" w:space="0" w:color="auto"/>
                                    <w:bottom w:val="none" w:sz="0" w:space="0" w:color="auto"/>
                                    <w:right w:val="none" w:sz="0" w:space="0" w:color="auto"/>
                                  </w:divBdr>
                                  <w:divsChild>
                                    <w:div w:id="350225457">
                                      <w:marLeft w:val="0"/>
                                      <w:marRight w:val="0"/>
                                      <w:marTop w:val="0"/>
                                      <w:marBottom w:val="0"/>
                                      <w:divBdr>
                                        <w:top w:val="none" w:sz="0" w:space="0" w:color="auto"/>
                                        <w:left w:val="none" w:sz="0" w:space="0" w:color="auto"/>
                                        <w:bottom w:val="none" w:sz="0" w:space="0" w:color="auto"/>
                                        <w:right w:val="none" w:sz="0" w:space="0" w:color="auto"/>
                                      </w:divBdr>
                                      <w:divsChild>
                                        <w:div w:id="18722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126393">
                      <w:marLeft w:val="0"/>
                      <w:marRight w:val="0"/>
                      <w:marTop w:val="0"/>
                      <w:marBottom w:val="0"/>
                      <w:divBdr>
                        <w:top w:val="none" w:sz="0" w:space="0" w:color="auto"/>
                        <w:left w:val="none" w:sz="0" w:space="0" w:color="auto"/>
                        <w:bottom w:val="none" w:sz="0" w:space="0" w:color="auto"/>
                        <w:right w:val="none" w:sz="0" w:space="0" w:color="auto"/>
                      </w:divBdr>
                    </w:div>
                    <w:div w:id="1887059055">
                      <w:marLeft w:val="0"/>
                      <w:marRight w:val="0"/>
                      <w:marTop w:val="0"/>
                      <w:marBottom w:val="0"/>
                      <w:divBdr>
                        <w:top w:val="none" w:sz="0" w:space="0" w:color="auto"/>
                        <w:left w:val="none" w:sz="0" w:space="0" w:color="auto"/>
                        <w:bottom w:val="none" w:sz="0" w:space="0" w:color="auto"/>
                        <w:right w:val="none" w:sz="0" w:space="0" w:color="auto"/>
                      </w:divBdr>
                      <w:divsChild>
                        <w:div w:id="512232355">
                          <w:marLeft w:val="0"/>
                          <w:marRight w:val="0"/>
                          <w:marTop w:val="0"/>
                          <w:marBottom w:val="0"/>
                          <w:divBdr>
                            <w:top w:val="none" w:sz="0" w:space="0" w:color="auto"/>
                            <w:left w:val="none" w:sz="0" w:space="0" w:color="auto"/>
                            <w:bottom w:val="none" w:sz="0" w:space="0" w:color="auto"/>
                            <w:right w:val="none" w:sz="0" w:space="0" w:color="auto"/>
                          </w:divBdr>
                          <w:divsChild>
                            <w:div w:id="303775432">
                              <w:marLeft w:val="0"/>
                              <w:marRight w:val="-150"/>
                              <w:marTop w:val="0"/>
                              <w:marBottom w:val="0"/>
                              <w:divBdr>
                                <w:top w:val="none" w:sz="0" w:space="0" w:color="auto"/>
                                <w:left w:val="none" w:sz="0" w:space="0" w:color="auto"/>
                                <w:bottom w:val="none" w:sz="0" w:space="0" w:color="auto"/>
                                <w:right w:val="none" w:sz="0" w:space="0" w:color="auto"/>
                              </w:divBdr>
                              <w:divsChild>
                                <w:div w:id="265239294">
                                  <w:marLeft w:val="0"/>
                                  <w:marRight w:val="0"/>
                                  <w:marTop w:val="0"/>
                                  <w:marBottom w:val="0"/>
                                  <w:divBdr>
                                    <w:top w:val="none" w:sz="0" w:space="0" w:color="auto"/>
                                    <w:left w:val="none" w:sz="0" w:space="0" w:color="auto"/>
                                    <w:bottom w:val="none" w:sz="0" w:space="0" w:color="auto"/>
                                    <w:right w:val="none" w:sz="0" w:space="0" w:color="auto"/>
                                  </w:divBdr>
                                  <w:divsChild>
                                    <w:div w:id="166792266">
                                      <w:marLeft w:val="0"/>
                                      <w:marRight w:val="0"/>
                                      <w:marTop w:val="0"/>
                                      <w:marBottom w:val="0"/>
                                      <w:divBdr>
                                        <w:top w:val="none" w:sz="0" w:space="0" w:color="auto"/>
                                        <w:left w:val="none" w:sz="0" w:space="0" w:color="auto"/>
                                        <w:bottom w:val="none" w:sz="0" w:space="0" w:color="auto"/>
                                        <w:right w:val="none" w:sz="0" w:space="0" w:color="auto"/>
                                      </w:divBdr>
                                      <w:divsChild>
                                        <w:div w:id="67372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15018">
                                  <w:marLeft w:val="0"/>
                                  <w:marRight w:val="0"/>
                                  <w:marTop w:val="0"/>
                                  <w:marBottom w:val="0"/>
                                  <w:divBdr>
                                    <w:top w:val="none" w:sz="0" w:space="0" w:color="auto"/>
                                    <w:left w:val="none" w:sz="0" w:space="0" w:color="auto"/>
                                    <w:bottom w:val="none" w:sz="0" w:space="0" w:color="auto"/>
                                    <w:right w:val="none" w:sz="0" w:space="0" w:color="auto"/>
                                  </w:divBdr>
                                  <w:divsChild>
                                    <w:div w:id="1171720378">
                                      <w:marLeft w:val="0"/>
                                      <w:marRight w:val="0"/>
                                      <w:marTop w:val="0"/>
                                      <w:marBottom w:val="0"/>
                                      <w:divBdr>
                                        <w:top w:val="none" w:sz="0" w:space="0" w:color="auto"/>
                                        <w:left w:val="none" w:sz="0" w:space="0" w:color="auto"/>
                                        <w:bottom w:val="none" w:sz="0" w:space="0" w:color="auto"/>
                                        <w:right w:val="none" w:sz="0" w:space="0" w:color="auto"/>
                                      </w:divBdr>
                                    </w:div>
                                    <w:div w:id="1604806402">
                                      <w:marLeft w:val="0"/>
                                      <w:marRight w:val="0"/>
                                      <w:marTop w:val="0"/>
                                      <w:marBottom w:val="0"/>
                                      <w:divBdr>
                                        <w:top w:val="none" w:sz="0" w:space="0" w:color="auto"/>
                                        <w:left w:val="none" w:sz="0" w:space="0" w:color="auto"/>
                                        <w:bottom w:val="none" w:sz="0" w:space="0" w:color="auto"/>
                                        <w:right w:val="none" w:sz="0" w:space="0" w:color="auto"/>
                                      </w:divBdr>
                                    </w:div>
                                    <w:div w:id="187900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7679480">
      <w:bodyDiv w:val="1"/>
      <w:marLeft w:val="0"/>
      <w:marRight w:val="0"/>
      <w:marTop w:val="0"/>
      <w:marBottom w:val="0"/>
      <w:divBdr>
        <w:top w:val="none" w:sz="0" w:space="0" w:color="auto"/>
        <w:left w:val="none" w:sz="0" w:space="0" w:color="auto"/>
        <w:bottom w:val="none" w:sz="0" w:space="0" w:color="auto"/>
        <w:right w:val="none" w:sz="0" w:space="0" w:color="auto"/>
      </w:divBdr>
    </w:div>
    <w:div w:id="1478452460">
      <w:bodyDiv w:val="1"/>
      <w:marLeft w:val="0"/>
      <w:marRight w:val="0"/>
      <w:marTop w:val="0"/>
      <w:marBottom w:val="0"/>
      <w:divBdr>
        <w:top w:val="none" w:sz="0" w:space="0" w:color="auto"/>
        <w:left w:val="none" w:sz="0" w:space="0" w:color="auto"/>
        <w:bottom w:val="none" w:sz="0" w:space="0" w:color="auto"/>
        <w:right w:val="none" w:sz="0" w:space="0" w:color="auto"/>
      </w:divBdr>
    </w:div>
    <w:div w:id="1487012531">
      <w:bodyDiv w:val="1"/>
      <w:marLeft w:val="0"/>
      <w:marRight w:val="0"/>
      <w:marTop w:val="0"/>
      <w:marBottom w:val="0"/>
      <w:divBdr>
        <w:top w:val="none" w:sz="0" w:space="0" w:color="auto"/>
        <w:left w:val="none" w:sz="0" w:space="0" w:color="auto"/>
        <w:bottom w:val="none" w:sz="0" w:space="0" w:color="auto"/>
        <w:right w:val="none" w:sz="0" w:space="0" w:color="auto"/>
      </w:divBdr>
    </w:div>
    <w:div w:id="1503008026">
      <w:bodyDiv w:val="1"/>
      <w:marLeft w:val="0"/>
      <w:marRight w:val="0"/>
      <w:marTop w:val="0"/>
      <w:marBottom w:val="0"/>
      <w:divBdr>
        <w:top w:val="none" w:sz="0" w:space="0" w:color="auto"/>
        <w:left w:val="none" w:sz="0" w:space="0" w:color="auto"/>
        <w:bottom w:val="none" w:sz="0" w:space="0" w:color="auto"/>
        <w:right w:val="none" w:sz="0" w:space="0" w:color="auto"/>
      </w:divBdr>
    </w:div>
    <w:div w:id="1512062244">
      <w:bodyDiv w:val="1"/>
      <w:marLeft w:val="0"/>
      <w:marRight w:val="0"/>
      <w:marTop w:val="0"/>
      <w:marBottom w:val="0"/>
      <w:divBdr>
        <w:top w:val="none" w:sz="0" w:space="0" w:color="auto"/>
        <w:left w:val="none" w:sz="0" w:space="0" w:color="auto"/>
        <w:bottom w:val="none" w:sz="0" w:space="0" w:color="auto"/>
        <w:right w:val="none" w:sz="0" w:space="0" w:color="auto"/>
      </w:divBdr>
    </w:div>
    <w:div w:id="1516965102">
      <w:bodyDiv w:val="1"/>
      <w:marLeft w:val="0"/>
      <w:marRight w:val="0"/>
      <w:marTop w:val="0"/>
      <w:marBottom w:val="0"/>
      <w:divBdr>
        <w:top w:val="none" w:sz="0" w:space="0" w:color="auto"/>
        <w:left w:val="none" w:sz="0" w:space="0" w:color="auto"/>
        <w:bottom w:val="none" w:sz="0" w:space="0" w:color="auto"/>
        <w:right w:val="none" w:sz="0" w:space="0" w:color="auto"/>
      </w:divBdr>
    </w:div>
    <w:div w:id="1525555870">
      <w:bodyDiv w:val="1"/>
      <w:marLeft w:val="0"/>
      <w:marRight w:val="0"/>
      <w:marTop w:val="0"/>
      <w:marBottom w:val="0"/>
      <w:divBdr>
        <w:top w:val="none" w:sz="0" w:space="0" w:color="auto"/>
        <w:left w:val="none" w:sz="0" w:space="0" w:color="auto"/>
        <w:bottom w:val="none" w:sz="0" w:space="0" w:color="auto"/>
        <w:right w:val="none" w:sz="0" w:space="0" w:color="auto"/>
      </w:divBdr>
    </w:div>
    <w:div w:id="1581518540">
      <w:bodyDiv w:val="1"/>
      <w:marLeft w:val="0"/>
      <w:marRight w:val="0"/>
      <w:marTop w:val="0"/>
      <w:marBottom w:val="0"/>
      <w:divBdr>
        <w:top w:val="none" w:sz="0" w:space="0" w:color="auto"/>
        <w:left w:val="none" w:sz="0" w:space="0" w:color="auto"/>
        <w:bottom w:val="none" w:sz="0" w:space="0" w:color="auto"/>
        <w:right w:val="none" w:sz="0" w:space="0" w:color="auto"/>
      </w:divBdr>
    </w:div>
    <w:div w:id="1584535129">
      <w:marLeft w:val="0"/>
      <w:marRight w:val="0"/>
      <w:marTop w:val="0"/>
      <w:marBottom w:val="0"/>
      <w:divBdr>
        <w:top w:val="none" w:sz="0" w:space="0" w:color="auto"/>
        <w:left w:val="none" w:sz="0" w:space="0" w:color="auto"/>
        <w:bottom w:val="none" w:sz="0" w:space="0" w:color="auto"/>
        <w:right w:val="none" w:sz="0" w:space="0" w:color="auto"/>
      </w:divBdr>
      <w:divsChild>
        <w:div w:id="1116214422">
          <w:marLeft w:val="0"/>
          <w:marRight w:val="0"/>
          <w:marTop w:val="0"/>
          <w:marBottom w:val="0"/>
          <w:divBdr>
            <w:top w:val="none" w:sz="0" w:space="0" w:color="auto"/>
            <w:left w:val="none" w:sz="0" w:space="0" w:color="auto"/>
            <w:bottom w:val="none" w:sz="0" w:space="0" w:color="auto"/>
            <w:right w:val="none" w:sz="0" w:space="0" w:color="auto"/>
          </w:divBdr>
          <w:divsChild>
            <w:div w:id="395128987">
              <w:marLeft w:val="0"/>
              <w:marRight w:val="0"/>
              <w:marTop w:val="0"/>
              <w:marBottom w:val="0"/>
              <w:divBdr>
                <w:top w:val="none" w:sz="0" w:space="0" w:color="auto"/>
                <w:left w:val="none" w:sz="0" w:space="0" w:color="auto"/>
                <w:bottom w:val="none" w:sz="0" w:space="0" w:color="auto"/>
                <w:right w:val="none" w:sz="0" w:space="0" w:color="auto"/>
              </w:divBdr>
              <w:divsChild>
                <w:div w:id="1464077030">
                  <w:marLeft w:val="0"/>
                  <w:marRight w:val="0"/>
                  <w:marTop w:val="0"/>
                  <w:marBottom w:val="0"/>
                  <w:divBdr>
                    <w:top w:val="none" w:sz="0" w:space="0" w:color="auto"/>
                    <w:left w:val="none" w:sz="0" w:space="0" w:color="auto"/>
                    <w:bottom w:val="none" w:sz="0" w:space="0" w:color="auto"/>
                    <w:right w:val="none" w:sz="0" w:space="0" w:color="auto"/>
                  </w:divBdr>
                  <w:divsChild>
                    <w:div w:id="287008661">
                      <w:marLeft w:val="0"/>
                      <w:marRight w:val="0"/>
                      <w:marTop w:val="0"/>
                      <w:marBottom w:val="0"/>
                      <w:divBdr>
                        <w:top w:val="none" w:sz="0" w:space="0" w:color="auto"/>
                        <w:left w:val="none" w:sz="0" w:space="0" w:color="auto"/>
                        <w:bottom w:val="none" w:sz="0" w:space="0" w:color="auto"/>
                        <w:right w:val="none" w:sz="0" w:space="0" w:color="auto"/>
                      </w:divBdr>
                      <w:divsChild>
                        <w:div w:id="1351223731">
                          <w:marLeft w:val="0"/>
                          <w:marRight w:val="0"/>
                          <w:marTop w:val="0"/>
                          <w:marBottom w:val="0"/>
                          <w:divBdr>
                            <w:top w:val="none" w:sz="0" w:space="0" w:color="auto"/>
                            <w:left w:val="none" w:sz="0" w:space="0" w:color="auto"/>
                            <w:bottom w:val="none" w:sz="0" w:space="0" w:color="auto"/>
                            <w:right w:val="none" w:sz="0" w:space="0" w:color="auto"/>
                          </w:divBdr>
                          <w:divsChild>
                            <w:div w:id="1356884895">
                              <w:marLeft w:val="0"/>
                              <w:marRight w:val="0"/>
                              <w:marTop w:val="0"/>
                              <w:marBottom w:val="0"/>
                              <w:divBdr>
                                <w:top w:val="none" w:sz="0" w:space="0" w:color="auto"/>
                                <w:left w:val="none" w:sz="0" w:space="0" w:color="auto"/>
                                <w:bottom w:val="none" w:sz="0" w:space="0" w:color="auto"/>
                                <w:right w:val="none" w:sz="0" w:space="0" w:color="auto"/>
                              </w:divBdr>
                              <w:divsChild>
                                <w:div w:id="107959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79841">
                          <w:marLeft w:val="0"/>
                          <w:marRight w:val="0"/>
                          <w:marTop w:val="0"/>
                          <w:marBottom w:val="0"/>
                          <w:divBdr>
                            <w:top w:val="none" w:sz="0" w:space="0" w:color="auto"/>
                            <w:left w:val="none" w:sz="0" w:space="0" w:color="auto"/>
                            <w:bottom w:val="none" w:sz="0" w:space="0" w:color="auto"/>
                            <w:right w:val="none" w:sz="0" w:space="0" w:color="auto"/>
                          </w:divBdr>
                          <w:divsChild>
                            <w:div w:id="57404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05517">
                      <w:marLeft w:val="0"/>
                      <w:marRight w:val="0"/>
                      <w:marTop w:val="0"/>
                      <w:marBottom w:val="0"/>
                      <w:divBdr>
                        <w:top w:val="none" w:sz="0" w:space="0" w:color="auto"/>
                        <w:left w:val="none" w:sz="0" w:space="0" w:color="auto"/>
                        <w:bottom w:val="none" w:sz="0" w:space="0" w:color="auto"/>
                        <w:right w:val="none" w:sz="0" w:space="0" w:color="auto"/>
                      </w:divBdr>
                      <w:divsChild>
                        <w:div w:id="1521892087">
                          <w:marLeft w:val="0"/>
                          <w:marRight w:val="0"/>
                          <w:marTop w:val="0"/>
                          <w:marBottom w:val="0"/>
                          <w:divBdr>
                            <w:top w:val="none" w:sz="0" w:space="0" w:color="auto"/>
                            <w:left w:val="none" w:sz="0" w:space="0" w:color="auto"/>
                            <w:bottom w:val="none" w:sz="0" w:space="0" w:color="auto"/>
                            <w:right w:val="none" w:sz="0" w:space="0" w:color="auto"/>
                          </w:divBdr>
                          <w:divsChild>
                            <w:div w:id="445076928">
                              <w:marLeft w:val="0"/>
                              <w:marRight w:val="0"/>
                              <w:marTop w:val="0"/>
                              <w:marBottom w:val="0"/>
                              <w:divBdr>
                                <w:top w:val="none" w:sz="0" w:space="0" w:color="auto"/>
                                <w:left w:val="none" w:sz="0" w:space="0" w:color="auto"/>
                                <w:bottom w:val="none" w:sz="0" w:space="0" w:color="auto"/>
                                <w:right w:val="none" w:sz="0" w:space="0" w:color="auto"/>
                              </w:divBdr>
                            </w:div>
                            <w:div w:id="184551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68500">
                      <w:marLeft w:val="0"/>
                      <w:marRight w:val="0"/>
                      <w:marTop w:val="0"/>
                      <w:marBottom w:val="0"/>
                      <w:divBdr>
                        <w:top w:val="none" w:sz="0" w:space="0" w:color="auto"/>
                        <w:left w:val="none" w:sz="0" w:space="0" w:color="auto"/>
                        <w:bottom w:val="none" w:sz="0" w:space="0" w:color="auto"/>
                        <w:right w:val="none" w:sz="0" w:space="0" w:color="auto"/>
                      </w:divBdr>
                      <w:divsChild>
                        <w:div w:id="1908489973">
                          <w:marLeft w:val="0"/>
                          <w:marRight w:val="0"/>
                          <w:marTop w:val="0"/>
                          <w:marBottom w:val="0"/>
                          <w:divBdr>
                            <w:top w:val="none" w:sz="0" w:space="0" w:color="auto"/>
                            <w:left w:val="none" w:sz="0" w:space="0" w:color="auto"/>
                            <w:bottom w:val="none" w:sz="0" w:space="0" w:color="auto"/>
                            <w:right w:val="none" w:sz="0" w:space="0" w:color="auto"/>
                          </w:divBdr>
                          <w:divsChild>
                            <w:div w:id="1609435296">
                              <w:marLeft w:val="0"/>
                              <w:marRight w:val="0"/>
                              <w:marTop w:val="0"/>
                              <w:marBottom w:val="0"/>
                              <w:divBdr>
                                <w:top w:val="none" w:sz="0" w:space="0" w:color="auto"/>
                                <w:left w:val="none" w:sz="0" w:space="0" w:color="auto"/>
                                <w:bottom w:val="none" w:sz="0" w:space="0" w:color="auto"/>
                                <w:right w:val="none" w:sz="0" w:space="0" w:color="auto"/>
                              </w:divBdr>
                              <w:divsChild>
                                <w:div w:id="407659423">
                                  <w:marLeft w:val="0"/>
                                  <w:marRight w:val="0"/>
                                  <w:marTop w:val="0"/>
                                  <w:marBottom w:val="0"/>
                                  <w:divBdr>
                                    <w:top w:val="none" w:sz="0" w:space="0" w:color="auto"/>
                                    <w:left w:val="none" w:sz="0" w:space="0" w:color="auto"/>
                                    <w:bottom w:val="none" w:sz="0" w:space="0" w:color="auto"/>
                                    <w:right w:val="none" w:sz="0" w:space="0" w:color="auto"/>
                                  </w:divBdr>
                                  <w:divsChild>
                                    <w:div w:id="724571542">
                                      <w:marLeft w:val="0"/>
                                      <w:marRight w:val="0"/>
                                      <w:marTop w:val="0"/>
                                      <w:marBottom w:val="0"/>
                                      <w:divBdr>
                                        <w:top w:val="none" w:sz="0" w:space="0" w:color="auto"/>
                                        <w:left w:val="none" w:sz="0" w:space="0" w:color="auto"/>
                                        <w:bottom w:val="none" w:sz="0" w:space="0" w:color="auto"/>
                                        <w:right w:val="none" w:sz="0" w:space="0" w:color="auto"/>
                                      </w:divBdr>
                                      <w:divsChild>
                                        <w:div w:id="819888121">
                                          <w:marLeft w:val="0"/>
                                          <w:marRight w:val="0"/>
                                          <w:marTop w:val="0"/>
                                          <w:marBottom w:val="0"/>
                                          <w:divBdr>
                                            <w:top w:val="none" w:sz="0" w:space="0" w:color="auto"/>
                                            <w:left w:val="none" w:sz="0" w:space="0" w:color="auto"/>
                                            <w:bottom w:val="none" w:sz="0" w:space="0" w:color="auto"/>
                                            <w:right w:val="none" w:sz="0" w:space="0" w:color="auto"/>
                                          </w:divBdr>
                                        </w:div>
                                        <w:div w:id="191897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612244">
                      <w:marLeft w:val="0"/>
                      <w:marRight w:val="0"/>
                      <w:marTop w:val="0"/>
                      <w:marBottom w:val="0"/>
                      <w:divBdr>
                        <w:top w:val="none" w:sz="0" w:space="0" w:color="auto"/>
                        <w:left w:val="none" w:sz="0" w:space="0" w:color="auto"/>
                        <w:bottom w:val="none" w:sz="0" w:space="0" w:color="auto"/>
                        <w:right w:val="none" w:sz="0" w:space="0" w:color="auto"/>
                      </w:divBdr>
                      <w:divsChild>
                        <w:div w:id="20471012">
                          <w:marLeft w:val="0"/>
                          <w:marRight w:val="0"/>
                          <w:marTop w:val="0"/>
                          <w:marBottom w:val="0"/>
                          <w:divBdr>
                            <w:top w:val="none" w:sz="0" w:space="0" w:color="auto"/>
                            <w:left w:val="none" w:sz="0" w:space="0" w:color="auto"/>
                            <w:bottom w:val="none" w:sz="0" w:space="0" w:color="auto"/>
                            <w:right w:val="none" w:sz="0" w:space="0" w:color="auto"/>
                          </w:divBdr>
                        </w:div>
                        <w:div w:id="58215471">
                          <w:marLeft w:val="0"/>
                          <w:marRight w:val="0"/>
                          <w:marTop w:val="0"/>
                          <w:marBottom w:val="0"/>
                          <w:divBdr>
                            <w:top w:val="none" w:sz="0" w:space="0" w:color="auto"/>
                            <w:left w:val="none" w:sz="0" w:space="0" w:color="auto"/>
                            <w:bottom w:val="none" w:sz="0" w:space="0" w:color="auto"/>
                            <w:right w:val="none" w:sz="0" w:space="0" w:color="auto"/>
                          </w:divBdr>
                          <w:divsChild>
                            <w:div w:id="1057053058">
                              <w:marLeft w:val="0"/>
                              <w:marRight w:val="0"/>
                              <w:marTop w:val="0"/>
                              <w:marBottom w:val="0"/>
                              <w:divBdr>
                                <w:top w:val="none" w:sz="0" w:space="0" w:color="auto"/>
                                <w:left w:val="none" w:sz="0" w:space="0" w:color="auto"/>
                                <w:bottom w:val="none" w:sz="0" w:space="0" w:color="auto"/>
                                <w:right w:val="none" w:sz="0" w:space="0" w:color="auto"/>
                              </w:divBdr>
                            </w:div>
                          </w:divsChild>
                        </w:div>
                        <w:div w:id="74669379">
                          <w:marLeft w:val="0"/>
                          <w:marRight w:val="0"/>
                          <w:marTop w:val="0"/>
                          <w:marBottom w:val="0"/>
                          <w:divBdr>
                            <w:top w:val="none" w:sz="0" w:space="0" w:color="auto"/>
                            <w:left w:val="none" w:sz="0" w:space="0" w:color="auto"/>
                            <w:bottom w:val="none" w:sz="0" w:space="0" w:color="auto"/>
                            <w:right w:val="none" w:sz="0" w:space="0" w:color="auto"/>
                          </w:divBdr>
                        </w:div>
                        <w:div w:id="156000913">
                          <w:marLeft w:val="0"/>
                          <w:marRight w:val="0"/>
                          <w:marTop w:val="0"/>
                          <w:marBottom w:val="0"/>
                          <w:divBdr>
                            <w:top w:val="none" w:sz="0" w:space="0" w:color="auto"/>
                            <w:left w:val="none" w:sz="0" w:space="0" w:color="auto"/>
                            <w:bottom w:val="none" w:sz="0" w:space="0" w:color="auto"/>
                            <w:right w:val="none" w:sz="0" w:space="0" w:color="auto"/>
                          </w:divBdr>
                        </w:div>
                        <w:div w:id="274942064">
                          <w:marLeft w:val="0"/>
                          <w:marRight w:val="0"/>
                          <w:marTop w:val="0"/>
                          <w:marBottom w:val="0"/>
                          <w:divBdr>
                            <w:top w:val="none" w:sz="0" w:space="0" w:color="auto"/>
                            <w:left w:val="none" w:sz="0" w:space="0" w:color="auto"/>
                            <w:bottom w:val="none" w:sz="0" w:space="0" w:color="auto"/>
                            <w:right w:val="none" w:sz="0" w:space="0" w:color="auto"/>
                          </w:divBdr>
                          <w:divsChild>
                            <w:div w:id="753085909">
                              <w:marLeft w:val="0"/>
                              <w:marRight w:val="0"/>
                              <w:marTop w:val="0"/>
                              <w:marBottom w:val="0"/>
                              <w:divBdr>
                                <w:top w:val="none" w:sz="0" w:space="0" w:color="auto"/>
                                <w:left w:val="none" w:sz="0" w:space="0" w:color="auto"/>
                                <w:bottom w:val="none" w:sz="0" w:space="0" w:color="auto"/>
                                <w:right w:val="none" w:sz="0" w:space="0" w:color="auto"/>
                              </w:divBdr>
                            </w:div>
                            <w:div w:id="964505281">
                              <w:marLeft w:val="0"/>
                              <w:marRight w:val="0"/>
                              <w:marTop w:val="0"/>
                              <w:marBottom w:val="0"/>
                              <w:divBdr>
                                <w:top w:val="none" w:sz="0" w:space="0" w:color="auto"/>
                                <w:left w:val="none" w:sz="0" w:space="0" w:color="auto"/>
                                <w:bottom w:val="none" w:sz="0" w:space="0" w:color="auto"/>
                                <w:right w:val="none" w:sz="0" w:space="0" w:color="auto"/>
                              </w:divBdr>
                            </w:div>
                            <w:div w:id="1688677580">
                              <w:marLeft w:val="0"/>
                              <w:marRight w:val="0"/>
                              <w:marTop w:val="0"/>
                              <w:marBottom w:val="0"/>
                              <w:divBdr>
                                <w:top w:val="none" w:sz="0" w:space="0" w:color="auto"/>
                                <w:left w:val="none" w:sz="0" w:space="0" w:color="auto"/>
                                <w:bottom w:val="none" w:sz="0" w:space="0" w:color="auto"/>
                                <w:right w:val="none" w:sz="0" w:space="0" w:color="auto"/>
                              </w:divBdr>
                            </w:div>
                          </w:divsChild>
                        </w:div>
                        <w:div w:id="620846190">
                          <w:marLeft w:val="0"/>
                          <w:marRight w:val="0"/>
                          <w:marTop w:val="0"/>
                          <w:marBottom w:val="0"/>
                          <w:divBdr>
                            <w:top w:val="none" w:sz="0" w:space="0" w:color="auto"/>
                            <w:left w:val="none" w:sz="0" w:space="0" w:color="auto"/>
                            <w:bottom w:val="none" w:sz="0" w:space="0" w:color="auto"/>
                            <w:right w:val="none" w:sz="0" w:space="0" w:color="auto"/>
                          </w:divBdr>
                        </w:div>
                        <w:div w:id="883372615">
                          <w:marLeft w:val="0"/>
                          <w:marRight w:val="0"/>
                          <w:marTop w:val="0"/>
                          <w:marBottom w:val="0"/>
                          <w:divBdr>
                            <w:top w:val="none" w:sz="0" w:space="0" w:color="auto"/>
                            <w:left w:val="none" w:sz="0" w:space="0" w:color="auto"/>
                            <w:bottom w:val="none" w:sz="0" w:space="0" w:color="auto"/>
                            <w:right w:val="none" w:sz="0" w:space="0" w:color="auto"/>
                          </w:divBdr>
                        </w:div>
                        <w:div w:id="890308907">
                          <w:marLeft w:val="0"/>
                          <w:marRight w:val="0"/>
                          <w:marTop w:val="0"/>
                          <w:marBottom w:val="0"/>
                          <w:divBdr>
                            <w:top w:val="none" w:sz="0" w:space="0" w:color="auto"/>
                            <w:left w:val="none" w:sz="0" w:space="0" w:color="auto"/>
                            <w:bottom w:val="none" w:sz="0" w:space="0" w:color="auto"/>
                            <w:right w:val="none" w:sz="0" w:space="0" w:color="auto"/>
                          </w:divBdr>
                          <w:divsChild>
                            <w:div w:id="1501699629">
                              <w:marLeft w:val="0"/>
                              <w:marRight w:val="0"/>
                              <w:marTop w:val="0"/>
                              <w:marBottom w:val="0"/>
                              <w:divBdr>
                                <w:top w:val="none" w:sz="0" w:space="0" w:color="auto"/>
                                <w:left w:val="none" w:sz="0" w:space="0" w:color="auto"/>
                                <w:bottom w:val="none" w:sz="0" w:space="0" w:color="auto"/>
                                <w:right w:val="none" w:sz="0" w:space="0" w:color="auto"/>
                              </w:divBdr>
                            </w:div>
                          </w:divsChild>
                        </w:div>
                        <w:div w:id="1437559834">
                          <w:marLeft w:val="0"/>
                          <w:marRight w:val="0"/>
                          <w:marTop w:val="0"/>
                          <w:marBottom w:val="0"/>
                          <w:divBdr>
                            <w:top w:val="none" w:sz="0" w:space="0" w:color="auto"/>
                            <w:left w:val="none" w:sz="0" w:space="0" w:color="auto"/>
                            <w:bottom w:val="none" w:sz="0" w:space="0" w:color="auto"/>
                            <w:right w:val="none" w:sz="0" w:space="0" w:color="auto"/>
                          </w:divBdr>
                        </w:div>
                        <w:div w:id="1440904339">
                          <w:marLeft w:val="0"/>
                          <w:marRight w:val="0"/>
                          <w:marTop w:val="0"/>
                          <w:marBottom w:val="0"/>
                          <w:divBdr>
                            <w:top w:val="none" w:sz="0" w:space="0" w:color="auto"/>
                            <w:left w:val="none" w:sz="0" w:space="0" w:color="auto"/>
                            <w:bottom w:val="none" w:sz="0" w:space="0" w:color="auto"/>
                            <w:right w:val="none" w:sz="0" w:space="0" w:color="auto"/>
                          </w:divBdr>
                        </w:div>
                        <w:div w:id="1560751403">
                          <w:marLeft w:val="0"/>
                          <w:marRight w:val="0"/>
                          <w:marTop w:val="0"/>
                          <w:marBottom w:val="0"/>
                          <w:divBdr>
                            <w:top w:val="none" w:sz="0" w:space="0" w:color="auto"/>
                            <w:left w:val="none" w:sz="0" w:space="0" w:color="auto"/>
                            <w:bottom w:val="none" w:sz="0" w:space="0" w:color="auto"/>
                            <w:right w:val="none" w:sz="0" w:space="0" w:color="auto"/>
                          </w:divBdr>
                        </w:div>
                        <w:div w:id="1833058878">
                          <w:marLeft w:val="0"/>
                          <w:marRight w:val="0"/>
                          <w:marTop w:val="0"/>
                          <w:marBottom w:val="0"/>
                          <w:divBdr>
                            <w:top w:val="none" w:sz="0" w:space="0" w:color="auto"/>
                            <w:left w:val="none" w:sz="0" w:space="0" w:color="auto"/>
                            <w:bottom w:val="none" w:sz="0" w:space="0" w:color="auto"/>
                            <w:right w:val="none" w:sz="0" w:space="0" w:color="auto"/>
                          </w:divBdr>
                          <w:divsChild>
                            <w:div w:id="303896540">
                              <w:marLeft w:val="0"/>
                              <w:marRight w:val="0"/>
                              <w:marTop w:val="0"/>
                              <w:marBottom w:val="0"/>
                              <w:divBdr>
                                <w:top w:val="none" w:sz="0" w:space="0" w:color="auto"/>
                                <w:left w:val="none" w:sz="0" w:space="0" w:color="auto"/>
                                <w:bottom w:val="none" w:sz="0" w:space="0" w:color="auto"/>
                                <w:right w:val="none" w:sz="0" w:space="0" w:color="auto"/>
                              </w:divBdr>
                            </w:div>
                          </w:divsChild>
                        </w:div>
                        <w:div w:id="1885213906">
                          <w:marLeft w:val="0"/>
                          <w:marRight w:val="0"/>
                          <w:marTop w:val="0"/>
                          <w:marBottom w:val="0"/>
                          <w:divBdr>
                            <w:top w:val="none" w:sz="0" w:space="0" w:color="auto"/>
                            <w:left w:val="none" w:sz="0" w:space="0" w:color="auto"/>
                            <w:bottom w:val="none" w:sz="0" w:space="0" w:color="auto"/>
                            <w:right w:val="none" w:sz="0" w:space="0" w:color="auto"/>
                          </w:divBdr>
                        </w:div>
                        <w:div w:id="209547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82182">
              <w:marLeft w:val="0"/>
              <w:marRight w:val="0"/>
              <w:marTop w:val="0"/>
              <w:marBottom w:val="0"/>
              <w:divBdr>
                <w:top w:val="none" w:sz="0" w:space="0" w:color="auto"/>
                <w:left w:val="none" w:sz="0" w:space="0" w:color="auto"/>
                <w:bottom w:val="none" w:sz="0" w:space="0" w:color="auto"/>
                <w:right w:val="none" w:sz="0" w:space="0" w:color="auto"/>
              </w:divBdr>
              <w:divsChild>
                <w:div w:id="567108475">
                  <w:marLeft w:val="0"/>
                  <w:marRight w:val="0"/>
                  <w:marTop w:val="0"/>
                  <w:marBottom w:val="0"/>
                  <w:divBdr>
                    <w:top w:val="none" w:sz="0" w:space="0" w:color="auto"/>
                    <w:left w:val="none" w:sz="0" w:space="0" w:color="auto"/>
                    <w:bottom w:val="none" w:sz="0" w:space="0" w:color="auto"/>
                    <w:right w:val="none" w:sz="0" w:space="0" w:color="auto"/>
                  </w:divBdr>
                </w:div>
                <w:div w:id="202921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21548">
      <w:bodyDiv w:val="1"/>
      <w:marLeft w:val="0"/>
      <w:marRight w:val="0"/>
      <w:marTop w:val="0"/>
      <w:marBottom w:val="0"/>
      <w:divBdr>
        <w:top w:val="none" w:sz="0" w:space="0" w:color="auto"/>
        <w:left w:val="none" w:sz="0" w:space="0" w:color="auto"/>
        <w:bottom w:val="none" w:sz="0" w:space="0" w:color="auto"/>
        <w:right w:val="none" w:sz="0" w:space="0" w:color="auto"/>
      </w:divBdr>
    </w:div>
    <w:div w:id="1589852457">
      <w:bodyDiv w:val="1"/>
      <w:marLeft w:val="0"/>
      <w:marRight w:val="0"/>
      <w:marTop w:val="0"/>
      <w:marBottom w:val="0"/>
      <w:divBdr>
        <w:top w:val="none" w:sz="0" w:space="0" w:color="auto"/>
        <w:left w:val="none" w:sz="0" w:space="0" w:color="auto"/>
        <w:bottom w:val="none" w:sz="0" w:space="0" w:color="auto"/>
        <w:right w:val="none" w:sz="0" w:space="0" w:color="auto"/>
      </w:divBdr>
    </w:div>
    <w:div w:id="1593781382">
      <w:bodyDiv w:val="1"/>
      <w:marLeft w:val="0"/>
      <w:marRight w:val="0"/>
      <w:marTop w:val="0"/>
      <w:marBottom w:val="0"/>
      <w:divBdr>
        <w:top w:val="none" w:sz="0" w:space="0" w:color="auto"/>
        <w:left w:val="none" w:sz="0" w:space="0" w:color="auto"/>
        <w:bottom w:val="none" w:sz="0" w:space="0" w:color="auto"/>
        <w:right w:val="none" w:sz="0" w:space="0" w:color="auto"/>
      </w:divBdr>
    </w:div>
    <w:div w:id="1614899636">
      <w:bodyDiv w:val="1"/>
      <w:marLeft w:val="0"/>
      <w:marRight w:val="0"/>
      <w:marTop w:val="0"/>
      <w:marBottom w:val="0"/>
      <w:divBdr>
        <w:top w:val="none" w:sz="0" w:space="0" w:color="auto"/>
        <w:left w:val="none" w:sz="0" w:space="0" w:color="auto"/>
        <w:bottom w:val="none" w:sz="0" w:space="0" w:color="auto"/>
        <w:right w:val="none" w:sz="0" w:space="0" w:color="auto"/>
      </w:divBdr>
    </w:div>
    <w:div w:id="1615941028">
      <w:bodyDiv w:val="1"/>
      <w:marLeft w:val="0"/>
      <w:marRight w:val="0"/>
      <w:marTop w:val="0"/>
      <w:marBottom w:val="0"/>
      <w:divBdr>
        <w:top w:val="none" w:sz="0" w:space="0" w:color="auto"/>
        <w:left w:val="none" w:sz="0" w:space="0" w:color="auto"/>
        <w:bottom w:val="none" w:sz="0" w:space="0" w:color="auto"/>
        <w:right w:val="none" w:sz="0" w:space="0" w:color="auto"/>
      </w:divBdr>
    </w:div>
    <w:div w:id="1620335227">
      <w:bodyDiv w:val="1"/>
      <w:marLeft w:val="0"/>
      <w:marRight w:val="0"/>
      <w:marTop w:val="0"/>
      <w:marBottom w:val="0"/>
      <w:divBdr>
        <w:top w:val="none" w:sz="0" w:space="0" w:color="auto"/>
        <w:left w:val="none" w:sz="0" w:space="0" w:color="auto"/>
        <w:bottom w:val="none" w:sz="0" w:space="0" w:color="auto"/>
        <w:right w:val="none" w:sz="0" w:space="0" w:color="auto"/>
      </w:divBdr>
      <w:divsChild>
        <w:div w:id="599879010">
          <w:marLeft w:val="547"/>
          <w:marRight w:val="0"/>
          <w:marTop w:val="240"/>
          <w:marBottom w:val="0"/>
          <w:divBdr>
            <w:top w:val="none" w:sz="0" w:space="0" w:color="auto"/>
            <w:left w:val="none" w:sz="0" w:space="0" w:color="auto"/>
            <w:bottom w:val="none" w:sz="0" w:space="0" w:color="auto"/>
            <w:right w:val="none" w:sz="0" w:space="0" w:color="auto"/>
          </w:divBdr>
        </w:div>
      </w:divsChild>
    </w:div>
    <w:div w:id="1646163347">
      <w:bodyDiv w:val="1"/>
      <w:marLeft w:val="0"/>
      <w:marRight w:val="0"/>
      <w:marTop w:val="0"/>
      <w:marBottom w:val="0"/>
      <w:divBdr>
        <w:top w:val="none" w:sz="0" w:space="0" w:color="auto"/>
        <w:left w:val="none" w:sz="0" w:space="0" w:color="auto"/>
        <w:bottom w:val="none" w:sz="0" w:space="0" w:color="auto"/>
        <w:right w:val="none" w:sz="0" w:space="0" w:color="auto"/>
      </w:divBdr>
    </w:div>
    <w:div w:id="1653673798">
      <w:marLeft w:val="0"/>
      <w:marRight w:val="0"/>
      <w:marTop w:val="0"/>
      <w:marBottom w:val="0"/>
      <w:divBdr>
        <w:top w:val="none" w:sz="0" w:space="0" w:color="auto"/>
        <w:left w:val="none" w:sz="0" w:space="0" w:color="auto"/>
        <w:bottom w:val="none" w:sz="0" w:space="0" w:color="auto"/>
        <w:right w:val="none" w:sz="0" w:space="0" w:color="auto"/>
      </w:divBdr>
      <w:divsChild>
        <w:div w:id="1303584886">
          <w:marLeft w:val="0"/>
          <w:marRight w:val="0"/>
          <w:marTop w:val="0"/>
          <w:marBottom w:val="0"/>
          <w:divBdr>
            <w:top w:val="none" w:sz="0" w:space="0" w:color="auto"/>
            <w:left w:val="none" w:sz="0" w:space="0" w:color="auto"/>
            <w:bottom w:val="none" w:sz="0" w:space="0" w:color="auto"/>
            <w:right w:val="none" w:sz="0" w:space="0" w:color="auto"/>
          </w:divBdr>
          <w:divsChild>
            <w:div w:id="127476574">
              <w:marLeft w:val="0"/>
              <w:marRight w:val="0"/>
              <w:marTop w:val="0"/>
              <w:marBottom w:val="0"/>
              <w:divBdr>
                <w:top w:val="none" w:sz="0" w:space="0" w:color="auto"/>
                <w:left w:val="none" w:sz="0" w:space="0" w:color="auto"/>
                <w:bottom w:val="none" w:sz="0" w:space="0" w:color="auto"/>
                <w:right w:val="none" w:sz="0" w:space="0" w:color="auto"/>
              </w:divBdr>
              <w:divsChild>
                <w:div w:id="313265750">
                  <w:marLeft w:val="0"/>
                  <w:marRight w:val="0"/>
                  <w:marTop w:val="0"/>
                  <w:marBottom w:val="0"/>
                  <w:divBdr>
                    <w:top w:val="none" w:sz="0" w:space="0" w:color="auto"/>
                    <w:left w:val="none" w:sz="0" w:space="0" w:color="auto"/>
                    <w:bottom w:val="none" w:sz="0" w:space="0" w:color="auto"/>
                    <w:right w:val="none" w:sz="0" w:space="0" w:color="auto"/>
                  </w:divBdr>
                  <w:divsChild>
                    <w:div w:id="838082268">
                      <w:marLeft w:val="0"/>
                      <w:marRight w:val="0"/>
                      <w:marTop w:val="0"/>
                      <w:marBottom w:val="0"/>
                      <w:divBdr>
                        <w:top w:val="none" w:sz="0" w:space="0" w:color="auto"/>
                        <w:left w:val="none" w:sz="0" w:space="0" w:color="auto"/>
                        <w:bottom w:val="none" w:sz="0" w:space="0" w:color="auto"/>
                        <w:right w:val="none" w:sz="0" w:space="0" w:color="auto"/>
                      </w:divBdr>
                    </w:div>
                    <w:div w:id="1662811375">
                      <w:marLeft w:val="0"/>
                      <w:marRight w:val="0"/>
                      <w:marTop w:val="0"/>
                      <w:marBottom w:val="0"/>
                      <w:divBdr>
                        <w:top w:val="none" w:sz="0" w:space="0" w:color="auto"/>
                        <w:left w:val="none" w:sz="0" w:space="0" w:color="auto"/>
                        <w:bottom w:val="none" w:sz="0" w:space="0" w:color="auto"/>
                        <w:right w:val="none" w:sz="0" w:space="0" w:color="auto"/>
                      </w:divBdr>
                      <w:divsChild>
                        <w:div w:id="594745955">
                          <w:marLeft w:val="0"/>
                          <w:marRight w:val="0"/>
                          <w:marTop w:val="0"/>
                          <w:marBottom w:val="0"/>
                          <w:divBdr>
                            <w:top w:val="none" w:sz="0" w:space="0" w:color="auto"/>
                            <w:left w:val="none" w:sz="0" w:space="0" w:color="auto"/>
                            <w:bottom w:val="none" w:sz="0" w:space="0" w:color="auto"/>
                            <w:right w:val="none" w:sz="0" w:space="0" w:color="auto"/>
                          </w:divBdr>
                        </w:div>
                        <w:div w:id="1394503940">
                          <w:marLeft w:val="0"/>
                          <w:marRight w:val="0"/>
                          <w:marTop w:val="0"/>
                          <w:marBottom w:val="0"/>
                          <w:divBdr>
                            <w:top w:val="none" w:sz="0" w:space="0" w:color="auto"/>
                            <w:left w:val="none" w:sz="0" w:space="0" w:color="auto"/>
                            <w:bottom w:val="none" w:sz="0" w:space="0" w:color="auto"/>
                            <w:right w:val="none" w:sz="0" w:space="0" w:color="auto"/>
                          </w:divBdr>
                        </w:div>
                      </w:divsChild>
                    </w:div>
                    <w:div w:id="1820488943">
                      <w:marLeft w:val="0"/>
                      <w:marRight w:val="0"/>
                      <w:marTop w:val="0"/>
                      <w:marBottom w:val="0"/>
                      <w:divBdr>
                        <w:top w:val="none" w:sz="0" w:space="0" w:color="auto"/>
                        <w:left w:val="none" w:sz="0" w:space="0" w:color="auto"/>
                        <w:bottom w:val="none" w:sz="0" w:space="0" w:color="auto"/>
                        <w:right w:val="none" w:sz="0" w:space="0" w:color="auto"/>
                      </w:divBdr>
                      <w:divsChild>
                        <w:div w:id="107815354">
                          <w:marLeft w:val="0"/>
                          <w:marRight w:val="0"/>
                          <w:marTop w:val="0"/>
                          <w:marBottom w:val="0"/>
                          <w:divBdr>
                            <w:top w:val="none" w:sz="0" w:space="0" w:color="auto"/>
                            <w:left w:val="none" w:sz="0" w:space="0" w:color="auto"/>
                            <w:bottom w:val="none" w:sz="0" w:space="0" w:color="auto"/>
                            <w:right w:val="none" w:sz="0" w:space="0" w:color="auto"/>
                          </w:divBdr>
                        </w:div>
                        <w:div w:id="737896862">
                          <w:marLeft w:val="0"/>
                          <w:marRight w:val="0"/>
                          <w:marTop w:val="0"/>
                          <w:marBottom w:val="0"/>
                          <w:divBdr>
                            <w:top w:val="none" w:sz="0" w:space="0" w:color="auto"/>
                            <w:left w:val="none" w:sz="0" w:space="0" w:color="auto"/>
                            <w:bottom w:val="none" w:sz="0" w:space="0" w:color="auto"/>
                            <w:right w:val="none" w:sz="0" w:space="0" w:color="auto"/>
                          </w:divBdr>
                        </w:div>
                        <w:div w:id="178908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82074">
                  <w:marLeft w:val="0"/>
                  <w:marRight w:val="0"/>
                  <w:marTop w:val="0"/>
                  <w:marBottom w:val="0"/>
                  <w:divBdr>
                    <w:top w:val="none" w:sz="0" w:space="0" w:color="auto"/>
                    <w:left w:val="none" w:sz="0" w:space="0" w:color="auto"/>
                    <w:bottom w:val="none" w:sz="0" w:space="0" w:color="auto"/>
                    <w:right w:val="none" w:sz="0" w:space="0" w:color="auto"/>
                  </w:divBdr>
                  <w:divsChild>
                    <w:div w:id="240607378">
                      <w:marLeft w:val="0"/>
                      <w:marRight w:val="0"/>
                      <w:marTop w:val="0"/>
                      <w:marBottom w:val="0"/>
                      <w:divBdr>
                        <w:top w:val="none" w:sz="0" w:space="0" w:color="auto"/>
                        <w:left w:val="none" w:sz="0" w:space="0" w:color="auto"/>
                        <w:bottom w:val="none" w:sz="0" w:space="0" w:color="auto"/>
                        <w:right w:val="none" w:sz="0" w:space="0" w:color="auto"/>
                      </w:divBdr>
                    </w:div>
                    <w:div w:id="766313420">
                      <w:marLeft w:val="0"/>
                      <w:marRight w:val="0"/>
                      <w:marTop w:val="0"/>
                      <w:marBottom w:val="0"/>
                      <w:divBdr>
                        <w:top w:val="none" w:sz="0" w:space="0" w:color="auto"/>
                        <w:left w:val="none" w:sz="0" w:space="0" w:color="auto"/>
                        <w:bottom w:val="none" w:sz="0" w:space="0" w:color="auto"/>
                        <w:right w:val="none" w:sz="0" w:space="0" w:color="auto"/>
                      </w:divBdr>
                    </w:div>
                    <w:div w:id="1490289875">
                      <w:marLeft w:val="0"/>
                      <w:marRight w:val="0"/>
                      <w:marTop w:val="0"/>
                      <w:marBottom w:val="0"/>
                      <w:divBdr>
                        <w:top w:val="none" w:sz="0" w:space="0" w:color="auto"/>
                        <w:left w:val="none" w:sz="0" w:space="0" w:color="auto"/>
                        <w:bottom w:val="none" w:sz="0" w:space="0" w:color="auto"/>
                        <w:right w:val="none" w:sz="0" w:space="0" w:color="auto"/>
                      </w:divBdr>
                      <w:divsChild>
                        <w:div w:id="164899445">
                          <w:marLeft w:val="0"/>
                          <w:marRight w:val="0"/>
                          <w:marTop w:val="0"/>
                          <w:marBottom w:val="0"/>
                          <w:divBdr>
                            <w:top w:val="none" w:sz="0" w:space="0" w:color="auto"/>
                            <w:left w:val="none" w:sz="0" w:space="0" w:color="auto"/>
                            <w:bottom w:val="none" w:sz="0" w:space="0" w:color="auto"/>
                            <w:right w:val="none" w:sz="0" w:space="0" w:color="auto"/>
                          </w:divBdr>
                        </w:div>
                        <w:div w:id="1693990939">
                          <w:marLeft w:val="0"/>
                          <w:marRight w:val="0"/>
                          <w:marTop w:val="0"/>
                          <w:marBottom w:val="0"/>
                          <w:divBdr>
                            <w:top w:val="none" w:sz="0" w:space="0" w:color="auto"/>
                            <w:left w:val="none" w:sz="0" w:space="0" w:color="auto"/>
                            <w:bottom w:val="none" w:sz="0" w:space="0" w:color="auto"/>
                            <w:right w:val="none" w:sz="0" w:space="0" w:color="auto"/>
                          </w:divBdr>
                        </w:div>
                      </w:divsChild>
                    </w:div>
                    <w:div w:id="151213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722514">
      <w:bodyDiv w:val="1"/>
      <w:marLeft w:val="0"/>
      <w:marRight w:val="0"/>
      <w:marTop w:val="0"/>
      <w:marBottom w:val="0"/>
      <w:divBdr>
        <w:top w:val="none" w:sz="0" w:space="0" w:color="auto"/>
        <w:left w:val="none" w:sz="0" w:space="0" w:color="auto"/>
        <w:bottom w:val="none" w:sz="0" w:space="0" w:color="auto"/>
        <w:right w:val="none" w:sz="0" w:space="0" w:color="auto"/>
      </w:divBdr>
    </w:div>
    <w:div w:id="1662351582">
      <w:bodyDiv w:val="1"/>
      <w:marLeft w:val="0"/>
      <w:marRight w:val="0"/>
      <w:marTop w:val="0"/>
      <w:marBottom w:val="0"/>
      <w:divBdr>
        <w:top w:val="none" w:sz="0" w:space="0" w:color="auto"/>
        <w:left w:val="none" w:sz="0" w:space="0" w:color="auto"/>
        <w:bottom w:val="none" w:sz="0" w:space="0" w:color="auto"/>
        <w:right w:val="none" w:sz="0" w:space="0" w:color="auto"/>
      </w:divBdr>
    </w:div>
    <w:div w:id="1668442957">
      <w:bodyDiv w:val="1"/>
      <w:marLeft w:val="0"/>
      <w:marRight w:val="0"/>
      <w:marTop w:val="0"/>
      <w:marBottom w:val="0"/>
      <w:divBdr>
        <w:top w:val="none" w:sz="0" w:space="0" w:color="auto"/>
        <w:left w:val="none" w:sz="0" w:space="0" w:color="auto"/>
        <w:bottom w:val="none" w:sz="0" w:space="0" w:color="auto"/>
        <w:right w:val="none" w:sz="0" w:space="0" w:color="auto"/>
      </w:divBdr>
    </w:div>
    <w:div w:id="1673945268">
      <w:bodyDiv w:val="1"/>
      <w:marLeft w:val="0"/>
      <w:marRight w:val="0"/>
      <w:marTop w:val="0"/>
      <w:marBottom w:val="0"/>
      <w:divBdr>
        <w:top w:val="none" w:sz="0" w:space="0" w:color="auto"/>
        <w:left w:val="none" w:sz="0" w:space="0" w:color="auto"/>
        <w:bottom w:val="none" w:sz="0" w:space="0" w:color="auto"/>
        <w:right w:val="none" w:sz="0" w:space="0" w:color="auto"/>
      </w:divBdr>
    </w:div>
    <w:div w:id="1694648180">
      <w:bodyDiv w:val="1"/>
      <w:marLeft w:val="0"/>
      <w:marRight w:val="0"/>
      <w:marTop w:val="0"/>
      <w:marBottom w:val="0"/>
      <w:divBdr>
        <w:top w:val="none" w:sz="0" w:space="0" w:color="auto"/>
        <w:left w:val="none" w:sz="0" w:space="0" w:color="auto"/>
        <w:bottom w:val="none" w:sz="0" w:space="0" w:color="auto"/>
        <w:right w:val="none" w:sz="0" w:space="0" w:color="auto"/>
      </w:divBdr>
    </w:div>
    <w:div w:id="1716464588">
      <w:bodyDiv w:val="1"/>
      <w:marLeft w:val="0"/>
      <w:marRight w:val="0"/>
      <w:marTop w:val="0"/>
      <w:marBottom w:val="0"/>
      <w:divBdr>
        <w:top w:val="none" w:sz="0" w:space="0" w:color="auto"/>
        <w:left w:val="none" w:sz="0" w:space="0" w:color="auto"/>
        <w:bottom w:val="none" w:sz="0" w:space="0" w:color="auto"/>
        <w:right w:val="none" w:sz="0" w:space="0" w:color="auto"/>
      </w:divBdr>
      <w:divsChild>
        <w:div w:id="105126680">
          <w:marLeft w:val="1166"/>
          <w:marRight w:val="0"/>
          <w:marTop w:val="0"/>
          <w:marBottom w:val="0"/>
          <w:divBdr>
            <w:top w:val="none" w:sz="0" w:space="0" w:color="auto"/>
            <w:left w:val="none" w:sz="0" w:space="0" w:color="auto"/>
            <w:bottom w:val="none" w:sz="0" w:space="0" w:color="auto"/>
            <w:right w:val="none" w:sz="0" w:space="0" w:color="auto"/>
          </w:divBdr>
        </w:div>
        <w:div w:id="125271937">
          <w:marLeft w:val="547"/>
          <w:marRight w:val="0"/>
          <w:marTop w:val="240"/>
          <w:marBottom w:val="0"/>
          <w:divBdr>
            <w:top w:val="none" w:sz="0" w:space="0" w:color="auto"/>
            <w:left w:val="none" w:sz="0" w:space="0" w:color="auto"/>
            <w:bottom w:val="none" w:sz="0" w:space="0" w:color="auto"/>
            <w:right w:val="none" w:sz="0" w:space="0" w:color="auto"/>
          </w:divBdr>
        </w:div>
      </w:divsChild>
    </w:div>
    <w:div w:id="1723752916">
      <w:bodyDiv w:val="1"/>
      <w:marLeft w:val="0"/>
      <w:marRight w:val="0"/>
      <w:marTop w:val="0"/>
      <w:marBottom w:val="0"/>
      <w:divBdr>
        <w:top w:val="none" w:sz="0" w:space="0" w:color="auto"/>
        <w:left w:val="none" w:sz="0" w:space="0" w:color="auto"/>
        <w:bottom w:val="none" w:sz="0" w:space="0" w:color="auto"/>
        <w:right w:val="none" w:sz="0" w:space="0" w:color="auto"/>
      </w:divBdr>
    </w:div>
    <w:div w:id="1726677847">
      <w:bodyDiv w:val="1"/>
      <w:marLeft w:val="0"/>
      <w:marRight w:val="0"/>
      <w:marTop w:val="0"/>
      <w:marBottom w:val="0"/>
      <w:divBdr>
        <w:top w:val="none" w:sz="0" w:space="0" w:color="auto"/>
        <w:left w:val="none" w:sz="0" w:space="0" w:color="auto"/>
        <w:bottom w:val="none" w:sz="0" w:space="0" w:color="auto"/>
        <w:right w:val="none" w:sz="0" w:space="0" w:color="auto"/>
      </w:divBdr>
    </w:div>
    <w:div w:id="1775051741">
      <w:bodyDiv w:val="1"/>
      <w:marLeft w:val="0"/>
      <w:marRight w:val="0"/>
      <w:marTop w:val="0"/>
      <w:marBottom w:val="0"/>
      <w:divBdr>
        <w:top w:val="none" w:sz="0" w:space="0" w:color="auto"/>
        <w:left w:val="none" w:sz="0" w:space="0" w:color="auto"/>
        <w:bottom w:val="none" w:sz="0" w:space="0" w:color="auto"/>
        <w:right w:val="none" w:sz="0" w:space="0" w:color="auto"/>
      </w:divBdr>
    </w:div>
    <w:div w:id="1784300841">
      <w:bodyDiv w:val="1"/>
      <w:marLeft w:val="0"/>
      <w:marRight w:val="0"/>
      <w:marTop w:val="0"/>
      <w:marBottom w:val="0"/>
      <w:divBdr>
        <w:top w:val="none" w:sz="0" w:space="0" w:color="auto"/>
        <w:left w:val="none" w:sz="0" w:space="0" w:color="auto"/>
        <w:bottom w:val="none" w:sz="0" w:space="0" w:color="auto"/>
        <w:right w:val="none" w:sz="0" w:space="0" w:color="auto"/>
      </w:divBdr>
    </w:div>
    <w:div w:id="1800226392">
      <w:bodyDiv w:val="1"/>
      <w:marLeft w:val="0"/>
      <w:marRight w:val="0"/>
      <w:marTop w:val="0"/>
      <w:marBottom w:val="0"/>
      <w:divBdr>
        <w:top w:val="none" w:sz="0" w:space="0" w:color="auto"/>
        <w:left w:val="none" w:sz="0" w:space="0" w:color="auto"/>
        <w:bottom w:val="none" w:sz="0" w:space="0" w:color="auto"/>
        <w:right w:val="none" w:sz="0" w:space="0" w:color="auto"/>
      </w:divBdr>
    </w:div>
    <w:div w:id="1800417076">
      <w:marLeft w:val="0"/>
      <w:marRight w:val="0"/>
      <w:marTop w:val="0"/>
      <w:marBottom w:val="0"/>
      <w:divBdr>
        <w:top w:val="none" w:sz="0" w:space="0" w:color="auto"/>
        <w:left w:val="none" w:sz="0" w:space="0" w:color="auto"/>
        <w:bottom w:val="none" w:sz="0" w:space="0" w:color="auto"/>
        <w:right w:val="none" w:sz="0" w:space="0" w:color="auto"/>
      </w:divBdr>
      <w:divsChild>
        <w:div w:id="69500515">
          <w:marLeft w:val="0"/>
          <w:marRight w:val="0"/>
          <w:marTop w:val="0"/>
          <w:marBottom w:val="0"/>
          <w:divBdr>
            <w:top w:val="none" w:sz="0" w:space="0" w:color="auto"/>
            <w:left w:val="none" w:sz="0" w:space="0" w:color="auto"/>
            <w:bottom w:val="none" w:sz="0" w:space="0" w:color="auto"/>
            <w:right w:val="none" w:sz="0" w:space="0" w:color="auto"/>
          </w:divBdr>
        </w:div>
        <w:div w:id="674529145">
          <w:marLeft w:val="0"/>
          <w:marRight w:val="0"/>
          <w:marTop w:val="0"/>
          <w:marBottom w:val="0"/>
          <w:divBdr>
            <w:top w:val="none" w:sz="0" w:space="0" w:color="auto"/>
            <w:left w:val="none" w:sz="0" w:space="0" w:color="auto"/>
            <w:bottom w:val="none" w:sz="0" w:space="0" w:color="auto"/>
            <w:right w:val="none" w:sz="0" w:space="0" w:color="auto"/>
          </w:divBdr>
          <w:divsChild>
            <w:div w:id="153109033">
              <w:marLeft w:val="0"/>
              <w:marRight w:val="0"/>
              <w:marTop w:val="0"/>
              <w:marBottom w:val="0"/>
              <w:divBdr>
                <w:top w:val="none" w:sz="0" w:space="0" w:color="auto"/>
                <w:left w:val="none" w:sz="0" w:space="0" w:color="auto"/>
                <w:bottom w:val="none" w:sz="0" w:space="0" w:color="auto"/>
                <w:right w:val="none" w:sz="0" w:space="0" w:color="auto"/>
              </w:divBdr>
            </w:div>
            <w:div w:id="870454737">
              <w:marLeft w:val="0"/>
              <w:marRight w:val="0"/>
              <w:marTop w:val="0"/>
              <w:marBottom w:val="0"/>
              <w:divBdr>
                <w:top w:val="none" w:sz="0" w:space="0" w:color="auto"/>
                <w:left w:val="none" w:sz="0" w:space="0" w:color="auto"/>
                <w:bottom w:val="none" w:sz="0" w:space="0" w:color="auto"/>
                <w:right w:val="none" w:sz="0" w:space="0" w:color="auto"/>
              </w:divBdr>
            </w:div>
            <w:div w:id="1778333174">
              <w:marLeft w:val="0"/>
              <w:marRight w:val="0"/>
              <w:marTop w:val="0"/>
              <w:marBottom w:val="0"/>
              <w:divBdr>
                <w:top w:val="none" w:sz="0" w:space="0" w:color="auto"/>
                <w:left w:val="none" w:sz="0" w:space="0" w:color="auto"/>
                <w:bottom w:val="none" w:sz="0" w:space="0" w:color="auto"/>
                <w:right w:val="none" w:sz="0" w:space="0" w:color="auto"/>
              </w:divBdr>
              <w:divsChild>
                <w:div w:id="10889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39913">
          <w:marLeft w:val="0"/>
          <w:marRight w:val="0"/>
          <w:marTop w:val="0"/>
          <w:marBottom w:val="0"/>
          <w:divBdr>
            <w:top w:val="none" w:sz="0" w:space="0" w:color="auto"/>
            <w:left w:val="none" w:sz="0" w:space="0" w:color="auto"/>
            <w:bottom w:val="none" w:sz="0" w:space="0" w:color="auto"/>
            <w:right w:val="none" w:sz="0" w:space="0" w:color="auto"/>
          </w:divBdr>
          <w:divsChild>
            <w:div w:id="958605517">
              <w:marLeft w:val="0"/>
              <w:marRight w:val="0"/>
              <w:marTop w:val="0"/>
              <w:marBottom w:val="0"/>
              <w:divBdr>
                <w:top w:val="none" w:sz="0" w:space="0" w:color="auto"/>
                <w:left w:val="none" w:sz="0" w:space="0" w:color="auto"/>
                <w:bottom w:val="none" w:sz="0" w:space="0" w:color="auto"/>
                <w:right w:val="none" w:sz="0" w:space="0" w:color="auto"/>
              </w:divBdr>
            </w:div>
            <w:div w:id="1520238594">
              <w:marLeft w:val="0"/>
              <w:marRight w:val="0"/>
              <w:marTop w:val="0"/>
              <w:marBottom w:val="0"/>
              <w:divBdr>
                <w:top w:val="none" w:sz="0" w:space="0" w:color="auto"/>
                <w:left w:val="none" w:sz="0" w:space="0" w:color="auto"/>
                <w:bottom w:val="none" w:sz="0" w:space="0" w:color="auto"/>
                <w:right w:val="none" w:sz="0" w:space="0" w:color="auto"/>
              </w:divBdr>
            </w:div>
            <w:div w:id="152786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21881">
      <w:bodyDiv w:val="1"/>
      <w:marLeft w:val="0"/>
      <w:marRight w:val="0"/>
      <w:marTop w:val="0"/>
      <w:marBottom w:val="0"/>
      <w:divBdr>
        <w:top w:val="none" w:sz="0" w:space="0" w:color="auto"/>
        <w:left w:val="none" w:sz="0" w:space="0" w:color="auto"/>
        <w:bottom w:val="none" w:sz="0" w:space="0" w:color="auto"/>
        <w:right w:val="none" w:sz="0" w:space="0" w:color="auto"/>
      </w:divBdr>
    </w:div>
    <w:div w:id="1854684256">
      <w:bodyDiv w:val="1"/>
      <w:marLeft w:val="0"/>
      <w:marRight w:val="0"/>
      <w:marTop w:val="0"/>
      <w:marBottom w:val="0"/>
      <w:divBdr>
        <w:top w:val="none" w:sz="0" w:space="0" w:color="auto"/>
        <w:left w:val="none" w:sz="0" w:space="0" w:color="auto"/>
        <w:bottom w:val="none" w:sz="0" w:space="0" w:color="auto"/>
        <w:right w:val="none" w:sz="0" w:space="0" w:color="auto"/>
      </w:divBdr>
    </w:div>
    <w:div w:id="1858301648">
      <w:bodyDiv w:val="1"/>
      <w:marLeft w:val="0"/>
      <w:marRight w:val="0"/>
      <w:marTop w:val="0"/>
      <w:marBottom w:val="0"/>
      <w:divBdr>
        <w:top w:val="none" w:sz="0" w:space="0" w:color="auto"/>
        <w:left w:val="none" w:sz="0" w:space="0" w:color="auto"/>
        <w:bottom w:val="none" w:sz="0" w:space="0" w:color="auto"/>
        <w:right w:val="none" w:sz="0" w:space="0" w:color="auto"/>
      </w:divBdr>
    </w:div>
    <w:div w:id="1859342953">
      <w:bodyDiv w:val="1"/>
      <w:marLeft w:val="0"/>
      <w:marRight w:val="0"/>
      <w:marTop w:val="0"/>
      <w:marBottom w:val="0"/>
      <w:divBdr>
        <w:top w:val="none" w:sz="0" w:space="0" w:color="auto"/>
        <w:left w:val="none" w:sz="0" w:space="0" w:color="auto"/>
        <w:bottom w:val="none" w:sz="0" w:space="0" w:color="auto"/>
        <w:right w:val="none" w:sz="0" w:space="0" w:color="auto"/>
      </w:divBdr>
    </w:div>
    <w:div w:id="1865626995">
      <w:bodyDiv w:val="1"/>
      <w:marLeft w:val="0"/>
      <w:marRight w:val="0"/>
      <w:marTop w:val="0"/>
      <w:marBottom w:val="0"/>
      <w:divBdr>
        <w:top w:val="none" w:sz="0" w:space="0" w:color="auto"/>
        <w:left w:val="none" w:sz="0" w:space="0" w:color="auto"/>
        <w:bottom w:val="none" w:sz="0" w:space="0" w:color="auto"/>
        <w:right w:val="none" w:sz="0" w:space="0" w:color="auto"/>
      </w:divBdr>
    </w:div>
    <w:div w:id="1890266420">
      <w:bodyDiv w:val="1"/>
      <w:marLeft w:val="0"/>
      <w:marRight w:val="0"/>
      <w:marTop w:val="0"/>
      <w:marBottom w:val="0"/>
      <w:divBdr>
        <w:top w:val="none" w:sz="0" w:space="0" w:color="auto"/>
        <w:left w:val="none" w:sz="0" w:space="0" w:color="auto"/>
        <w:bottom w:val="none" w:sz="0" w:space="0" w:color="auto"/>
        <w:right w:val="none" w:sz="0" w:space="0" w:color="auto"/>
      </w:divBdr>
      <w:divsChild>
        <w:div w:id="390155520">
          <w:marLeft w:val="1166"/>
          <w:marRight w:val="0"/>
          <w:marTop w:val="0"/>
          <w:marBottom w:val="0"/>
          <w:divBdr>
            <w:top w:val="none" w:sz="0" w:space="0" w:color="auto"/>
            <w:left w:val="none" w:sz="0" w:space="0" w:color="auto"/>
            <w:bottom w:val="none" w:sz="0" w:space="0" w:color="auto"/>
            <w:right w:val="none" w:sz="0" w:space="0" w:color="auto"/>
          </w:divBdr>
        </w:div>
        <w:div w:id="747700725">
          <w:marLeft w:val="1166"/>
          <w:marRight w:val="0"/>
          <w:marTop w:val="0"/>
          <w:marBottom w:val="0"/>
          <w:divBdr>
            <w:top w:val="none" w:sz="0" w:space="0" w:color="auto"/>
            <w:left w:val="none" w:sz="0" w:space="0" w:color="auto"/>
            <w:bottom w:val="none" w:sz="0" w:space="0" w:color="auto"/>
            <w:right w:val="none" w:sz="0" w:space="0" w:color="auto"/>
          </w:divBdr>
        </w:div>
        <w:div w:id="1389650030">
          <w:marLeft w:val="1166"/>
          <w:marRight w:val="0"/>
          <w:marTop w:val="0"/>
          <w:marBottom w:val="0"/>
          <w:divBdr>
            <w:top w:val="none" w:sz="0" w:space="0" w:color="auto"/>
            <w:left w:val="none" w:sz="0" w:space="0" w:color="auto"/>
            <w:bottom w:val="none" w:sz="0" w:space="0" w:color="auto"/>
            <w:right w:val="none" w:sz="0" w:space="0" w:color="auto"/>
          </w:divBdr>
        </w:div>
        <w:div w:id="1971933932">
          <w:marLeft w:val="547"/>
          <w:marRight w:val="0"/>
          <w:marTop w:val="240"/>
          <w:marBottom w:val="0"/>
          <w:divBdr>
            <w:top w:val="none" w:sz="0" w:space="0" w:color="auto"/>
            <w:left w:val="none" w:sz="0" w:space="0" w:color="auto"/>
            <w:bottom w:val="none" w:sz="0" w:space="0" w:color="auto"/>
            <w:right w:val="none" w:sz="0" w:space="0" w:color="auto"/>
          </w:divBdr>
        </w:div>
      </w:divsChild>
    </w:div>
    <w:div w:id="1893619208">
      <w:bodyDiv w:val="1"/>
      <w:marLeft w:val="0"/>
      <w:marRight w:val="0"/>
      <w:marTop w:val="0"/>
      <w:marBottom w:val="0"/>
      <w:divBdr>
        <w:top w:val="none" w:sz="0" w:space="0" w:color="auto"/>
        <w:left w:val="none" w:sz="0" w:space="0" w:color="auto"/>
        <w:bottom w:val="none" w:sz="0" w:space="0" w:color="auto"/>
        <w:right w:val="none" w:sz="0" w:space="0" w:color="auto"/>
      </w:divBdr>
      <w:divsChild>
        <w:div w:id="1192302138">
          <w:marLeft w:val="547"/>
          <w:marRight w:val="0"/>
          <w:marTop w:val="0"/>
          <w:marBottom w:val="0"/>
          <w:divBdr>
            <w:top w:val="none" w:sz="0" w:space="0" w:color="auto"/>
            <w:left w:val="none" w:sz="0" w:space="0" w:color="auto"/>
            <w:bottom w:val="none" w:sz="0" w:space="0" w:color="auto"/>
            <w:right w:val="none" w:sz="0" w:space="0" w:color="auto"/>
          </w:divBdr>
        </w:div>
        <w:div w:id="1377315449">
          <w:marLeft w:val="547"/>
          <w:marRight w:val="0"/>
          <w:marTop w:val="0"/>
          <w:marBottom w:val="0"/>
          <w:divBdr>
            <w:top w:val="none" w:sz="0" w:space="0" w:color="auto"/>
            <w:left w:val="none" w:sz="0" w:space="0" w:color="auto"/>
            <w:bottom w:val="none" w:sz="0" w:space="0" w:color="auto"/>
            <w:right w:val="none" w:sz="0" w:space="0" w:color="auto"/>
          </w:divBdr>
        </w:div>
      </w:divsChild>
    </w:div>
    <w:div w:id="1896893760">
      <w:marLeft w:val="0"/>
      <w:marRight w:val="0"/>
      <w:marTop w:val="0"/>
      <w:marBottom w:val="0"/>
      <w:divBdr>
        <w:top w:val="none" w:sz="0" w:space="0" w:color="auto"/>
        <w:left w:val="none" w:sz="0" w:space="0" w:color="auto"/>
        <w:bottom w:val="none" w:sz="0" w:space="0" w:color="auto"/>
        <w:right w:val="none" w:sz="0" w:space="0" w:color="auto"/>
      </w:divBdr>
    </w:div>
    <w:div w:id="1909683223">
      <w:bodyDiv w:val="1"/>
      <w:marLeft w:val="0"/>
      <w:marRight w:val="0"/>
      <w:marTop w:val="0"/>
      <w:marBottom w:val="0"/>
      <w:divBdr>
        <w:top w:val="none" w:sz="0" w:space="0" w:color="auto"/>
        <w:left w:val="none" w:sz="0" w:space="0" w:color="auto"/>
        <w:bottom w:val="none" w:sz="0" w:space="0" w:color="auto"/>
        <w:right w:val="none" w:sz="0" w:space="0" w:color="auto"/>
      </w:divBdr>
      <w:divsChild>
        <w:div w:id="248126112">
          <w:marLeft w:val="1166"/>
          <w:marRight w:val="0"/>
          <w:marTop w:val="0"/>
          <w:marBottom w:val="0"/>
          <w:divBdr>
            <w:top w:val="none" w:sz="0" w:space="0" w:color="auto"/>
            <w:left w:val="none" w:sz="0" w:space="0" w:color="auto"/>
            <w:bottom w:val="none" w:sz="0" w:space="0" w:color="auto"/>
            <w:right w:val="none" w:sz="0" w:space="0" w:color="auto"/>
          </w:divBdr>
        </w:div>
        <w:div w:id="367143205">
          <w:marLeft w:val="547"/>
          <w:marRight w:val="0"/>
          <w:marTop w:val="240"/>
          <w:marBottom w:val="0"/>
          <w:divBdr>
            <w:top w:val="none" w:sz="0" w:space="0" w:color="auto"/>
            <w:left w:val="none" w:sz="0" w:space="0" w:color="auto"/>
            <w:bottom w:val="none" w:sz="0" w:space="0" w:color="auto"/>
            <w:right w:val="none" w:sz="0" w:space="0" w:color="auto"/>
          </w:divBdr>
        </w:div>
        <w:div w:id="1133795160">
          <w:marLeft w:val="1166"/>
          <w:marRight w:val="0"/>
          <w:marTop w:val="0"/>
          <w:marBottom w:val="0"/>
          <w:divBdr>
            <w:top w:val="none" w:sz="0" w:space="0" w:color="auto"/>
            <w:left w:val="none" w:sz="0" w:space="0" w:color="auto"/>
            <w:bottom w:val="none" w:sz="0" w:space="0" w:color="auto"/>
            <w:right w:val="none" w:sz="0" w:space="0" w:color="auto"/>
          </w:divBdr>
        </w:div>
        <w:div w:id="1567372917">
          <w:marLeft w:val="547"/>
          <w:marRight w:val="0"/>
          <w:marTop w:val="240"/>
          <w:marBottom w:val="0"/>
          <w:divBdr>
            <w:top w:val="none" w:sz="0" w:space="0" w:color="auto"/>
            <w:left w:val="none" w:sz="0" w:space="0" w:color="auto"/>
            <w:bottom w:val="none" w:sz="0" w:space="0" w:color="auto"/>
            <w:right w:val="none" w:sz="0" w:space="0" w:color="auto"/>
          </w:divBdr>
        </w:div>
        <w:div w:id="1920865791">
          <w:marLeft w:val="547"/>
          <w:marRight w:val="0"/>
          <w:marTop w:val="240"/>
          <w:marBottom w:val="0"/>
          <w:divBdr>
            <w:top w:val="none" w:sz="0" w:space="0" w:color="auto"/>
            <w:left w:val="none" w:sz="0" w:space="0" w:color="auto"/>
            <w:bottom w:val="none" w:sz="0" w:space="0" w:color="auto"/>
            <w:right w:val="none" w:sz="0" w:space="0" w:color="auto"/>
          </w:divBdr>
        </w:div>
      </w:divsChild>
    </w:div>
    <w:div w:id="1913275857">
      <w:bodyDiv w:val="1"/>
      <w:marLeft w:val="0"/>
      <w:marRight w:val="0"/>
      <w:marTop w:val="0"/>
      <w:marBottom w:val="0"/>
      <w:divBdr>
        <w:top w:val="none" w:sz="0" w:space="0" w:color="auto"/>
        <w:left w:val="none" w:sz="0" w:space="0" w:color="auto"/>
        <w:bottom w:val="none" w:sz="0" w:space="0" w:color="auto"/>
        <w:right w:val="none" w:sz="0" w:space="0" w:color="auto"/>
      </w:divBdr>
    </w:div>
    <w:div w:id="1937328523">
      <w:bodyDiv w:val="1"/>
      <w:marLeft w:val="0"/>
      <w:marRight w:val="0"/>
      <w:marTop w:val="0"/>
      <w:marBottom w:val="0"/>
      <w:divBdr>
        <w:top w:val="none" w:sz="0" w:space="0" w:color="auto"/>
        <w:left w:val="none" w:sz="0" w:space="0" w:color="auto"/>
        <w:bottom w:val="none" w:sz="0" w:space="0" w:color="auto"/>
        <w:right w:val="none" w:sz="0" w:space="0" w:color="auto"/>
      </w:divBdr>
      <w:divsChild>
        <w:div w:id="479271276">
          <w:marLeft w:val="547"/>
          <w:marRight w:val="0"/>
          <w:marTop w:val="240"/>
          <w:marBottom w:val="0"/>
          <w:divBdr>
            <w:top w:val="none" w:sz="0" w:space="0" w:color="auto"/>
            <w:left w:val="none" w:sz="0" w:space="0" w:color="auto"/>
            <w:bottom w:val="none" w:sz="0" w:space="0" w:color="auto"/>
            <w:right w:val="none" w:sz="0" w:space="0" w:color="auto"/>
          </w:divBdr>
        </w:div>
        <w:div w:id="964507248">
          <w:marLeft w:val="547"/>
          <w:marRight w:val="0"/>
          <w:marTop w:val="240"/>
          <w:marBottom w:val="0"/>
          <w:divBdr>
            <w:top w:val="none" w:sz="0" w:space="0" w:color="auto"/>
            <w:left w:val="none" w:sz="0" w:space="0" w:color="auto"/>
            <w:bottom w:val="none" w:sz="0" w:space="0" w:color="auto"/>
            <w:right w:val="none" w:sz="0" w:space="0" w:color="auto"/>
          </w:divBdr>
        </w:div>
        <w:div w:id="1409620086">
          <w:marLeft w:val="547"/>
          <w:marRight w:val="0"/>
          <w:marTop w:val="240"/>
          <w:marBottom w:val="0"/>
          <w:divBdr>
            <w:top w:val="none" w:sz="0" w:space="0" w:color="auto"/>
            <w:left w:val="none" w:sz="0" w:space="0" w:color="auto"/>
            <w:bottom w:val="none" w:sz="0" w:space="0" w:color="auto"/>
            <w:right w:val="none" w:sz="0" w:space="0" w:color="auto"/>
          </w:divBdr>
        </w:div>
        <w:div w:id="1779062408">
          <w:marLeft w:val="547"/>
          <w:marRight w:val="0"/>
          <w:marTop w:val="240"/>
          <w:marBottom w:val="0"/>
          <w:divBdr>
            <w:top w:val="none" w:sz="0" w:space="0" w:color="auto"/>
            <w:left w:val="none" w:sz="0" w:space="0" w:color="auto"/>
            <w:bottom w:val="none" w:sz="0" w:space="0" w:color="auto"/>
            <w:right w:val="none" w:sz="0" w:space="0" w:color="auto"/>
          </w:divBdr>
        </w:div>
      </w:divsChild>
    </w:div>
    <w:div w:id="1954823887">
      <w:bodyDiv w:val="1"/>
      <w:marLeft w:val="0"/>
      <w:marRight w:val="0"/>
      <w:marTop w:val="0"/>
      <w:marBottom w:val="0"/>
      <w:divBdr>
        <w:top w:val="none" w:sz="0" w:space="0" w:color="auto"/>
        <w:left w:val="none" w:sz="0" w:space="0" w:color="auto"/>
        <w:bottom w:val="none" w:sz="0" w:space="0" w:color="auto"/>
        <w:right w:val="none" w:sz="0" w:space="0" w:color="auto"/>
      </w:divBdr>
      <w:divsChild>
        <w:div w:id="1088766256">
          <w:marLeft w:val="274"/>
          <w:marRight w:val="0"/>
          <w:marTop w:val="0"/>
          <w:marBottom w:val="0"/>
          <w:divBdr>
            <w:top w:val="none" w:sz="0" w:space="0" w:color="auto"/>
            <w:left w:val="none" w:sz="0" w:space="0" w:color="auto"/>
            <w:bottom w:val="none" w:sz="0" w:space="0" w:color="auto"/>
            <w:right w:val="none" w:sz="0" w:space="0" w:color="auto"/>
          </w:divBdr>
        </w:div>
      </w:divsChild>
    </w:div>
    <w:div w:id="1956329809">
      <w:marLeft w:val="0"/>
      <w:marRight w:val="0"/>
      <w:marTop w:val="0"/>
      <w:marBottom w:val="0"/>
      <w:divBdr>
        <w:top w:val="none" w:sz="0" w:space="0" w:color="auto"/>
        <w:left w:val="none" w:sz="0" w:space="0" w:color="auto"/>
        <w:bottom w:val="none" w:sz="0" w:space="0" w:color="auto"/>
        <w:right w:val="none" w:sz="0" w:space="0" w:color="auto"/>
      </w:divBdr>
      <w:divsChild>
        <w:div w:id="1783841532">
          <w:marLeft w:val="0"/>
          <w:marRight w:val="0"/>
          <w:marTop w:val="0"/>
          <w:marBottom w:val="0"/>
          <w:divBdr>
            <w:top w:val="none" w:sz="0" w:space="0" w:color="auto"/>
            <w:left w:val="none" w:sz="0" w:space="0" w:color="auto"/>
            <w:bottom w:val="none" w:sz="0" w:space="0" w:color="auto"/>
            <w:right w:val="none" w:sz="0" w:space="0" w:color="auto"/>
          </w:divBdr>
          <w:divsChild>
            <w:div w:id="1854805466">
              <w:marLeft w:val="0"/>
              <w:marRight w:val="0"/>
              <w:marTop w:val="0"/>
              <w:marBottom w:val="0"/>
              <w:divBdr>
                <w:top w:val="none" w:sz="0" w:space="0" w:color="auto"/>
                <w:left w:val="none" w:sz="0" w:space="0" w:color="auto"/>
                <w:bottom w:val="none" w:sz="0" w:space="0" w:color="auto"/>
                <w:right w:val="none" w:sz="0" w:space="0" w:color="auto"/>
              </w:divBdr>
              <w:divsChild>
                <w:div w:id="801264491">
                  <w:marLeft w:val="0"/>
                  <w:marRight w:val="0"/>
                  <w:marTop w:val="0"/>
                  <w:marBottom w:val="0"/>
                  <w:divBdr>
                    <w:top w:val="none" w:sz="0" w:space="0" w:color="auto"/>
                    <w:left w:val="none" w:sz="0" w:space="0" w:color="auto"/>
                    <w:bottom w:val="none" w:sz="0" w:space="0" w:color="auto"/>
                    <w:right w:val="none" w:sz="0" w:space="0" w:color="auto"/>
                  </w:divBdr>
                </w:div>
                <w:div w:id="1030303835">
                  <w:marLeft w:val="0"/>
                  <w:marRight w:val="0"/>
                  <w:marTop w:val="0"/>
                  <w:marBottom w:val="0"/>
                  <w:divBdr>
                    <w:top w:val="none" w:sz="0" w:space="0" w:color="auto"/>
                    <w:left w:val="none" w:sz="0" w:space="0" w:color="auto"/>
                    <w:bottom w:val="none" w:sz="0" w:space="0" w:color="auto"/>
                    <w:right w:val="none" w:sz="0" w:space="0" w:color="auto"/>
                  </w:divBdr>
                </w:div>
                <w:div w:id="1107651554">
                  <w:marLeft w:val="0"/>
                  <w:marRight w:val="0"/>
                  <w:marTop w:val="0"/>
                  <w:marBottom w:val="0"/>
                  <w:divBdr>
                    <w:top w:val="none" w:sz="0" w:space="0" w:color="auto"/>
                    <w:left w:val="none" w:sz="0" w:space="0" w:color="auto"/>
                    <w:bottom w:val="none" w:sz="0" w:space="0" w:color="auto"/>
                    <w:right w:val="none" w:sz="0" w:space="0" w:color="auto"/>
                  </w:divBdr>
                </w:div>
                <w:div w:id="1238321136">
                  <w:marLeft w:val="0"/>
                  <w:marRight w:val="0"/>
                  <w:marTop w:val="0"/>
                  <w:marBottom w:val="0"/>
                  <w:divBdr>
                    <w:top w:val="none" w:sz="0" w:space="0" w:color="auto"/>
                    <w:left w:val="none" w:sz="0" w:space="0" w:color="auto"/>
                    <w:bottom w:val="none" w:sz="0" w:space="0" w:color="auto"/>
                    <w:right w:val="none" w:sz="0" w:space="0" w:color="auto"/>
                  </w:divBdr>
                </w:div>
                <w:div w:id="1317759343">
                  <w:marLeft w:val="0"/>
                  <w:marRight w:val="0"/>
                  <w:marTop w:val="0"/>
                  <w:marBottom w:val="0"/>
                  <w:divBdr>
                    <w:top w:val="none" w:sz="0" w:space="0" w:color="auto"/>
                    <w:left w:val="none" w:sz="0" w:space="0" w:color="auto"/>
                    <w:bottom w:val="none" w:sz="0" w:space="0" w:color="auto"/>
                    <w:right w:val="none" w:sz="0" w:space="0" w:color="auto"/>
                  </w:divBdr>
                </w:div>
                <w:div w:id="1637024000">
                  <w:marLeft w:val="0"/>
                  <w:marRight w:val="0"/>
                  <w:marTop w:val="0"/>
                  <w:marBottom w:val="0"/>
                  <w:divBdr>
                    <w:top w:val="none" w:sz="0" w:space="0" w:color="auto"/>
                    <w:left w:val="none" w:sz="0" w:space="0" w:color="auto"/>
                    <w:bottom w:val="none" w:sz="0" w:space="0" w:color="auto"/>
                    <w:right w:val="none" w:sz="0" w:space="0" w:color="auto"/>
                  </w:divBdr>
                </w:div>
                <w:div w:id="193550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237354">
          <w:marLeft w:val="0"/>
          <w:marRight w:val="0"/>
          <w:marTop w:val="0"/>
          <w:marBottom w:val="0"/>
          <w:divBdr>
            <w:top w:val="none" w:sz="0" w:space="0" w:color="auto"/>
            <w:left w:val="none" w:sz="0" w:space="0" w:color="auto"/>
            <w:bottom w:val="none" w:sz="0" w:space="0" w:color="auto"/>
            <w:right w:val="none" w:sz="0" w:space="0" w:color="auto"/>
          </w:divBdr>
          <w:divsChild>
            <w:div w:id="1250042715">
              <w:marLeft w:val="0"/>
              <w:marRight w:val="0"/>
              <w:marTop w:val="0"/>
              <w:marBottom w:val="0"/>
              <w:divBdr>
                <w:top w:val="none" w:sz="0" w:space="0" w:color="auto"/>
                <w:left w:val="none" w:sz="0" w:space="0" w:color="auto"/>
                <w:bottom w:val="none" w:sz="0" w:space="0" w:color="auto"/>
                <w:right w:val="none" w:sz="0" w:space="0" w:color="auto"/>
              </w:divBdr>
              <w:divsChild>
                <w:div w:id="1795631012">
                  <w:marLeft w:val="0"/>
                  <w:marRight w:val="0"/>
                  <w:marTop w:val="0"/>
                  <w:marBottom w:val="0"/>
                  <w:divBdr>
                    <w:top w:val="none" w:sz="0" w:space="0" w:color="auto"/>
                    <w:left w:val="none" w:sz="0" w:space="0" w:color="auto"/>
                    <w:bottom w:val="none" w:sz="0" w:space="0" w:color="auto"/>
                    <w:right w:val="none" w:sz="0" w:space="0" w:color="auto"/>
                  </w:divBdr>
                  <w:divsChild>
                    <w:div w:id="253977773">
                      <w:marLeft w:val="0"/>
                      <w:marRight w:val="0"/>
                      <w:marTop w:val="0"/>
                      <w:marBottom w:val="0"/>
                      <w:divBdr>
                        <w:top w:val="none" w:sz="0" w:space="0" w:color="auto"/>
                        <w:left w:val="none" w:sz="0" w:space="0" w:color="auto"/>
                        <w:bottom w:val="none" w:sz="0" w:space="0" w:color="auto"/>
                        <w:right w:val="none" w:sz="0" w:space="0" w:color="auto"/>
                      </w:divBdr>
                    </w:div>
                    <w:div w:id="517085595">
                      <w:marLeft w:val="0"/>
                      <w:marRight w:val="0"/>
                      <w:marTop w:val="0"/>
                      <w:marBottom w:val="0"/>
                      <w:divBdr>
                        <w:top w:val="none" w:sz="0" w:space="0" w:color="auto"/>
                        <w:left w:val="none" w:sz="0" w:space="0" w:color="auto"/>
                        <w:bottom w:val="none" w:sz="0" w:space="0" w:color="auto"/>
                        <w:right w:val="none" w:sz="0" w:space="0" w:color="auto"/>
                      </w:divBdr>
                    </w:div>
                    <w:div w:id="123470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672234">
      <w:bodyDiv w:val="1"/>
      <w:marLeft w:val="0"/>
      <w:marRight w:val="0"/>
      <w:marTop w:val="0"/>
      <w:marBottom w:val="0"/>
      <w:divBdr>
        <w:top w:val="none" w:sz="0" w:space="0" w:color="auto"/>
        <w:left w:val="none" w:sz="0" w:space="0" w:color="auto"/>
        <w:bottom w:val="none" w:sz="0" w:space="0" w:color="auto"/>
        <w:right w:val="none" w:sz="0" w:space="0" w:color="auto"/>
      </w:divBdr>
    </w:div>
    <w:div w:id="1962104554">
      <w:bodyDiv w:val="1"/>
      <w:marLeft w:val="0"/>
      <w:marRight w:val="0"/>
      <w:marTop w:val="0"/>
      <w:marBottom w:val="0"/>
      <w:divBdr>
        <w:top w:val="none" w:sz="0" w:space="0" w:color="auto"/>
        <w:left w:val="none" w:sz="0" w:space="0" w:color="auto"/>
        <w:bottom w:val="none" w:sz="0" w:space="0" w:color="auto"/>
        <w:right w:val="none" w:sz="0" w:space="0" w:color="auto"/>
      </w:divBdr>
    </w:div>
    <w:div w:id="1965651681">
      <w:bodyDiv w:val="1"/>
      <w:marLeft w:val="0"/>
      <w:marRight w:val="0"/>
      <w:marTop w:val="0"/>
      <w:marBottom w:val="0"/>
      <w:divBdr>
        <w:top w:val="none" w:sz="0" w:space="0" w:color="auto"/>
        <w:left w:val="none" w:sz="0" w:space="0" w:color="auto"/>
        <w:bottom w:val="none" w:sz="0" w:space="0" w:color="auto"/>
        <w:right w:val="none" w:sz="0" w:space="0" w:color="auto"/>
      </w:divBdr>
      <w:divsChild>
        <w:div w:id="966861066">
          <w:marLeft w:val="1166"/>
          <w:marRight w:val="0"/>
          <w:marTop w:val="0"/>
          <w:marBottom w:val="0"/>
          <w:divBdr>
            <w:top w:val="none" w:sz="0" w:space="0" w:color="auto"/>
            <w:left w:val="none" w:sz="0" w:space="0" w:color="auto"/>
            <w:bottom w:val="none" w:sz="0" w:space="0" w:color="auto"/>
            <w:right w:val="none" w:sz="0" w:space="0" w:color="auto"/>
          </w:divBdr>
        </w:div>
        <w:div w:id="1008286157">
          <w:marLeft w:val="1166"/>
          <w:marRight w:val="0"/>
          <w:marTop w:val="0"/>
          <w:marBottom w:val="0"/>
          <w:divBdr>
            <w:top w:val="none" w:sz="0" w:space="0" w:color="auto"/>
            <w:left w:val="none" w:sz="0" w:space="0" w:color="auto"/>
            <w:bottom w:val="none" w:sz="0" w:space="0" w:color="auto"/>
            <w:right w:val="none" w:sz="0" w:space="0" w:color="auto"/>
          </w:divBdr>
        </w:div>
        <w:div w:id="1423455842">
          <w:marLeft w:val="1166"/>
          <w:marRight w:val="0"/>
          <w:marTop w:val="0"/>
          <w:marBottom w:val="0"/>
          <w:divBdr>
            <w:top w:val="none" w:sz="0" w:space="0" w:color="auto"/>
            <w:left w:val="none" w:sz="0" w:space="0" w:color="auto"/>
            <w:bottom w:val="none" w:sz="0" w:space="0" w:color="auto"/>
            <w:right w:val="none" w:sz="0" w:space="0" w:color="auto"/>
          </w:divBdr>
        </w:div>
      </w:divsChild>
    </w:div>
    <w:div w:id="1976135547">
      <w:bodyDiv w:val="1"/>
      <w:marLeft w:val="0"/>
      <w:marRight w:val="0"/>
      <w:marTop w:val="0"/>
      <w:marBottom w:val="0"/>
      <w:divBdr>
        <w:top w:val="none" w:sz="0" w:space="0" w:color="auto"/>
        <w:left w:val="none" w:sz="0" w:space="0" w:color="auto"/>
        <w:bottom w:val="none" w:sz="0" w:space="0" w:color="auto"/>
        <w:right w:val="none" w:sz="0" w:space="0" w:color="auto"/>
      </w:divBdr>
    </w:div>
    <w:div w:id="2008291738">
      <w:marLeft w:val="0"/>
      <w:marRight w:val="0"/>
      <w:marTop w:val="0"/>
      <w:marBottom w:val="0"/>
      <w:divBdr>
        <w:top w:val="none" w:sz="0" w:space="0" w:color="auto"/>
        <w:left w:val="none" w:sz="0" w:space="0" w:color="auto"/>
        <w:bottom w:val="none" w:sz="0" w:space="0" w:color="auto"/>
        <w:right w:val="none" w:sz="0" w:space="0" w:color="auto"/>
      </w:divBdr>
    </w:div>
    <w:div w:id="2047293219">
      <w:bodyDiv w:val="1"/>
      <w:marLeft w:val="0"/>
      <w:marRight w:val="0"/>
      <w:marTop w:val="0"/>
      <w:marBottom w:val="0"/>
      <w:divBdr>
        <w:top w:val="none" w:sz="0" w:space="0" w:color="auto"/>
        <w:left w:val="none" w:sz="0" w:space="0" w:color="auto"/>
        <w:bottom w:val="none" w:sz="0" w:space="0" w:color="auto"/>
        <w:right w:val="none" w:sz="0" w:space="0" w:color="auto"/>
      </w:divBdr>
    </w:div>
    <w:div w:id="2064794847">
      <w:bodyDiv w:val="1"/>
      <w:marLeft w:val="0"/>
      <w:marRight w:val="0"/>
      <w:marTop w:val="0"/>
      <w:marBottom w:val="0"/>
      <w:divBdr>
        <w:top w:val="none" w:sz="0" w:space="0" w:color="auto"/>
        <w:left w:val="none" w:sz="0" w:space="0" w:color="auto"/>
        <w:bottom w:val="none" w:sz="0" w:space="0" w:color="auto"/>
        <w:right w:val="none" w:sz="0" w:space="0" w:color="auto"/>
      </w:divBdr>
      <w:divsChild>
        <w:div w:id="1495760074">
          <w:marLeft w:val="547"/>
          <w:marRight w:val="0"/>
          <w:marTop w:val="240"/>
          <w:marBottom w:val="0"/>
          <w:divBdr>
            <w:top w:val="none" w:sz="0" w:space="0" w:color="auto"/>
            <w:left w:val="none" w:sz="0" w:space="0" w:color="auto"/>
            <w:bottom w:val="none" w:sz="0" w:space="0" w:color="auto"/>
            <w:right w:val="none" w:sz="0" w:space="0" w:color="auto"/>
          </w:divBdr>
        </w:div>
      </w:divsChild>
    </w:div>
    <w:div w:id="2107262778">
      <w:marLeft w:val="0"/>
      <w:marRight w:val="0"/>
      <w:marTop w:val="0"/>
      <w:marBottom w:val="0"/>
      <w:divBdr>
        <w:top w:val="none" w:sz="0" w:space="0" w:color="auto"/>
        <w:left w:val="none" w:sz="0" w:space="0" w:color="auto"/>
        <w:bottom w:val="none" w:sz="0" w:space="0" w:color="auto"/>
        <w:right w:val="none" w:sz="0" w:space="0" w:color="auto"/>
      </w:divBdr>
      <w:divsChild>
        <w:div w:id="661854386">
          <w:marLeft w:val="0"/>
          <w:marRight w:val="0"/>
          <w:marTop w:val="0"/>
          <w:marBottom w:val="0"/>
          <w:divBdr>
            <w:top w:val="none" w:sz="0" w:space="0" w:color="auto"/>
            <w:left w:val="none" w:sz="0" w:space="0" w:color="auto"/>
            <w:bottom w:val="none" w:sz="0" w:space="0" w:color="auto"/>
            <w:right w:val="none" w:sz="0" w:space="0" w:color="auto"/>
          </w:divBdr>
          <w:divsChild>
            <w:div w:id="1359699682">
              <w:marLeft w:val="0"/>
              <w:marRight w:val="0"/>
              <w:marTop w:val="0"/>
              <w:marBottom w:val="0"/>
              <w:divBdr>
                <w:top w:val="none" w:sz="0" w:space="0" w:color="auto"/>
                <w:left w:val="none" w:sz="0" w:space="0" w:color="auto"/>
                <w:bottom w:val="none" w:sz="0" w:space="0" w:color="auto"/>
                <w:right w:val="none" w:sz="0" w:space="0" w:color="auto"/>
              </w:divBdr>
              <w:divsChild>
                <w:div w:id="630400188">
                  <w:marLeft w:val="0"/>
                  <w:marRight w:val="0"/>
                  <w:marTop w:val="0"/>
                  <w:marBottom w:val="0"/>
                  <w:divBdr>
                    <w:top w:val="none" w:sz="0" w:space="0" w:color="auto"/>
                    <w:left w:val="none" w:sz="0" w:space="0" w:color="auto"/>
                    <w:bottom w:val="none" w:sz="0" w:space="0" w:color="auto"/>
                    <w:right w:val="none" w:sz="0" w:space="0" w:color="auto"/>
                  </w:divBdr>
                  <w:divsChild>
                    <w:div w:id="173961738">
                      <w:marLeft w:val="0"/>
                      <w:marRight w:val="0"/>
                      <w:marTop w:val="0"/>
                      <w:marBottom w:val="0"/>
                      <w:divBdr>
                        <w:top w:val="none" w:sz="0" w:space="0" w:color="auto"/>
                        <w:left w:val="none" w:sz="0" w:space="0" w:color="auto"/>
                        <w:bottom w:val="none" w:sz="0" w:space="0" w:color="auto"/>
                        <w:right w:val="none" w:sz="0" w:space="0" w:color="auto"/>
                      </w:divBdr>
                      <w:divsChild>
                        <w:div w:id="1894610586">
                          <w:marLeft w:val="0"/>
                          <w:marRight w:val="0"/>
                          <w:marTop w:val="0"/>
                          <w:marBottom w:val="0"/>
                          <w:divBdr>
                            <w:top w:val="none" w:sz="0" w:space="0" w:color="auto"/>
                            <w:left w:val="none" w:sz="0" w:space="0" w:color="auto"/>
                            <w:bottom w:val="none" w:sz="0" w:space="0" w:color="auto"/>
                            <w:right w:val="none" w:sz="0" w:space="0" w:color="auto"/>
                          </w:divBdr>
                        </w:div>
                      </w:divsChild>
                    </w:div>
                    <w:div w:id="284847720">
                      <w:marLeft w:val="0"/>
                      <w:marRight w:val="0"/>
                      <w:marTop w:val="0"/>
                      <w:marBottom w:val="0"/>
                      <w:divBdr>
                        <w:top w:val="none" w:sz="0" w:space="0" w:color="auto"/>
                        <w:left w:val="none" w:sz="0" w:space="0" w:color="auto"/>
                        <w:bottom w:val="none" w:sz="0" w:space="0" w:color="auto"/>
                        <w:right w:val="none" w:sz="0" w:space="0" w:color="auto"/>
                      </w:divBdr>
                    </w:div>
                  </w:divsChild>
                </w:div>
                <w:div w:id="1340431576">
                  <w:marLeft w:val="0"/>
                  <w:marRight w:val="0"/>
                  <w:marTop w:val="0"/>
                  <w:marBottom w:val="0"/>
                  <w:divBdr>
                    <w:top w:val="none" w:sz="0" w:space="0" w:color="auto"/>
                    <w:left w:val="none" w:sz="0" w:space="0" w:color="auto"/>
                    <w:bottom w:val="none" w:sz="0" w:space="0" w:color="auto"/>
                    <w:right w:val="none" w:sz="0" w:space="0" w:color="auto"/>
                  </w:divBdr>
                  <w:divsChild>
                    <w:div w:id="1278949502">
                      <w:marLeft w:val="0"/>
                      <w:marRight w:val="0"/>
                      <w:marTop w:val="0"/>
                      <w:marBottom w:val="0"/>
                      <w:divBdr>
                        <w:top w:val="none" w:sz="0" w:space="0" w:color="auto"/>
                        <w:left w:val="none" w:sz="0" w:space="0" w:color="auto"/>
                        <w:bottom w:val="none" w:sz="0" w:space="0" w:color="auto"/>
                        <w:right w:val="none" w:sz="0" w:space="0" w:color="auto"/>
                      </w:divBdr>
                    </w:div>
                  </w:divsChild>
                </w:div>
                <w:div w:id="19061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079550">
      <w:bodyDiv w:val="1"/>
      <w:marLeft w:val="0"/>
      <w:marRight w:val="0"/>
      <w:marTop w:val="0"/>
      <w:marBottom w:val="0"/>
      <w:divBdr>
        <w:top w:val="none" w:sz="0" w:space="0" w:color="auto"/>
        <w:left w:val="none" w:sz="0" w:space="0" w:color="auto"/>
        <w:bottom w:val="none" w:sz="0" w:space="0" w:color="auto"/>
        <w:right w:val="none" w:sz="0" w:space="0" w:color="auto"/>
      </w:divBdr>
    </w:div>
    <w:div w:id="2140609695">
      <w:bodyDiv w:val="1"/>
      <w:marLeft w:val="0"/>
      <w:marRight w:val="0"/>
      <w:marTop w:val="0"/>
      <w:marBottom w:val="0"/>
      <w:divBdr>
        <w:top w:val="none" w:sz="0" w:space="0" w:color="auto"/>
        <w:left w:val="none" w:sz="0" w:space="0" w:color="auto"/>
        <w:bottom w:val="none" w:sz="0" w:space="0" w:color="auto"/>
        <w:right w:val="none" w:sz="0" w:space="0" w:color="auto"/>
      </w:divBdr>
    </w:div>
    <w:div w:id="2145267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www.iso-ne.com/static-assets/documents/2019/02/fca_13_results_filing.pdf" TargetMode="External"/><Relationship Id="rId39"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11.emf"/><Relationship Id="rId42" Type="http://schemas.openxmlformats.org/officeDocument/2006/relationships/image" Target="media/image19.emf"/><Relationship Id="rId47" Type="http://schemas.openxmlformats.org/officeDocument/2006/relationships/image" Target="media/image24.png"/><Relationship Id="rId50"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20https:/www.iso-ne.com/static-assets/documents/2019/04/2019_celt_report.xls" TargetMode="External"/><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hyperlink" Target="https://www.iso-ne.com/about/key-stats/maps-and-diagrams/" TargetMode="External"/><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iso-ne.com/static-assets/documents/2019/04/2019_celt_report.xls" TargetMode="External"/><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image" Target="media/image6.emf"/><Relationship Id="rId36" Type="http://schemas.openxmlformats.org/officeDocument/2006/relationships/image" Target="media/image13.emf"/><Relationship Id="rId49"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image" Target="media/image8.emf"/><Relationship Id="rId44" Type="http://schemas.openxmlformats.org/officeDocument/2006/relationships/image" Target="media/image21.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5.emf"/><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image" Target="media/image20.png"/><Relationship Id="rId48" Type="http://schemas.openxmlformats.org/officeDocument/2006/relationships/image" Target="media/image25.png"/><Relationship Id="rId8" Type="http://schemas.openxmlformats.org/officeDocument/2006/relationships/image" Target="media/image1.png"/><Relationship Id="rId51" Type="http://schemas.openxmlformats.org/officeDocument/2006/relationships/footer" Target="footer8.xml"/></Relationships>
</file>

<file path=word/_rels/footnotes.xml.rels><?xml version="1.0" encoding="UTF-8" standalone="yes"?>
<Relationships xmlns="http://schemas.openxmlformats.org/package/2006/relationships"><Relationship Id="rId8" Type="http://schemas.openxmlformats.org/officeDocument/2006/relationships/hyperlink" Target="https://www.iso-ne.com/static-assets/documents/2020/05/a4_nescoe_2019_economic_study_ancillary_services_analysis.pdf" TargetMode="External"/><Relationship Id="rId13" Type="http://schemas.openxmlformats.org/officeDocument/2006/relationships/hyperlink" Target="https://www.iso-ne.com/participate/support/request-information" TargetMode="External"/><Relationship Id="rId18" Type="http://schemas.openxmlformats.org/officeDocument/2006/relationships/hyperlink" Target="https://irtt.iso-ne.com/reports/external" TargetMode="External"/><Relationship Id="rId26" Type="http://schemas.openxmlformats.org/officeDocument/2006/relationships/hyperlink" Target="https://www.iso-ne.com/about/key-stats/maps-and-diagrams/" TargetMode="External"/><Relationship Id="rId39" Type="http://schemas.openxmlformats.org/officeDocument/2006/relationships/hyperlink" Target="https://www.iso-ne.com/static-assets/documents/2020/05/2018_air_emissions_report.pdf" TargetMode="External"/><Relationship Id="rId3" Type="http://schemas.openxmlformats.org/officeDocument/2006/relationships/hyperlink" Target="https://www.iso-ne.com/static-assets/documents/regulatory/tariff/sect_2/oatt/sect_ii.pdf" TargetMode="External"/><Relationship Id="rId21" Type="http://schemas.openxmlformats.org/officeDocument/2006/relationships/hyperlink" Target="https://www.iso-ne.com/static-assets/documents/2015/02/sch_25.pdf" TargetMode="External"/><Relationship Id="rId34" Type="http://schemas.openxmlformats.org/officeDocument/2006/relationships/hyperlink" Target="https://fileservice.eea.comacloud.net/FileService.Api/file/FileRoom/9946889" TargetMode="External"/><Relationship Id="rId7" Type="http://schemas.openxmlformats.org/officeDocument/2006/relationships/hyperlink" Target="https://www.iso-ne.com/static-assets/documents/2020/04/a5-nescoe-2019-econ-study-follow-to-the-feb-2019.pdf" TargetMode="External"/><Relationship Id="rId12" Type="http://schemas.openxmlformats.org/officeDocument/2006/relationships/hyperlink" Target="https://www.iso-ne.com/event-details?eventId=140525" TargetMode="External"/><Relationship Id="rId17" Type="http://schemas.openxmlformats.org/officeDocument/2006/relationships/hyperlink" Target="https://www.iso-ne.com/system-planning/transmission-planning/interconnection-request-queue/" TargetMode="External"/><Relationship Id="rId25" Type="http://schemas.openxmlformats.org/officeDocument/2006/relationships/hyperlink" Target="https://www.iso-ne.com/static-assets/documents/2019/03/a8_fca14_transmission_transfer_capabilities_and_capacity_zone_development.pdf" TargetMode="External"/><Relationship Id="rId33" Type="http://schemas.openxmlformats.org/officeDocument/2006/relationships/hyperlink" Target="https://fileservice.eea.comacloud.net/FileService.Api/file/FileRoom/9946888" TargetMode="External"/><Relationship Id="rId38" Type="http://schemas.openxmlformats.org/officeDocument/2006/relationships/hyperlink" Target="https://www.iso-ne.com/static-assets/documents/2019/04/nescoe_2019_economic_study_request.pdf%20" TargetMode="External"/><Relationship Id="rId2" Type="http://schemas.openxmlformats.org/officeDocument/2006/relationships/hyperlink" Target="https://www.iso-ne.com/static-assets/documents/2019/04/anbaric_2019_economic_study_request.pdf" TargetMode="External"/><Relationship Id="rId16" Type="http://schemas.openxmlformats.org/officeDocument/2006/relationships/hyperlink" Target="https://www.iso-ne.com/static-assets/documents/2019/05/a2_2019_economic_study_draft_scope_of_work_and_high_level_assumptions.pptx" TargetMode="External"/><Relationship Id="rId20" Type="http://schemas.openxmlformats.org/officeDocument/2006/relationships/hyperlink" Target="https://www.iso-ne.com/static-assets/documents/regulatory/tariff/sect_2/sch23/sch_23_sgip.pdf" TargetMode="External"/><Relationship Id="rId29" Type="http://schemas.openxmlformats.org/officeDocument/2006/relationships/hyperlink" Target="https://www.iso-ne.com/static-assets/documents/2020/05/2-2018-04-13-pac-presentation.pdf" TargetMode="External"/><Relationship Id="rId1" Type="http://schemas.openxmlformats.org/officeDocument/2006/relationships/hyperlink" Target="https://www.iso-ne.com/static-assets/documents/2019/04/a2_renew_2019_economic_study_request_presentation.pdf" TargetMode="External"/><Relationship Id="rId6" Type="http://schemas.openxmlformats.org/officeDocument/2006/relationships/hyperlink" Target="https://www.iso-ne.com/static-assets/documents/2020/02/a6_nescoe_2019_Econ_8000.pdf" TargetMode="External"/><Relationship Id="rId11" Type="http://schemas.openxmlformats.org/officeDocument/2006/relationships/hyperlink" Target="https://smd.iso-ne.com/operations-services/ceii/pac/2020/05/a3_2019_economic_study_offshore_wind_transmission_interconnection_analysis_ceii.pdf" TargetMode="External"/><Relationship Id="rId24" Type="http://schemas.openxmlformats.org/officeDocument/2006/relationships/hyperlink" Target="https://www.iso-ne.com/static-assets/documents/2019/11/a6_2019_economic_study_request_status_update.pdf" TargetMode="External"/><Relationship Id="rId32" Type="http://schemas.openxmlformats.org/officeDocument/2006/relationships/hyperlink" Target="https://malegislature.gov/Laws/SessionLaws/Acts/2008/Chapter298" TargetMode="External"/><Relationship Id="rId37" Type="http://schemas.openxmlformats.org/officeDocument/2006/relationships/hyperlink" Target="https://www.iso-ne.com/static-assets/documents/2020/02/a6_nescoe_2019_Econ_8000.pdf" TargetMode="External"/><Relationship Id="rId40" Type="http://schemas.openxmlformats.org/officeDocument/2006/relationships/hyperlink" Target="https://www.npcc.org/Standards/default.aspx" TargetMode="External"/><Relationship Id="rId5" Type="http://schemas.openxmlformats.org/officeDocument/2006/relationships/hyperlink" Target="https://www.iso-ne.com/static-assets/documents/2020/01/a4_jan_2020_economic_study_qa_final-67f4425e.pdf" TargetMode="External"/><Relationship Id="rId15" Type="http://schemas.openxmlformats.org/officeDocument/2006/relationships/hyperlink" Target="https://www.iso-ne.com/static-assets/documents/2017/04/a7_2017_economic_study_request_clf_presentation.pdf" TargetMode="External"/><Relationship Id="rId23" Type="http://schemas.openxmlformats.org/officeDocument/2006/relationships/hyperlink" Target="https://www.iso-ne.com/static-assets/documents/2019/08/a8_2019_economic_studies_detailed_assumptions.pptx" TargetMode="External"/><Relationship Id="rId28" Type="http://schemas.openxmlformats.org/officeDocument/2006/relationships/hyperlink" Target="https://www.iso-ne.com/static-assets/documents/2017/11/final_2016_phase1_nepool_scenario_analysis_economic_study.docx" TargetMode="External"/><Relationship Id="rId36" Type="http://schemas.openxmlformats.org/officeDocument/2006/relationships/hyperlink" Target="https://eeaonline.eea.state.ma.us/DPU/Fileroom/dockets/bynumber/18-65" TargetMode="External"/><Relationship Id="rId10" Type="http://schemas.openxmlformats.org/officeDocument/2006/relationships/hyperlink" Target="https://smd.iso-ne.com/operations-services/ceii/pac/2020/03/a7_osw_economic_study-trans_interconnection_analysis.pdf" TargetMode="External"/><Relationship Id="rId19" Type="http://schemas.openxmlformats.org/officeDocument/2006/relationships/hyperlink" Target="https://www.iso-ne.com/static-assets/documents/regulatory/tariff/sect_2/sch22/sch_22_lgip.pdf" TargetMode="External"/><Relationship Id="rId31" Type="http://schemas.openxmlformats.org/officeDocument/2006/relationships/hyperlink" Target="https://www.eia.gov/outlooks/archive/aeo19/" TargetMode="External"/><Relationship Id="rId4" Type="http://schemas.openxmlformats.org/officeDocument/2006/relationships/hyperlink" Target="https://www.iso-ne.com/static-assets/documents/2019/12/a3_2019_economic_study_preliminary_nescoe_results.pdf" TargetMode="External"/><Relationship Id="rId9" Type="http://schemas.openxmlformats.org/officeDocument/2006/relationships/hyperlink" Target="https://www.iso-ne.com/static-assets/documents/2020/05/a5_nescoe_2019_economic_study_additional_information_on_marginal_unit_emissions.pdf" TargetMode="External"/><Relationship Id="rId14" Type="http://schemas.openxmlformats.org/officeDocument/2006/relationships/hyperlink" Target="https://www.iso-ne.com/static-assets/documents/2019/04/a2_nescoe_2019_economic_study_request_presentation.pptx" TargetMode="External"/><Relationship Id="rId22" Type="http://schemas.openxmlformats.org/officeDocument/2006/relationships/hyperlink" Target="https://www.iso-ne.com/static-assets/documents/2019/05/a2_2019_economic_study_draft_scope_of_work_and_high_level_assumptions.pptx" TargetMode="External"/><Relationship Id="rId27" Type="http://schemas.openxmlformats.org/officeDocument/2006/relationships/hyperlink" Target="https://www.iso-ne.com/system-planning/system-plans-studies/rsp/" TargetMode="External"/><Relationship Id="rId30" Type="http://schemas.openxmlformats.org/officeDocument/2006/relationships/hyperlink" Target="https://www.iso-ne.com/static-assets/documents/2017/12/a2_2016_economic_study_phase_2_regulation_ramping_reserves_introduction.pdf" TargetMode="External"/><Relationship Id="rId35" Type="http://schemas.openxmlformats.org/officeDocument/2006/relationships/hyperlink" Target="https://fileservice.eea.comacloud.net/FileService.Api/file/FileRoom/9946890" TargetMode="External"/></Relationships>
</file>

<file path=word/theme/theme1.xml><?xml version="1.0" encoding="utf-8"?>
<a:theme xmlns:a="http://schemas.openxmlformats.org/drawingml/2006/main" name="ISONE2015">
  <a:themeElements>
    <a:clrScheme name="ISO-NE">
      <a:dk1>
        <a:srgbClr val="62777F"/>
      </a:dk1>
      <a:lt1>
        <a:srgbClr val="FFFFFF"/>
      </a:lt1>
      <a:dk2>
        <a:srgbClr val="1E6A9A"/>
      </a:dk2>
      <a:lt2>
        <a:srgbClr val="6DCFF6"/>
      </a:lt2>
      <a:accent1>
        <a:srgbClr val="1795D2"/>
      </a:accent1>
      <a:accent2>
        <a:srgbClr val="8555A1"/>
      </a:accent2>
      <a:accent3>
        <a:srgbClr val="77BD2A"/>
      </a:accent3>
      <a:accent4>
        <a:srgbClr val="FBB92F"/>
      </a:accent4>
      <a:accent5>
        <a:srgbClr val="F68920"/>
      </a:accent5>
      <a:accent6>
        <a:srgbClr val="EC1F25"/>
      </a:accent6>
      <a:hlink>
        <a:srgbClr val="1795D2"/>
      </a:hlink>
      <a:folHlink>
        <a:srgbClr val="8555A1"/>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C3088-1A90-48B3-83D4-9108E1AF0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10017</Words>
  <Characters>64518</Characters>
  <Application>Microsoft Office Word</Application>
  <DocSecurity>0</DocSecurity>
  <Lines>537</Lines>
  <Paragraphs>148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74387</CharactersWithSpaces>
  <SharedDoc>false</SharedDoc>
  <HLinks>
    <vt:vector size="180" baseType="variant">
      <vt:variant>
        <vt:i4>5832765</vt:i4>
      </vt:variant>
      <vt:variant>
        <vt:i4>312</vt:i4>
      </vt:variant>
      <vt:variant>
        <vt:i4>0</vt:i4>
      </vt:variant>
      <vt:variant>
        <vt:i4>5</vt:i4>
      </vt:variant>
      <vt:variant>
        <vt:lpwstr>../../../AppData/Local/Microsoft/AppData/Local/Microsoft/Windows/Temporary Internet Files/Content.Outlook/L3G0JW5V/),  https:/iso-ne.com/static-assets/documents/2016/08/a5_generic_and_region_specific_costs_of_new_generating_technologies.pdf</vt:lpwstr>
      </vt:variant>
      <vt:variant>
        <vt:lpwstr/>
      </vt:variant>
      <vt:variant>
        <vt:i4>3932270</vt:i4>
      </vt:variant>
      <vt:variant>
        <vt:i4>273</vt:i4>
      </vt:variant>
      <vt:variant>
        <vt:i4>0</vt:i4>
      </vt:variant>
      <vt:variant>
        <vt:i4>5</vt:i4>
      </vt:variant>
      <vt:variant>
        <vt:lpwstr>http://www.eia.gov/forecasts/aeo/index.cfm</vt:lpwstr>
      </vt:variant>
      <vt:variant>
        <vt:lpwstr/>
      </vt:variant>
      <vt:variant>
        <vt:i4>6619234</vt:i4>
      </vt:variant>
      <vt:variant>
        <vt:i4>240</vt:i4>
      </vt:variant>
      <vt:variant>
        <vt:i4>0</vt:i4>
      </vt:variant>
      <vt:variant>
        <vt:i4>5</vt:i4>
      </vt:variant>
      <vt:variant>
        <vt:lpwstr>http://www.iso-ne.com/static-assets/documents/2016/03/a2_fca11_zonal_boundary_determinations.pdf</vt:lpwstr>
      </vt:variant>
      <vt:variant>
        <vt:lpwstr/>
      </vt:variant>
      <vt:variant>
        <vt:i4>6619234</vt:i4>
      </vt:variant>
      <vt:variant>
        <vt:i4>237</vt:i4>
      </vt:variant>
      <vt:variant>
        <vt:i4>0</vt:i4>
      </vt:variant>
      <vt:variant>
        <vt:i4>5</vt:i4>
      </vt:variant>
      <vt:variant>
        <vt:lpwstr>http://www.iso-ne.com/static-assets/documents/2016/03/a2_fca11_zonal_boundary_determinations.pdf</vt:lpwstr>
      </vt:variant>
      <vt:variant>
        <vt:lpwstr/>
      </vt:variant>
      <vt:variant>
        <vt:i4>6619234</vt:i4>
      </vt:variant>
      <vt:variant>
        <vt:i4>234</vt:i4>
      </vt:variant>
      <vt:variant>
        <vt:i4>0</vt:i4>
      </vt:variant>
      <vt:variant>
        <vt:i4>5</vt:i4>
      </vt:variant>
      <vt:variant>
        <vt:lpwstr>http://www.iso-ne.com/static-assets/documents/2016/03/a2_fca11_zonal_boundary_determinations.pdf</vt:lpwstr>
      </vt:variant>
      <vt:variant>
        <vt:lpwstr/>
      </vt:variant>
      <vt:variant>
        <vt:i4>6619234</vt:i4>
      </vt:variant>
      <vt:variant>
        <vt:i4>231</vt:i4>
      </vt:variant>
      <vt:variant>
        <vt:i4>0</vt:i4>
      </vt:variant>
      <vt:variant>
        <vt:i4>5</vt:i4>
      </vt:variant>
      <vt:variant>
        <vt:lpwstr>http://www.iso-ne.com/static-assets/documents/2016/03/a2_fca11_zonal_boundary_determinations.pdf</vt:lpwstr>
      </vt:variant>
      <vt:variant>
        <vt:lpwstr/>
      </vt:variant>
      <vt:variant>
        <vt:i4>6619234</vt:i4>
      </vt:variant>
      <vt:variant>
        <vt:i4>228</vt:i4>
      </vt:variant>
      <vt:variant>
        <vt:i4>0</vt:i4>
      </vt:variant>
      <vt:variant>
        <vt:i4>5</vt:i4>
      </vt:variant>
      <vt:variant>
        <vt:lpwstr>http://www.iso-ne.com/static-assets/documents/2016/03/a2_fca11_zonal_boundary_determinations.pdf</vt:lpwstr>
      </vt:variant>
      <vt:variant>
        <vt:lpwstr/>
      </vt:variant>
      <vt:variant>
        <vt:i4>6619234</vt:i4>
      </vt:variant>
      <vt:variant>
        <vt:i4>225</vt:i4>
      </vt:variant>
      <vt:variant>
        <vt:i4>0</vt:i4>
      </vt:variant>
      <vt:variant>
        <vt:i4>5</vt:i4>
      </vt:variant>
      <vt:variant>
        <vt:lpwstr>http://www.iso-ne.com/static-assets/documents/2016/03/a2_fca11_zonal_boundary_determinations.pdf</vt:lpwstr>
      </vt:variant>
      <vt:variant>
        <vt:lpwstr/>
      </vt:variant>
      <vt:variant>
        <vt:i4>1114190</vt:i4>
      </vt:variant>
      <vt:variant>
        <vt:i4>216</vt:i4>
      </vt:variant>
      <vt:variant>
        <vt:i4>0</vt:i4>
      </vt:variant>
      <vt:variant>
        <vt:i4>5</vt:i4>
      </vt:variant>
      <vt:variant>
        <vt:lpwstr>https://smd.iso-ne.com/operations-services/ceii/pac/2016/06/a3_transmission_transfer_capabilities_update.pdf</vt:lpwstr>
      </vt:variant>
      <vt:variant>
        <vt:lpwstr/>
      </vt:variant>
      <vt:variant>
        <vt:i4>1114190</vt:i4>
      </vt:variant>
      <vt:variant>
        <vt:i4>213</vt:i4>
      </vt:variant>
      <vt:variant>
        <vt:i4>0</vt:i4>
      </vt:variant>
      <vt:variant>
        <vt:i4>5</vt:i4>
      </vt:variant>
      <vt:variant>
        <vt:lpwstr>https://smd.iso-ne.com/operations-services/ceii/pac/2016/06/a3_transmission_transfer_capabilities_update.pdf</vt:lpwstr>
      </vt:variant>
      <vt:variant>
        <vt:lpwstr/>
      </vt:variant>
      <vt:variant>
        <vt:i4>1114190</vt:i4>
      </vt:variant>
      <vt:variant>
        <vt:i4>210</vt:i4>
      </vt:variant>
      <vt:variant>
        <vt:i4>0</vt:i4>
      </vt:variant>
      <vt:variant>
        <vt:i4>5</vt:i4>
      </vt:variant>
      <vt:variant>
        <vt:lpwstr>https://smd.iso-ne.com/operations-services/ceii/pac/2016/06/a3_transmission_transfer_capabilities_update.pdf</vt:lpwstr>
      </vt:variant>
      <vt:variant>
        <vt:lpwstr/>
      </vt:variant>
      <vt:variant>
        <vt:i4>1114190</vt:i4>
      </vt:variant>
      <vt:variant>
        <vt:i4>207</vt:i4>
      </vt:variant>
      <vt:variant>
        <vt:i4>0</vt:i4>
      </vt:variant>
      <vt:variant>
        <vt:i4>5</vt:i4>
      </vt:variant>
      <vt:variant>
        <vt:lpwstr>https://smd.iso-ne.com/operations-services/ceii/pac/2016/06/a3_transmission_transfer_capabilities_update.pdf</vt:lpwstr>
      </vt:variant>
      <vt:variant>
        <vt:lpwstr/>
      </vt:variant>
      <vt:variant>
        <vt:i4>1114190</vt:i4>
      </vt:variant>
      <vt:variant>
        <vt:i4>204</vt:i4>
      </vt:variant>
      <vt:variant>
        <vt:i4>0</vt:i4>
      </vt:variant>
      <vt:variant>
        <vt:i4>5</vt:i4>
      </vt:variant>
      <vt:variant>
        <vt:lpwstr>https://smd.iso-ne.com/operations-services/ceii/pac/2016/06/a3_transmission_transfer_capabilities_update.pdf</vt:lpwstr>
      </vt:variant>
      <vt:variant>
        <vt:lpwstr/>
      </vt:variant>
      <vt:variant>
        <vt:i4>524395</vt:i4>
      </vt:variant>
      <vt:variant>
        <vt:i4>48</vt:i4>
      </vt:variant>
      <vt:variant>
        <vt:i4>0</vt:i4>
      </vt:variant>
      <vt:variant>
        <vt:i4>5</vt:i4>
      </vt:variant>
      <vt:variant>
        <vt:lpwstr>http://www.iso-ne.com/static- assets/documents/2016/03/a2_maine_resource_integration_study_scope_of_  work.pdf</vt:lpwstr>
      </vt:variant>
      <vt:variant>
        <vt:lpwstr/>
      </vt:variant>
      <vt:variant>
        <vt:i4>6684788</vt:i4>
      </vt:variant>
      <vt:variant>
        <vt:i4>45</vt:i4>
      </vt:variant>
      <vt:variant>
        <vt:i4>0</vt:i4>
      </vt:variant>
      <vt:variant>
        <vt:i4>5</vt:i4>
      </vt:variant>
      <vt:variant>
        <vt:lpwstr>https://www.iso-ne.com/static-assets/documents/2016/08/a6_2016_economic_study_draft_results_appendix.pdf</vt:lpwstr>
      </vt:variant>
      <vt:variant>
        <vt:lpwstr/>
      </vt:variant>
      <vt:variant>
        <vt:i4>7077976</vt:i4>
      </vt:variant>
      <vt:variant>
        <vt:i4>42</vt:i4>
      </vt:variant>
      <vt:variant>
        <vt:i4>0</vt:i4>
      </vt:variant>
      <vt:variant>
        <vt:i4>5</vt:i4>
      </vt:variant>
      <vt:variant>
        <vt:lpwstr>https://www.iso-ne.com/static-assets/documents/2016/08/a6_2016_economic_study_draft_results.pdf</vt:lpwstr>
      </vt:variant>
      <vt:variant>
        <vt:lpwstr/>
      </vt:variant>
      <vt:variant>
        <vt:i4>2752573</vt:i4>
      </vt:variant>
      <vt:variant>
        <vt:i4>39</vt:i4>
      </vt:variant>
      <vt:variant>
        <vt:i4>0</vt:i4>
      </vt:variant>
      <vt:variant>
        <vt:i4>5</vt:i4>
      </vt:variant>
      <vt:variant>
        <vt:lpwstr>https://iso-ne.com/static-assets/documents/2016/09/a7_2016_economic_study_part_2_appendix.pdf</vt:lpwstr>
      </vt:variant>
      <vt:variant>
        <vt:lpwstr/>
      </vt:variant>
      <vt:variant>
        <vt:i4>1048639</vt:i4>
      </vt:variant>
      <vt:variant>
        <vt:i4>36</vt:i4>
      </vt:variant>
      <vt:variant>
        <vt:i4>0</vt:i4>
      </vt:variant>
      <vt:variant>
        <vt:i4>5</vt:i4>
      </vt:variant>
      <vt:variant>
        <vt:lpwstr>https://iso-ne.com/static-assets/documents/2016/09/a6_2016_economic_study_draft_results_part_2.pdf</vt:lpwstr>
      </vt:variant>
      <vt:variant>
        <vt:lpwstr/>
      </vt:variant>
      <vt:variant>
        <vt:i4>3932270</vt:i4>
      </vt:variant>
      <vt:variant>
        <vt:i4>33</vt:i4>
      </vt:variant>
      <vt:variant>
        <vt:i4>0</vt:i4>
      </vt:variant>
      <vt:variant>
        <vt:i4>5</vt:i4>
      </vt:variant>
      <vt:variant>
        <vt:lpwstr>http://www.eia.gov/forecasts/aeo/index.cfm</vt:lpwstr>
      </vt:variant>
      <vt:variant>
        <vt:lpwstr/>
      </vt:variant>
      <vt:variant>
        <vt:i4>7078013</vt:i4>
      </vt:variant>
      <vt:variant>
        <vt:i4>30</vt:i4>
      </vt:variant>
      <vt:variant>
        <vt:i4>0</vt:i4>
      </vt:variant>
      <vt:variant>
        <vt:i4>5</vt:i4>
      </vt:variant>
      <vt:variant>
        <vt:lpwstr>http://www.iso-ne.com/static-assets/documents/2016/05/a3_2016_economic_study_scope_of_work_rps_spreadsheet.xlsx</vt:lpwstr>
      </vt:variant>
      <vt:variant>
        <vt:lpwstr/>
      </vt:variant>
      <vt:variant>
        <vt:i4>196634</vt:i4>
      </vt:variant>
      <vt:variant>
        <vt:i4>27</vt:i4>
      </vt:variant>
      <vt:variant>
        <vt:i4>0</vt:i4>
      </vt:variant>
      <vt:variant>
        <vt:i4>5</vt:i4>
      </vt:variant>
      <vt:variant>
        <vt:lpwstr>http://www.iso-ne.com/static-assets/documents/2016/07/a6_2016_economic_study_update.pdf</vt:lpwstr>
      </vt:variant>
      <vt:variant>
        <vt:lpwstr/>
      </vt:variant>
      <vt:variant>
        <vt:i4>2228260</vt:i4>
      </vt:variant>
      <vt:variant>
        <vt:i4>24</vt:i4>
      </vt:variant>
      <vt:variant>
        <vt:i4>0</vt:i4>
      </vt:variant>
      <vt:variant>
        <vt:i4>5</vt:i4>
      </vt:variant>
      <vt:variant>
        <vt:lpwstr>http://www.iso-ne.com/static-assets/documents/2016/06/a9_2016_economic_study_assumptions.pdf</vt:lpwstr>
      </vt:variant>
      <vt:variant>
        <vt:lpwstr/>
      </vt:variant>
      <vt:variant>
        <vt:i4>1441896</vt:i4>
      </vt:variant>
      <vt:variant>
        <vt:i4>21</vt:i4>
      </vt:variant>
      <vt:variant>
        <vt:i4>0</vt:i4>
      </vt:variant>
      <vt:variant>
        <vt:i4>5</vt:i4>
      </vt:variant>
      <vt:variant>
        <vt:lpwstr>https://iso-ne.com/static-assets/documents/2016/05/a3_2016_economic_study_scope_of_work_assumptions.pdf</vt:lpwstr>
      </vt:variant>
      <vt:variant>
        <vt:lpwstr/>
      </vt:variant>
      <vt:variant>
        <vt:i4>7078013</vt:i4>
      </vt:variant>
      <vt:variant>
        <vt:i4>18</vt:i4>
      </vt:variant>
      <vt:variant>
        <vt:i4>0</vt:i4>
      </vt:variant>
      <vt:variant>
        <vt:i4>5</vt:i4>
      </vt:variant>
      <vt:variant>
        <vt:lpwstr>http://www.iso-ne.com/static-assets/documents/2016/05/a3_2016_economic_study_scope_of_work_rps_spreadsheet.xlsx</vt:lpwstr>
      </vt:variant>
      <vt:variant>
        <vt:lpwstr/>
      </vt:variant>
      <vt:variant>
        <vt:i4>196634</vt:i4>
      </vt:variant>
      <vt:variant>
        <vt:i4>15</vt:i4>
      </vt:variant>
      <vt:variant>
        <vt:i4>0</vt:i4>
      </vt:variant>
      <vt:variant>
        <vt:i4>5</vt:i4>
      </vt:variant>
      <vt:variant>
        <vt:lpwstr>http://www.iso-ne.com/static-assets/documents/2016/07/a6_2016_economic_study_update.pdf</vt:lpwstr>
      </vt:variant>
      <vt:variant>
        <vt:lpwstr/>
      </vt:variant>
      <vt:variant>
        <vt:i4>2228260</vt:i4>
      </vt:variant>
      <vt:variant>
        <vt:i4>12</vt:i4>
      </vt:variant>
      <vt:variant>
        <vt:i4>0</vt:i4>
      </vt:variant>
      <vt:variant>
        <vt:i4>5</vt:i4>
      </vt:variant>
      <vt:variant>
        <vt:lpwstr>http://www.iso-ne.com/static-assets/documents/2016/06/a9_2016_economic_study_assumptions.pdf</vt:lpwstr>
      </vt:variant>
      <vt:variant>
        <vt:lpwstr/>
      </vt:variant>
      <vt:variant>
        <vt:i4>1769541</vt:i4>
      </vt:variant>
      <vt:variant>
        <vt:i4>9</vt:i4>
      </vt:variant>
      <vt:variant>
        <vt:i4>0</vt:i4>
      </vt:variant>
      <vt:variant>
        <vt:i4>5</vt:i4>
      </vt:variant>
      <vt:variant>
        <vt:lpwstr>https://iso-ne.com/static-assets/documents/regulatory/tariff/sect_2/oatt/sect_ii.pdf</vt:lpwstr>
      </vt:variant>
      <vt:variant>
        <vt:lpwstr/>
      </vt:variant>
      <vt:variant>
        <vt:i4>196634</vt:i4>
      </vt:variant>
      <vt:variant>
        <vt:i4>6</vt:i4>
      </vt:variant>
      <vt:variant>
        <vt:i4>0</vt:i4>
      </vt:variant>
      <vt:variant>
        <vt:i4>5</vt:i4>
      </vt:variant>
      <vt:variant>
        <vt:lpwstr>http://www.iso-ne.com/static-assets/documents/2016/07/a6_2016_economic_study_update.pdf</vt:lpwstr>
      </vt:variant>
      <vt:variant>
        <vt:lpwstr/>
      </vt:variant>
      <vt:variant>
        <vt:i4>2228260</vt:i4>
      </vt:variant>
      <vt:variant>
        <vt:i4>3</vt:i4>
      </vt:variant>
      <vt:variant>
        <vt:i4>0</vt:i4>
      </vt:variant>
      <vt:variant>
        <vt:i4>5</vt:i4>
      </vt:variant>
      <vt:variant>
        <vt:lpwstr>http://www.iso-ne.com/static-assets/documents/2016/06/a9_2016_economic_study_assumptions.pdf</vt:lpwstr>
      </vt:variant>
      <vt:variant>
        <vt:lpwstr/>
      </vt:variant>
      <vt:variant>
        <vt:i4>2097272</vt:i4>
      </vt:variant>
      <vt:variant>
        <vt:i4>0</vt:i4>
      </vt:variant>
      <vt:variant>
        <vt:i4>0</vt:i4>
      </vt:variant>
      <vt:variant>
        <vt:i4>5</vt:i4>
      </vt:variant>
      <vt:variant>
        <vt:lpwstr>http://www.iso-ne.com/regulatory/tariff/sect_2/oatt/sect_ii.pdf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2020-06-30T19:20:00Z</dcterms:created>
  <dcterms:modified xsi:type="dcterms:W3CDTF">2020-12-04T18:14:00Z</dcterms:modified>
  <cp:contentStatus/>
</cp:coreProperties>
</file>