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91dc9d47f75f429a"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BCFA3" w14:textId="77777777" w:rsidR="00FD2504" w:rsidRDefault="00202822">
      <w:pPr>
        <w:jc w:val="center"/>
      </w:pPr>
      <w:bookmarkStart w:id="0" w:name="_GoBack"/>
      <w:bookmarkEnd w:id="0"/>
      <w:proofErr w:type="gramStart"/>
      <w:r>
        <w:t>171</w:t>
      </w:r>
      <w:proofErr w:type="gramEnd"/>
      <w:r>
        <w:t xml:space="preserve"> FERC ¶ 61,160</w:t>
      </w:r>
    </w:p>
    <w:p w14:paraId="2DB2F264" w14:textId="77777777" w:rsidR="008E41C3" w:rsidRPr="00CD0B38" w:rsidRDefault="008E41C3" w:rsidP="007F5DB2">
      <w:pPr>
        <w:jc w:val="center"/>
      </w:pPr>
      <w:r w:rsidRPr="00CD0B38">
        <w:t>UNITED STATES OF AMERICA</w:t>
      </w:r>
    </w:p>
    <w:p w14:paraId="4509B155" w14:textId="77777777" w:rsidR="008E41C3" w:rsidRPr="00CD0B38" w:rsidRDefault="008E41C3" w:rsidP="007F5DB2">
      <w:pPr>
        <w:jc w:val="center"/>
      </w:pPr>
      <w:r w:rsidRPr="00CD0B38">
        <w:t>FEDERAL ENERGY REGULATORY COMMISSION</w:t>
      </w:r>
    </w:p>
    <w:p w14:paraId="1FE4DCE7" w14:textId="77777777" w:rsidR="008E41C3" w:rsidRPr="00CD0B38" w:rsidRDefault="008E41C3" w:rsidP="007F5DB2"/>
    <w:p w14:paraId="29FB4749" w14:textId="649CFB08" w:rsidR="008E41C3" w:rsidRPr="005D5876" w:rsidRDefault="005D5876" w:rsidP="005D5876">
      <w:pPr>
        <w:widowControl/>
      </w:pPr>
      <w:r w:rsidRPr="005D5876">
        <w:t>Before Commissioners:  Neil Chatterjee, Chairman</w:t>
      </w:r>
      <w:proofErr w:type="gramStart"/>
      <w:r w:rsidRPr="005D5876">
        <w:t>;</w:t>
      </w:r>
      <w:proofErr w:type="gramEnd"/>
    </w:p>
    <w:p w14:paraId="755757B1" w14:textId="5987C221" w:rsidR="005D5876" w:rsidRPr="005D5876" w:rsidRDefault="005D5876" w:rsidP="005D5876">
      <w:pPr>
        <w:widowControl/>
      </w:pPr>
      <w:r w:rsidRPr="005D5876">
        <w:t xml:space="preserve">                                        Richard Glick, Bernard L. McNamee,</w:t>
      </w:r>
    </w:p>
    <w:p w14:paraId="482F59D5" w14:textId="5B962528" w:rsidR="005D5876" w:rsidRPr="00CD0B38" w:rsidRDefault="005D5876" w:rsidP="005D5876">
      <w:pPr>
        <w:widowControl/>
      </w:pPr>
      <w:r w:rsidRPr="005D5876">
        <w:t xml:space="preserve">                                        </w:t>
      </w:r>
      <w:proofErr w:type="gramStart"/>
      <w:r w:rsidRPr="005D5876">
        <w:t>and</w:t>
      </w:r>
      <w:proofErr w:type="gramEnd"/>
      <w:r w:rsidRPr="005D5876">
        <w:t xml:space="preserve"> James P. </w:t>
      </w:r>
      <w:proofErr w:type="spellStart"/>
      <w:r w:rsidRPr="005D5876">
        <w:t>Danly</w:t>
      </w:r>
      <w:proofErr w:type="spellEnd"/>
      <w:r w:rsidRPr="005D5876">
        <w:t>.</w:t>
      </w:r>
    </w:p>
    <w:p w14:paraId="27EA8C4B" w14:textId="77777777" w:rsidR="008E41C3" w:rsidRPr="00CD0B38" w:rsidRDefault="008E41C3" w:rsidP="007F5DB2"/>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9"/>
        <w:gridCol w:w="1901"/>
        <w:gridCol w:w="1800"/>
      </w:tblGrid>
      <w:tr w:rsidR="008E41C3" w:rsidRPr="00CD0B38" w14:paraId="3F6D0B5E" w14:textId="77777777" w:rsidTr="005D5876">
        <w:tc>
          <w:tcPr>
            <w:tcW w:w="5929" w:type="dxa"/>
            <w:shd w:val="clear" w:color="auto" w:fill="auto"/>
          </w:tcPr>
          <w:p w14:paraId="79A4B156" w14:textId="79951ED6" w:rsidR="008E41C3" w:rsidRPr="00CD0B38" w:rsidRDefault="006A03CF" w:rsidP="007F5DB2">
            <w:pPr>
              <w:widowControl/>
              <w:autoSpaceDE/>
              <w:autoSpaceDN/>
              <w:adjustRightInd/>
              <w:rPr>
                <w:rFonts w:eastAsiaTheme="minorHAnsi" w:cstheme="minorBidi"/>
                <w:szCs w:val="22"/>
              </w:rPr>
            </w:pPr>
            <w:r>
              <w:t>ISO New England Inc.</w:t>
            </w:r>
          </w:p>
        </w:tc>
        <w:tc>
          <w:tcPr>
            <w:tcW w:w="1901" w:type="dxa"/>
            <w:shd w:val="clear" w:color="auto" w:fill="auto"/>
          </w:tcPr>
          <w:p w14:paraId="3E341DDD" w14:textId="43EF0BEF" w:rsidR="008E41C3" w:rsidRPr="00CD0B38" w:rsidRDefault="005D5876" w:rsidP="007F5DB2">
            <w:pPr>
              <w:widowControl/>
              <w:autoSpaceDE/>
              <w:autoSpaceDN/>
              <w:adjustRightInd/>
              <w:rPr>
                <w:rFonts w:eastAsiaTheme="minorHAnsi" w:cstheme="minorBidi"/>
                <w:szCs w:val="22"/>
              </w:rPr>
            </w:pPr>
            <w:r>
              <w:rPr>
                <w:rFonts w:eastAsiaTheme="minorHAnsi" w:cstheme="minorBidi"/>
                <w:szCs w:val="22"/>
              </w:rPr>
              <w:t xml:space="preserve">         </w:t>
            </w:r>
            <w:r w:rsidR="008E41C3">
              <w:rPr>
                <w:rFonts w:eastAsiaTheme="minorHAnsi" w:cstheme="minorBidi"/>
                <w:szCs w:val="22"/>
              </w:rPr>
              <w:t>Docket No</w:t>
            </w:r>
            <w:r>
              <w:rPr>
                <w:rFonts w:eastAsiaTheme="minorHAnsi" w:cstheme="minorBidi"/>
                <w:szCs w:val="22"/>
              </w:rPr>
              <w:t>s</w:t>
            </w:r>
            <w:r w:rsidR="008E41C3">
              <w:rPr>
                <w:rFonts w:eastAsiaTheme="minorHAnsi" w:cstheme="minorBidi"/>
                <w:szCs w:val="22"/>
              </w:rPr>
              <w:t>.</w:t>
            </w:r>
          </w:p>
        </w:tc>
        <w:tc>
          <w:tcPr>
            <w:tcW w:w="1800" w:type="dxa"/>
            <w:shd w:val="clear" w:color="auto" w:fill="auto"/>
            <w:tcMar>
              <w:left w:w="144" w:type="dxa"/>
            </w:tcMar>
          </w:tcPr>
          <w:p w14:paraId="32CB6BE7" w14:textId="2886D99D" w:rsidR="008E41C3" w:rsidRDefault="008E41C3" w:rsidP="005D5876">
            <w:pPr>
              <w:widowControl/>
              <w:autoSpaceDE/>
              <w:autoSpaceDN/>
              <w:adjustRightInd/>
              <w:ind w:left="-60"/>
              <w:rPr>
                <w:rFonts w:eastAsiaTheme="minorHAnsi" w:cstheme="minorBidi"/>
                <w:szCs w:val="22"/>
              </w:rPr>
            </w:pPr>
            <w:r>
              <w:rPr>
                <w:rFonts w:eastAsiaTheme="minorHAnsi" w:cstheme="minorBidi"/>
                <w:szCs w:val="22"/>
              </w:rPr>
              <w:t>ER20-</w:t>
            </w:r>
            <w:r w:rsidR="006A03CF">
              <w:rPr>
                <w:rFonts w:eastAsiaTheme="minorHAnsi" w:cstheme="minorBidi"/>
                <w:szCs w:val="22"/>
              </w:rPr>
              <w:t>73</w:t>
            </w:r>
            <w:r w:rsidR="007D5075">
              <w:rPr>
                <w:rFonts w:eastAsiaTheme="minorHAnsi" w:cstheme="minorBidi"/>
                <w:szCs w:val="22"/>
              </w:rPr>
              <w:t>9</w:t>
            </w:r>
            <w:r>
              <w:rPr>
                <w:rFonts w:eastAsiaTheme="minorHAnsi" w:cstheme="minorBidi"/>
                <w:szCs w:val="22"/>
              </w:rPr>
              <w:t>-</w:t>
            </w:r>
            <w:r w:rsidR="006105DF">
              <w:rPr>
                <w:rFonts w:eastAsiaTheme="minorHAnsi" w:cstheme="minorBidi"/>
                <w:szCs w:val="22"/>
              </w:rPr>
              <w:t>00</w:t>
            </w:r>
            <w:r w:rsidR="00A93F9B">
              <w:rPr>
                <w:rFonts w:eastAsiaTheme="minorHAnsi" w:cstheme="minorBidi"/>
                <w:szCs w:val="22"/>
              </w:rPr>
              <w:t>0</w:t>
            </w:r>
          </w:p>
          <w:p w14:paraId="706A773B" w14:textId="04B8BF22" w:rsidR="00A93F9B" w:rsidRPr="00CD0B38" w:rsidRDefault="00A93F9B" w:rsidP="005D5876">
            <w:pPr>
              <w:widowControl/>
              <w:autoSpaceDE/>
              <w:autoSpaceDN/>
              <w:adjustRightInd/>
              <w:ind w:left="-60"/>
              <w:rPr>
                <w:rFonts w:eastAsiaTheme="minorHAnsi" w:cstheme="minorBidi"/>
                <w:szCs w:val="22"/>
              </w:rPr>
            </w:pPr>
            <w:r>
              <w:rPr>
                <w:rFonts w:eastAsiaTheme="minorHAnsi" w:cstheme="minorBidi"/>
                <w:szCs w:val="22"/>
              </w:rPr>
              <w:t>ER20-739-001</w:t>
            </w:r>
          </w:p>
        </w:tc>
      </w:tr>
    </w:tbl>
    <w:p w14:paraId="772F2633" w14:textId="77777777" w:rsidR="008E41C3" w:rsidRPr="00CD0B38" w:rsidRDefault="008E41C3" w:rsidP="007F5DB2">
      <w:pPr>
        <w:jc w:val="center"/>
      </w:pPr>
    </w:p>
    <w:p w14:paraId="66D960E5" w14:textId="378F94DD" w:rsidR="008E41C3" w:rsidRPr="00CD0B38" w:rsidRDefault="008E41C3" w:rsidP="007F5DB2">
      <w:pPr>
        <w:jc w:val="center"/>
      </w:pPr>
      <w:bookmarkStart w:id="1" w:name="_Hlk31900079"/>
      <w:r>
        <w:t xml:space="preserve">ORDER </w:t>
      </w:r>
      <w:r w:rsidR="008E6D23">
        <w:t xml:space="preserve">ACCEPTING </w:t>
      </w:r>
      <w:r w:rsidR="00882274">
        <w:t xml:space="preserve">PROPOSED </w:t>
      </w:r>
      <w:r w:rsidR="006527BB">
        <w:t>RATE SCHEDULE</w:t>
      </w:r>
      <w:bookmarkEnd w:id="1"/>
      <w:r w:rsidR="0022696B">
        <w:t xml:space="preserve"> </w:t>
      </w:r>
    </w:p>
    <w:p w14:paraId="3C672076" w14:textId="77777777" w:rsidR="008E41C3" w:rsidRPr="00CD0B38" w:rsidRDefault="008E41C3" w:rsidP="007F5DB2">
      <w:pPr>
        <w:jc w:val="center"/>
      </w:pPr>
    </w:p>
    <w:p w14:paraId="5B551E97" w14:textId="36F58331" w:rsidR="008E41C3" w:rsidRDefault="005D5876" w:rsidP="005D5876">
      <w:pPr>
        <w:widowControl/>
        <w:jc w:val="center"/>
      </w:pPr>
      <w:r w:rsidRPr="005D5876">
        <w:t>(Issued May 26, 2020)</w:t>
      </w:r>
    </w:p>
    <w:p w14:paraId="6B836AE2" w14:textId="77777777" w:rsidR="008E41C3" w:rsidRPr="00C26B1C" w:rsidRDefault="008E41C3" w:rsidP="007F5DB2">
      <w:pPr>
        <w:rPr>
          <w:bCs/>
        </w:rPr>
      </w:pPr>
    </w:p>
    <w:p w14:paraId="2BA84CC0" w14:textId="3A8BBA85" w:rsidR="008E41C3" w:rsidRDefault="008E41C3" w:rsidP="00D50899">
      <w:pPr>
        <w:pStyle w:val="FERCparanumber"/>
      </w:pPr>
      <w:proofErr w:type="gramStart"/>
      <w:r>
        <w:t xml:space="preserve">On </w:t>
      </w:r>
      <w:r w:rsidR="00FD7E73">
        <w:t>January 6</w:t>
      </w:r>
      <w:r>
        <w:t>, 20</w:t>
      </w:r>
      <w:r w:rsidR="00FD7E73">
        <w:t>20</w:t>
      </w:r>
      <w:r>
        <w:t xml:space="preserve">, </w:t>
      </w:r>
      <w:bookmarkStart w:id="2" w:name="_Hlk27527999"/>
      <w:r w:rsidR="00CC06BF">
        <w:t xml:space="preserve">as amended on </w:t>
      </w:r>
      <w:r w:rsidR="00CC06BF" w:rsidRPr="00182511">
        <w:t>March 27, 2020</w:t>
      </w:r>
      <w:r w:rsidR="00CC06BF">
        <w:t xml:space="preserve">, </w:t>
      </w:r>
      <w:r w:rsidR="001E6FA6">
        <w:t xml:space="preserve">pursuant to </w:t>
      </w:r>
      <w:r w:rsidR="003C1D59">
        <w:t>section</w:t>
      </w:r>
      <w:r w:rsidR="00FD7E73">
        <w:t xml:space="preserve"> 205 of the Federal Power Act (FPA),</w:t>
      </w:r>
      <w:r w:rsidR="00FD7E73">
        <w:rPr>
          <w:rStyle w:val="FootnoteReference"/>
        </w:rPr>
        <w:footnoteReference w:id="2"/>
      </w:r>
      <w:r w:rsidR="00FD7E73">
        <w:t xml:space="preserve"> </w:t>
      </w:r>
      <w:r w:rsidR="00B10277">
        <w:t>ISO New England Inc. (ISO-NE)</w:t>
      </w:r>
      <w:r w:rsidR="0075145E">
        <w:t xml:space="preserve"> </w:t>
      </w:r>
      <w:r w:rsidR="002E3A2F">
        <w:t xml:space="preserve">submitted proposed </w:t>
      </w:r>
      <w:r w:rsidR="00240C1D">
        <w:t xml:space="preserve">Schedule 17 </w:t>
      </w:r>
      <w:r w:rsidR="002E3A2F">
        <w:t xml:space="preserve">to its </w:t>
      </w:r>
      <w:r w:rsidR="00010F16">
        <w:t>O</w:t>
      </w:r>
      <w:r w:rsidR="002E3A2F">
        <w:t xml:space="preserve">pen </w:t>
      </w:r>
      <w:r w:rsidR="00010F16">
        <w:t>A</w:t>
      </w:r>
      <w:r w:rsidR="002E3A2F">
        <w:t xml:space="preserve">ccess </w:t>
      </w:r>
      <w:r w:rsidR="00010F16">
        <w:t>T</w:t>
      </w:r>
      <w:r w:rsidR="002E3A2F">
        <w:t xml:space="preserve">ransmission </w:t>
      </w:r>
      <w:r w:rsidR="00010F16">
        <w:t>T</w:t>
      </w:r>
      <w:r w:rsidR="002E3A2F">
        <w:t xml:space="preserve">ariff (OATT) </w:t>
      </w:r>
      <w:bookmarkStart w:id="3" w:name="_Hlk40109252"/>
      <w:r w:rsidR="000908C0">
        <w:t xml:space="preserve">that </w:t>
      </w:r>
      <w:r w:rsidR="00DB175B">
        <w:t>provide</w:t>
      </w:r>
      <w:r w:rsidR="000908C0">
        <w:t>s</w:t>
      </w:r>
      <w:r w:rsidR="00DB175B">
        <w:t xml:space="preserve"> </w:t>
      </w:r>
      <w:r w:rsidR="002E3A2F">
        <w:t xml:space="preserve">a </w:t>
      </w:r>
      <w:r w:rsidR="009A5480">
        <w:t xml:space="preserve">cost recovery </w:t>
      </w:r>
      <w:r w:rsidR="002E3A2F">
        <w:t xml:space="preserve">mechanism </w:t>
      </w:r>
      <w:r w:rsidR="009A5480">
        <w:t xml:space="preserve">for </w:t>
      </w:r>
      <w:r w:rsidR="002E3A2F">
        <w:t xml:space="preserve">critical infrastructure protection (CIP) costs </w:t>
      </w:r>
      <w:r w:rsidR="009A5480">
        <w:t xml:space="preserve">incurred </w:t>
      </w:r>
      <w:r w:rsidR="002E3A2F">
        <w:t>by facilities that ISO-NE identifies as critical to the derivation of Interconnection Reliability Operating Limits</w:t>
      </w:r>
      <w:bookmarkEnd w:id="3"/>
      <w:r w:rsidR="002E3A2F">
        <w:t xml:space="preserve"> (IROL)</w:t>
      </w:r>
      <w:r w:rsidR="00240C1D">
        <w:t>.</w:t>
      </w:r>
      <w:bookmarkEnd w:id="2"/>
      <w:r w:rsidR="00FC1B50">
        <w:rPr>
          <w:rStyle w:val="FootnoteReference"/>
        </w:rPr>
        <w:footnoteReference w:id="3"/>
      </w:r>
      <w:proofErr w:type="gramEnd"/>
      <w:r w:rsidR="00710339">
        <w:t xml:space="preserve">  </w:t>
      </w:r>
      <w:r w:rsidR="00A161CF">
        <w:t>As discussed below, w</w:t>
      </w:r>
      <w:r w:rsidR="00710339">
        <w:t xml:space="preserve">e </w:t>
      </w:r>
      <w:r w:rsidR="00DA23CE">
        <w:t xml:space="preserve">accept </w:t>
      </w:r>
      <w:r w:rsidR="00710339">
        <w:t xml:space="preserve">the </w:t>
      </w:r>
      <w:r w:rsidR="00BB137C">
        <w:t xml:space="preserve">proposed </w:t>
      </w:r>
      <w:r w:rsidR="00710339">
        <w:t>rate schedule</w:t>
      </w:r>
      <w:bookmarkStart w:id="4" w:name="_Hlk41395837"/>
      <w:r w:rsidR="00DA23CE" w:rsidRPr="00DA23CE">
        <w:t>, to become effective March 6, 2020, as requested</w:t>
      </w:r>
      <w:bookmarkEnd w:id="4"/>
      <w:r w:rsidR="00DA23CE" w:rsidRPr="00DA23CE">
        <w:t>.</w:t>
      </w:r>
      <w:r w:rsidR="00DA23CE" w:rsidRPr="00DA23CE">
        <w:rPr>
          <w:b/>
          <w:vertAlign w:val="superscript"/>
        </w:rPr>
        <w:footnoteReference w:id="4"/>
      </w:r>
      <w:r w:rsidR="00421BB0">
        <w:t xml:space="preserve">  As also discussed below, we find that Schedule 17 permits recovery only of CIP costs incurred </w:t>
      </w:r>
      <w:r w:rsidR="00BD0958">
        <w:t xml:space="preserve">on or </w:t>
      </w:r>
      <w:r w:rsidR="00421BB0">
        <w:t xml:space="preserve">after the effective date of a section 205 filing made by an </w:t>
      </w:r>
      <w:r w:rsidR="00421BB0" w:rsidRPr="00A245AA">
        <w:t>IROL-Critical Facility Owner</w:t>
      </w:r>
      <w:r w:rsidR="00421BB0">
        <w:t xml:space="preserve"> </w:t>
      </w:r>
      <w:r w:rsidR="00182771">
        <w:t>to recover such costs.</w:t>
      </w:r>
    </w:p>
    <w:p w14:paraId="1BAADD79" w14:textId="7FFD5148" w:rsidR="00814806" w:rsidRDefault="008678F2" w:rsidP="004767F9">
      <w:pPr>
        <w:pStyle w:val="Heading1"/>
      </w:pPr>
      <w:r w:rsidRPr="00C37DAC">
        <w:t>Background</w:t>
      </w:r>
      <w:r w:rsidR="00C34564">
        <w:rPr>
          <w:b w:val="0"/>
        </w:rPr>
        <w:t xml:space="preserve"> </w:t>
      </w:r>
    </w:p>
    <w:p w14:paraId="0F755A3B" w14:textId="7B7661C3" w:rsidR="00E60F39" w:rsidRDefault="00E60F39" w:rsidP="003441AD">
      <w:pPr>
        <w:pStyle w:val="FERCparanumber"/>
      </w:pPr>
      <w:r w:rsidRPr="00E60F39">
        <w:t>On November 22, 2013, in Order No. 791, the Commission approved version 5 of the</w:t>
      </w:r>
      <w:r w:rsidR="00F909D4">
        <w:t xml:space="preserve"> North American Electric Reliability </w:t>
      </w:r>
      <w:r w:rsidR="00272EDE">
        <w:t xml:space="preserve">Corporation </w:t>
      </w:r>
      <w:r w:rsidR="00F909D4">
        <w:t>(NERC)</w:t>
      </w:r>
      <w:r w:rsidR="003441AD">
        <w:t xml:space="preserve"> </w:t>
      </w:r>
      <w:r w:rsidRPr="00E60F39">
        <w:t xml:space="preserve">CIP Cyber Security </w:t>
      </w:r>
      <w:r w:rsidRPr="00E60F39">
        <w:lastRenderedPageBreak/>
        <w:t xml:space="preserve">Standards, </w:t>
      </w:r>
      <w:r w:rsidR="003441AD">
        <w:t xml:space="preserve">which </w:t>
      </w:r>
      <w:r w:rsidRPr="00E60F39">
        <w:t xml:space="preserve">included a revised methodology for categorizing </w:t>
      </w:r>
      <w:r w:rsidR="003441AD" w:rsidRPr="003441AD">
        <w:t>Bulk Electric System</w:t>
      </w:r>
      <w:r w:rsidR="003441AD">
        <w:t xml:space="preserve"> </w:t>
      </w:r>
      <w:r w:rsidRPr="00E60F39">
        <w:t>Cyber Assets</w:t>
      </w:r>
      <w:r w:rsidR="00D800E4">
        <w:t xml:space="preserve"> </w:t>
      </w:r>
      <w:r w:rsidR="003441AD">
        <w:t xml:space="preserve">that </w:t>
      </w:r>
      <w:r w:rsidRPr="00E60F39">
        <w:t xml:space="preserve">incorporated mandatory protections for all high, medium, and low impact </w:t>
      </w:r>
      <w:r w:rsidR="00B30BC8" w:rsidRPr="00B30BC8">
        <w:t xml:space="preserve">Bulk Electric System </w:t>
      </w:r>
      <w:r w:rsidRPr="00E60F39">
        <w:t>Cyber Assets</w:t>
      </w:r>
      <w:r w:rsidR="00301D82">
        <w:t xml:space="preserve"> (CIP </w:t>
      </w:r>
      <w:r w:rsidR="00D800E4">
        <w:t>Reliability Standards)</w:t>
      </w:r>
      <w:r w:rsidRPr="00E60F39">
        <w:t>.</w:t>
      </w:r>
      <w:r w:rsidR="003441AD" w:rsidRPr="003441AD">
        <w:rPr>
          <w:b/>
          <w:vertAlign w:val="superscript"/>
        </w:rPr>
        <w:footnoteReference w:id="5"/>
      </w:r>
      <w:r w:rsidR="003441AD">
        <w:t xml:space="preserve">  </w:t>
      </w:r>
      <w:r w:rsidR="003441AD" w:rsidRPr="003441AD">
        <w:t>Pursuant to the</w:t>
      </w:r>
      <w:r w:rsidR="003441AD">
        <w:t xml:space="preserve"> </w:t>
      </w:r>
      <w:r w:rsidR="003441AD" w:rsidRPr="003441AD">
        <w:t>implementation plan approved in Order No. 791, responsible entities had to</w:t>
      </w:r>
      <w:r w:rsidR="003441AD">
        <w:t xml:space="preserve"> </w:t>
      </w:r>
      <w:r w:rsidR="003441AD" w:rsidRPr="003441AD">
        <w:t>achieve compliance by April 1, 2016</w:t>
      </w:r>
      <w:r w:rsidR="005D4E6D">
        <w:t>,</w:t>
      </w:r>
      <w:r w:rsidR="003441AD" w:rsidRPr="003441AD">
        <w:t xml:space="preserve"> for provisions pertaining to medium impact assets.</w:t>
      </w:r>
      <w:r w:rsidR="003441AD">
        <w:rPr>
          <w:rStyle w:val="FootnoteReference"/>
        </w:rPr>
        <w:footnoteReference w:id="6"/>
      </w:r>
      <w:r w:rsidR="003441AD" w:rsidRPr="003441AD">
        <w:rPr>
          <w:sz w:val="24"/>
          <w:szCs w:val="24"/>
        </w:rPr>
        <w:t xml:space="preserve"> </w:t>
      </w:r>
      <w:r w:rsidR="003441AD">
        <w:rPr>
          <w:sz w:val="24"/>
          <w:szCs w:val="24"/>
        </w:rPr>
        <w:t xml:space="preserve"> </w:t>
      </w:r>
      <w:r w:rsidR="003441AD" w:rsidRPr="003441AD">
        <w:t>As</w:t>
      </w:r>
      <w:r w:rsidR="003441AD">
        <w:t xml:space="preserve"> </w:t>
      </w:r>
      <w:r w:rsidR="003441AD" w:rsidRPr="003441AD">
        <w:t xml:space="preserve">relevant here, the CIP </w:t>
      </w:r>
      <w:r w:rsidR="008572F5">
        <w:t>V</w:t>
      </w:r>
      <w:r w:rsidR="003441AD" w:rsidRPr="003441AD">
        <w:t xml:space="preserve">ersion 5 </w:t>
      </w:r>
      <w:r w:rsidR="008572F5">
        <w:t>S</w:t>
      </w:r>
      <w:r w:rsidR="003441AD" w:rsidRPr="003441AD">
        <w:t xml:space="preserve">tandards require responsible entities to identify and categorize each of their </w:t>
      </w:r>
      <w:r w:rsidR="00FF55DB" w:rsidRPr="00FF55DB">
        <w:t xml:space="preserve">Bulk Electric System </w:t>
      </w:r>
      <w:r w:rsidR="003441AD" w:rsidRPr="003441AD">
        <w:t>Cyber Systems according to</w:t>
      </w:r>
      <w:r w:rsidR="003441AD">
        <w:t xml:space="preserve"> </w:t>
      </w:r>
      <w:r w:rsidR="003441AD" w:rsidRPr="003441AD">
        <w:t>specific criteria (low, medium, high) set forth in Attachment 1 – Impact Rating Criteria of CIP-002-5.1.</w:t>
      </w:r>
    </w:p>
    <w:p w14:paraId="741FA03E" w14:textId="6A8FA4C0" w:rsidR="007B69AF" w:rsidRDefault="00477AA2">
      <w:pPr>
        <w:pStyle w:val="FERCparanumber"/>
      </w:pPr>
      <w:r>
        <w:t xml:space="preserve">As the </w:t>
      </w:r>
      <w:r w:rsidR="006330FE">
        <w:t xml:space="preserve">regional transmission organization </w:t>
      </w:r>
      <w:r w:rsidR="0096357A">
        <w:t xml:space="preserve">for New England, </w:t>
      </w:r>
      <w:r w:rsidR="00D80C46" w:rsidRPr="00D80C46">
        <w:t>ISO</w:t>
      </w:r>
      <w:r w:rsidR="000B4835">
        <w:t>-NE</w:t>
      </w:r>
      <w:r w:rsidR="00D80C46" w:rsidRPr="00D80C46">
        <w:t xml:space="preserve"> </w:t>
      </w:r>
      <w:r w:rsidR="00301D82">
        <w:t>is responsible for</w:t>
      </w:r>
      <w:r w:rsidR="00D80C46" w:rsidRPr="00D80C46" w:rsidDel="00301D82">
        <w:t xml:space="preserve"> </w:t>
      </w:r>
      <w:r w:rsidR="00D80C46" w:rsidRPr="00D80C46">
        <w:t>protect</w:t>
      </w:r>
      <w:r w:rsidR="00301D82">
        <w:t>ing</w:t>
      </w:r>
      <w:r w:rsidR="00D80C46" w:rsidRPr="00D80C46">
        <w:t xml:space="preserve"> the short-term reliability of the New England Control </w:t>
      </w:r>
      <w:proofErr w:type="gramStart"/>
      <w:r w:rsidR="00D80C46" w:rsidRPr="00D80C46">
        <w:t>Area and plan</w:t>
      </w:r>
      <w:r w:rsidR="00301D82">
        <w:t>ning</w:t>
      </w:r>
      <w:proofErr w:type="gramEnd"/>
      <w:r w:rsidR="00D80C46" w:rsidRPr="00D80C46">
        <w:t xml:space="preserve"> and operat</w:t>
      </w:r>
      <w:r w:rsidR="00301D82">
        <w:t>ing</w:t>
      </w:r>
      <w:r w:rsidR="00D80C46" w:rsidRPr="00D80C46">
        <w:t xml:space="preserve"> the system </w:t>
      </w:r>
      <w:r w:rsidR="00D80C46">
        <w:t xml:space="preserve">pursuant </w:t>
      </w:r>
      <w:r w:rsidR="00D80C46" w:rsidRPr="00D80C46">
        <w:t xml:space="preserve">to reliability standards established by the Northeast Power Coordinating Council, Inc. and </w:t>
      </w:r>
      <w:r w:rsidR="00D80C46">
        <w:t>NERC.</w:t>
      </w:r>
      <w:r w:rsidR="0096357A">
        <w:rPr>
          <w:rStyle w:val="FootnoteReference"/>
        </w:rPr>
        <w:footnoteReference w:id="7"/>
      </w:r>
      <w:r w:rsidR="00D80C46">
        <w:t xml:space="preserve"> </w:t>
      </w:r>
      <w:r w:rsidR="00D80C46" w:rsidRPr="00D80C46">
        <w:t xml:space="preserve"> </w:t>
      </w:r>
      <w:r w:rsidR="009151F2" w:rsidRPr="00D80C46">
        <w:t>ISO-NE</w:t>
      </w:r>
      <w:r w:rsidR="00D80C46" w:rsidRPr="00D80C46">
        <w:t xml:space="preserve"> is </w:t>
      </w:r>
      <w:r w:rsidR="0096357A">
        <w:t xml:space="preserve">also </w:t>
      </w:r>
      <w:r w:rsidR="00D80C46" w:rsidRPr="00D80C46">
        <w:t>the NERC Reliability Coordinator for the New England Reliability Coordinator Area/Balancing Authority Area.</w:t>
      </w:r>
      <w:r w:rsidR="00952880">
        <w:rPr>
          <w:rStyle w:val="FootnoteReference"/>
        </w:rPr>
        <w:footnoteReference w:id="8"/>
      </w:r>
    </w:p>
    <w:p w14:paraId="545448B0" w14:textId="2D6768A0" w:rsidR="00155DE8" w:rsidRDefault="003C6AFC" w:rsidP="00155DE8">
      <w:pPr>
        <w:pStyle w:val="FERCparanumber"/>
      </w:pPr>
      <w:r>
        <w:t>ISO-NE states that it</w:t>
      </w:r>
      <w:r w:rsidRPr="003C6AFC">
        <w:t xml:space="preserve"> designates certain generation and transmission facilities as </w:t>
      </w:r>
      <w:bookmarkStart w:id="5" w:name="_Hlk32923243"/>
      <w:r w:rsidRPr="003C6AFC">
        <w:t xml:space="preserve">IROL-Critical Facilities </w:t>
      </w:r>
      <w:bookmarkEnd w:id="5"/>
      <w:r w:rsidRPr="003C6AFC">
        <w:t xml:space="preserve">pursuant to applicable NERC </w:t>
      </w:r>
      <w:r w:rsidR="00C727B6">
        <w:t>R</w:t>
      </w:r>
      <w:r w:rsidR="00301D82" w:rsidRPr="003C6AFC">
        <w:t>eliability</w:t>
      </w:r>
      <w:r w:rsidRPr="003C6AFC" w:rsidDel="00301D82">
        <w:t xml:space="preserve"> </w:t>
      </w:r>
      <w:r w:rsidR="00C727B6">
        <w:t>S</w:t>
      </w:r>
      <w:r w:rsidR="00301D82" w:rsidRPr="003C6AFC">
        <w:t xml:space="preserve">tandards </w:t>
      </w:r>
      <w:r w:rsidRPr="003C6AFC">
        <w:t>and system operating procedures</w:t>
      </w:r>
      <w:r w:rsidR="00AA774B">
        <w:t>.</w:t>
      </w:r>
      <w:r w:rsidR="00AA774B" w:rsidRPr="00AA774B">
        <w:rPr>
          <w:b/>
          <w:vertAlign w:val="superscript"/>
        </w:rPr>
        <w:footnoteReference w:id="9"/>
      </w:r>
      <w:r w:rsidR="00AA774B">
        <w:t xml:space="preserve">  ISO-NE explains</w:t>
      </w:r>
      <w:r w:rsidR="00B54FFC">
        <w:t xml:space="preserve"> that</w:t>
      </w:r>
      <w:r w:rsidR="002A4F46">
        <w:t>, once ISO-NE give</w:t>
      </w:r>
      <w:r w:rsidR="00D369A7">
        <w:t>s</w:t>
      </w:r>
      <w:r w:rsidR="002A4F46">
        <w:t xml:space="preserve"> them this designation, </w:t>
      </w:r>
      <w:r w:rsidR="00D800E4">
        <w:t xml:space="preserve">the </w:t>
      </w:r>
      <w:r w:rsidR="00D800E4" w:rsidRPr="00D800E4">
        <w:t xml:space="preserve">IROL-Critical Facilities </w:t>
      </w:r>
      <w:r w:rsidRPr="003C6AFC">
        <w:t xml:space="preserve">must comply with </w:t>
      </w:r>
      <w:r w:rsidR="00D800E4">
        <w:t xml:space="preserve">the </w:t>
      </w:r>
      <w:r w:rsidR="008F4E50">
        <w:t xml:space="preserve">NERC </w:t>
      </w:r>
      <w:r w:rsidRPr="003C6AFC">
        <w:t xml:space="preserve">CIP </w:t>
      </w:r>
      <w:r w:rsidR="008B6858">
        <w:t>Reliability Standards</w:t>
      </w:r>
      <w:r w:rsidR="008B6858" w:rsidRPr="003C6AFC" w:rsidDel="008B6858">
        <w:t xml:space="preserve"> </w:t>
      </w:r>
      <w:r w:rsidR="001923CC">
        <w:t xml:space="preserve">for </w:t>
      </w:r>
      <w:r w:rsidRPr="003C6AFC">
        <w:t>the medium impact category</w:t>
      </w:r>
      <w:r>
        <w:t>.</w:t>
      </w:r>
      <w:r w:rsidR="00AA774B" w:rsidDel="00AA774B">
        <w:rPr>
          <w:rStyle w:val="FootnoteReference"/>
        </w:rPr>
        <w:t xml:space="preserve"> </w:t>
      </w:r>
      <w:r w:rsidR="002A4F46" w:rsidDel="00B54FFC">
        <w:t xml:space="preserve"> </w:t>
      </w:r>
      <w:r w:rsidR="00155DE8" w:rsidRPr="00155DE8">
        <w:t>ISO</w:t>
      </w:r>
      <w:r w:rsidR="00155DE8">
        <w:t>-</w:t>
      </w:r>
      <w:r w:rsidR="00C81495">
        <w:t>N</w:t>
      </w:r>
      <w:r w:rsidR="00155DE8">
        <w:t>E states that it</w:t>
      </w:r>
      <w:r w:rsidR="00155DE8" w:rsidRPr="00155DE8">
        <w:t xml:space="preserve"> has been identifying</w:t>
      </w:r>
      <w:r w:rsidR="00EA2478">
        <w:t xml:space="preserve"> </w:t>
      </w:r>
      <w:r w:rsidR="00155DE8" w:rsidRPr="00155DE8">
        <w:t>transmission</w:t>
      </w:r>
      <w:r w:rsidR="00155DE8">
        <w:t xml:space="preserve"> </w:t>
      </w:r>
      <w:r w:rsidR="00155DE8" w:rsidRPr="00155DE8">
        <w:t>facilities since 2013 and generation facilities since 2014 as IROL-Critical Facilities</w:t>
      </w:r>
      <w:r w:rsidR="00155DE8">
        <w:t>.</w:t>
      </w:r>
      <w:r w:rsidR="00155DE8">
        <w:rPr>
          <w:rStyle w:val="FootnoteReference"/>
        </w:rPr>
        <w:footnoteReference w:id="10"/>
      </w:r>
    </w:p>
    <w:p w14:paraId="32DFCAEF" w14:textId="0045794D" w:rsidR="00C811FD" w:rsidRDefault="00F0157C" w:rsidP="00A245AA">
      <w:pPr>
        <w:pStyle w:val="FERCparanumber"/>
      </w:pPr>
      <w:r w:rsidRPr="00F0157C">
        <w:t xml:space="preserve">ISO-NE states that, in most cases, the owners or operators of IROL-Critical Facilities incur significant incremental costs to achieve compliance as compared to other resources or facilities that are only required to meet the requirements of the low impact </w:t>
      </w:r>
      <w:r w:rsidRPr="00F0157C">
        <w:lastRenderedPageBreak/>
        <w:t>standards.</w:t>
      </w:r>
      <w:r w:rsidRPr="00F0157C">
        <w:rPr>
          <w:b/>
          <w:vertAlign w:val="superscript"/>
        </w:rPr>
        <w:footnoteReference w:id="11"/>
      </w:r>
      <w:r w:rsidRPr="00F0157C">
        <w:t xml:space="preserve">  </w:t>
      </w:r>
      <w:r w:rsidR="002D7F2A">
        <w:t>ISO-NE further states that t</w:t>
      </w:r>
      <w:r w:rsidRPr="00F0157C">
        <w:t xml:space="preserve">hose additional costs are not currently recoverable under the ISO-NE Tariff.  </w:t>
      </w:r>
    </w:p>
    <w:p w14:paraId="7DE70ABD" w14:textId="20E9241B" w:rsidR="00E21A56" w:rsidRPr="00A245AA" w:rsidRDefault="00516E67" w:rsidP="00516E67">
      <w:pPr>
        <w:pStyle w:val="Heading1"/>
      </w:pPr>
      <w:r>
        <w:t xml:space="preserve">Proposed </w:t>
      </w:r>
      <w:r w:rsidR="003C1D59" w:rsidRPr="00A245AA">
        <w:t>Schedule 17</w:t>
      </w:r>
    </w:p>
    <w:p w14:paraId="0F91548E" w14:textId="7667B323" w:rsidR="003972B0" w:rsidRDefault="00D369A7" w:rsidP="00B237DD">
      <w:pPr>
        <w:pStyle w:val="FERCparanumber"/>
      </w:pPr>
      <w:r w:rsidRPr="00A245AA">
        <w:t xml:space="preserve">In </w:t>
      </w:r>
      <w:r w:rsidR="00785C5A">
        <w:t>proposed</w:t>
      </w:r>
      <w:r w:rsidR="001971E4" w:rsidRPr="00A245AA">
        <w:t xml:space="preserve"> </w:t>
      </w:r>
      <w:r w:rsidR="009D5326" w:rsidRPr="00A245AA">
        <w:t>Schedule 17</w:t>
      </w:r>
      <w:r w:rsidRPr="00A245AA">
        <w:t xml:space="preserve">, ISO-NE </w:t>
      </w:r>
      <w:r w:rsidR="009D5326" w:rsidRPr="00A245AA">
        <w:t>provide</w:t>
      </w:r>
      <w:r w:rsidRPr="00A245AA">
        <w:t>s</w:t>
      </w:r>
      <w:r w:rsidR="009D5326" w:rsidRPr="00A245AA">
        <w:t xml:space="preserve"> a </w:t>
      </w:r>
      <w:r w:rsidR="002119A1" w:rsidRPr="00A245AA">
        <w:t xml:space="preserve">mechanism </w:t>
      </w:r>
      <w:r w:rsidR="009D5326" w:rsidRPr="00A245AA">
        <w:t xml:space="preserve">for IROL-Critical Facility </w:t>
      </w:r>
      <w:r w:rsidR="00183499" w:rsidRPr="00A245AA">
        <w:t>O</w:t>
      </w:r>
      <w:r w:rsidR="009D5326" w:rsidRPr="00A245AA">
        <w:t>wner</w:t>
      </w:r>
      <w:r w:rsidR="00FD084B" w:rsidRPr="00A245AA">
        <w:t>s</w:t>
      </w:r>
      <w:r w:rsidR="009D5326" w:rsidRPr="00A245AA">
        <w:t xml:space="preserve"> to recover </w:t>
      </w:r>
      <w:bookmarkStart w:id="6" w:name="_Hlk39752965"/>
      <w:bookmarkStart w:id="7" w:name="_Hlk39753117"/>
      <w:r w:rsidR="00D36268">
        <w:t>costs incurred to comply with</w:t>
      </w:r>
      <w:r w:rsidR="00D36268" w:rsidRPr="00A245AA">
        <w:t xml:space="preserve"> </w:t>
      </w:r>
      <w:r w:rsidR="009D5326" w:rsidRPr="00A245AA">
        <w:t xml:space="preserve">IROL-CIP </w:t>
      </w:r>
      <w:bookmarkEnd w:id="6"/>
      <w:bookmarkEnd w:id="7"/>
      <w:r w:rsidR="008572F5">
        <w:t>Reliability Standards</w:t>
      </w:r>
      <w:r w:rsidR="008572F5" w:rsidRPr="00A245AA">
        <w:t xml:space="preserve"> </w:t>
      </w:r>
      <w:r w:rsidR="00431527" w:rsidRPr="00A245AA">
        <w:t>following</w:t>
      </w:r>
      <w:r w:rsidR="009D5326" w:rsidRPr="00A245AA">
        <w:t xml:space="preserve"> Commission</w:t>
      </w:r>
      <w:r w:rsidR="00431527" w:rsidRPr="00A245AA">
        <w:t xml:space="preserve"> acceptance of </w:t>
      </w:r>
      <w:r w:rsidRPr="00A245AA">
        <w:t xml:space="preserve">an </w:t>
      </w:r>
      <w:r w:rsidR="009D5326" w:rsidRPr="00A245AA">
        <w:t>owner</w:t>
      </w:r>
      <w:r w:rsidRPr="00A245AA">
        <w:t>’</w:t>
      </w:r>
      <w:r w:rsidR="009D5326" w:rsidRPr="00A245AA">
        <w:t xml:space="preserve">s </w:t>
      </w:r>
      <w:r w:rsidR="007E658D" w:rsidRPr="00A245AA">
        <w:t xml:space="preserve">individual </w:t>
      </w:r>
      <w:r w:rsidRPr="00A245AA">
        <w:t xml:space="preserve">FPA </w:t>
      </w:r>
      <w:r w:rsidR="00431527" w:rsidRPr="00A245AA">
        <w:t>s</w:t>
      </w:r>
      <w:r w:rsidR="009D5326" w:rsidRPr="00A245AA">
        <w:t>ection 205</w:t>
      </w:r>
      <w:r w:rsidR="00431527" w:rsidRPr="00A245AA">
        <w:t xml:space="preserve"> </w:t>
      </w:r>
      <w:r w:rsidR="00A755EE" w:rsidRPr="00A245AA">
        <w:t>filing</w:t>
      </w:r>
      <w:r w:rsidR="00A755EE" w:rsidRPr="00A245AA">
        <w:rPr>
          <w:b/>
          <w:vertAlign w:val="superscript"/>
        </w:rPr>
        <w:t xml:space="preserve"> </w:t>
      </w:r>
      <w:r w:rsidR="00A755EE">
        <w:t xml:space="preserve">to recover </w:t>
      </w:r>
      <w:r w:rsidR="00D36268">
        <w:t>those</w:t>
      </w:r>
      <w:r w:rsidR="00A755EE" w:rsidRPr="009D5326">
        <w:t xml:space="preserve"> </w:t>
      </w:r>
      <w:r w:rsidR="007E658D">
        <w:t>cost</w:t>
      </w:r>
      <w:r w:rsidR="00A755EE">
        <w:t>s</w:t>
      </w:r>
      <w:r w:rsidR="009D5326" w:rsidRPr="009D5326">
        <w:t>.</w:t>
      </w:r>
      <w:r w:rsidR="00B30A75">
        <w:rPr>
          <w:rStyle w:val="FootnoteReference"/>
        </w:rPr>
        <w:footnoteReference w:id="12"/>
      </w:r>
      <w:r w:rsidR="009D5326" w:rsidRPr="009D5326">
        <w:t xml:space="preserve"> </w:t>
      </w:r>
      <w:r w:rsidR="00804375" w:rsidRPr="00804375">
        <w:rPr>
          <w:rFonts w:eastAsia="Times New Roman"/>
          <w:szCs w:val="24"/>
        </w:rPr>
        <w:t xml:space="preserve"> </w:t>
      </w:r>
    </w:p>
    <w:p w14:paraId="1FE989B1" w14:textId="6F7529AD" w:rsidR="00B60607" w:rsidRDefault="00F70EBA" w:rsidP="00513CC5">
      <w:pPr>
        <w:pStyle w:val="FERCparanumber"/>
      </w:pPr>
      <w:r>
        <w:t>ISO-NE</w:t>
      </w:r>
      <w:r w:rsidDel="0073705B">
        <w:t xml:space="preserve"> </w:t>
      </w:r>
      <w:r w:rsidR="0073705B">
        <w:t xml:space="preserve">explains </w:t>
      </w:r>
      <w:r>
        <w:t xml:space="preserve">that </w:t>
      </w:r>
      <w:r w:rsidR="009D5326" w:rsidRPr="009D5326">
        <w:t xml:space="preserve">certain procedural and information requirements </w:t>
      </w:r>
      <w:r>
        <w:t xml:space="preserve">incorporated in </w:t>
      </w:r>
      <w:r w:rsidR="0073705B">
        <w:t xml:space="preserve">proposed Schedule 17 </w:t>
      </w:r>
      <w:proofErr w:type="gramStart"/>
      <w:r>
        <w:t xml:space="preserve">are </w:t>
      </w:r>
      <w:r w:rsidR="009D5326" w:rsidRPr="009D5326">
        <w:t>intentionally designed</w:t>
      </w:r>
      <w:proofErr w:type="gramEnd"/>
      <w:r w:rsidR="009D5326" w:rsidRPr="009D5326">
        <w:t xml:space="preserve"> to provide structure </w:t>
      </w:r>
      <w:r w:rsidR="005D5876">
        <w:t xml:space="preserve">   </w:t>
      </w:r>
      <w:r w:rsidR="009D5326" w:rsidRPr="009D5326">
        <w:t xml:space="preserve">for, and to facilitate and narrow the scope of, </w:t>
      </w:r>
      <w:r w:rsidR="0073705B">
        <w:t xml:space="preserve">the </w:t>
      </w:r>
      <w:r w:rsidR="00043208">
        <w:t>IROL-CIP Facility</w:t>
      </w:r>
      <w:r w:rsidR="009D5326" w:rsidRPr="009D5326">
        <w:t xml:space="preserve"> </w:t>
      </w:r>
      <w:r w:rsidR="00FE1D58">
        <w:t>Owners</w:t>
      </w:r>
      <w:r w:rsidR="009D5326" w:rsidRPr="009D5326">
        <w:t xml:space="preserve">’ </w:t>
      </w:r>
      <w:r w:rsidR="0073705B">
        <w:t xml:space="preserve">FPA </w:t>
      </w:r>
      <w:r w:rsidR="00431527">
        <w:t>s</w:t>
      </w:r>
      <w:r w:rsidR="009D5326" w:rsidRPr="009D5326">
        <w:t>ection 205 filings for recovery of such costs and thus reduce potential controversy regarding such filings.</w:t>
      </w:r>
      <w:r w:rsidR="00E3229D">
        <w:rPr>
          <w:rStyle w:val="FootnoteReference"/>
        </w:rPr>
        <w:footnoteReference w:id="13"/>
      </w:r>
      <w:r w:rsidR="009D5326" w:rsidRPr="009D5326">
        <w:t xml:space="preserve"> </w:t>
      </w:r>
      <w:r w:rsidR="00431527">
        <w:t xml:space="preserve"> </w:t>
      </w:r>
      <w:proofErr w:type="gramStart"/>
      <w:r>
        <w:t xml:space="preserve">ISO-NE explains that </w:t>
      </w:r>
      <w:r w:rsidR="00FD084B">
        <w:t xml:space="preserve">proposed </w:t>
      </w:r>
      <w:r w:rsidR="009D5326" w:rsidRPr="009D5326">
        <w:t xml:space="preserve">Schedule 17 </w:t>
      </w:r>
      <w:r w:rsidR="0073705B">
        <w:t>includes the following:  (1)</w:t>
      </w:r>
      <w:r w:rsidR="00FE0D4C">
        <w:t> </w:t>
      </w:r>
      <w:r w:rsidR="00462532">
        <w:t>s</w:t>
      </w:r>
      <w:r w:rsidR="009D5326" w:rsidRPr="009D5326">
        <w:t>ection 1</w:t>
      </w:r>
      <w:r>
        <w:t xml:space="preserve">, which </w:t>
      </w:r>
      <w:r w:rsidR="009D5326" w:rsidRPr="009D5326">
        <w:t xml:space="preserve">discusses </w:t>
      </w:r>
      <w:r>
        <w:t>ISO-NE</w:t>
      </w:r>
      <w:r w:rsidR="009D5326" w:rsidRPr="009D5326">
        <w:t>’s process for designating and notifying IROL-Critical Facilities</w:t>
      </w:r>
      <w:r>
        <w:t xml:space="preserve">; </w:t>
      </w:r>
      <w:r w:rsidR="0073705B">
        <w:t xml:space="preserve">(2) </w:t>
      </w:r>
      <w:r w:rsidR="00462532">
        <w:t>s</w:t>
      </w:r>
      <w:r w:rsidR="009D5326" w:rsidRPr="009D5326">
        <w:t>ection 2</w:t>
      </w:r>
      <w:r>
        <w:t xml:space="preserve">, which </w:t>
      </w:r>
      <w:r w:rsidR="009D5326" w:rsidRPr="009D5326">
        <w:t xml:space="preserve">discusses the eligibility requirements for cost recovery through Schedule 17, including pre-filing requirements and parameters for IROL-Critical Facility </w:t>
      </w:r>
      <w:r w:rsidR="00FE1D58">
        <w:t>Owners</w:t>
      </w:r>
      <w:r w:rsidR="0073705B" w:rsidRPr="009D5326">
        <w:t xml:space="preserve">’ </w:t>
      </w:r>
      <w:r w:rsidR="009D5326" w:rsidRPr="009D5326">
        <w:t xml:space="preserve">individual </w:t>
      </w:r>
      <w:r w:rsidR="0073705B">
        <w:t xml:space="preserve">FPA </w:t>
      </w:r>
      <w:r w:rsidR="00462532">
        <w:t>s</w:t>
      </w:r>
      <w:r w:rsidR="009D5326" w:rsidRPr="009D5326">
        <w:t>ection 205 filings</w:t>
      </w:r>
      <w:r>
        <w:t xml:space="preserve">; </w:t>
      </w:r>
      <w:r w:rsidR="0073705B">
        <w:t xml:space="preserve">(3) </w:t>
      </w:r>
      <w:r w:rsidR="00462532">
        <w:t>s</w:t>
      </w:r>
      <w:r w:rsidR="009D5326" w:rsidRPr="009D5326">
        <w:t>ection 3</w:t>
      </w:r>
      <w:r>
        <w:t xml:space="preserve">, which </w:t>
      </w:r>
      <w:r w:rsidR="009D5326" w:rsidRPr="009D5326">
        <w:t xml:space="preserve">describes </w:t>
      </w:r>
      <w:r>
        <w:t xml:space="preserve">ISO-NE’s </w:t>
      </w:r>
      <w:r w:rsidR="009D5326" w:rsidRPr="009D5326">
        <w:t>authorization to charge and disburse Commission-accepted IROL</w:t>
      </w:r>
      <w:r>
        <w:t>-</w:t>
      </w:r>
      <w:r w:rsidR="009D5326" w:rsidRPr="009D5326">
        <w:t xml:space="preserve">CIP </w:t>
      </w:r>
      <w:r w:rsidR="0073705B">
        <w:t>c</w:t>
      </w:r>
      <w:r w:rsidR="009D5326" w:rsidRPr="009D5326">
        <w:t xml:space="preserve">osts and the allocation of </w:t>
      </w:r>
      <w:r>
        <w:t xml:space="preserve">those </w:t>
      </w:r>
      <w:r w:rsidR="009D5326" w:rsidRPr="009D5326">
        <w:t>costs to Transmission Customers</w:t>
      </w:r>
      <w:r w:rsidR="0073705B">
        <w:t>; and (4)</w:t>
      </w:r>
      <w:r w:rsidR="00A63504">
        <w:t> </w:t>
      </w:r>
      <w:r w:rsidR="009D5326" w:rsidRPr="009D5326">
        <w:t>Attachment A</w:t>
      </w:r>
      <w:r w:rsidR="0073705B">
        <w:t>, which</w:t>
      </w:r>
      <w:r w:rsidR="009D5326" w:rsidRPr="009D5326">
        <w:t xml:space="preserve"> lists the cost categories associated with compliance with NERC</w:t>
      </w:r>
      <w:r w:rsidR="009D5326" w:rsidRPr="009D5326" w:rsidDel="00D800E4">
        <w:t xml:space="preserve"> </w:t>
      </w:r>
      <w:r w:rsidR="009D5326" w:rsidRPr="009D5326">
        <w:t xml:space="preserve">CIP </w:t>
      </w:r>
      <w:r w:rsidR="008B6858">
        <w:t>Reliability Standards</w:t>
      </w:r>
      <w:r w:rsidR="008B6858" w:rsidRPr="009D5326" w:rsidDel="008B6858">
        <w:t xml:space="preserve"> </w:t>
      </w:r>
      <w:r w:rsidR="009D5326" w:rsidRPr="009D5326">
        <w:t xml:space="preserve">applicable to medium impact </w:t>
      </w:r>
      <w:r w:rsidR="009D4B75" w:rsidRPr="009D4B75">
        <w:t xml:space="preserve">Bulk Electric System </w:t>
      </w:r>
      <w:r w:rsidR="009D5326" w:rsidRPr="009D5326">
        <w:t>Cyber Systems to standardize</w:t>
      </w:r>
      <w:r w:rsidR="009D4B75">
        <w:t xml:space="preserve"> </w:t>
      </w:r>
      <w:r w:rsidR="009D5326" w:rsidRPr="009D5326">
        <w:t xml:space="preserve">individual IROL-Critical Facility </w:t>
      </w:r>
      <w:r w:rsidR="00FE1D58">
        <w:t>Owners</w:t>
      </w:r>
      <w:r w:rsidR="009D5326" w:rsidRPr="009D5326">
        <w:t xml:space="preserve">’ </w:t>
      </w:r>
      <w:r w:rsidR="009D4B75">
        <w:t xml:space="preserve">FPA </w:t>
      </w:r>
      <w:r w:rsidR="00462532">
        <w:t>s</w:t>
      </w:r>
      <w:r w:rsidR="009D5326" w:rsidRPr="009D5326">
        <w:t>ection 205 filings.</w:t>
      </w:r>
      <w:r w:rsidR="000B4835">
        <w:rPr>
          <w:rStyle w:val="FootnoteReference"/>
        </w:rPr>
        <w:footnoteReference w:id="14"/>
      </w:r>
      <w:proofErr w:type="gramEnd"/>
    </w:p>
    <w:p w14:paraId="478158D8" w14:textId="4CC35EAC" w:rsidR="00B30A75" w:rsidRDefault="001B78B4" w:rsidP="00513CC5">
      <w:pPr>
        <w:pStyle w:val="FERCparanumber"/>
      </w:pPr>
      <w:r>
        <w:t>S</w:t>
      </w:r>
      <w:r w:rsidR="00B30A75" w:rsidRPr="00B30A75" w:rsidDel="00593448">
        <w:t xml:space="preserve">ection </w:t>
      </w:r>
      <w:r w:rsidR="00B30A75" w:rsidRPr="00B30A75">
        <w:t>2.2(A) of proposed Schedule 17 states, in relevant part, that “</w:t>
      </w:r>
      <w:bookmarkStart w:id="8" w:name="_Hlk37855949"/>
      <w:r w:rsidR="00B30A75" w:rsidRPr="00B30A75">
        <w:t xml:space="preserve">IROL-CIP Costs, including capital, operation and maintenance, and associated administrative and regulatory costs, are recoverable only to the extent they . . . are incurred by the IROL Critical Facility Owner </w:t>
      </w:r>
      <w:r w:rsidR="00B30A75" w:rsidRPr="00B30A75">
        <w:rPr>
          <w:i/>
        </w:rPr>
        <w:t xml:space="preserve">during the period in which the subject facility is designated as an IROL-Critical </w:t>
      </w:r>
      <w:r w:rsidR="00B30A75" w:rsidRPr="00B30A75">
        <w:t>Facility</w:t>
      </w:r>
      <w:bookmarkEnd w:id="8"/>
      <w:r w:rsidR="00B30A75" w:rsidRPr="00B30A75">
        <w:t>.”</w:t>
      </w:r>
      <w:r w:rsidR="00AD2C6C">
        <w:rPr>
          <w:rStyle w:val="FootnoteReference"/>
        </w:rPr>
        <w:footnoteReference w:id="15"/>
      </w:r>
      <w:r w:rsidR="00B30A75" w:rsidRPr="00B30A75">
        <w:t xml:space="preserve">  Proposed Schedule 17 does not explicitly state that only </w:t>
      </w:r>
      <w:r w:rsidR="00B30A75" w:rsidRPr="00B30A75">
        <w:lastRenderedPageBreak/>
        <w:t>prospective costs (i.e., costs occurring from the effective date</w:t>
      </w:r>
      <w:r w:rsidR="00B30A75" w:rsidRPr="00B30A75">
        <w:rPr>
          <w:bCs/>
        </w:rPr>
        <w:t xml:space="preserve"> of the individual FPA section 205 filings </w:t>
      </w:r>
      <w:r w:rsidR="00B30A75" w:rsidRPr="00B30A75">
        <w:t>going forward) are eligible for recovery.</w:t>
      </w:r>
    </w:p>
    <w:p w14:paraId="1D8840A9" w14:textId="7E13CB7D" w:rsidR="00B95B7C" w:rsidRDefault="00B30A75" w:rsidP="00D33DE7">
      <w:pPr>
        <w:pStyle w:val="FERCparanumber"/>
      </w:pPr>
      <w:r w:rsidRPr="00B30A75">
        <w:t xml:space="preserve">ISO-NE states that, under proposed Schedule 17, it will act as agent to bill, collect, and remit to designated IROL-Critical Facility Owners their Commission-accepted incremental costs for compliance with the NERC CIP Reliability Standards for medium impact assets.  ISO-NE explains that, in turn, it will charge those costs to </w:t>
      </w:r>
      <w:bookmarkStart w:id="9" w:name="_Hlk38375967"/>
      <w:r w:rsidRPr="00B30A75">
        <w:t xml:space="preserve">transmission customers </w:t>
      </w:r>
      <w:bookmarkEnd w:id="9"/>
      <w:r w:rsidRPr="00B30A75">
        <w:t xml:space="preserve">receiving Regional Transmission Service after an IROL-Critical Facility owner notifies ISO-NE of a Commission order accepting the </w:t>
      </w:r>
      <w:proofErr w:type="gramStart"/>
      <w:r w:rsidRPr="00B30A75">
        <w:t>owner’s</w:t>
      </w:r>
      <w:proofErr w:type="gramEnd"/>
      <w:r w:rsidRPr="00B30A75">
        <w:t xml:space="preserve"> requested IROL-CIP </w:t>
      </w:r>
      <w:r w:rsidR="00C73678">
        <w:t>c</w:t>
      </w:r>
      <w:r w:rsidRPr="00B30A75">
        <w:t xml:space="preserve">osts.  ISO-NE states that proposed section 3.2 sets out a formula for calculating the charge to each transmission customer.  Under the proposal, each transmission customer will pay a </w:t>
      </w:r>
      <w:r w:rsidRPr="00B30A75">
        <w:rPr>
          <w:i/>
        </w:rPr>
        <w:t>pro rata</w:t>
      </w:r>
      <w:r w:rsidRPr="00B30A75">
        <w:t xml:space="preserve"> share of the total IROL-CIP </w:t>
      </w:r>
      <w:r w:rsidR="00C73678">
        <w:t>c</w:t>
      </w:r>
      <w:r w:rsidRPr="00B30A75">
        <w:t>osts in a month, based on the customer’s monthly Regional Network Load or average monthly Through or Out Service reservation.</w:t>
      </w:r>
      <w:r w:rsidR="00313DE0">
        <w:rPr>
          <w:rStyle w:val="FootnoteReference"/>
        </w:rPr>
        <w:footnoteReference w:id="16"/>
      </w:r>
      <w:r w:rsidR="00D33DE7" w:rsidRPr="00D33DE7">
        <w:rPr>
          <w:rFonts w:eastAsia="Times New Roman"/>
          <w:szCs w:val="26"/>
        </w:rPr>
        <w:t xml:space="preserve"> </w:t>
      </w:r>
      <w:r w:rsidR="00D33DE7">
        <w:rPr>
          <w:rFonts w:eastAsia="Times New Roman"/>
          <w:szCs w:val="26"/>
        </w:rPr>
        <w:t xml:space="preserve"> </w:t>
      </w:r>
      <w:r w:rsidR="00D33DE7" w:rsidRPr="00D33DE7">
        <w:t>ISO-NE requests a March 6, 2020 effective date.</w:t>
      </w:r>
      <w:r w:rsidR="00313DE0">
        <w:rPr>
          <w:rStyle w:val="FootnoteReference"/>
        </w:rPr>
        <w:footnoteReference w:id="17"/>
      </w:r>
    </w:p>
    <w:p w14:paraId="260D2F72" w14:textId="71B3C0D2" w:rsidR="00C4542D" w:rsidRPr="00F3638D" w:rsidRDefault="00C4542D" w:rsidP="003419C1">
      <w:pPr>
        <w:pStyle w:val="Heading1"/>
      </w:pPr>
      <w:r w:rsidRPr="00F3638D">
        <w:t>Notice</w:t>
      </w:r>
      <w:r w:rsidR="00EB3697">
        <w:t>s</w:t>
      </w:r>
      <w:r w:rsidRPr="00F3638D">
        <w:t xml:space="preserve"> of Filing</w:t>
      </w:r>
      <w:r w:rsidR="00B40426">
        <w:t>s</w:t>
      </w:r>
      <w:r w:rsidRPr="00F3638D">
        <w:t xml:space="preserve"> and Responsive Pleadings </w:t>
      </w:r>
    </w:p>
    <w:p w14:paraId="7CD5DCB1" w14:textId="79626D7C" w:rsidR="005A7287" w:rsidRDefault="00C4542D" w:rsidP="005A7287">
      <w:pPr>
        <w:pStyle w:val="FERCparanumber"/>
      </w:pPr>
      <w:r>
        <w:t xml:space="preserve">Notice of </w:t>
      </w:r>
      <w:r w:rsidR="00274D09">
        <w:t>ISO-NE</w:t>
      </w:r>
      <w:r>
        <w:t xml:space="preserve">’s filing </w:t>
      </w:r>
      <w:proofErr w:type="gramStart"/>
      <w:r>
        <w:t>was published</w:t>
      </w:r>
      <w:proofErr w:type="gramEnd"/>
      <w:r>
        <w:t xml:space="preserve"> in the </w:t>
      </w:r>
      <w:r>
        <w:rPr>
          <w:i/>
        </w:rPr>
        <w:t>Federal Register</w:t>
      </w:r>
      <w:r>
        <w:t xml:space="preserve">, </w:t>
      </w:r>
      <w:r w:rsidR="006B63AC">
        <w:t>85</w:t>
      </w:r>
      <w:r w:rsidR="002E6162">
        <w:t xml:space="preserve"> Fed. </w:t>
      </w:r>
      <w:r w:rsidR="005D5876">
        <w:t xml:space="preserve">        </w:t>
      </w:r>
      <w:r w:rsidR="002E6162">
        <w:t xml:space="preserve">Reg. </w:t>
      </w:r>
      <w:r w:rsidR="00E8736E">
        <w:t>1308</w:t>
      </w:r>
      <w:r>
        <w:t xml:space="preserve"> (</w:t>
      </w:r>
      <w:r w:rsidR="00E8736E">
        <w:t xml:space="preserve">Jan. </w:t>
      </w:r>
      <w:r w:rsidR="005D5876">
        <w:t>1</w:t>
      </w:r>
      <w:r w:rsidR="006B63AC">
        <w:t>0, 2020</w:t>
      </w:r>
      <w:r>
        <w:t>), with</w:t>
      </w:r>
      <w:r w:rsidDel="006B56AF">
        <w:t xml:space="preserve"> </w:t>
      </w:r>
      <w:r>
        <w:t xml:space="preserve">interventions </w:t>
      </w:r>
      <w:r w:rsidR="006B56AF">
        <w:t xml:space="preserve">and protests </w:t>
      </w:r>
      <w:r>
        <w:t xml:space="preserve">due on or before </w:t>
      </w:r>
      <w:r w:rsidR="001D6B75">
        <w:t xml:space="preserve">January </w:t>
      </w:r>
      <w:r w:rsidR="00E8736E">
        <w:t>27</w:t>
      </w:r>
      <w:r>
        <w:t>, 20</w:t>
      </w:r>
      <w:r w:rsidR="001D6B75">
        <w:t>20</w:t>
      </w:r>
      <w:r>
        <w:t>.</w:t>
      </w:r>
      <w:r w:rsidR="005A7287">
        <w:t xml:space="preserve">  </w:t>
      </w:r>
      <w:r w:rsidR="00F92BE8" w:rsidRPr="00714A50">
        <w:t xml:space="preserve">Maine Public Utilities </w:t>
      </w:r>
      <w:r w:rsidR="00F92BE8" w:rsidRPr="00AD2C6C">
        <w:t>Commission and Massachusetts Department of Public Utilities</w:t>
      </w:r>
      <w:r w:rsidR="00F92BE8" w:rsidRPr="002C326C">
        <w:t xml:space="preserve"> filed </w:t>
      </w:r>
      <w:r w:rsidR="00F92BE8" w:rsidRPr="0056651E">
        <w:t xml:space="preserve">notices of intervention.  </w:t>
      </w:r>
      <w:proofErr w:type="gramStart"/>
      <w:r w:rsidR="00720EF7" w:rsidRPr="0056651E">
        <w:t>Brookfield Renewable Trading and Marketing LP;</w:t>
      </w:r>
      <w:r w:rsidR="00720EF7" w:rsidRPr="005A7287">
        <w:t xml:space="preserve"> </w:t>
      </w:r>
      <w:r w:rsidR="005543B3" w:rsidRPr="005A7287">
        <w:t xml:space="preserve">Calpine Corporation (Calpine); </w:t>
      </w:r>
      <w:r w:rsidR="009A2D39" w:rsidRPr="005A7287">
        <w:t xml:space="preserve">Cross-Sound Cable Company, LLC (Cross-Sound Cable); </w:t>
      </w:r>
      <w:r w:rsidR="005543B3" w:rsidRPr="005A7287">
        <w:t xml:space="preserve">Dominion Energy Services, Inc.; </w:t>
      </w:r>
      <w:proofErr w:type="spellStart"/>
      <w:r w:rsidR="005543B3" w:rsidRPr="005A7287">
        <w:t>Eversource</w:t>
      </w:r>
      <w:proofErr w:type="spellEnd"/>
      <w:r w:rsidR="005543B3" w:rsidRPr="005A7287">
        <w:t xml:space="preserve"> Energy Service Company; </w:t>
      </w:r>
      <w:r w:rsidR="009A2D39" w:rsidRPr="005A7287">
        <w:t>Exelon Corporation;</w:t>
      </w:r>
      <w:r w:rsidR="00720EF7" w:rsidRPr="005A7287">
        <w:t xml:space="preserve"> </w:t>
      </w:r>
      <w:proofErr w:type="spellStart"/>
      <w:r w:rsidR="00720EF7" w:rsidRPr="00182511">
        <w:t>FirstLight</w:t>
      </w:r>
      <w:proofErr w:type="spellEnd"/>
      <w:r w:rsidR="00720EF7" w:rsidRPr="00182511">
        <w:t xml:space="preserve"> Power Inc.</w:t>
      </w:r>
      <w:r w:rsidR="009734AB">
        <w:t xml:space="preserve"> (</w:t>
      </w:r>
      <w:proofErr w:type="spellStart"/>
      <w:r w:rsidR="009734AB">
        <w:t>FirstLight</w:t>
      </w:r>
      <w:proofErr w:type="spellEnd"/>
      <w:r w:rsidR="009734AB">
        <w:t xml:space="preserve"> Power)</w:t>
      </w:r>
      <w:r w:rsidR="00720EF7" w:rsidRPr="00182511">
        <w:t>;</w:t>
      </w:r>
      <w:r w:rsidR="009A2D39" w:rsidRPr="00182511" w:rsidDel="00435166">
        <w:t xml:space="preserve"> </w:t>
      </w:r>
      <w:r w:rsidR="009A2D39" w:rsidRPr="00AF026B">
        <w:t>IROL-Critical Facility Owners;</w:t>
      </w:r>
      <w:r w:rsidR="009A2D39" w:rsidRPr="0056651E">
        <w:rPr>
          <w:rStyle w:val="FootnoteReference"/>
        </w:rPr>
        <w:footnoteReference w:id="18"/>
      </w:r>
      <w:r w:rsidR="009A2D39" w:rsidRPr="0056651E">
        <w:t xml:space="preserve"> </w:t>
      </w:r>
      <w:r w:rsidR="005543B3" w:rsidRPr="0056651E">
        <w:t>Massachusetts Attorney General Maura Healey</w:t>
      </w:r>
      <w:r w:rsidR="005543B3" w:rsidRPr="005A7287">
        <w:t xml:space="preserve">; </w:t>
      </w:r>
      <w:r w:rsidR="00720EF7" w:rsidRPr="005A7287">
        <w:t xml:space="preserve">National Grid; </w:t>
      </w:r>
      <w:r w:rsidR="00534747" w:rsidRPr="005A7287">
        <w:t>New England Power Pool Participants Committee (NEPOOL)</w:t>
      </w:r>
      <w:r w:rsidR="0029280C" w:rsidRPr="005A7287">
        <w:t>;</w:t>
      </w:r>
      <w:r w:rsidR="00534747" w:rsidRPr="005A7287">
        <w:t xml:space="preserve"> </w:t>
      </w:r>
      <w:r w:rsidR="00244442" w:rsidRPr="005A7287">
        <w:t>New England States Committee</w:t>
      </w:r>
      <w:r w:rsidR="008926A6" w:rsidRPr="005A7287">
        <w:t xml:space="preserve"> on Electricity </w:t>
      </w:r>
      <w:r w:rsidR="008926A6" w:rsidRPr="00182511">
        <w:t>(NESCOE)</w:t>
      </w:r>
      <w:r w:rsidR="0029280C" w:rsidRPr="00182511">
        <w:t>;</w:t>
      </w:r>
      <w:r w:rsidR="008926A6" w:rsidRPr="00182511">
        <w:t xml:space="preserve"> </w:t>
      </w:r>
      <w:r w:rsidR="0029280C" w:rsidRPr="00182511">
        <w:t>NRG</w:t>
      </w:r>
      <w:r w:rsidR="00416587" w:rsidRPr="00182511">
        <w:t>;</w:t>
      </w:r>
      <w:r w:rsidR="0029280C" w:rsidRPr="00182511">
        <w:t xml:space="preserve"> </w:t>
      </w:r>
      <w:r w:rsidR="00720EF7" w:rsidRPr="00182511">
        <w:t>PSEG Companies;</w:t>
      </w:r>
      <w:r w:rsidR="00622340">
        <w:rPr>
          <w:rStyle w:val="FootnoteReference"/>
        </w:rPr>
        <w:footnoteReference w:id="19"/>
      </w:r>
      <w:r w:rsidR="00720EF7" w:rsidRPr="00182511">
        <w:t xml:space="preserve"> </w:t>
      </w:r>
      <w:r w:rsidR="0029280C" w:rsidRPr="00182511">
        <w:t xml:space="preserve">Public Citizen, Inc.; </w:t>
      </w:r>
      <w:r w:rsidR="00720EF7" w:rsidRPr="00182511">
        <w:t>Retail Energy Supply Association</w:t>
      </w:r>
      <w:r w:rsidR="00720EF7" w:rsidRPr="00AF026B">
        <w:t xml:space="preserve">; </w:t>
      </w:r>
      <w:r w:rsidR="0029280C" w:rsidRPr="00D81E94">
        <w:t>The United Illuminating Co</w:t>
      </w:r>
      <w:r w:rsidR="00416587" w:rsidRPr="00D81E94">
        <w:t>mpany</w:t>
      </w:r>
      <w:r w:rsidR="0029280C" w:rsidRPr="00D81E94">
        <w:t xml:space="preserve">; </w:t>
      </w:r>
      <w:r w:rsidR="00AD7C8B" w:rsidRPr="00D81E94">
        <w:t xml:space="preserve">and </w:t>
      </w:r>
      <w:proofErr w:type="spellStart"/>
      <w:r w:rsidR="00AD7C8B" w:rsidRPr="00D81E94">
        <w:t>Vistra</w:t>
      </w:r>
      <w:proofErr w:type="spellEnd"/>
      <w:r w:rsidR="00AD7C8B" w:rsidRPr="00D81E94">
        <w:t xml:space="preserve"> Energy </w:t>
      </w:r>
      <w:r w:rsidR="002E6162" w:rsidRPr="000F01ED">
        <w:t>filed timely motion</w:t>
      </w:r>
      <w:r w:rsidR="00534747" w:rsidRPr="000F01ED">
        <w:t>s</w:t>
      </w:r>
      <w:r w:rsidR="002E6162" w:rsidRPr="00A900A2">
        <w:t xml:space="preserve"> to intervene.</w:t>
      </w:r>
      <w:proofErr w:type="gramEnd"/>
      <w:r w:rsidR="00151B81" w:rsidRPr="00690574">
        <w:t xml:space="preserve">  </w:t>
      </w:r>
      <w:r w:rsidR="00A422D6" w:rsidRPr="0056651E">
        <w:t>NextEra filed a motion to intervene out of time.</w:t>
      </w:r>
      <w:r w:rsidR="00416587" w:rsidRPr="0056651E">
        <w:t xml:space="preserve">  </w:t>
      </w:r>
      <w:r w:rsidR="00C36529" w:rsidRPr="0056651E">
        <w:t xml:space="preserve">Calpine, </w:t>
      </w:r>
      <w:r w:rsidR="009F4BA3" w:rsidRPr="0056651E">
        <w:t xml:space="preserve">Cross-Sound </w:t>
      </w:r>
      <w:r w:rsidR="009F4BA3" w:rsidRPr="0056651E">
        <w:lastRenderedPageBreak/>
        <w:t>Cable</w:t>
      </w:r>
      <w:r w:rsidR="00435166">
        <w:t>,</w:t>
      </w:r>
      <w:r w:rsidR="009F4BA3" w:rsidRPr="0056651E">
        <w:t xml:space="preserve"> </w:t>
      </w:r>
      <w:r w:rsidR="00416587" w:rsidRPr="0056651E">
        <w:t xml:space="preserve">IROL-Critical Facility Owners, NEPOOL, and </w:t>
      </w:r>
      <w:bookmarkStart w:id="10" w:name="_Hlk40123365"/>
      <w:r w:rsidR="00416587" w:rsidRPr="00EE346C">
        <w:t>NESCOE</w:t>
      </w:r>
      <w:bookmarkEnd w:id="10"/>
      <w:r w:rsidR="00416587" w:rsidRPr="00EE346C">
        <w:t xml:space="preserve"> filed comments.</w:t>
      </w:r>
      <w:r w:rsidR="00E66AEF" w:rsidRPr="00EE346C">
        <w:t xml:space="preserve">  </w:t>
      </w:r>
      <w:r w:rsidR="00872EC2" w:rsidRPr="00EE346C">
        <w:t xml:space="preserve">On February 11, 2020, </w:t>
      </w:r>
      <w:r w:rsidR="00E66AEF" w:rsidRPr="00EE346C">
        <w:t xml:space="preserve">IROL-Critical Facility Owners, ISO-NE, </w:t>
      </w:r>
      <w:r w:rsidR="00DD1658" w:rsidRPr="00346258">
        <w:t xml:space="preserve">and </w:t>
      </w:r>
      <w:r w:rsidR="00E66AEF" w:rsidRPr="00346258">
        <w:t>NESCOE</w:t>
      </w:r>
      <w:r w:rsidR="00E66AEF">
        <w:t xml:space="preserve"> filed answers.</w:t>
      </w:r>
      <w:r w:rsidR="005A7287" w:rsidRPr="005A7287">
        <w:t xml:space="preserve"> </w:t>
      </w:r>
    </w:p>
    <w:p w14:paraId="253E1B25" w14:textId="639B117D" w:rsidR="0093509B" w:rsidRDefault="00182511" w:rsidP="00FD00C6">
      <w:pPr>
        <w:pStyle w:val="FERCparanumber"/>
      </w:pPr>
      <w:proofErr w:type="gramStart"/>
      <w:r w:rsidRPr="00182511">
        <w:t xml:space="preserve">On February 26, 2020, Commission </w:t>
      </w:r>
      <w:r>
        <w:t xml:space="preserve">staff </w:t>
      </w:r>
      <w:r w:rsidRPr="00182511">
        <w:t>issued a deficiency letter</w:t>
      </w:r>
      <w:r>
        <w:t>,</w:t>
      </w:r>
      <w:r w:rsidRPr="00182511">
        <w:t xml:space="preserve"> </w:t>
      </w:r>
      <w:r>
        <w:t xml:space="preserve">requesting that </w:t>
      </w:r>
      <w:r w:rsidRPr="00182511">
        <w:t xml:space="preserve">ISO-NE explain </w:t>
      </w:r>
      <w:r>
        <w:t xml:space="preserve">whether </w:t>
      </w:r>
      <w:r w:rsidRPr="00182511">
        <w:t>it intends section 2.2(A)(</w:t>
      </w:r>
      <w:proofErr w:type="spellStart"/>
      <w:r w:rsidRPr="00182511">
        <w:t>i</w:t>
      </w:r>
      <w:proofErr w:type="spellEnd"/>
      <w:r w:rsidRPr="00182511">
        <w:t>) of proposed Schedule 17 to allow the recovery of costs incurred prior to the requested effective date of March 6, 2020, and, if it did, to explain how this cost recovery would be consistent with the filed rate doctrine and the rule against retroactive ratemaking.</w:t>
      </w:r>
      <w:proofErr w:type="gramEnd"/>
      <w:r w:rsidRPr="00182511">
        <w:t xml:space="preserve">  On </w:t>
      </w:r>
      <w:bookmarkStart w:id="11" w:name="_Hlk40247713"/>
      <w:r w:rsidRPr="00182511">
        <w:t>March 27, 2020</w:t>
      </w:r>
      <w:bookmarkEnd w:id="11"/>
      <w:r w:rsidRPr="00182511">
        <w:t xml:space="preserve">, ISO-NE </w:t>
      </w:r>
      <w:r>
        <w:t xml:space="preserve">submitted </w:t>
      </w:r>
      <w:r w:rsidRPr="00182511">
        <w:t>its response.</w:t>
      </w:r>
      <w:r w:rsidR="00EC0D8A" w:rsidRPr="00EC0D8A">
        <w:rPr>
          <w:b/>
          <w:vertAlign w:val="superscript"/>
        </w:rPr>
        <w:footnoteReference w:id="20"/>
      </w:r>
      <w:r w:rsidRPr="00182511">
        <w:t xml:space="preserve">  Notice of </w:t>
      </w:r>
      <w:r>
        <w:t xml:space="preserve">the </w:t>
      </w:r>
      <w:r w:rsidR="00D81E94">
        <w:t>d</w:t>
      </w:r>
      <w:r>
        <w:t xml:space="preserve">eficiency </w:t>
      </w:r>
      <w:r w:rsidR="00D81E94">
        <w:t>r</w:t>
      </w:r>
      <w:r w:rsidRPr="00182511">
        <w:t xml:space="preserve">esponse </w:t>
      </w:r>
      <w:proofErr w:type="gramStart"/>
      <w:r w:rsidRPr="00182511">
        <w:t>was published</w:t>
      </w:r>
      <w:proofErr w:type="gramEnd"/>
      <w:r w:rsidRPr="00182511">
        <w:t xml:space="preserve"> in the </w:t>
      </w:r>
      <w:r w:rsidRPr="00AE3421">
        <w:rPr>
          <w:i/>
        </w:rPr>
        <w:t>Federal Register</w:t>
      </w:r>
      <w:r w:rsidRPr="00182511">
        <w:t xml:space="preserve">, </w:t>
      </w:r>
      <w:r w:rsidR="005D5876">
        <w:t xml:space="preserve">    </w:t>
      </w:r>
      <w:r w:rsidRPr="00182511">
        <w:t xml:space="preserve">85 Fed. Reg. 18,571 (Apr. 2, 2020), with </w:t>
      </w:r>
      <w:r w:rsidR="00120F42">
        <w:t xml:space="preserve">interventions and protests </w:t>
      </w:r>
      <w:r w:rsidRPr="00182511">
        <w:t>due on or before April 17, 2020.</w:t>
      </w:r>
      <w:r w:rsidR="00EE346C" w:rsidRPr="00F956B9">
        <w:rPr>
          <w:color w:val="333333"/>
          <w:szCs w:val="26"/>
        </w:rPr>
        <w:t xml:space="preserve">  </w:t>
      </w:r>
      <w:r w:rsidR="00EE346C" w:rsidRPr="00EE346C">
        <w:t>IROL-Critical Facility Owners</w:t>
      </w:r>
      <w:r w:rsidR="00EE346C">
        <w:t xml:space="preserve"> filed comments</w:t>
      </w:r>
      <w:r w:rsidR="00120F42">
        <w:t>.</w:t>
      </w:r>
      <w:r w:rsidR="00EE346C">
        <w:t xml:space="preserve"> </w:t>
      </w:r>
      <w:r w:rsidR="00120F42">
        <w:t xml:space="preserve"> </w:t>
      </w:r>
      <w:r w:rsidR="00EE346C" w:rsidRPr="00EE346C">
        <w:t>NESCOE</w:t>
      </w:r>
      <w:r w:rsidR="00EE346C">
        <w:t xml:space="preserve"> </w:t>
      </w:r>
      <w:r w:rsidR="00120F42">
        <w:t xml:space="preserve">filed an </w:t>
      </w:r>
      <w:r w:rsidR="00EE346C">
        <w:t>answer.</w:t>
      </w:r>
    </w:p>
    <w:p w14:paraId="5FE8644F" w14:textId="1263B47E" w:rsidR="00AF026B" w:rsidRDefault="00AF026B" w:rsidP="00AF026B">
      <w:pPr>
        <w:pStyle w:val="Heading1"/>
      </w:pPr>
      <w:r>
        <w:t>Comments</w:t>
      </w:r>
      <w:r w:rsidR="00E877B3">
        <w:t xml:space="preserve"> and Answers</w:t>
      </w:r>
    </w:p>
    <w:p w14:paraId="01D79993" w14:textId="2A2B1EB8" w:rsidR="00987C61" w:rsidRDefault="00987C61" w:rsidP="00DA46E2">
      <w:pPr>
        <w:pStyle w:val="FERCparanumber"/>
      </w:pPr>
      <w:r>
        <w:t xml:space="preserve">NEPOOL states </w:t>
      </w:r>
      <w:r w:rsidR="00C81822" w:rsidRPr="00C81822">
        <w:t xml:space="preserve">that it does not support the filing because ISO-NE’s proposed Schedule 17 garnered 63.84% of the eligible votes in favor, below the 66.67% threshold required for NEPOOL </w:t>
      </w:r>
      <w:proofErr w:type="gramStart"/>
      <w:r w:rsidR="00C81822" w:rsidRPr="00C81822">
        <w:t>to formally support</w:t>
      </w:r>
      <w:proofErr w:type="gramEnd"/>
      <w:r w:rsidR="00C81822" w:rsidRPr="00C81822">
        <w:t xml:space="preserve"> the filing.</w:t>
      </w:r>
      <w:r w:rsidR="00C81822" w:rsidRPr="00C81822">
        <w:rPr>
          <w:b/>
          <w:vertAlign w:val="superscript"/>
        </w:rPr>
        <w:footnoteReference w:id="21"/>
      </w:r>
      <w:r w:rsidR="00C81822" w:rsidRPr="00C81822">
        <w:t xml:space="preserve">  However, NEPOOL notes that, over the past several years, some NEPOOL participants (primarily generators) have sought revisions to the </w:t>
      </w:r>
      <w:r w:rsidR="00C81822" w:rsidRPr="00C81822" w:rsidDel="00702AE4">
        <w:t xml:space="preserve">OATT </w:t>
      </w:r>
      <w:r w:rsidR="00C81822" w:rsidRPr="00C81822">
        <w:t xml:space="preserve">to allow cost </w:t>
      </w:r>
      <w:proofErr w:type="gramStart"/>
      <w:r w:rsidR="00C81822" w:rsidRPr="00C81822">
        <w:t>recovery for certain</w:t>
      </w:r>
      <w:proofErr w:type="gramEnd"/>
      <w:r w:rsidR="00C81822" w:rsidRPr="00C81822">
        <w:t xml:space="preserve"> CIP costs that these participants maintain are not recoverable in the markets.  The other commenters</w:t>
      </w:r>
      <w:r w:rsidR="00C81822" w:rsidRPr="00C81822">
        <w:rPr>
          <w:b/>
          <w:vertAlign w:val="superscript"/>
        </w:rPr>
        <w:footnoteReference w:id="22"/>
      </w:r>
      <w:r w:rsidR="00C81822" w:rsidRPr="00C81822">
        <w:t xml:space="preserve"> generally support ISO-NE’s proposal to provide cost recovery for </w:t>
      </w:r>
      <w:bookmarkStart w:id="12" w:name="_Hlk37853354"/>
      <w:r w:rsidR="00C81822" w:rsidRPr="00C81822">
        <w:t>the IROL-Critical Facility Owners</w:t>
      </w:r>
      <w:bookmarkEnd w:id="12"/>
      <w:r>
        <w:t>.</w:t>
      </w:r>
      <w:r w:rsidR="00134FC1">
        <w:t xml:space="preserve"> </w:t>
      </w:r>
    </w:p>
    <w:p w14:paraId="2A089EA1" w14:textId="127BD345" w:rsidR="00987C61" w:rsidRDefault="00170611" w:rsidP="00987C61">
      <w:pPr>
        <w:pStyle w:val="FERCparanumber"/>
      </w:pPr>
      <w:r>
        <w:t>Two commenters, I</w:t>
      </w:r>
      <w:r w:rsidRPr="00F0157C">
        <w:t>ROL-Critical Facility Owners</w:t>
      </w:r>
      <w:r>
        <w:t xml:space="preserve"> and NESCOE,</w:t>
      </w:r>
      <w:r w:rsidR="00F0157C" w:rsidRPr="00F0157C">
        <w:t xml:space="preserve"> seek clarification of the scope of the cost recovery.  IROL-Critical Facility Owners contend that IROL-Critical Facilities are entitled to seek recovery of all historic costs since </w:t>
      </w:r>
      <w:proofErr w:type="gramStart"/>
      <w:r w:rsidR="00F0157C" w:rsidRPr="00F0157C">
        <w:t>being designated</w:t>
      </w:r>
      <w:proofErr w:type="gramEnd"/>
      <w:r w:rsidR="00F0157C" w:rsidRPr="00F0157C">
        <w:t xml:space="preserve"> </w:t>
      </w:r>
      <w:r w:rsidR="00F0157C" w:rsidRPr="00F0157C">
        <w:lastRenderedPageBreak/>
        <w:t>as IROL-Critical.</w:t>
      </w:r>
      <w:r w:rsidR="00F0157C" w:rsidRPr="00F0157C">
        <w:rPr>
          <w:b/>
          <w:vertAlign w:val="superscript"/>
        </w:rPr>
        <w:footnoteReference w:id="23"/>
      </w:r>
      <w:r w:rsidR="00F0157C" w:rsidRPr="00F0157C">
        <w:t xml:space="preserve">  IROL-Critical Facility Owners argue that </w:t>
      </w:r>
      <w:r w:rsidR="003B6514">
        <w:t>the Energy Policy Act of 2005 (</w:t>
      </w:r>
      <w:proofErr w:type="spellStart"/>
      <w:r w:rsidR="00F0157C" w:rsidRPr="00F0157C">
        <w:t>EPAct</w:t>
      </w:r>
      <w:proofErr w:type="spellEnd"/>
      <w:r w:rsidR="003B6514">
        <w:t>)</w:t>
      </w:r>
      <w:r w:rsidR="003B6514">
        <w:rPr>
          <w:rStyle w:val="FootnoteReference"/>
        </w:rPr>
        <w:footnoteReference w:id="24"/>
      </w:r>
      <w:r w:rsidR="00F0157C" w:rsidRPr="00F0157C">
        <w:t xml:space="preserve"> provided notice of the recovery of historic costs because it permits the recovery of all prudently incurred costs necessary to comply with the mandatory </w:t>
      </w:r>
      <w:r w:rsidR="00C727B6">
        <w:t>R</w:t>
      </w:r>
      <w:r w:rsidR="00F0157C" w:rsidRPr="00F0157C">
        <w:t xml:space="preserve">eliability </w:t>
      </w:r>
      <w:r w:rsidR="00C727B6">
        <w:t>S</w:t>
      </w:r>
      <w:r w:rsidR="00F0157C" w:rsidRPr="00F0157C">
        <w:t>tandards issued pursuant to FPA section 215.</w:t>
      </w:r>
      <w:r w:rsidR="00F0157C" w:rsidRPr="00F0157C">
        <w:rPr>
          <w:b/>
          <w:vertAlign w:val="superscript"/>
        </w:rPr>
        <w:footnoteReference w:id="25"/>
      </w:r>
      <w:r w:rsidR="00F0157C" w:rsidRPr="00F0157C">
        <w:t xml:space="preserve">  They assert that “all” costs include all historic costs, not only going-forward costs.  </w:t>
      </w:r>
      <w:bookmarkStart w:id="14" w:name="_Hlk38359911"/>
      <w:r w:rsidR="00F0157C" w:rsidRPr="00F0157C">
        <w:t xml:space="preserve">IROL-Critical Facility Owners </w:t>
      </w:r>
      <w:bookmarkEnd w:id="14"/>
      <w:r w:rsidR="00F0157C" w:rsidRPr="00F0157C">
        <w:t>point out that, when the Commission implemented the statute in Order No. 672, the Commission stated that, “[p]</w:t>
      </w:r>
      <w:proofErr w:type="spellStart"/>
      <w:r w:rsidR="00F0157C" w:rsidRPr="00F0157C">
        <w:t>ursuant</w:t>
      </w:r>
      <w:proofErr w:type="spellEnd"/>
      <w:r w:rsidR="00F0157C" w:rsidRPr="00F0157C">
        <w:t xml:space="preserve"> to section 1241 of </w:t>
      </w:r>
      <w:proofErr w:type="spellStart"/>
      <w:r w:rsidR="00F0157C" w:rsidRPr="00F0157C">
        <w:t>EPAct</w:t>
      </w:r>
      <w:proofErr w:type="spellEnd"/>
      <w:r w:rsidR="00F0157C" w:rsidRPr="00F0157C">
        <w:t>, the Commission will allow recovery of all costs prudently incurred to comply with the Reliability Standards.”</w:t>
      </w:r>
      <w:r w:rsidR="00F0157C" w:rsidRPr="00F0157C">
        <w:rPr>
          <w:b/>
          <w:vertAlign w:val="superscript"/>
        </w:rPr>
        <w:footnoteReference w:id="26"/>
      </w:r>
      <w:r w:rsidR="00F0157C" w:rsidRPr="00F0157C">
        <w:t xml:space="preserve">  They </w:t>
      </w:r>
      <w:r w:rsidR="0037041B">
        <w:t>observe</w:t>
      </w:r>
      <w:r w:rsidR="00F0157C" w:rsidRPr="00F0157C">
        <w:t xml:space="preserve"> that, in Order No.</w:t>
      </w:r>
      <w:r w:rsidR="00B16EDB">
        <w:t> </w:t>
      </w:r>
      <w:r w:rsidR="00F0157C" w:rsidRPr="00F0157C">
        <w:t>679, the Commission noted a rebuttable “presumption in [an FPA] section 205 proceeding that costs are prudently incurred.”</w:t>
      </w:r>
      <w:r w:rsidR="00F0157C" w:rsidRPr="00F0157C">
        <w:rPr>
          <w:b/>
          <w:vertAlign w:val="superscript"/>
        </w:rPr>
        <w:footnoteReference w:id="27"/>
      </w:r>
      <w:bookmarkStart w:id="17" w:name="_Hlk38458186"/>
      <w:r w:rsidR="00F0157C" w:rsidRPr="00F0157C">
        <w:t xml:space="preserve">  </w:t>
      </w:r>
      <w:bookmarkEnd w:id="17"/>
      <w:r w:rsidR="00F0157C" w:rsidRPr="00F0157C">
        <w:t xml:space="preserve">IROL-Critical Facility Owners add that they </w:t>
      </w:r>
      <w:proofErr w:type="gramStart"/>
      <w:r w:rsidR="00F0157C" w:rsidRPr="00F0157C">
        <w:t>should not be penalized</w:t>
      </w:r>
      <w:proofErr w:type="gramEnd"/>
      <w:r w:rsidR="00F0157C" w:rsidRPr="00F0157C">
        <w:t xml:space="preserve"> for “the Commission’s deference to the NEPOOL review process,” which caused the delay in filing this proposal.</w:t>
      </w:r>
      <w:r w:rsidR="00F0157C" w:rsidRPr="00F0157C">
        <w:rPr>
          <w:b/>
          <w:vertAlign w:val="superscript"/>
        </w:rPr>
        <w:footnoteReference w:id="28"/>
      </w:r>
    </w:p>
    <w:p w14:paraId="016EAD36" w14:textId="3CDF1C8A" w:rsidR="00170611" w:rsidRDefault="00170611" w:rsidP="00987C61">
      <w:pPr>
        <w:pStyle w:val="FERCparanumber"/>
      </w:pPr>
      <w:r w:rsidRPr="00170611">
        <w:t xml:space="preserve">IROL-Critical Facility Owners state that the assurance of cost recovery to comply with </w:t>
      </w:r>
      <w:r w:rsidR="00C727B6">
        <w:t>R</w:t>
      </w:r>
      <w:r w:rsidRPr="00170611">
        <w:t xml:space="preserve">eliability </w:t>
      </w:r>
      <w:r w:rsidR="00C727B6">
        <w:t>S</w:t>
      </w:r>
      <w:r w:rsidRPr="00170611">
        <w:t xml:space="preserve">tandards in Order No. 672 and the FPA section 205 rebuttal presumption of prudently incurred costs are important because the process and timeline for developing and changing </w:t>
      </w:r>
      <w:r w:rsidR="00C727B6">
        <w:t>R</w:t>
      </w:r>
      <w:r w:rsidRPr="00170611">
        <w:t xml:space="preserve">eliability </w:t>
      </w:r>
      <w:r w:rsidR="00C727B6">
        <w:t>S</w:t>
      </w:r>
      <w:r w:rsidR="00C727B6" w:rsidRPr="00170611">
        <w:t>tandards</w:t>
      </w:r>
      <w:r w:rsidRPr="00170611">
        <w:t xml:space="preserve"> is different from a typical cost </w:t>
      </w:r>
      <w:r w:rsidRPr="00170611">
        <w:lastRenderedPageBreak/>
        <w:t>recovery proceeding.</w:t>
      </w:r>
      <w:r w:rsidRPr="00170611">
        <w:rPr>
          <w:b/>
          <w:vertAlign w:val="superscript"/>
        </w:rPr>
        <w:footnoteReference w:id="29"/>
      </w:r>
      <w:r w:rsidRPr="00170611">
        <w:t xml:space="preserve">  They argue that the structure of the FPA and the implementing orders provide certainty to customers that the public utilities that serve them will take necessary steps to provide reliable service in compliance with mandatory </w:t>
      </w:r>
      <w:r w:rsidR="00C727B6">
        <w:t>R</w:t>
      </w:r>
      <w:r w:rsidR="00C727B6" w:rsidRPr="00170611">
        <w:t xml:space="preserve">eliability </w:t>
      </w:r>
      <w:r w:rsidR="00C727B6">
        <w:t>S</w:t>
      </w:r>
      <w:r w:rsidRPr="00170611">
        <w:t>tandards, knowing that they will be able to subsequently recover costs incurred to do so.</w:t>
      </w:r>
      <w:r w:rsidRPr="00170611">
        <w:rPr>
          <w:b/>
          <w:vertAlign w:val="superscript"/>
        </w:rPr>
        <w:footnoteReference w:id="30"/>
      </w:r>
      <w:r w:rsidRPr="00170611">
        <w:t xml:space="preserve">  IROL-Critical Facility Owners assert that this scenario exists because they have incurred CIP compliance costs as medium impact facilities since late 2014 and early 2015 when ISO-NE designated them as critical to determine IROL</w:t>
      </w:r>
      <w:r>
        <w:t>.</w:t>
      </w:r>
    </w:p>
    <w:p w14:paraId="2CA3DC21" w14:textId="3C9D55BD" w:rsidR="00170611" w:rsidRDefault="00170611" w:rsidP="00987C61">
      <w:pPr>
        <w:pStyle w:val="FERCparanumber"/>
      </w:pPr>
      <w:proofErr w:type="gramStart"/>
      <w:r w:rsidRPr="00170611">
        <w:t>Finally, IROL-Critical Facility Owners assert that neither the filed rate doctrine nor the related rule against retroactive ratemaking is implicated by including costs incurred prior to the proposed Schedule 17 because</w:t>
      </w:r>
      <w:r w:rsidR="00F000D1">
        <w:t xml:space="preserve">:  </w:t>
      </w:r>
      <w:r w:rsidRPr="00170611">
        <w:t>(1) the proposal does not seek to charge a rate for IROL-Critical Facilities service that differs from a rate that is already on file for that service</w:t>
      </w:r>
      <w:r w:rsidR="00F000D1">
        <w:t>;</w:t>
      </w:r>
      <w:r w:rsidRPr="00170611">
        <w:t xml:space="preserve"> and (2) the Commission’s acceptance of proposed Schedule 17 and the associated FPA section 205 filings to implement it will not alter a rate retroactively because there is no existing rate to alter.</w:t>
      </w:r>
      <w:r w:rsidRPr="00170611">
        <w:rPr>
          <w:b/>
          <w:vertAlign w:val="superscript"/>
        </w:rPr>
        <w:footnoteReference w:id="31"/>
      </w:r>
      <w:proofErr w:type="gramEnd"/>
    </w:p>
    <w:p w14:paraId="26812F26" w14:textId="1F373F6B" w:rsidR="00170611" w:rsidRDefault="00170611" w:rsidP="00987C61">
      <w:pPr>
        <w:pStyle w:val="FERCparanumber"/>
      </w:pPr>
      <w:bookmarkStart w:id="24" w:name="_Hlk38288939"/>
      <w:r w:rsidRPr="00170611">
        <w:t>Conversely, NESCOE</w:t>
      </w:r>
      <w:bookmarkEnd w:id="24"/>
      <w:r w:rsidRPr="00170611">
        <w:t xml:space="preserve"> conditionally supports proposed Schedule 17, subject to the Commission clarifying, among other things, that only going-forward costs are eligible for recovery under proposed Schedule 17.</w:t>
      </w:r>
      <w:r w:rsidRPr="00170611">
        <w:rPr>
          <w:b/>
          <w:vertAlign w:val="superscript"/>
        </w:rPr>
        <w:footnoteReference w:id="32"/>
      </w:r>
      <w:r w:rsidRPr="00170611">
        <w:t xml:space="preserve">  NESCOE argues that IROL-Critical Facility Owners should not be able to seek recovery of CIP costs incurred prior to their FPA section 205 filings, including sunk costs for investments made prior to </w:t>
      </w:r>
      <w:r w:rsidR="00446E15">
        <w:t>their</w:t>
      </w:r>
      <w:r w:rsidR="00446E15" w:rsidRPr="00170611">
        <w:t xml:space="preserve"> </w:t>
      </w:r>
      <w:r w:rsidRPr="00170611">
        <w:t>section 205 filing</w:t>
      </w:r>
      <w:r w:rsidR="00446E15">
        <w:t>s</w:t>
      </w:r>
      <w:r w:rsidRPr="00170611">
        <w:t xml:space="preserve"> made in accordance with Schedule 17.  NESCOE states that this is the first time that a proposal for the recovery of these costs </w:t>
      </w:r>
      <w:proofErr w:type="gramStart"/>
      <w:r w:rsidRPr="00170611">
        <w:t>has been filed</w:t>
      </w:r>
      <w:proofErr w:type="gramEnd"/>
      <w:r w:rsidRPr="00170611">
        <w:t xml:space="preserve"> with the Commission and to allow for recovery of past costs would violate the rule against retroactive ratemaking.  NESCOE claims that neither exception to the rule against retroactively charging rates that differ from those that were on file during the relevant time period (i.e., (</w:t>
      </w:r>
      <w:proofErr w:type="spellStart"/>
      <w:r w:rsidRPr="00170611">
        <w:t>i</w:t>
      </w:r>
      <w:proofErr w:type="spellEnd"/>
      <w:r w:rsidRPr="00170611">
        <w:t>) when a court invalidates the set rate as unlawful and (ii) when the filed rate is not a number but a formula that varies as the incorporated factors change over time) applies here.</w:t>
      </w:r>
      <w:r w:rsidRPr="00170611">
        <w:rPr>
          <w:b/>
          <w:vertAlign w:val="superscript"/>
        </w:rPr>
        <w:footnoteReference w:id="33"/>
      </w:r>
    </w:p>
    <w:p w14:paraId="369F5CEA" w14:textId="129BF21E" w:rsidR="009A7B52" w:rsidRDefault="00A8533C" w:rsidP="00987C61">
      <w:pPr>
        <w:pStyle w:val="FERCparanumber"/>
      </w:pPr>
      <w:r>
        <w:lastRenderedPageBreak/>
        <w:t xml:space="preserve">In its answer, </w:t>
      </w:r>
      <w:r w:rsidR="00170611" w:rsidRPr="00170611">
        <w:t xml:space="preserve">ISO-NE states that it does not take a position on the recovery of historic costs, </w:t>
      </w:r>
      <w:proofErr w:type="gramStart"/>
      <w:r w:rsidR="00170611" w:rsidRPr="00170611">
        <w:t>noting that</w:t>
      </w:r>
      <w:proofErr w:type="gramEnd"/>
      <w:r w:rsidR="00170611" w:rsidRPr="00170611">
        <w:t xml:space="preserve"> “the proposed rules intentionally avoid foreclosing the potential for </w:t>
      </w:r>
      <w:bookmarkStart w:id="25" w:name="_Hlk40125632"/>
      <w:r w:rsidR="00170611" w:rsidRPr="00170611">
        <w:t xml:space="preserve">IROL-Critical Facility Owners </w:t>
      </w:r>
      <w:bookmarkEnd w:id="25"/>
      <w:r w:rsidR="00170611" w:rsidRPr="00170611">
        <w:t>to address this issue in their individual filings.”</w:t>
      </w:r>
      <w:r w:rsidR="00170611" w:rsidRPr="00170611">
        <w:rPr>
          <w:b/>
          <w:vertAlign w:val="superscript"/>
        </w:rPr>
        <w:footnoteReference w:id="34"/>
      </w:r>
      <w:r w:rsidR="00170611" w:rsidRPr="00170611">
        <w:t xml:space="preserve">  </w:t>
      </w:r>
      <w:r w:rsidR="00F000D1">
        <w:t xml:space="preserve"> </w:t>
      </w:r>
      <w:r w:rsidR="00170611" w:rsidRPr="00170611">
        <w:t>ISO-NE supports the Commission clarifying this issue, arguing that such clarification does not require modifications to proposed Schedule 17.</w:t>
      </w:r>
      <w:r w:rsidR="003D2E3F">
        <w:rPr>
          <w:rStyle w:val="FootnoteReference"/>
        </w:rPr>
        <w:footnoteReference w:id="35"/>
      </w:r>
      <w:r w:rsidR="00D0089E" w:rsidRPr="00D0089E">
        <w:t xml:space="preserve"> </w:t>
      </w:r>
      <w:r w:rsidR="00D0089E">
        <w:t xml:space="preserve"> </w:t>
      </w:r>
      <w:r w:rsidR="00D0089E" w:rsidRPr="00D0089E">
        <w:t>ISO-NE asks the Commission to accept its filing without suspension, hearing, or condition.</w:t>
      </w:r>
    </w:p>
    <w:p w14:paraId="6C46EE6B" w14:textId="38FECD5A" w:rsidR="00BF2AA0" w:rsidRDefault="00D0089E" w:rsidP="00074405">
      <w:pPr>
        <w:pStyle w:val="FERCparanumber"/>
      </w:pPr>
      <w:r>
        <w:t xml:space="preserve">Commenters raise </w:t>
      </w:r>
      <w:r w:rsidR="00F864E4">
        <w:t xml:space="preserve">several </w:t>
      </w:r>
      <w:r>
        <w:t xml:space="preserve">other </w:t>
      </w:r>
      <w:r w:rsidR="00F864E4">
        <w:t>concerns</w:t>
      </w:r>
      <w:r>
        <w:t>.  NESCO</w:t>
      </w:r>
      <w:r w:rsidR="00016C07">
        <w:t>E</w:t>
      </w:r>
      <w:r>
        <w:t xml:space="preserve"> asks the Commission to</w:t>
      </w:r>
      <w:r w:rsidR="00E95D1C">
        <w:t xml:space="preserve"> </w:t>
      </w:r>
      <w:r>
        <w:t>clarify that</w:t>
      </w:r>
      <w:r w:rsidR="00F000D1">
        <w:t xml:space="preserve">: </w:t>
      </w:r>
      <w:r>
        <w:t xml:space="preserve"> (1) proposed Schedule 17 is limited in scope and does not set broad precedent</w:t>
      </w:r>
      <w:r w:rsidR="00F000D1">
        <w:t>;</w:t>
      </w:r>
      <w:r>
        <w:t xml:space="preserve"> (2) </w:t>
      </w:r>
      <w:bookmarkStart w:id="26" w:name="_Hlk40182571"/>
      <w:r w:rsidRPr="00D0089E">
        <w:t>IROL-Critical Facility Owners</w:t>
      </w:r>
      <w:r>
        <w:t xml:space="preserve"> </w:t>
      </w:r>
      <w:bookmarkEnd w:id="26"/>
      <w:r>
        <w:t>may not recover costs subject to recovery under another ISO-NE Tariff provision or any other mechanism</w:t>
      </w:r>
      <w:r w:rsidR="00F000D1">
        <w:t>;</w:t>
      </w:r>
      <w:r>
        <w:t xml:space="preserve"> and (3) costs eligible under proposed Schedule 17 </w:t>
      </w:r>
      <w:proofErr w:type="gramStart"/>
      <w:r>
        <w:t>must be solely and directly related</w:t>
      </w:r>
      <w:proofErr w:type="gramEnd"/>
      <w:r>
        <w:t xml:space="preserve"> to ISO-NE’s designation.</w:t>
      </w:r>
      <w:r w:rsidR="00F864E4">
        <w:rPr>
          <w:rStyle w:val="FootnoteReference"/>
        </w:rPr>
        <w:footnoteReference w:id="36"/>
      </w:r>
      <w:r>
        <w:t xml:space="preserve"> </w:t>
      </w:r>
      <w:r w:rsidR="00563363">
        <w:t xml:space="preserve"> </w:t>
      </w:r>
      <w:bookmarkStart w:id="27" w:name="_Hlk40183521"/>
      <w:r w:rsidR="00563363" w:rsidRPr="00563363">
        <w:t xml:space="preserve">Cross-Sound Cable </w:t>
      </w:r>
      <w:bookmarkEnd w:id="27"/>
      <w:r w:rsidR="00563363" w:rsidRPr="00563363">
        <w:t>asks the Commission to clarify that</w:t>
      </w:r>
      <w:r w:rsidR="00E300BA">
        <w:t xml:space="preserve"> </w:t>
      </w:r>
      <w:r w:rsidR="00563363" w:rsidRPr="00563363">
        <w:t>proposed Schedule 17</w:t>
      </w:r>
      <w:r w:rsidR="00E300BA">
        <w:t xml:space="preserve"> permits </w:t>
      </w:r>
      <w:bookmarkStart w:id="28" w:name="_Hlk40183533"/>
      <w:r w:rsidR="00563363" w:rsidRPr="00563363">
        <w:t xml:space="preserve">IROL-Critical Facility </w:t>
      </w:r>
      <w:r w:rsidR="00563363">
        <w:t>Owner</w:t>
      </w:r>
      <w:r w:rsidR="00E300BA">
        <w:t xml:space="preserve">s </w:t>
      </w:r>
      <w:bookmarkEnd w:id="28"/>
      <w:r w:rsidR="00E300BA">
        <w:t>to adopt a historic formula rate</w:t>
      </w:r>
      <w:r w:rsidR="00563363" w:rsidRPr="00563363">
        <w:t xml:space="preserve">, which allows cost recovery without the calculation of a return or other various </w:t>
      </w:r>
      <w:proofErr w:type="gramStart"/>
      <w:r w:rsidR="00563363" w:rsidRPr="00563363">
        <w:t>inputs</w:t>
      </w:r>
      <w:r w:rsidR="00E300BA">
        <w:t xml:space="preserve"> and </w:t>
      </w:r>
      <w:r w:rsidR="00563363" w:rsidRPr="00563363">
        <w:t>would provide sufficient transparency</w:t>
      </w:r>
      <w:proofErr w:type="gramEnd"/>
      <w:r w:rsidR="00563363" w:rsidRPr="00563363">
        <w:t xml:space="preserve"> and would minimize the administrative burden.</w:t>
      </w:r>
      <w:r w:rsidR="00563363" w:rsidRPr="00563363">
        <w:rPr>
          <w:b/>
          <w:vertAlign w:val="superscript"/>
        </w:rPr>
        <w:footnoteReference w:id="37"/>
      </w:r>
      <w:r w:rsidR="001E0C1A">
        <w:t xml:space="preserve">  </w:t>
      </w:r>
      <w:r w:rsidR="001E0C1A" w:rsidRPr="001E0C1A">
        <w:t>IROL-Critical Facility Owners</w:t>
      </w:r>
      <w:r w:rsidR="001E0C1A">
        <w:t xml:space="preserve"> </w:t>
      </w:r>
      <w:r w:rsidR="00CD43F6">
        <w:t xml:space="preserve">state that they </w:t>
      </w:r>
      <w:r w:rsidR="001E0C1A">
        <w:t xml:space="preserve">also </w:t>
      </w:r>
      <w:r w:rsidR="005431E8">
        <w:t xml:space="preserve">prefer </w:t>
      </w:r>
      <w:r w:rsidR="001E0C1A">
        <w:t>formula rate treatment.</w:t>
      </w:r>
      <w:r w:rsidR="001E0C1A">
        <w:rPr>
          <w:rStyle w:val="FootnoteReference"/>
        </w:rPr>
        <w:footnoteReference w:id="38"/>
      </w:r>
      <w:r w:rsidR="007D305F">
        <w:t xml:space="preserve">  </w:t>
      </w:r>
      <w:r w:rsidR="007D305F" w:rsidRPr="007D305F">
        <w:t xml:space="preserve">NESCOE </w:t>
      </w:r>
      <w:r w:rsidR="00CD43F6">
        <w:t xml:space="preserve">states that, while it </w:t>
      </w:r>
      <w:r w:rsidR="007D305F" w:rsidRPr="007D305F">
        <w:t>appreciates and generally shares the administrative and</w:t>
      </w:r>
      <w:r w:rsidR="007D305F">
        <w:t xml:space="preserve"> </w:t>
      </w:r>
      <w:r w:rsidR="007D305F" w:rsidRPr="007D305F">
        <w:t xml:space="preserve">resource concerns </w:t>
      </w:r>
      <w:r w:rsidR="007D305F">
        <w:t xml:space="preserve">expressed, it </w:t>
      </w:r>
      <w:r w:rsidR="007D305F" w:rsidRPr="007D305F">
        <w:t>cautions the Commission</w:t>
      </w:r>
      <w:r w:rsidR="007D305F">
        <w:t xml:space="preserve"> </w:t>
      </w:r>
      <w:r w:rsidR="007D305F" w:rsidRPr="007D305F">
        <w:t xml:space="preserve">against taking any action at this time that would modify the </w:t>
      </w:r>
      <w:r w:rsidR="007D305F">
        <w:t xml:space="preserve">proposed </w:t>
      </w:r>
      <w:r w:rsidR="007D305F" w:rsidRPr="007D305F">
        <w:t>Schedule 17 process.</w:t>
      </w:r>
      <w:r w:rsidR="007D305F">
        <w:rPr>
          <w:rStyle w:val="FootnoteReference"/>
        </w:rPr>
        <w:footnoteReference w:id="39"/>
      </w:r>
      <w:r w:rsidR="007D305F">
        <w:t xml:space="preserve">  NESCOE asks the Commission instead to </w:t>
      </w:r>
      <w:r w:rsidR="007D305F" w:rsidRPr="007D305F">
        <w:t xml:space="preserve">encourage ISO-NE to evaluate its Schedule 17 construct </w:t>
      </w:r>
      <w:r w:rsidR="007D305F" w:rsidRPr="007D305F">
        <w:rPr>
          <w:i/>
          <w:iCs/>
        </w:rPr>
        <w:t xml:space="preserve">after </w:t>
      </w:r>
      <w:r w:rsidR="007D305F" w:rsidRPr="007D305F">
        <w:t>having the benefit of experienc</w:t>
      </w:r>
      <w:r w:rsidR="007D305F">
        <w:t xml:space="preserve">e of </w:t>
      </w:r>
      <w:r w:rsidR="007D305F" w:rsidRPr="007D305F">
        <w:t>implementing the process</w:t>
      </w:r>
      <w:r w:rsidR="007D305F">
        <w:t>.</w:t>
      </w:r>
      <w:r w:rsidR="007D305F">
        <w:rPr>
          <w:rStyle w:val="FootnoteReference"/>
        </w:rPr>
        <w:footnoteReference w:id="40"/>
      </w:r>
      <w:r w:rsidR="007D305F">
        <w:t xml:space="preserve">  </w:t>
      </w:r>
      <w:r w:rsidR="005431E8">
        <w:t xml:space="preserve">In its answer, ISO-NE asks the Commission to reject </w:t>
      </w:r>
      <w:r w:rsidR="005431E8" w:rsidRPr="005431E8">
        <w:t>Cross-Sound Cable</w:t>
      </w:r>
      <w:r w:rsidR="005431E8">
        <w:t>’s</w:t>
      </w:r>
      <w:r w:rsidR="005431E8" w:rsidRPr="005431E8">
        <w:t xml:space="preserve"> </w:t>
      </w:r>
      <w:r w:rsidR="005431E8">
        <w:t xml:space="preserve">and </w:t>
      </w:r>
      <w:r w:rsidR="005431E8" w:rsidRPr="005431E8">
        <w:t>IROL-Critical Facility Owners</w:t>
      </w:r>
      <w:r w:rsidR="005431E8">
        <w:t>’</w:t>
      </w:r>
      <w:r w:rsidR="005431E8" w:rsidRPr="005431E8">
        <w:t xml:space="preserve"> </w:t>
      </w:r>
      <w:r w:rsidR="005431E8">
        <w:t>requests to establish a formula rate as a matter of law because they have not shown that proposed Schedule 17 is unjust and unreasonable.</w:t>
      </w:r>
      <w:r w:rsidR="00EA76ED">
        <w:rPr>
          <w:rStyle w:val="FootnoteReference"/>
        </w:rPr>
        <w:footnoteReference w:id="41"/>
      </w:r>
      <w:r w:rsidR="005431E8">
        <w:t xml:space="preserve"> </w:t>
      </w:r>
      <w:r w:rsidR="00EA76ED">
        <w:t xml:space="preserve"> </w:t>
      </w:r>
      <w:r w:rsidR="00EA76ED" w:rsidRPr="00EA76ED">
        <w:t xml:space="preserve">ISO-NE </w:t>
      </w:r>
      <w:r w:rsidR="00EA76ED">
        <w:t xml:space="preserve">notes </w:t>
      </w:r>
      <w:r w:rsidR="00EA76ED" w:rsidRPr="00EA76ED">
        <w:t xml:space="preserve">that Cross-Sound Cable </w:t>
      </w:r>
      <w:r w:rsidR="006060E0">
        <w:t xml:space="preserve">and </w:t>
      </w:r>
      <w:r w:rsidR="006060E0" w:rsidRPr="006060E0">
        <w:lastRenderedPageBreak/>
        <w:t xml:space="preserve">IROL-Critical Facility Owners </w:t>
      </w:r>
      <w:r w:rsidR="00EA76ED" w:rsidRPr="00EA76ED">
        <w:t>may use their preferred approach</w:t>
      </w:r>
      <w:r w:rsidR="00D60036">
        <w:t xml:space="preserve"> in their proposed FPA section 205 filings</w:t>
      </w:r>
      <w:r w:rsidR="00EA76ED" w:rsidRPr="00EA76ED">
        <w:t xml:space="preserve">, even if the Commission accepts </w:t>
      </w:r>
      <w:r w:rsidR="00D60036">
        <w:t>Schedule 17, as proposed.</w:t>
      </w:r>
      <w:r w:rsidR="00EA76ED" w:rsidRPr="00EA76ED">
        <w:rPr>
          <w:b/>
          <w:vertAlign w:val="superscript"/>
        </w:rPr>
        <w:footnoteReference w:id="42"/>
      </w:r>
      <w:r w:rsidR="001E0C1A">
        <w:t xml:space="preserve"> </w:t>
      </w:r>
      <w:r>
        <w:t xml:space="preserve"> </w:t>
      </w:r>
    </w:p>
    <w:p w14:paraId="5DCA3163" w14:textId="138740F0" w:rsidR="00BF2AA0" w:rsidRDefault="00BF2AA0" w:rsidP="005C1B70">
      <w:pPr>
        <w:pStyle w:val="Heading1"/>
      </w:pPr>
      <w:r>
        <w:t>Deficiency Letter</w:t>
      </w:r>
      <w:r w:rsidR="004F3CFE">
        <w:t>,</w:t>
      </w:r>
      <w:r>
        <w:t xml:space="preserve"> Response</w:t>
      </w:r>
      <w:r w:rsidR="004F4F93">
        <w:t>,</w:t>
      </w:r>
      <w:r w:rsidR="004F3CFE">
        <w:t xml:space="preserve"> and Comments</w:t>
      </w:r>
    </w:p>
    <w:p w14:paraId="71CA0A4B" w14:textId="05D518CF" w:rsidR="00BF2AA0" w:rsidRDefault="002C13F6" w:rsidP="00BF2AA0">
      <w:pPr>
        <w:pStyle w:val="FERCparanumber"/>
      </w:pPr>
      <w:bookmarkStart w:id="29" w:name="_Hlk40123137"/>
      <w:proofErr w:type="gramStart"/>
      <w:r>
        <w:t xml:space="preserve">In its deficiency letter, </w:t>
      </w:r>
      <w:r w:rsidR="004832F0">
        <w:t>Commission</w:t>
      </w:r>
      <w:r w:rsidR="004832F0" w:rsidRPr="004832F0">
        <w:t xml:space="preserve"> </w:t>
      </w:r>
      <w:r>
        <w:t xml:space="preserve">staff requested that </w:t>
      </w:r>
      <w:r w:rsidR="004832F0" w:rsidRPr="004832F0">
        <w:t>ISO-NE explain if it intends section 2.2(A)(</w:t>
      </w:r>
      <w:proofErr w:type="spellStart"/>
      <w:r w:rsidR="004832F0" w:rsidRPr="004832F0">
        <w:t>i</w:t>
      </w:r>
      <w:proofErr w:type="spellEnd"/>
      <w:r w:rsidR="004832F0" w:rsidRPr="004832F0">
        <w:t>) of proposed Schedule 17 to allow the recovery of costs incurred prior to the requested effective date of March 6, 2020</w:t>
      </w:r>
      <w:r w:rsidR="004832F0">
        <w:t>,</w:t>
      </w:r>
      <w:r w:rsidR="004832F0" w:rsidRPr="004832F0">
        <w:t xml:space="preserve"> and, if it did, to explain how this cost recovery would be consistent with the filed rate doctrine and the rule against retroactive ratemaking</w:t>
      </w:r>
      <w:r w:rsidR="004832F0">
        <w:t>.</w:t>
      </w:r>
      <w:proofErr w:type="gramEnd"/>
      <w:r w:rsidDel="002C13F6">
        <w:t xml:space="preserve"> </w:t>
      </w:r>
      <w:bookmarkEnd w:id="29"/>
    </w:p>
    <w:p w14:paraId="7CC3545E" w14:textId="2075EC5A" w:rsidR="004832F0" w:rsidRDefault="004832F0" w:rsidP="00BF2AA0">
      <w:pPr>
        <w:pStyle w:val="FERCparanumber"/>
      </w:pPr>
      <w:r w:rsidRPr="004832F0">
        <w:t xml:space="preserve">In its </w:t>
      </w:r>
      <w:r w:rsidR="00D737D2">
        <w:t>d</w:t>
      </w:r>
      <w:r w:rsidR="00D737D2" w:rsidRPr="004832F0">
        <w:t xml:space="preserve">eficiency </w:t>
      </w:r>
      <w:r w:rsidR="00D737D2">
        <w:t>r</w:t>
      </w:r>
      <w:r w:rsidR="00D737D2" w:rsidRPr="004832F0">
        <w:t>esponse</w:t>
      </w:r>
      <w:r w:rsidRPr="004832F0">
        <w:t>, ISO-NE states that IROL-Critical Facility Owners must demonstrate that the costs proposed for recovery through Schedule 17 are just and reasonable and thus will have to establish that their proposals are consistent with the filed rate doctrine and the rule against retroactive ratemaking.</w:t>
      </w:r>
      <w:r w:rsidRPr="004832F0">
        <w:rPr>
          <w:b/>
          <w:vertAlign w:val="superscript"/>
        </w:rPr>
        <w:footnoteReference w:id="43"/>
      </w:r>
      <w:r w:rsidRPr="004832F0">
        <w:t xml:space="preserve">  ISO-NE further states that, to the extent any IROL-Critical Facility owner seeks to recover any costs incurred prior to the requested effective date of March 6, 2020, the IROL-Critical Facility owner bears the burden to demonstrate that such a request complies with the filed rate doctrine and the rule against retroactive ratemaking</w:t>
      </w:r>
      <w:r w:rsidR="003347FF">
        <w:t xml:space="preserve"> in its FPA section 205 filing</w:t>
      </w:r>
      <w:r w:rsidRPr="004832F0">
        <w:t>.</w:t>
      </w:r>
      <w:r w:rsidRPr="004832F0">
        <w:rPr>
          <w:b/>
          <w:vertAlign w:val="superscript"/>
        </w:rPr>
        <w:footnoteReference w:id="44"/>
      </w:r>
      <w:r w:rsidR="003347FF" w:rsidDel="003347FF">
        <w:t xml:space="preserve"> </w:t>
      </w:r>
    </w:p>
    <w:p w14:paraId="1AF318C1" w14:textId="73D9D580" w:rsidR="00BF2AA0" w:rsidRDefault="00D737D2" w:rsidP="005C1B70">
      <w:pPr>
        <w:pStyle w:val="FERCparanumber"/>
      </w:pPr>
      <w:proofErr w:type="gramStart"/>
      <w:r>
        <w:t xml:space="preserve">In its comments to the deficiency response, </w:t>
      </w:r>
      <w:bookmarkStart w:id="30" w:name="_Hlk38363861"/>
      <w:r w:rsidR="004832F0" w:rsidRPr="004832F0">
        <w:t xml:space="preserve">IROL-Critical Facility Owners </w:t>
      </w:r>
      <w:bookmarkEnd w:id="30"/>
      <w:r w:rsidR="004832F0" w:rsidRPr="004832F0">
        <w:t>reiterat</w:t>
      </w:r>
      <w:r>
        <w:t>e</w:t>
      </w:r>
      <w:r w:rsidR="004832F0" w:rsidRPr="004832F0">
        <w:t xml:space="preserve"> that there is no basis in law to reject recovery of historic compliance costs because, in FPA section 219, Congress directed the Commission to ensure that entities are able to recover all prudently incurred costs necessary to comply with mandatory </w:t>
      </w:r>
      <w:r w:rsidR="00C727B6">
        <w:t>R</w:t>
      </w:r>
      <w:r w:rsidR="004832F0" w:rsidRPr="004832F0">
        <w:t xml:space="preserve">eliability </w:t>
      </w:r>
      <w:r w:rsidR="00C727B6">
        <w:t>S</w:t>
      </w:r>
      <w:r w:rsidR="004832F0" w:rsidRPr="004832F0">
        <w:t>tandards, there is no current rate on file, and all parties had sufficient notice that rates could be changed to allow for all prudently incurred IROL-Critical compliance costs.</w:t>
      </w:r>
      <w:r w:rsidR="004832F0" w:rsidRPr="004832F0">
        <w:rPr>
          <w:b/>
          <w:vertAlign w:val="superscript"/>
        </w:rPr>
        <w:footnoteReference w:id="45"/>
      </w:r>
      <w:proofErr w:type="gramEnd"/>
      <w:r w:rsidR="004832F0" w:rsidRPr="004832F0">
        <w:t xml:space="preserve">  They add that ISO-NE stakeholders also had notice because, starting in 2015, ISO-NE stakeholders engaged in years of public discussions focused on developing a cost recovery mechanism to enable IROL-Critical Facilities to recover prudently incurred costs necessary to meet their higher reliability requirements.  They argue that the inability to recover historic costs wi</w:t>
      </w:r>
      <w:r w:rsidR="00B9042F">
        <w:t>ll</w:t>
      </w:r>
      <w:r w:rsidR="004832F0" w:rsidRPr="004832F0">
        <w:t xml:space="preserve"> have a deleterious effect.</w:t>
      </w:r>
      <w:r w:rsidR="004832F0" w:rsidRPr="004832F0">
        <w:rPr>
          <w:b/>
          <w:vertAlign w:val="superscript"/>
        </w:rPr>
        <w:footnoteReference w:id="46"/>
      </w:r>
      <w:r w:rsidR="004832F0" w:rsidRPr="004832F0">
        <w:t xml:space="preserve">  They state that, depending on the facility in question, IROL-Critical Facility Owners have incurred approximately $300,000 to $2.1 million in initial costs upon initial designation and approximately </w:t>
      </w:r>
      <w:r w:rsidR="004832F0" w:rsidRPr="004832F0">
        <w:lastRenderedPageBreak/>
        <w:t>$100,000 to $800,000 in annual costs for ongoing compliance.  Thus, they contend that, if such facilities were designated medium impact facilities in 2015 and remained so designated today, such facilities would have incurred approximately $700,000 to $5.3</w:t>
      </w:r>
      <w:r w:rsidR="00FE0D4C">
        <w:t> </w:t>
      </w:r>
      <w:r w:rsidR="004832F0" w:rsidRPr="004832F0">
        <w:t>million in compliance costs through 2019.  IROL-Critical Facility Owners ask the Commission to make a generic finding on historic costs to avoid litigating this common issue in the individual dockets established for each facility seeking cost recovery.  They add that, if these FPA section 205 filings are set for hearing like the reactive power rate filings, it could leave the determination of a legal doctrine to a settlement or multiple evidentiary hearings</w:t>
      </w:r>
      <w:r w:rsidR="004832F0">
        <w:t>.</w:t>
      </w:r>
    </w:p>
    <w:p w14:paraId="061A10AE" w14:textId="06E0745B" w:rsidR="00CD735B" w:rsidRDefault="00FA2A24" w:rsidP="00FA2A24">
      <w:pPr>
        <w:pStyle w:val="FERCparanumber"/>
      </w:pPr>
      <w:r>
        <w:t xml:space="preserve">In its response to </w:t>
      </w:r>
      <w:r w:rsidR="004954E1">
        <w:t xml:space="preserve">IROL-CIP Owners’ </w:t>
      </w:r>
      <w:r>
        <w:t xml:space="preserve">comments, </w:t>
      </w:r>
      <w:r w:rsidR="00B6070C">
        <w:t xml:space="preserve">NESCOE </w:t>
      </w:r>
      <w:r w:rsidR="003333D9">
        <w:t xml:space="preserve">argues </w:t>
      </w:r>
      <w:r>
        <w:t>that (1)</w:t>
      </w:r>
      <w:r w:rsidR="00333B59">
        <w:t> </w:t>
      </w:r>
      <w:r w:rsidR="00FC456B">
        <w:t xml:space="preserve">Schedule 17 and the associated </w:t>
      </w:r>
      <w:r w:rsidR="000944E1">
        <w:t xml:space="preserve">FPA </w:t>
      </w:r>
      <w:r w:rsidR="00FC456B">
        <w:t xml:space="preserve">section 205 filings </w:t>
      </w:r>
      <w:r w:rsidR="000944E1">
        <w:t xml:space="preserve">are </w:t>
      </w:r>
      <w:r w:rsidR="00FC456B">
        <w:t xml:space="preserve">an existing rate on file that </w:t>
      </w:r>
      <w:proofErr w:type="gramStart"/>
      <w:r w:rsidR="00FC456B">
        <w:t>can</w:t>
      </w:r>
      <w:r w:rsidR="003333D9">
        <w:t>not</w:t>
      </w:r>
      <w:r w:rsidR="00FC456B">
        <w:t xml:space="preserve"> be </w:t>
      </w:r>
      <w:r w:rsidR="003333D9">
        <w:t>altered</w:t>
      </w:r>
      <w:proofErr w:type="gramEnd"/>
      <w:r w:rsidR="003333D9">
        <w:t xml:space="preserve"> </w:t>
      </w:r>
      <w:r w:rsidR="00FC456B">
        <w:t>retroactively</w:t>
      </w:r>
      <w:r>
        <w:t xml:space="preserve"> and (2) </w:t>
      </w:r>
      <w:r w:rsidRPr="00FA2A24">
        <w:t>ISO</w:t>
      </w:r>
      <w:r>
        <w:t>-</w:t>
      </w:r>
      <w:r w:rsidRPr="00FA2A24">
        <w:t>NE</w:t>
      </w:r>
      <w:r>
        <w:t xml:space="preserve"> </w:t>
      </w:r>
      <w:r w:rsidRPr="00FA2A24">
        <w:t xml:space="preserve">stakeholders were </w:t>
      </w:r>
      <w:r w:rsidR="003333D9">
        <w:t xml:space="preserve">not on </w:t>
      </w:r>
      <w:r w:rsidRPr="00FA2A24">
        <w:t xml:space="preserve">notice since 2015 that there would be </w:t>
      </w:r>
      <w:r>
        <w:t xml:space="preserve">such </w:t>
      </w:r>
      <w:r w:rsidRPr="00FA2A24">
        <w:t>a cost recovery mechanism</w:t>
      </w:r>
      <w:r>
        <w:t>.</w:t>
      </w:r>
      <w:r w:rsidR="00FC456B">
        <w:rPr>
          <w:rStyle w:val="FootnoteReference"/>
        </w:rPr>
        <w:footnoteReference w:id="47"/>
      </w:r>
      <w:r w:rsidDel="00FA2A24">
        <w:t xml:space="preserve"> </w:t>
      </w:r>
    </w:p>
    <w:p w14:paraId="6242E9B3" w14:textId="4BC432DE" w:rsidR="00C4542D" w:rsidRDefault="00451B38" w:rsidP="00DF5743">
      <w:pPr>
        <w:pStyle w:val="Heading1"/>
        <w:spacing w:after="0"/>
      </w:pPr>
      <w:r>
        <w:t>Discussion</w:t>
      </w:r>
      <w:r w:rsidR="00C4542D" w:rsidRPr="00F3638D">
        <w:t xml:space="preserve"> </w:t>
      </w:r>
    </w:p>
    <w:p w14:paraId="347A9415" w14:textId="5D8FBB26" w:rsidR="00FA2A24" w:rsidRPr="00FA2A24" w:rsidRDefault="00FA2A24" w:rsidP="00B23F76">
      <w:pPr>
        <w:keepNext/>
        <w:tabs>
          <w:tab w:val="left" w:pos="5316"/>
        </w:tabs>
      </w:pPr>
      <w:r>
        <w:tab/>
      </w:r>
    </w:p>
    <w:p w14:paraId="6A5CE32C" w14:textId="3F34EBC2" w:rsidR="00A05C6A" w:rsidRDefault="00A05C6A">
      <w:pPr>
        <w:pStyle w:val="Heading2"/>
      </w:pPr>
      <w:r>
        <w:t>Procedural Matters</w:t>
      </w:r>
    </w:p>
    <w:p w14:paraId="3F5B90D8" w14:textId="35127FCB" w:rsidR="00A05C6A" w:rsidRDefault="00A05C6A" w:rsidP="00BA41D0">
      <w:pPr>
        <w:pStyle w:val="FERCparanumber"/>
      </w:pPr>
      <w:r>
        <w:t xml:space="preserve">Pursuant to Rule 214 of the Commission’s Rules of Practice and Procedure, </w:t>
      </w:r>
      <w:r w:rsidR="00F000D1">
        <w:t xml:space="preserve">       </w:t>
      </w:r>
      <w:r>
        <w:t xml:space="preserve">18 C.F.R. § 385.214 (2019), </w:t>
      </w:r>
      <w:r w:rsidR="00BA42C6">
        <w:t>the</w:t>
      </w:r>
      <w:r w:rsidR="00131DB8">
        <w:t xml:space="preserve"> </w:t>
      </w:r>
      <w:r w:rsidR="00520A00">
        <w:t xml:space="preserve">notices of intervention and </w:t>
      </w:r>
      <w:r>
        <w:t>timely, unopposed motion</w:t>
      </w:r>
      <w:r w:rsidR="00BA42C6">
        <w:t>s</w:t>
      </w:r>
      <w:r>
        <w:t xml:space="preserve"> to intervene serve to make </w:t>
      </w:r>
      <w:r w:rsidR="00BA42C6">
        <w:t>the entities that filed them</w:t>
      </w:r>
      <w:r>
        <w:t xml:space="preserve"> part</w:t>
      </w:r>
      <w:r w:rsidR="00BA42C6">
        <w:t>ies</w:t>
      </w:r>
      <w:r>
        <w:t xml:space="preserve"> to this proceeding.</w:t>
      </w:r>
    </w:p>
    <w:p w14:paraId="31CFE9C0" w14:textId="77D87163" w:rsidR="002B5674" w:rsidRDefault="002B5674" w:rsidP="00A900A2">
      <w:pPr>
        <w:pStyle w:val="FERCparanumber"/>
      </w:pPr>
      <w:r w:rsidRPr="002B5674">
        <w:t>Pursuant to Rule 214</w:t>
      </w:r>
      <w:r w:rsidR="006004D8">
        <w:t>(d)</w:t>
      </w:r>
      <w:r w:rsidRPr="002B5674">
        <w:t xml:space="preserve"> of the Commission’s Rules of Practice and Procedure, </w:t>
      </w:r>
      <w:r w:rsidR="00F000D1">
        <w:t xml:space="preserve">  </w:t>
      </w:r>
      <w:r>
        <w:t>1</w:t>
      </w:r>
      <w:r w:rsidRPr="002B5674">
        <w:t>8 C.F.R. § 385.214</w:t>
      </w:r>
      <w:r w:rsidR="006004D8">
        <w:t>(d)</w:t>
      </w:r>
      <w:r w:rsidRPr="002B5674">
        <w:t xml:space="preserve">, </w:t>
      </w:r>
      <w:r w:rsidR="00703DDF">
        <w:t>we</w:t>
      </w:r>
      <w:r w:rsidRPr="002B5674">
        <w:t xml:space="preserve"> grant </w:t>
      </w:r>
      <w:r w:rsidR="006004D8">
        <w:t xml:space="preserve">NextEra’s late-filed </w:t>
      </w:r>
      <w:r w:rsidRPr="00B87EBE">
        <w:rPr>
          <w:bCs/>
        </w:rPr>
        <w:t xml:space="preserve">motion to intervene </w:t>
      </w:r>
      <w:r w:rsidRPr="002B5674">
        <w:t>given its interest</w:t>
      </w:r>
      <w:r w:rsidR="006004D8">
        <w:t xml:space="preserve"> in the proceeding</w:t>
      </w:r>
      <w:r w:rsidRPr="002B5674">
        <w:t>, the early stage of this proceeding, and the absence of undue prejudice or delay</w:t>
      </w:r>
      <w:r w:rsidR="00FD25B7">
        <w:t>.</w:t>
      </w:r>
      <w:r w:rsidR="00A900A2">
        <w:t xml:space="preserve"> </w:t>
      </w:r>
    </w:p>
    <w:p w14:paraId="30A6F1FB" w14:textId="6BDC8D6A" w:rsidR="00F016F1" w:rsidRDefault="00F016F1" w:rsidP="000F01ED">
      <w:pPr>
        <w:pStyle w:val="FERCparanumber"/>
      </w:pPr>
      <w:r>
        <w:t>Rule 213(a</w:t>
      </w:r>
      <w:proofErr w:type="gramStart"/>
      <w:r>
        <w:t>)(</w:t>
      </w:r>
      <w:proofErr w:type="gramEnd"/>
      <w:r>
        <w:t>2) of the Commission’s Rules of Practice and Procedure, 18 C.F.R. §</w:t>
      </w:r>
      <w:r w:rsidR="00FE0D4C">
        <w:t> </w:t>
      </w:r>
      <w:r>
        <w:t xml:space="preserve">385.213(a)(2) (2019), prohibits an answer </w:t>
      </w:r>
      <w:r w:rsidR="006004D8">
        <w:t xml:space="preserve">to a protest </w:t>
      </w:r>
      <w:r>
        <w:t xml:space="preserve">unless otherwise ordered by the decisional authority.  </w:t>
      </w:r>
      <w:r w:rsidRPr="00E57D53">
        <w:t>We</w:t>
      </w:r>
      <w:r w:rsidRPr="00E57D53" w:rsidDel="00A0634D">
        <w:t xml:space="preserve"> </w:t>
      </w:r>
      <w:r w:rsidRPr="00E57D53">
        <w:t xml:space="preserve">accept </w:t>
      </w:r>
      <w:r w:rsidR="000F01ED" w:rsidRPr="000F01ED">
        <w:t xml:space="preserve">IROL-Critical Facility </w:t>
      </w:r>
      <w:proofErr w:type="gramStart"/>
      <w:r w:rsidR="000F01ED" w:rsidRPr="000F01ED">
        <w:t>Owners’</w:t>
      </w:r>
      <w:proofErr w:type="gramEnd"/>
      <w:r w:rsidR="000F01ED">
        <w:t xml:space="preserve">, </w:t>
      </w:r>
      <w:r w:rsidRPr="00E57D53">
        <w:t xml:space="preserve">ISO-NE’s, and NESCOE’s </w:t>
      </w:r>
      <w:r w:rsidRPr="0050699C">
        <w:t>answers because they have provided information that assisted us in our decision-making proce</w:t>
      </w:r>
      <w:r w:rsidR="00E57D53">
        <w:t>ss.</w:t>
      </w:r>
      <w:r w:rsidR="000F01ED">
        <w:t xml:space="preserve"> </w:t>
      </w:r>
    </w:p>
    <w:p w14:paraId="6C454EFC" w14:textId="01EB4858" w:rsidR="00A05C6A" w:rsidRPr="00A05C6A" w:rsidRDefault="00A05C6A" w:rsidP="008B5091">
      <w:pPr>
        <w:pStyle w:val="Heading2"/>
      </w:pPr>
      <w:r>
        <w:t>Substantive Matter</w:t>
      </w:r>
      <w:r w:rsidR="006620A4">
        <w:t>s</w:t>
      </w:r>
    </w:p>
    <w:p w14:paraId="424F54A6" w14:textId="0F207DAC" w:rsidR="00D75092" w:rsidRPr="00D75092" w:rsidRDefault="00D75092" w:rsidP="00273779">
      <w:pPr>
        <w:pStyle w:val="FERCparanumber"/>
      </w:pPr>
      <w:bookmarkStart w:id="32" w:name="_Hlk28609114"/>
      <w:r w:rsidRPr="00D75092">
        <w:t xml:space="preserve">We find that proposed Schedule 17 provides a just and reasonable cost recovery mechanism that will allow IROL-Critical Facility Owners </w:t>
      </w:r>
      <w:r w:rsidR="00273779" w:rsidRPr="00273779">
        <w:rPr>
          <w:bCs/>
        </w:rPr>
        <w:t>to make FPA section 205</w:t>
      </w:r>
      <w:r w:rsidR="00273779">
        <w:rPr>
          <w:bCs/>
        </w:rPr>
        <w:t xml:space="preserve"> </w:t>
      </w:r>
      <w:r w:rsidR="00273779">
        <w:rPr>
          <w:bCs/>
        </w:rPr>
        <w:lastRenderedPageBreak/>
        <w:t xml:space="preserve">filings </w:t>
      </w:r>
      <w:r w:rsidRPr="00D75092">
        <w:t>to recover costs incurred to comply with</w:t>
      </w:r>
      <w:r w:rsidR="00EA23AB">
        <w:t xml:space="preserve"> </w:t>
      </w:r>
      <w:r w:rsidR="00EA23AB" w:rsidRPr="00EA23AB">
        <w:t>IROL-CIP Reliability Standards</w:t>
      </w:r>
      <w:r w:rsidRPr="00D75092">
        <w:t>.  Therefore, we accept the filing effective March 6, 2020, as requested.</w:t>
      </w:r>
    </w:p>
    <w:p w14:paraId="0000E216" w14:textId="4582ED5B" w:rsidR="00D75092" w:rsidRPr="00D75092" w:rsidRDefault="00D75092" w:rsidP="00C862AB">
      <w:pPr>
        <w:pStyle w:val="FERCparanumber"/>
      </w:pPr>
      <w:r w:rsidRPr="00D75092">
        <w:t xml:space="preserve">We disagree with arguments that the proposed revisions would violate the filed rate doctrine or rule against retroactive ratemaking. </w:t>
      </w:r>
      <w:r w:rsidRPr="00D75092">
        <w:rPr>
          <w:bCs/>
        </w:rPr>
        <w:t xml:space="preserve"> </w:t>
      </w:r>
      <w:r w:rsidRPr="00D75092" w:rsidDel="006C436C">
        <w:rPr>
          <w:bCs/>
        </w:rPr>
        <w:t xml:space="preserve">Section 2.2(A) of </w:t>
      </w:r>
      <w:proofErr w:type="gramStart"/>
      <w:r w:rsidRPr="00D75092" w:rsidDel="006C436C">
        <w:rPr>
          <w:bCs/>
        </w:rPr>
        <w:t xml:space="preserve">proposed </w:t>
      </w:r>
      <w:r w:rsidR="00F000D1">
        <w:rPr>
          <w:bCs/>
        </w:rPr>
        <w:t xml:space="preserve"> </w:t>
      </w:r>
      <w:r w:rsidRPr="00D75092" w:rsidDel="006C436C">
        <w:rPr>
          <w:bCs/>
        </w:rPr>
        <w:t>Schedule</w:t>
      </w:r>
      <w:proofErr w:type="gramEnd"/>
      <w:r w:rsidRPr="00D75092" w:rsidDel="006C436C">
        <w:rPr>
          <w:bCs/>
        </w:rPr>
        <w:t xml:space="preserve"> 17 would permit IROL-Critical Facility Owners to make FPA section 205 </w:t>
      </w:r>
      <w:r w:rsidRPr="00D75092">
        <w:rPr>
          <w:bCs/>
        </w:rPr>
        <w:t>filings</w:t>
      </w:r>
      <w:r w:rsidRPr="00D75092" w:rsidDel="006C436C">
        <w:rPr>
          <w:bCs/>
        </w:rPr>
        <w:t xml:space="preserve"> to recover costs incurred by the IROL Critical Facility Owner </w:t>
      </w:r>
      <w:r w:rsidRPr="00D75092" w:rsidDel="006C436C">
        <w:rPr>
          <w:bCs/>
          <w:i/>
        </w:rPr>
        <w:t xml:space="preserve">during the period in which the subject facility is designated as an IROL-Critical </w:t>
      </w:r>
      <w:r w:rsidRPr="00D75092" w:rsidDel="006C436C">
        <w:rPr>
          <w:bCs/>
        </w:rPr>
        <w:t>Facility</w:t>
      </w:r>
      <w:r w:rsidRPr="00D75092" w:rsidDel="006C436C">
        <w:rPr>
          <w:bCs/>
          <w:i/>
          <w:iCs/>
        </w:rPr>
        <w:t>.</w:t>
      </w:r>
      <w:r w:rsidRPr="00D75092" w:rsidDel="006C436C">
        <w:rPr>
          <w:bCs/>
          <w:iCs/>
        </w:rPr>
        <w:t xml:space="preserve">  </w:t>
      </w:r>
      <w:r w:rsidRPr="00D75092">
        <w:rPr>
          <w:bCs/>
          <w:iCs/>
        </w:rPr>
        <w:t xml:space="preserve">While the parties dispute the meaning of the italicized language, that language </w:t>
      </w:r>
      <w:proofErr w:type="gramStart"/>
      <w:r w:rsidR="004E78F9">
        <w:rPr>
          <w:bCs/>
          <w:iCs/>
        </w:rPr>
        <w:t>is appropriately</w:t>
      </w:r>
      <w:r w:rsidRPr="00D75092">
        <w:rPr>
          <w:bCs/>
          <w:iCs/>
        </w:rPr>
        <w:t xml:space="preserve"> read</w:t>
      </w:r>
      <w:proofErr w:type="gramEnd"/>
      <w:r w:rsidRPr="00D75092">
        <w:rPr>
          <w:bCs/>
          <w:iCs/>
        </w:rPr>
        <w:t xml:space="preserve"> in conjunction with the requirement that IROL-Critical Facility Owners submit individual FPA section 205 filings to recover such costs.  Under FPA section 205, rate changes may be prospective only, and, </w:t>
      </w:r>
      <w:r w:rsidRPr="00D75092">
        <w:rPr>
          <w:bCs/>
        </w:rPr>
        <w:t>under the rule against retroactive ratemaking, the Commission is prohibited “from imposing a rate increase for [power] already sold”</w:t>
      </w:r>
      <w:r w:rsidRPr="00D75092">
        <w:rPr>
          <w:b/>
          <w:bCs/>
          <w:vertAlign w:val="superscript"/>
        </w:rPr>
        <w:footnoteReference w:id="48"/>
      </w:r>
      <w:r w:rsidRPr="00D75092">
        <w:rPr>
          <w:bCs/>
        </w:rPr>
        <w:t xml:space="preserve"> or “adjusting current rates to make up for a utility’s over- or </w:t>
      </w:r>
      <w:proofErr w:type="spellStart"/>
      <w:r w:rsidRPr="00D75092">
        <w:rPr>
          <w:bCs/>
        </w:rPr>
        <w:t>undercollection</w:t>
      </w:r>
      <w:proofErr w:type="spellEnd"/>
      <w:r w:rsidRPr="00D75092">
        <w:rPr>
          <w:bCs/>
        </w:rPr>
        <w:t xml:space="preserve"> in prior periods.”</w:t>
      </w:r>
      <w:r w:rsidRPr="00D75092">
        <w:rPr>
          <w:b/>
          <w:bCs/>
          <w:vertAlign w:val="superscript"/>
        </w:rPr>
        <w:footnoteReference w:id="49"/>
      </w:r>
      <w:r w:rsidRPr="00D75092">
        <w:rPr>
          <w:bCs/>
        </w:rPr>
        <w:t xml:space="preserve"> </w:t>
      </w:r>
      <w:r w:rsidRPr="00D75092">
        <w:rPr>
          <w:bCs/>
          <w:iCs/>
        </w:rPr>
        <w:t xml:space="preserve"> Thus, we find that, read in context with the remainder of section 2.2(A)</w:t>
      </w:r>
      <w:proofErr w:type="gramStart"/>
      <w:r w:rsidRPr="00D75092">
        <w:rPr>
          <w:bCs/>
          <w:iCs/>
        </w:rPr>
        <w:t>,</w:t>
      </w:r>
      <w:proofErr w:type="gramEnd"/>
      <w:r w:rsidRPr="00D75092">
        <w:rPr>
          <w:bCs/>
          <w:iCs/>
        </w:rPr>
        <w:t xml:space="preserve"> the italicized language would allow IROL-Critical Facility Owners to recover </w:t>
      </w:r>
      <w:r w:rsidR="007E6AAD">
        <w:rPr>
          <w:bCs/>
          <w:iCs/>
        </w:rPr>
        <w:t xml:space="preserve">only those </w:t>
      </w:r>
      <w:r w:rsidRPr="00D75092">
        <w:rPr>
          <w:bCs/>
          <w:iCs/>
        </w:rPr>
        <w:t xml:space="preserve">costs incurred </w:t>
      </w:r>
      <w:r w:rsidR="007E6AAD">
        <w:rPr>
          <w:bCs/>
          <w:iCs/>
        </w:rPr>
        <w:t xml:space="preserve">on or after </w:t>
      </w:r>
      <w:r w:rsidRPr="00D75092">
        <w:rPr>
          <w:bCs/>
          <w:iCs/>
        </w:rPr>
        <w:t>the effective date of the relevant individual FPA section 205 filing.</w:t>
      </w:r>
    </w:p>
    <w:p w14:paraId="6DC11FD8" w14:textId="66768156" w:rsidR="00D75092" w:rsidRDefault="00D75092" w:rsidP="00C862AB">
      <w:pPr>
        <w:pStyle w:val="FERCparanumber"/>
      </w:pPr>
      <w:r w:rsidRPr="00D75092">
        <w:t xml:space="preserve">Although </w:t>
      </w:r>
      <w:r w:rsidRPr="00D75092">
        <w:rPr>
          <w:bCs/>
        </w:rPr>
        <w:t xml:space="preserve">Cross-Sound Cable and IROL-Critical Facility Owners state that they prefer formula rate treatment, they have not demonstrated that proposed Schedule 17 is unjust and unreasonable because it does not establish a formula rate.  Therefore, we reject their requests.  We note, however, that IROL-Critical Facility Owners may seek formula rate treatment in their proposed FPA section 205 filings, as ISO-NE has explained. </w:t>
      </w:r>
      <w:r w:rsidR="00273779">
        <w:rPr>
          <w:bCs/>
        </w:rPr>
        <w:t xml:space="preserve"> </w:t>
      </w:r>
      <w:r w:rsidRPr="00D75092">
        <w:rPr>
          <w:bCs/>
        </w:rPr>
        <w:t xml:space="preserve">In response to arguments that </w:t>
      </w:r>
      <w:r w:rsidRPr="00D75092">
        <w:t>eligible</w:t>
      </w:r>
      <w:r w:rsidRPr="00D75092">
        <w:rPr>
          <w:bCs/>
        </w:rPr>
        <w:t xml:space="preserve"> </w:t>
      </w:r>
      <w:r w:rsidRPr="00D75092">
        <w:t>costs under proposed Schedule 17 must be solely and directly related to ISO-NE’s designation and not recoverable under another ISO-NE Tariff provision or any other mechanism, we note that any such concerns will be considered in the individual FPA section 205 filings that come before the Commission.</w:t>
      </w:r>
    </w:p>
    <w:bookmarkEnd w:id="32"/>
    <w:p w14:paraId="3FA1A5CD" w14:textId="6ED963A8" w:rsidR="008E41C3" w:rsidRPr="00CD0B38" w:rsidRDefault="008E41C3" w:rsidP="00145BC1">
      <w:pPr>
        <w:pStyle w:val="FERCparanumber"/>
        <w:pageBreakBefore/>
        <w:widowControl w:val="0"/>
        <w:numPr>
          <w:ilvl w:val="0"/>
          <w:numId w:val="0"/>
        </w:numPr>
        <w:spacing w:after="0"/>
      </w:pPr>
      <w:r w:rsidRPr="00886EBE">
        <w:rPr>
          <w:u w:val="single"/>
        </w:rPr>
        <w:lastRenderedPageBreak/>
        <w:t>Th</w:t>
      </w:r>
      <w:r w:rsidR="00AB617F" w:rsidRPr="00886EBE">
        <w:rPr>
          <w:u w:val="single"/>
        </w:rPr>
        <w:t>e Commi</w:t>
      </w:r>
      <w:r w:rsidRPr="00886EBE">
        <w:rPr>
          <w:u w:val="single"/>
        </w:rPr>
        <w:t>ssion orders</w:t>
      </w:r>
      <w:r w:rsidRPr="00CD0B38">
        <w:t>:</w:t>
      </w:r>
    </w:p>
    <w:p w14:paraId="30265C15" w14:textId="34E578B4" w:rsidR="008E41C3" w:rsidRDefault="008E41C3" w:rsidP="00B269FC"/>
    <w:p w14:paraId="62546A7B" w14:textId="449CF5DA" w:rsidR="00CE2563" w:rsidRDefault="00B60607">
      <w:pPr>
        <w:ind w:firstLine="720"/>
      </w:pPr>
      <w:r>
        <w:t>ISO-NE</w:t>
      </w:r>
      <w:r w:rsidR="002B4468">
        <w:t xml:space="preserve">’s </w:t>
      </w:r>
      <w:r>
        <w:t xml:space="preserve">proposed Schedule 17 </w:t>
      </w:r>
      <w:r w:rsidR="00400EFC">
        <w:t xml:space="preserve">is </w:t>
      </w:r>
      <w:r w:rsidR="00F000AD">
        <w:t>hereby</w:t>
      </w:r>
      <w:r w:rsidR="00400EFC">
        <w:t xml:space="preserve"> </w:t>
      </w:r>
      <w:r w:rsidR="00D75092">
        <w:t>accepted</w:t>
      </w:r>
      <w:r w:rsidR="00C242D5">
        <w:t xml:space="preserve">, </w:t>
      </w:r>
      <w:r w:rsidR="00D75092" w:rsidRPr="00D75092">
        <w:t xml:space="preserve">effective March 6, 2020, as requested, </w:t>
      </w:r>
      <w:r w:rsidR="00215631">
        <w:t xml:space="preserve">as </w:t>
      </w:r>
      <w:r w:rsidR="00CE2563">
        <w:t xml:space="preserve">discussed in the body of this order. </w:t>
      </w:r>
    </w:p>
    <w:p w14:paraId="28FC2D2D" w14:textId="77777777" w:rsidR="00CE2563" w:rsidRPr="00CD0B38" w:rsidRDefault="00CE2563" w:rsidP="007F5DB2"/>
    <w:p w14:paraId="4AA74CD2" w14:textId="4AD8A8C7" w:rsidR="008E41C3" w:rsidRDefault="008E41C3" w:rsidP="007F5DB2">
      <w:r w:rsidRPr="00CD0B38">
        <w:t>By the Commission.</w:t>
      </w:r>
    </w:p>
    <w:p w14:paraId="74CFC9A2" w14:textId="627748E8" w:rsidR="00F000D1" w:rsidRDefault="00F000D1" w:rsidP="007F5DB2"/>
    <w:p w14:paraId="1534CC44" w14:textId="3137E940" w:rsidR="00F000D1" w:rsidRDefault="00F000D1" w:rsidP="00F000D1">
      <w:pPr>
        <w:widowControl/>
      </w:pPr>
      <w:proofErr w:type="gramStart"/>
      <w:r w:rsidRPr="00F000D1">
        <w:t>( S</w:t>
      </w:r>
      <w:proofErr w:type="gramEnd"/>
      <w:r w:rsidRPr="00F000D1">
        <w:t xml:space="preserve"> E A L )</w:t>
      </w:r>
    </w:p>
    <w:p w14:paraId="48FC02D5" w14:textId="77777777" w:rsidR="00F000D1" w:rsidRPr="00F000D1" w:rsidRDefault="00F000D1" w:rsidP="00F000D1">
      <w:pPr>
        <w:widowControl/>
      </w:pPr>
    </w:p>
    <w:p w14:paraId="0F3B012A" w14:textId="77777777" w:rsidR="008E41C3" w:rsidRPr="00CD0B38" w:rsidRDefault="008E41C3" w:rsidP="007F5DB2"/>
    <w:p w14:paraId="04848D01" w14:textId="6C2209FF" w:rsidR="00F000D1" w:rsidRDefault="00F000D1" w:rsidP="00F000D1">
      <w:pPr>
        <w:widowControl/>
      </w:pPr>
    </w:p>
    <w:p w14:paraId="70E66309" w14:textId="4FE44D4B" w:rsidR="00F000D1" w:rsidRPr="00F000D1" w:rsidRDefault="00F000D1" w:rsidP="00F000D1">
      <w:pPr>
        <w:widowControl/>
        <w:ind w:firstLine="2174"/>
        <w:jc w:val="center"/>
      </w:pPr>
      <w:r w:rsidRPr="00F000D1">
        <w:t>Kimberly D. Bose,</w:t>
      </w:r>
    </w:p>
    <w:p w14:paraId="43483DBF" w14:textId="1448A083" w:rsidR="002870A9" w:rsidRPr="00D50899" w:rsidRDefault="00F000D1" w:rsidP="00202822">
      <w:pPr>
        <w:widowControl/>
        <w:ind w:firstLine="2174"/>
        <w:jc w:val="center"/>
      </w:pPr>
      <w:r w:rsidRPr="00F000D1">
        <w:t>Secretary.</w:t>
      </w:r>
    </w:p>
    <w:sectPr w:rsidR="002870A9" w:rsidRPr="00D50899" w:rsidSect="005D58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DF3A" w14:textId="77777777" w:rsidR="004601F4" w:rsidRDefault="004601F4" w:rsidP="0048020B">
      <w:r>
        <w:separator/>
      </w:r>
    </w:p>
  </w:endnote>
  <w:endnote w:type="continuationSeparator" w:id="0">
    <w:p w14:paraId="3AF3A896" w14:textId="77777777" w:rsidR="004601F4" w:rsidRDefault="004601F4" w:rsidP="0048020B">
      <w:r>
        <w:continuationSeparator/>
      </w:r>
    </w:p>
  </w:endnote>
  <w:endnote w:type="continuationNotice" w:id="1">
    <w:p w14:paraId="39B83ACF" w14:textId="77777777" w:rsidR="004601F4" w:rsidRDefault="00460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569CE" w14:textId="77777777" w:rsidR="00F000D1" w:rsidRDefault="00F0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1635" w14:textId="77777777" w:rsidR="00F000D1" w:rsidRDefault="00F00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D723" w14:textId="77777777" w:rsidR="00F000D1" w:rsidRDefault="00F00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4C61A" w14:textId="77777777" w:rsidR="004601F4" w:rsidRDefault="004601F4" w:rsidP="0048020B">
      <w:r>
        <w:separator/>
      </w:r>
    </w:p>
  </w:footnote>
  <w:footnote w:type="continuationSeparator" w:id="0">
    <w:p w14:paraId="5C3EEE33" w14:textId="77777777" w:rsidR="004601F4" w:rsidRDefault="004601F4" w:rsidP="0048020B">
      <w:r>
        <w:continuationSeparator/>
      </w:r>
    </w:p>
  </w:footnote>
  <w:footnote w:type="continuationNotice" w:id="1">
    <w:p w14:paraId="74CC445F" w14:textId="77777777" w:rsidR="004601F4" w:rsidRPr="00CC06BF" w:rsidRDefault="004601F4" w:rsidP="00CC06BF">
      <w:pPr>
        <w:pStyle w:val="Footer"/>
      </w:pPr>
    </w:p>
  </w:footnote>
  <w:footnote w:id="2">
    <w:p w14:paraId="5209BB70" w14:textId="79C6F41C" w:rsidR="002834CA" w:rsidRPr="00074B53" w:rsidRDefault="002834CA">
      <w:pPr>
        <w:pStyle w:val="FootnoteText"/>
        <w:rPr>
          <w:b/>
        </w:rPr>
      </w:pPr>
      <w:r>
        <w:rPr>
          <w:rStyle w:val="FootnoteReference"/>
        </w:rPr>
        <w:footnoteRef/>
      </w:r>
      <w:r>
        <w:t xml:space="preserve"> </w:t>
      </w:r>
      <w:proofErr w:type="gramStart"/>
      <w:r>
        <w:t>16</w:t>
      </w:r>
      <w:proofErr w:type="gramEnd"/>
      <w:r>
        <w:t xml:space="preserve"> U.S.C. § 824d (2018).</w:t>
      </w:r>
    </w:p>
  </w:footnote>
  <w:footnote w:id="3">
    <w:p w14:paraId="6BDECBEA" w14:textId="02DA483C" w:rsidR="002834CA" w:rsidRDefault="002834CA">
      <w:pPr>
        <w:pStyle w:val="FootnoteText"/>
      </w:pPr>
      <w:r>
        <w:rPr>
          <w:rStyle w:val="FootnoteReference"/>
        </w:rPr>
        <w:footnoteRef/>
      </w:r>
      <w:r>
        <w:t xml:space="preserve"> </w:t>
      </w:r>
      <w:r w:rsidRPr="009D4B75">
        <w:t xml:space="preserve">Capitalized terms not defined herein </w:t>
      </w:r>
      <w:proofErr w:type="gramStart"/>
      <w:r w:rsidRPr="009D4B75">
        <w:t>are used</w:t>
      </w:r>
      <w:proofErr w:type="gramEnd"/>
      <w:r w:rsidRPr="009D4B75">
        <w:t xml:space="preserve"> as they are defined in the </w:t>
      </w:r>
      <w:r w:rsidRPr="000F41C2">
        <w:t>ISO-NE Transmission, Markets and Services Tariff</w:t>
      </w:r>
      <w:r>
        <w:t xml:space="preserve"> (ISO-NE Tariff)</w:t>
      </w:r>
      <w:r w:rsidRPr="009D4B75">
        <w:t xml:space="preserve">.  </w:t>
      </w:r>
      <w:r w:rsidRPr="009D4B75">
        <w:rPr>
          <w:i/>
        </w:rPr>
        <w:t>See</w:t>
      </w:r>
      <w:r w:rsidRPr="009D4B75">
        <w:t xml:space="preserve"> </w:t>
      </w:r>
      <w:r>
        <w:rPr>
          <w:iCs/>
        </w:rPr>
        <w:t>ISO-NE Tariff,</w:t>
      </w:r>
      <w:r w:rsidRPr="009D4B75">
        <w:rPr>
          <w:i/>
        </w:rPr>
        <w:t xml:space="preserve"> </w:t>
      </w:r>
      <w:r w:rsidRPr="009D4B75">
        <w:t>§ I.2</w:t>
      </w:r>
      <w:r>
        <w:t xml:space="preserve"> </w:t>
      </w:r>
      <w:r w:rsidRPr="009D4B75">
        <w:t>Rules of Construction; Definitions</w:t>
      </w:r>
      <w:r>
        <w:t>,</w:t>
      </w:r>
      <w:r>
        <w:rPr>
          <w:i/>
          <w:iCs/>
        </w:rPr>
        <w:t xml:space="preserve"> </w:t>
      </w:r>
      <w:r>
        <w:t xml:space="preserve">§ I.2.2 (117.0.0) (defining IROL as defined in Glossary of Terms in NERC Reliability Standards); </w:t>
      </w:r>
      <w:r>
        <w:rPr>
          <w:i/>
        </w:rPr>
        <w:t xml:space="preserve">see also </w:t>
      </w:r>
      <w:r>
        <w:t xml:space="preserve">NERC, Glossary of Terms in NERC Reliability Standards (Jan. 2, 2020), </w:t>
      </w:r>
      <w:r w:rsidRPr="009D7099">
        <w:t>https://www.nerc.com/pa/Stand/Glossary%20of%20Terms/Glossary_of_Terms.pdf</w:t>
      </w:r>
      <w:r w:rsidRPr="00F811A2">
        <w:rPr>
          <w:szCs w:val="22"/>
        </w:rPr>
        <w:t>.</w:t>
      </w:r>
    </w:p>
  </w:footnote>
  <w:footnote w:id="4">
    <w:p w14:paraId="4AADBE46" w14:textId="5490795F" w:rsidR="00DA23CE" w:rsidRDefault="00DA23CE" w:rsidP="00DA23CE">
      <w:pPr>
        <w:pStyle w:val="FootnoteText"/>
      </w:pPr>
      <w:r>
        <w:rPr>
          <w:rStyle w:val="FootnoteReference"/>
        </w:rPr>
        <w:footnoteRef/>
      </w:r>
      <w:r>
        <w:t xml:space="preserve"> </w:t>
      </w:r>
      <w:r w:rsidRPr="003E0E5C">
        <w:rPr>
          <w:rFonts w:eastAsia="Calibri"/>
          <w:szCs w:val="22"/>
        </w:rPr>
        <w:t xml:space="preserve">ISO New England Inc., ISO New England Inc. Transmission, Markets and Services Tariff, </w:t>
      </w:r>
      <w:hyperlink r:id="rId1" w:history="1">
        <w:r w:rsidRPr="003E0E5C">
          <w:rPr>
            <w:rFonts w:eastAsia="Calibri"/>
            <w:color w:val="0563C1"/>
            <w:szCs w:val="22"/>
            <w:u w:val="single"/>
          </w:rPr>
          <w:t>Schedule 17, Schedule 17 Recovery of CIP Costs</w:t>
        </w:r>
        <w:r>
          <w:rPr>
            <w:rFonts w:eastAsia="Calibri"/>
            <w:color w:val="0563C1"/>
            <w:szCs w:val="22"/>
            <w:u w:val="single"/>
          </w:rPr>
          <w:t xml:space="preserve"> </w:t>
        </w:r>
        <w:r w:rsidR="00BD0958">
          <w:rPr>
            <w:rFonts w:eastAsia="Calibri"/>
            <w:color w:val="0563C1"/>
            <w:szCs w:val="22"/>
            <w:u w:val="single"/>
          </w:rPr>
          <w:t>(</w:t>
        </w:r>
        <w:r w:rsidRPr="003E0E5C">
          <w:rPr>
            <w:rFonts w:eastAsia="Calibri"/>
            <w:color w:val="0563C1"/>
            <w:szCs w:val="22"/>
            <w:u w:val="single"/>
          </w:rPr>
          <w:t>2.0.0</w:t>
        </w:r>
      </w:hyperlink>
      <w:r w:rsidR="00BD0958">
        <w:rPr>
          <w:rFonts w:eastAsia="Calibri"/>
          <w:szCs w:val="22"/>
        </w:rPr>
        <w:t>)</w:t>
      </w:r>
      <w:r w:rsidRPr="003E0E5C">
        <w:rPr>
          <w:rFonts w:eastAsia="Calibri"/>
          <w:szCs w:val="22"/>
        </w:rPr>
        <w:t>.</w:t>
      </w:r>
    </w:p>
  </w:footnote>
  <w:footnote w:id="5">
    <w:p w14:paraId="389211BC" w14:textId="0B11C7F8" w:rsidR="002834CA" w:rsidRDefault="002834CA" w:rsidP="003441AD">
      <w:pPr>
        <w:pStyle w:val="FootnoteText"/>
      </w:pPr>
      <w:r>
        <w:rPr>
          <w:rStyle w:val="FootnoteReference"/>
        </w:rPr>
        <w:footnoteRef/>
      </w:r>
      <w:r>
        <w:t xml:space="preserve"> </w:t>
      </w:r>
      <w:r w:rsidRPr="003441AD">
        <w:rPr>
          <w:i/>
          <w:iCs/>
        </w:rPr>
        <w:t>Version 5 Critical Infrastructure Protection Reliability Standards</w:t>
      </w:r>
      <w:r w:rsidRPr="003441AD">
        <w:t>, Order No.</w:t>
      </w:r>
      <w:r>
        <w:t> </w:t>
      </w:r>
      <w:r w:rsidRPr="003441AD">
        <w:t>791, 145 FERC ¶ 61,160</w:t>
      </w:r>
      <w:r>
        <w:t>,</w:t>
      </w:r>
      <w:r w:rsidRPr="003441AD">
        <w:t xml:space="preserve"> at PP 41, 87 (2013), </w:t>
      </w:r>
      <w:r w:rsidRPr="003441AD">
        <w:rPr>
          <w:i/>
          <w:iCs/>
        </w:rPr>
        <w:t xml:space="preserve">order on clarification and </w:t>
      </w:r>
      <w:proofErr w:type="spellStart"/>
      <w:r w:rsidRPr="003441AD">
        <w:rPr>
          <w:i/>
          <w:iCs/>
        </w:rPr>
        <w:t>reh’g</w:t>
      </w:r>
      <w:proofErr w:type="spellEnd"/>
      <w:r w:rsidRPr="003441AD">
        <w:t>, Order No. 791-A, 146 FERC ¶</w:t>
      </w:r>
      <w:r>
        <w:t xml:space="preserve"> </w:t>
      </w:r>
      <w:r w:rsidRPr="003441AD">
        <w:t>61,188 (2014).</w:t>
      </w:r>
    </w:p>
  </w:footnote>
  <w:footnote w:id="6">
    <w:p w14:paraId="1B9454AE" w14:textId="5A9C7437" w:rsidR="002834CA" w:rsidRDefault="002834CA">
      <w:pPr>
        <w:pStyle w:val="FootnoteText"/>
      </w:pPr>
      <w:r>
        <w:rPr>
          <w:rStyle w:val="FootnoteReference"/>
        </w:rPr>
        <w:footnoteRef/>
      </w:r>
      <w:r>
        <w:t xml:space="preserve"> </w:t>
      </w:r>
      <w:r w:rsidRPr="003441AD">
        <w:rPr>
          <w:i/>
          <w:iCs/>
        </w:rPr>
        <w:t xml:space="preserve">See </w:t>
      </w:r>
      <w:r w:rsidRPr="003441AD">
        <w:t>Order No. 791-A</w:t>
      </w:r>
      <w:r>
        <w:t xml:space="preserve">, </w:t>
      </w:r>
      <w:r w:rsidRPr="003441AD">
        <w:t>146 FERC ¶</w:t>
      </w:r>
      <w:r>
        <w:t xml:space="preserve"> </w:t>
      </w:r>
      <w:r w:rsidRPr="003441AD">
        <w:t>61,188 at PP 10-12.</w:t>
      </w:r>
    </w:p>
  </w:footnote>
  <w:footnote w:id="7">
    <w:p w14:paraId="7143F53B" w14:textId="58FA7ABD" w:rsidR="002834CA" w:rsidRDefault="002834CA">
      <w:pPr>
        <w:pStyle w:val="FootnoteText"/>
      </w:pPr>
      <w:r>
        <w:rPr>
          <w:rStyle w:val="FootnoteReference"/>
        </w:rPr>
        <w:footnoteRef/>
      </w:r>
      <w:r>
        <w:t xml:space="preserve"> ISO-NE Filing at 2-3.</w:t>
      </w:r>
    </w:p>
  </w:footnote>
  <w:footnote w:id="8">
    <w:p w14:paraId="35CB3D65" w14:textId="25B74898" w:rsidR="002834CA" w:rsidRDefault="002834CA">
      <w:pPr>
        <w:pStyle w:val="FootnoteText"/>
      </w:pPr>
      <w:r>
        <w:rPr>
          <w:rStyle w:val="FootnoteReference"/>
        </w:rPr>
        <w:footnoteRef/>
      </w:r>
      <w:r>
        <w:t xml:space="preserve"> </w:t>
      </w:r>
      <w:r w:rsidRPr="008641C8">
        <w:rPr>
          <w:i/>
          <w:iCs/>
        </w:rPr>
        <w:t>Id.</w:t>
      </w:r>
      <w:r>
        <w:t xml:space="preserve"> at </w:t>
      </w:r>
      <w:proofErr w:type="gramStart"/>
      <w:r>
        <w:t>3</w:t>
      </w:r>
      <w:proofErr w:type="gramEnd"/>
      <w:r>
        <w:t>.</w:t>
      </w:r>
    </w:p>
  </w:footnote>
  <w:footnote w:id="9">
    <w:p w14:paraId="364114DC" w14:textId="0368C684" w:rsidR="002834CA" w:rsidRDefault="002834CA" w:rsidP="00AA774B">
      <w:pPr>
        <w:pStyle w:val="FootnoteText"/>
      </w:pPr>
      <w:r>
        <w:rPr>
          <w:rStyle w:val="FootnoteReference"/>
        </w:rPr>
        <w:footnoteRef/>
      </w:r>
      <w:r>
        <w:t xml:space="preserve"> </w:t>
      </w:r>
      <w:r w:rsidRPr="008641C8">
        <w:rPr>
          <w:i/>
        </w:rPr>
        <w:t xml:space="preserve">Id. </w:t>
      </w:r>
      <w:r>
        <w:t xml:space="preserve">at </w:t>
      </w:r>
      <w:proofErr w:type="gramStart"/>
      <w:r>
        <w:t>4</w:t>
      </w:r>
      <w:proofErr w:type="gramEnd"/>
      <w:r>
        <w:t>.</w:t>
      </w:r>
    </w:p>
  </w:footnote>
  <w:footnote w:id="10">
    <w:p w14:paraId="24067DDD" w14:textId="65945A84" w:rsidR="002834CA" w:rsidRDefault="002834CA">
      <w:pPr>
        <w:pStyle w:val="FootnoteText"/>
      </w:pPr>
      <w:r>
        <w:rPr>
          <w:rStyle w:val="FootnoteReference"/>
        </w:rPr>
        <w:footnoteRef/>
      </w:r>
      <w:r>
        <w:t xml:space="preserve"> </w:t>
      </w:r>
      <w:r w:rsidRPr="008641C8">
        <w:rPr>
          <w:i/>
          <w:iCs/>
        </w:rPr>
        <w:t>Id.</w:t>
      </w:r>
      <w:r>
        <w:t xml:space="preserve"> at </w:t>
      </w:r>
      <w:proofErr w:type="gramStart"/>
      <w:r>
        <w:t>5</w:t>
      </w:r>
      <w:proofErr w:type="gramEnd"/>
      <w:r>
        <w:t xml:space="preserve"> (citing Testimony of </w:t>
      </w:r>
      <w:r w:rsidRPr="00155DE8">
        <w:t>Dean L. LaForest at 4-5</w:t>
      </w:r>
      <w:r>
        <w:t>)</w:t>
      </w:r>
      <w:r w:rsidRPr="00155DE8">
        <w:t>.</w:t>
      </w:r>
    </w:p>
  </w:footnote>
  <w:footnote w:id="11">
    <w:p w14:paraId="7EEF01CB" w14:textId="07616C5F" w:rsidR="002834CA" w:rsidRDefault="002834CA" w:rsidP="00F0157C">
      <w:pPr>
        <w:pStyle w:val="FootnoteText"/>
      </w:pPr>
      <w:r>
        <w:rPr>
          <w:rStyle w:val="FootnoteReference"/>
        </w:rPr>
        <w:footnoteRef/>
      </w:r>
      <w:r>
        <w:t xml:space="preserve"> </w:t>
      </w:r>
      <w:r w:rsidRPr="008641C8">
        <w:rPr>
          <w:i/>
        </w:rPr>
        <w:t>Id.</w:t>
      </w:r>
      <w:r w:rsidDel="000B6C2F">
        <w:t xml:space="preserve"> </w:t>
      </w:r>
      <w:r>
        <w:t xml:space="preserve">at </w:t>
      </w:r>
      <w:proofErr w:type="gramStart"/>
      <w:r>
        <w:t>6</w:t>
      </w:r>
      <w:proofErr w:type="gramEnd"/>
      <w:r>
        <w:t xml:space="preserve"> (citing Testimony of Jonathan B. Lowell at 7).</w:t>
      </w:r>
    </w:p>
  </w:footnote>
  <w:footnote w:id="12">
    <w:p w14:paraId="6AE76617" w14:textId="19EC057F" w:rsidR="002834CA" w:rsidRDefault="002834CA">
      <w:pPr>
        <w:pStyle w:val="FootnoteText"/>
      </w:pPr>
      <w:r>
        <w:rPr>
          <w:rStyle w:val="FootnoteReference"/>
        </w:rPr>
        <w:footnoteRef/>
      </w:r>
      <w:r>
        <w:t xml:space="preserve"> ISO-NE Filing at 7-8.</w:t>
      </w:r>
    </w:p>
  </w:footnote>
  <w:footnote w:id="13">
    <w:p w14:paraId="5F70BBE0" w14:textId="6DFF5540" w:rsidR="002834CA" w:rsidRDefault="002834CA">
      <w:pPr>
        <w:pStyle w:val="FootnoteText"/>
      </w:pPr>
      <w:r>
        <w:rPr>
          <w:rStyle w:val="FootnoteReference"/>
        </w:rPr>
        <w:footnoteRef/>
      </w:r>
      <w:r>
        <w:t xml:space="preserve"> </w:t>
      </w:r>
      <w:r w:rsidRPr="008641C8">
        <w:rPr>
          <w:i/>
          <w:iCs/>
        </w:rPr>
        <w:t>Id.</w:t>
      </w:r>
      <w:r>
        <w:t xml:space="preserve"> at </w:t>
      </w:r>
      <w:proofErr w:type="gramStart"/>
      <w:r>
        <w:t>7</w:t>
      </w:r>
      <w:proofErr w:type="gramEnd"/>
      <w:r>
        <w:t>.</w:t>
      </w:r>
    </w:p>
  </w:footnote>
  <w:footnote w:id="14">
    <w:p w14:paraId="5198AD47" w14:textId="4F802702" w:rsidR="002834CA" w:rsidRDefault="002834CA">
      <w:pPr>
        <w:pStyle w:val="FootnoteText"/>
      </w:pPr>
      <w:r>
        <w:rPr>
          <w:rStyle w:val="FootnoteReference"/>
        </w:rPr>
        <w:footnoteRef/>
      </w:r>
      <w:r>
        <w:t xml:space="preserve"> </w:t>
      </w:r>
      <w:r>
        <w:rPr>
          <w:i/>
        </w:rPr>
        <w:t>Id.</w:t>
      </w:r>
    </w:p>
  </w:footnote>
  <w:footnote w:id="15">
    <w:p w14:paraId="118B15E6" w14:textId="149189B0" w:rsidR="002834CA" w:rsidRDefault="002834CA">
      <w:pPr>
        <w:pStyle w:val="FootnoteText"/>
      </w:pPr>
      <w:r>
        <w:rPr>
          <w:rStyle w:val="FootnoteReference"/>
        </w:rPr>
        <w:footnoteRef/>
      </w:r>
      <w:r>
        <w:t xml:space="preserve"> </w:t>
      </w:r>
      <w:r w:rsidRPr="00AD2C6C">
        <w:t>ISO-NE Tariff, Schedule 17</w:t>
      </w:r>
      <w:r>
        <w:t>, § 2.2(A)</w:t>
      </w:r>
      <w:r w:rsidRPr="00AD2C6C">
        <w:t xml:space="preserve"> (Recovery of CIP Costs) (2.0.0)</w:t>
      </w:r>
      <w:r>
        <w:t xml:space="preserve"> (emphasis added)</w:t>
      </w:r>
      <w:r w:rsidRPr="00AD2C6C">
        <w:t>.</w:t>
      </w:r>
    </w:p>
  </w:footnote>
  <w:footnote w:id="16">
    <w:p w14:paraId="2C419B5B" w14:textId="5A75D853" w:rsidR="002834CA" w:rsidRDefault="002834CA">
      <w:pPr>
        <w:pStyle w:val="FootnoteText"/>
      </w:pPr>
      <w:r>
        <w:rPr>
          <w:rStyle w:val="FootnoteReference"/>
        </w:rPr>
        <w:footnoteRef/>
      </w:r>
      <w:r>
        <w:t xml:space="preserve"> ISO-NE Filing at 12.</w:t>
      </w:r>
    </w:p>
  </w:footnote>
  <w:footnote w:id="17">
    <w:p w14:paraId="57A2E2E5" w14:textId="125D40EA" w:rsidR="002834CA" w:rsidRDefault="002834CA">
      <w:pPr>
        <w:pStyle w:val="FootnoteText"/>
      </w:pPr>
      <w:r>
        <w:rPr>
          <w:rStyle w:val="FootnoteReference"/>
        </w:rPr>
        <w:footnoteRef/>
      </w:r>
      <w:r>
        <w:t xml:space="preserve"> </w:t>
      </w:r>
      <w:r w:rsidRPr="008641C8">
        <w:rPr>
          <w:i/>
        </w:rPr>
        <w:t>Id.</w:t>
      </w:r>
      <w:r>
        <w:t xml:space="preserve"> at 14.</w:t>
      </w:r>
    </w:p>
  </w:footnote>
  <w:footnote w:id="18">
    <w:p w14:paraId="2CBF3D4C" w14:textId="2A0EDFE2" w:rsidR="002834CA" w:rsidRDefault="002834CA" w:rsidP="00D052F3">
      <w:pPr>
        <w:pStyle w:val="FootnoteText"/>
      </w:pPr>
      <w:r>
        <w:rPr>
          <w:rStyle w:val="FootnoteReference"/>
        </w:rPr>
        <w:footnoteRef/>
      </w:r>
      <w:r>
        <w:t xml:space="preserve"> </w:t>
      </w:r>
      <w:r w:rsidRPr="00490DF0">
        <w:t xml:space="preserve">IROL-Critical Facilities Owners </w:t>
      </w:r>
      <w:r>
        <w:t xml:space="preserve">consist </w:t>
      </w:r>
      <w:r w:rsidRPr="00490DF0">
        <w:t xml:space="preserve">of </w:t>
      </w:r>
      <w:proofErr w:type="spellStart"/>
      <w:r w:rsidRPr="00490DF0">
        <w:t>Cogentrix</w:t>
      </w:r>
      <w:proofErr w:type="spellEnd"/>
      <w:r w:rsidRPr="00490DF0">
        <w:t xml:space="preserve"> Energy Power</w:t>
      </w:r>
      <w:r>
        <w:t xml:space="preserve"> </w:t>
      </w:r>
      <w:r w:rsidRPr="00490DF0">
        <w:t>Management, LLC</w:t>
      </w:r>
      <w:r>
        <w:t xml:space="preserve">; </w:t>
      </w:r>
      <w:r w:rsidRPr="00490DF0">
        <w:t>Cross-Sound Cable</w:t>
      </w:r>
      <w:r>
        <w:t xml:space="preserve">; </w:t>
      </w:r>
      <w:proofErr w:type="spellStart"/>
      <w:r w:rsidRPr="00490DF0">
        <w:t>FirstLight</w:t>
      </w:r>
      <w:proofErr w:type="spellEnd"/>
      <w:r w:rsidRPr="00490DF0">
        <w:t xml:space="preserve"> Power</w:t>
      </w:r>
      <w:r>
        <w:t>;</w:t>
      </w:r>
      <w:r w:rsidRPr="00490DF0">
        <w:t xml:space="preserve"> NextEra Energy</w:t>
      </w:r>
      <w:r>
        <w:t xml:space="preserve"> </w:t>
      </w:r>
      <w:r w:rsidRPr="00490DF0">
        <w:t>Resources, LLC</w:t>
      </w:r>
      <w:r>
        <w:t xml:space="preserve"> (NextEra);</w:t>
      </w:r>
      <w:r w:rsidRPr="00490DF0">
        <w:t xml:space="preserve"> NRG Power Marketing LLC</w:t>
      </w:r>
      <w:r>
        <w:t xml:space="preserve"> (NRG); and </w:t>
      </w:r>
      <w:proofErr w:type="spellStart"/>
      <w:r w:rsidRPr="00490DF0">
        <w:t>Vistra</w:t>
      </w:r>
      <w:proofErr w:type="spellEnd"/>
      <w:r w:rsidRPr="00490DF0">
        <w:t xml:space="preserve"> Energy Corp. and Dynegy Marketing</w:t>
      </w:r>
      <w:r>
        <w:t xml:space="preserve"> </w:t>
      </w:r>
      <w:r w:rsidRPr="00490DF0">
        <w:t>and Trade, LLC</w:t>
      </w:r>
      <w:r>
        <w:t xml:space="preserve"> (</w:t>
      </w:r>
      <w:proofErr w:type="spellStart"/>
      <w:r>
        <w:t>Vistra</w:t>
      </w:r>
      <w:proofErr w:type="spellEnd"/>
      <w:r>
        <w:t xml:space="preserve"> Energy)</w:t>
      </w:r>
      <w:r w:rsidRPr="00490DF0">
        <w:t>.</w:t>
      </w:r>
    </w:p>
  </w:footnote>
  <w:footnote w:id="19">
    <w:p w14:paraId="6362F855" w14:textId="2A84D083" w:rsidR="002834CA" w:rsidRDefault="002834CA">
      <w:pPr>
        <w:pStyle w:val="FootnoteText"/>
      </w:pPr>
      <w:r>
        <w:rPr>
          <w:rStyle w:val="FootnoteReference"/>
        </w:rPr>
        <w:footnoteRef/>
      </w:r>
      <w:r>
        <w:t xml:space="preserve"> PSEG Companies consist of PSEG Power Connecticut LLC; PSEG Power LLC</w:t>
      </w:r>
      <w:proofErr w:type="gramStart"/>
      <w:r>
        <w:t>;</w:t>
      </w:r>
      <w:proofErr w:type="gramEnd"/>
      <w:r>
        <w:t xml:space="preserve"> and PSEG Energy Resources &amp; Trade LLC.</w:t>
      </w:r>
    </w:p>
  </w:footnote>
  <w:footnote w:id="20">
    <w:p w14:paraId="2AA402DB" w14:textId="77777777" w:rsidR="002834CA" w:rsidRDefault="002834CA" w:rsidP="00EC0D8A">
      <w:pPr>
        <w:pStyle w:val="FootnoteText"/>
      </w:pPr>
      <w:r>
        <w:rPr>
          <w:rStyle w:val="FootnoteReference"/>
        </w:rPr>
        <w:footnoteRef/>
      </w:r>
      <w:r>
        <w:t xml:space="preserve"> </w:t>
      </w:r>
      <w:r w:rsidRPr="00C437E9">
        <w:t xml:space="preserve">ISO-NE did not include the Associated Filing Identifier at the record level in its amended filing, which resulted in two versions of the tariff record remaining open. </w:t>
      </w:r>
      <w:r>
        <w:t xml:space="preserve"> </w:t>
      </w:r>
      <w:r w:rsidRPr="00C437E9">
        <w:t xml:space="preserve">Thus, the tariff record filed in Docket No. ER20-739-000 </w:t>
      </w:r>
      <w:proofErr w:type="gramStart"/>
      <w:r w:rsidRPr="00C437E9">
        <w:t>is rejected</w:t>
      </w:r>
      <w:proofErr w:type="gramEnd"/>
      <w:r w:rsidRPr="00C437E9">
        <w:t xml:space="preserve"> as moot.</w:t>
      </w:r>
      <w:r>
        <w:t xml:space="preserve"> </w:t>
      </w:r>
      <w:r w:rsidRPr="00C437E9">
        <w:t xml:space="preserve"> </w:t>
      </w:r>
      <w:r w:rsidRPr="003912BC">
        <w:rPr>
          <w:i/>
        </w:rPr>
        <w:t>See FERC Staff’s Responses to Discussion Questions, Tariff Record Related Codes</w:t>
      </w:r>
      <w:r w:rsidRPr="00C437E9">
        <w:t xml:space="preserve">, </w:t>
      </w:r>
      <w:proofErr w:type="gramStart"/>
      <w:r w:rsidRPr="00C437E9">
        <w:t>Questions</w:t>
      </w:r>
      <w:proofErr w:type="gramEnd"/>
      <w:r w:rsidRPr="00C437E9">
        <w:t xml:space="preserve"> 28 at 29 for the need to provide a complete set of Associated tariff record information; and the </w:t>
      </w:r>
      <w:r w:rsidRPr="003912BC">
        <w:rPr>
          <w:i/>
        </w:rPr>
        <w:t>Implementation Guide for Electronic Filing of Parts 35, 154, 284, 300, and 341 Tariff Filings</w:t>
      </w:r>
      <w:r w:rsidRPr="00C437E9">
        <w:t xml:space="preserve"> at 31, for the definitions of the Associated record data elements.</w:t>
      </w:r>
    </w:p>
  </w:footnote>
  <w:footnote w:id="21">
    <w:p w14:paraId="0E2F8AB8" w14:textId="77777777" w:rsidR="002834CA" w:rsidRDefault="002834CA" w:rsidP="00C81822">
      <w:pPr>
        <w:pStyle w:val="FootnoteText"/>
      </w:pPr>
      <w:r>
        <w:rPr>
          <w:rStyle w:val="FootnoteReference"/>
        </w:rPr>
        <w:footnoteRef/>
      </w:r>
      <w:r>
        <w:t xml:space="preserve"> NEPOOL Comments at 1-2.</w:t>
      </w:r>
    </w:p>
  </w:footnote>
  <w:footnote w:id="22">
    <w:p w14:paraId="54A9A6D3" w14:textId="1033EB83" w:rsidR="002834CA" w:rsidRDefault="002834CA" w:rsidP="00C81822">
      <w:pPr>
        <w:pStyle w:val="FootnoteText"/>
      </w:pPr>
      <w:r>
        <w:rPr>
          <w:rStyle w:val="FootnoteReference"/>
        </w:rPr>
        <w:footnoteRef/>
      </w:r>
      <w:r w:rsidDel="00CD0F29">
        <w:t xml:space="preserve"> </w:t>
      </w:r>
      <w:r>
        <w:t xml:space="preserve">These commenters are Calpine, Cross-Sound Cable, </w:t>
      </w:r>
      <w:r w:rsidRPr="00065980">
        <w:t>IROL-Critical Facility Owners</w:t>
      </w:r>
      <w:r>
        <w:t>, and</w:t>
      </w:r>
      <w:r w:rsidRPr="00065980">
        <w:t xml:space="preserve"> </w:t>
      </w:r>
      <w:r w:rsidRPr="00F41B29">
        <w:t>NESCOE</w:t>
      </w:r>
      <w:r>
        <w:t>.</w:t>
      </w:r>
      <w:r w:rsidRPr="00272E44">
        <w:rPr>
          <w:szCs w:val="24"/>
        </w:rPr>
        <w:t xml:space="preserve"> </w:t>
      </w:r>
    </w:p>
  </w:footnote>
  <w:footnote w:id="23">
    <w:p w14:paraId="14F07DA8" w14:textId="77777777" w:rsidR="002834CA" w:rsidRDefault="002834CA" w:rsidP="005D5876">
      <w:pPr>
        <w:pStyle w:val="FootnoteText"/>
        <w:widowControl/>
      </w:pPr>
      <w:r>
        <w:rPr>
          <w:rStyle w:val="FootnoteReference"/>
        </w:rPr>
        <w:footnoteRef/>
      </w:r>
      <w:r>
        <w:t xml:space="preserve"> </w:t>
      </w:r>
      <w:bookmarkStart w:id="13" w:name="_Hlk38294120"/>
      <w:r>
        <w:t>IROL-Critical Facility Owners Comments a</w:t>
      </w:r>
      <w:bookmarkEnd w:id="13"/>
      <w:r>
        <w:t xml:space="preserve">t 10-14; </w:t>
      </w:r>
      <w:r w:rsidRPr="00374758">
        <w:t xml:space="preserve">IROL-Critical Facility Owners </w:t>
      </w:r>
      <w:r>
        <w:t>Answer at 1-8.</w:t>
      </w:r>
    </w:p>
  </w:footnote>
  <w:footnote w:id="24">
    <w:p w14:paraId="38C18CE4" w14:textId="323E0E59" w:rsidR="003B6514" w:rsidRDefault="003B6514">
      <w:pPr>
        <w:pStyle w:val="FootnoteText"/>
      </w:pPr>
      <w:r>
        <w:rPr>
          <w:rStyle w:val="FootnoteReference"/>
        </w:rPr>
        <w:footnoteRef/>
      </w:r>
      <w:r>
        <w:t xml:space="preserve"> </w:t>
      </w:r>
      <w:r w:rsidR="00EE0361" w:rsidRPr="00EE0361">
        <w:t xml:space="preserve">Energy Policy Act of 2005, Pub. L. No. 109-58, §§ 1261 </w:t>
      </w:r>
      <w:r w:rsidR="00EE0361" w:rsidRPr="00EE0361">
        <w:rPr>
          <w:i/>
        </w:rPr>
        <w:t>et seq.</w:t>
      </w:r>
      <w:r w:rsidR="00EE0361" w:rsidRPr="00EE0361">
        <w:t>, 119 Stat. 594 (2005)</w:t>
      </w:r>
      <w:r w:rsidR="00EE0361">
        <w:t>.</w:t>
      </w:r>
    </w:p>
  </w:footnote>
  <w:footnote w:id="25">
    <w:p w14:paraId="69114BFA" w14:textId="77777777" w:rsidR="002834CA" w:rsidRDefault="002834CA" w:rsidP="00F0157C">
      <w:pPr>
        <w:pStyle w:val="FootnoteText"/>
      </w:pPr>
      <w:r>
        <w:rPr>
          <w:rStyle w:val="FootnoteReference"/>
        </w:rPr>
        <w:footnoteRef/>
      </w:r>
      <w:r>
        <w:t xml:space="preserve"> </w:t>
      </w:r>
      <w:r w:rsidRPr="00EA5CD2">
        <w:t xml:space="preserve">IROL-Critical Facility Owners Answer at </w:t>
      </w:r>
      <w:r>
        <w:t xml:space="preserve">3 (citing </w:t>
      </w:r>
      <w:r w:rsidRPr="00FE10CB">
        <w:t xml:space="preserve">16 U.S.C. § </w:t>
      </w:r>
      <w:proofErr w:type="gramStart"/>
      <w:r w:rsidRPr="00FE10CB">
        <w:t>824s(</w:t>
      </w:r>
      <w:proofErr w:type="gramEnd"/>
      <w:r w:rsidRPr="00FE10CB">
        <w:t>b)(4)</w:t>
      </w:r>
      <w:r>
        <w:t>), 7-8</w:t>
      </w:r>
      <w:r w:rsidRPr="00FE10CB">
        <w:t xml:space="preserve">.  </w:t>
      </w:r>
    </w:p>
  </w:footnote>
  <w:footnote w:id="26">
    <w:p w14:paraId="579CADA1" w14:textId="6967F78D" w:rsidR="002834CA" w:rsidRDefault="002834CA" w:rsidP="00F0157C">
      <w:pPr>
        <w:pStyle w:val="FootnoteText"/>
      </w:pPr>
      <w:r>
        <w:rPr>
          <w:rStyle w:val="FootnoteReference"/>
        </w:rPr>
        <w:footnoteRef/>
      </w:r>
      <w:r>
        <w:t xml:space="preserve"> </w:t>
      </w:r>
      <w:bookmarkStart w:id="15" w:name="_Hlk38358390"/>
      <w:r>
        <w:t xml:space="preserve">IROL-Critical Facility Owners Comments </w:t>
      </w:r>
      <w:bookmarkEnd w:id="15"/>
      <w:r>
        <w:t>at 13 (citing</w:t>
      </w:r>
      <w:r w:rsidRPr="000D1947">
        <w:rPr>
          <w:i/>
          <w:iCs/>
        </w:rPr>
        <w:t xml:space="preserve"> Rules Concerning Certification of the Electric Reliability Organization; and Procedures for the Establishment, Approval, and Enforcement of Electric Reliability Standards</w:t>
      </w:r>
      <w:r w:rsidRPr="000D1947">
        <w:t xml:space="preserve">, Order </w:t>
      </w:r>
      <w:r w:rsidR="005D5876">
        <w:t xml:space="preserve">      </w:t>
      </w:r>
      <w:r w:rsidRPr="000D1947">
        <w:t xml:space="preserve">No. 672, 114 FERC ¶ 61,104, at P 259, </w:t>
      </w:r>
      <w:r w:rsidRPr="000D1947">
        <w:rPr>
          <w:i/>
          <w:iCs/>
        </w:rPr>
        <w:t xml:space="preserve">order on </w:t>
      </w:r>
      <w:proofErr w:type="spellStart"/>
      <w:r w:rsidRPr="000D1947">
        <w:rPr>
          <w:i/>
          <w:iCs/>
        </w:rPr>
        <w:t>reh’g</w:t>
      </w:r>
      <w:proofErr w:type="spellEnd"/>
      <w:r w:rsidRPr="000D1947">
        <w:t>, Order No. 672-A, 114 FERC ¶ 61,328 (2006)</w:t>
      </w:r>
      <w:r>
        <w:t xml:space="preserve">); </w:t>
      </w:r>
      <w:r w:rsidRPr="007666AD">
        <w:rPr>
          <w:i/>
          <w:iCs/>
        </w:rPr>
        <w:t xml:space="preserve">see also </w:t>
      </w:r>
      <w:r w:rsidRPr="0091654A">
        <w:t xml:space="preserve">IROL-Critical Facility Owners </w:t>
      </w:r>
      <w:r>
        <w:t>Answer at 4.</w:t>
      </w:r>
    </w:p>
  </w:footnote>
  <w:footnote w:id="27">
    <w:p w14:paraId="30BDE456" w14:textId="443121FA" w:rsidR="002834CA" w:rsidRDefault="002834CA" w:rsidP="00F0157C">
      <w:pPr>
        <w:pStyle w:val="FootnoteText"/>
      </w:pPr>
      <w:r>
        <w:rPr>
          <w:rStyle w:val="FootnoteReference"/>
        </w:rPr>
        <w:footnoteRef/>
      </w:r>
      <w:r>
        <w:t xml:space="preserve"> </w:t>
      </w:r>
      <w:bookmarkStart w:id="16" w:name="_Hlk38359509"/>
      <w:r w:rsidRPr="00677978">
        <w:t xml:space="preserve">IROL-Critical Facility Owners </w:t>
      </w:r>
      <w:r>
        <w:t xml:space="preserve">Answer at 4 </w:t>
      </w:r>
      <w:bookmarkEnd w:id="16"/>
      <w:r>
        <w:t xml:space="preserve">(citing </w:t>
      </w:r>
      <w:r w:rsidRPr="00E25125">
        <w:rPr>
          <w:i/>
          <w:iCs/>
        </w:rPr>
        <w:t>Promoting Transmission Investment through Pricing Reform</w:t>
      </w:r>
      <w:r w:rsidRPr="00E25125">
        <w:t xml:space="preserve">, Order No. 679, 116 FERC ¶ 61,057, </w:t>
      </w:r>
      <w:r>
        <w:t xml:space="preserve">at P 347, </w:t>
      </w:r>
      <w:r w:rsidRPr="00E25125">
        <w:rPr>
          <w:i/>
          <w:iCs/>
        </w:rPr>
        <w:t xml:space="preserve">order on </w:t>
      </w:r>
      <w:proofErr w:type="spellStart"/>
      <w:r w:rsidRPr="00E25125">
        <w:rPr>
          <w:i/>
          <w:iCs/>
        </w:rPr>
        <w:t>reh’g</w:t>
      </w:r>
      <w:proofErr w:type="spellEnd"/>
      <w:r w:rsidRPr="00E25125">
        <w:t xml:space="preserve">, Order No. 679-A, 117 FERC ¶ 61,345 (2006), </w:t>
      </w:r>
      <w:r w:rsidRPr="00E25125">
        <w:rPr>
          <w:i/>
          <w:iCs/>
        </w:rPr>
        <w:t xml:space="preserve">order on </w:t>
      </w:r>
      <w:proofErr w:type="spellStart"/>
      <w:r w:rsidRPr="00E25125">
        <w:rPr>
          <w:i/>
          <w:iCs/>
        </w:rPr>
        <w:t>reh’g</w:t>
      </w:r>
      <w:proofErr w:type="spellEnd"/>
      <w:r w:rsidRPr="00E25125">
        <w:t>, 119 FERC ¶</w:t>
      </w:r>
      <w:r>
        <w:t> </w:t>
      </w:r>
      <w:r w:rsidRPr="00E25125">
        <w:t>61,062 (2007)</w:t>
      </w:r>
      <w:r>
        <w:t>)</w:t>
      </w:r>
      <w:r w:rsidRPr="00E25125">
        <w:t>.</w:t>
      </w:r>
    </w:p>
  </w:footnote>
  <w:footnote w:id="28">
    <w:p w14:paraId="7FED91D4" w14:textId="2F0A43EE" w:rsidR="002834CA" w:rsidRDefault="002834CA" w:rsidP="00F0157C">
      <w:pPr>
        <w:pStyle w:val="FootnoteText"/>
      </w:pPr>
      <w:r>
        <w:rPr>
          <w:rStyle w:val="FootnoteReference"/>
        </w:rPr>
        <w:footnoteRef/>
      </w:r>
      <w:r>
        <w:t xml:space="preserve"> </w:t>
      </w:r>
      <w:bookmarkStart w:id="18" w:name="_Hlk38360221"/>
      <w:bookmarkStart w:id="19" w:name="_Hlk38362981"/>
      <w:r w:rsidRPr="005A4DAD">
        <w:t xml:space="preserve">IROL-Critical Facility Owners </w:t>
      </w:r>
      <w:bookmarkEnd w:id="18"/>
      <w:r w:rsidRPr="005A4DAD">
        <w:t>Comments a</w:t>
      </w:r>
      <w:r>
        <w:t xml:space="preserve">t 13-14 </w:t>
      </w:r>
      <w:bookmarkEnd w:id="19"/>
      <w:r>
        <w:t xml:space="preserve">(citing </w:t>
      </w:r>
      <w:r w:rsidRPr="00B90113">
        <w:rPr>
          <w:i/>
          <w:iCs/>
        </w:rPr>
        <w:t>New England Power Pool</w:t>
      </w:r>
      <w:r w:rsidRPr="005A4DAD">
        <w:t>, 92 FERC ¶ 61,020 (2000</w:t>
      </w:r>
      <w:r w:rsidDel="00382AEB">
        <w:t>)</w:t>
      </w:r>
      <w:r>
        <w:t>)</w:t>
      </w:r>
      <w:r w:rsidRPr="005A4DAD">
        <w:t>.</w:t>
      </w:r>
    </w:p>
  </w:footnote>
  <w:footnote w:id="29">
    <w:p w14:paraId="5D6FC0E1" w14:textId="77777777" w:rsidR="002834CA" w:rsidRDefault="002834CA" w:rsidP="00170611">
      <w:pPr>
        <w:pStyle w:val="FootnoteText"/>
      </w:pPr>
      <w:r>
        <w:rPr>
          <w:rStyle w:val="FootnoteReference"/>
        </w:rPr>
        <w:footnoteRef/>
      </w:r>
      <w:r>
        <w:t xml:space="preserve"> </w:t>
      </w:r>
      <w:bookmarkStart w:id="20" w:name="_Hlk40182679"/>
      <w:r w:rsidRPr="00430A90">
        <w:t xml:space="preserve">IROL-Critical Facility Owners Answer </w:t>
      </w:r>
      <w:bookmarkEnd w:id="20"/>
      <w:r w:rsidRPr="00430A90">
        <w:t xml:space="preserve">at </w:t>
      </w:r>
      <w:proofErr w:type="gramStart"/>
      <w:r w:rsidRPr="00430A90">
        <w:t>4</w:t>
      </w:r>
      <w:proofErr w:type="gramEnd"/>
      <w:r>
        <w:t>.</w:t>
      </w:r>
    </w:p>
  </w:footnote>
  <w:footnote w:id="30">
    <w:p w14:paraId="23476F53" w14:textId="22DD837D" w:rsidR="002834CA" w:rsidRDefault="002834CA" w:rsidP="00170611">
      <w:pPr>
        <w:pStyle w:val="FootnoteText"/>
      </w:pPr>
      <w:r>
        <w:rPr>
          <w:rStyle w:val="FootnoteReference"/>
        </w:rPr>
        <w:footnoteRef/>
      </w:r>
      <w:r>
        <w:t xml:space="preserve"> </w:t>
      </w:r>
      <w:bookmarkStart w:id="21" w:name="_Hlk38363439"/>
      <w:r>
        <w:rPr>
          <w:i/>
          <w:iCs/>
        </w:rPr>
        <w:t>Id</w:t>
      </w:r>
      <w:r w:rsidRPr="0030075C">
        <w:rPr>
          <w:i/>
          <w:iCs/>
        </w:rPr>
        <w:t>.</w:t>
      </w:r>
      <w:r w:rsidRPr="002F162D">
        <w:t xml:space="preserve"> at 4</w:t>
      </w:r>
      <w:r>
        <w:t>-5</w:t>
      </w:r>
      <w:bookmarkEnd w:id="21"/>
      <w:r>
        <w:t xml:space="preserve"> (citing </w:t>
      </w:r>
      <w:bookmarkStart w:id="22" w:name="_Hlk38377110"/>
      <w:r w:rsidRPr="007666AD">
        <w:rPr>
          <w:i/>
          <w:iCs/>
        </w:rPr>
        <w:t xml:space="preserve">Bluefield Waterworks &amp; Improvement Co. v. Pub. Serv. </w:t>
      </w:r>
      <w:proofErr w:type="spellStart"/>
      <w:r w:rsidRPr="007666AD">
        <w:rPr>
          <w:i/>
          <w:iCs/>
        </w:rPr>
        <w:t>Comm’n</w:t>
      </w:r>
      <w:proofErr w:type="spellEnd"/>
      <w:r w:rsidRPr="00A75723">
        <w:t>, 262 U.S. 679, 690 (1923)</w:t>
      </w:r>
      <w:r>
        <w:t>).</w:t>
      </w:r>
      <w:bookmarkEnd w:id="22"/>
    </w:p>
  </w:footnote>
  <w:footnote w:id="31">
    <w:p w14:paraId="76BACD4A" w14:textId="77777777" w:rsidR="002834CA" w:rsidRDefault="002834CA" w:rsidP="00170611">
      <w:pPr>
        <w:pStyle w:val="FootnoteText"/>
      </w:pPr>
      <w:r>
        <w:rPr>
          <w:rStyle w:val="FootnoteReference"/>
        </w:rPr>
        <w:footnoteRef/>
      </w:r>
      <w:r>
        <w:t xml:space="preserve"> </w:t>
      </w:r>
      <w:bookmarkStart w:id="23" w:name="_Hlk38362474"/>
      <w:r>
        <w:rPr>
          <w:i/>
          <w:iCs/>
        </w:rPr>
        <w:t>Id</w:t>
      </w:r>
      <w:r w:rsidRPr="0030075C">
        <w:rPr>
          <w:i/>
          <w:iCs/>
        </w:rPr>
        <w:t>.</w:t>
      </w:r>
      <w:r w:rsidRPr="00086145">
        <w:t xml:space="preserve"> </w:t>
      </w:r>
      <w:bookmarkEnd w:id="23"/>
      <w:r w:rsidRPr="00086145">
        <w:t xml:space="preserve">at </w:t>
      </w:r>
      <w:proofErr w:type="gramStart"/>
      <w:r>
        <w:t>6</w:t>
      </w:r>
      <w:proofErr w:type="gramEnd"/>
      <w:r>
        <w:t>.</w:t>
      </w:r>
    </w:p>
  </w:footnote>
  <w:footnote w:id="32">
    <w:p w14:paraId="6716FE6E" w14:textId="77777777" w:rsidR="002834CA" w:rsidRDefault="002834CA" w:rsidP="00170611">
      <w:pPr>
        <w:pStyle w:val="FootnoteText"/>
      </w:pPr>
      <w:r>
        <w:rPr>
          <w:rStyle w:val="FootnoteReference"/>
        </w:rPr>
        <w:footnoteRef/>
      </w:r>
      <w:r>
        <w:t xml:space="preserve"> NESCOE Comments at 9-11; NESCOE Answer at 6-8.</w:t>
      </w:r>
    </w:p>
  </w:footnote>
  <w:footnote w:id="33">
    <w:p w14:paraId="782BB845" w14:textId="3E7E6957" w:rsidR="002834CA" w:rsidRDefault="002834CA" w:rsidP="00170611">
      <w:pPr>
        <w:pStyle w:val="FootnoteText"/>
      </w:pPr>
      <w:r>
        <w:rPr>
          <w:rStyle w:val="FootnoteReference"/>
        </w:rPr>
        <w:footnoteRef/>
      </w:r>
      <w:r>
        <w:t xml:space="preserve"> NESCOE Comments at 10 n.31 (citing </w:t>
      </w:r>
      <w:r w:rsidRPr="007666AD">
        <w:rPr>
          <w:i/>
          <w:iCs/>
        </w:rPr>
        <w:t>W</w:t>
      </w:r>
      <w:r>
        <w:rPr>
          <w:i/>
          <w:iCs/>
        </w:rPr>
        <w:t>.</w:t>
      </w:r>
      <w:r w:rsidRPr="007666AD">
        <w:rPr>
          <w:i/>
          <w:iCs/>
        </w:rPr>
        <w:t xml:space="preserve"> Deptford Energy, LLC v. FERC</w:t>
      </w:r>
      <w:r w:rsidRPr="00783621">
        <w:t xml:space="preserve">, </w:t>
      </w:r>
      <w:r w:rsidR="00F000D1">
        <w:t xml:space="preserve">  </w:t>
      </w:r>
      <w:r w:rsidRPr="00783621">
        <w:t>766 F.3d 10, 22-23 (D.C. Cir. 2014)</w:t>
      </w:r>
      <w:r>
        <w:t>)</w:t>
      </w:r>
      <w:r w:rsidRPr="00783621">
        <w:t>.</w:t>
      </w:r>
    </w:p>
  </w:footnote>
  <w:footnote w:id="34">
    <w:p w14:paraId="492713A4" w14:textId="2F5995A6" w:rsidR="002834CA" w:rsidRDefault="002834CA" w:rsidP="00170611">
      <w:pPr>
        <w:pStyle w:val="FootnoteText"/>
      </w:pPr>
      <w:r>
        <w:rPr>
          <w:rStyle w:val="FootnoteReference"/>
        </w:rPr>
        <w:footnoteRef/>
      </w:r>
      <w:r>
        <w:t xml:space="preserve"> ISO-NE Answer at 8-9.</w:t>
      </w:r>
    </w:p>
  </w:footnote>
  <w:footnote w:id="35">
    <w:p w14:paraId="6182E408" w14:textId="76C1EAA8" w:rsidR="002834CA" w:rsidRDefault="002834CA">
      <w:pPr>
        <w:pStyle w:val="FootnoteText"/>
      </w:pPr>
      <w:r>
        <w:rPr>
          <w:rStyle w:val="FootnoteReference"/>
        </w:rPr>
        <w:footnoteRef/>
      </w:r>
      <w:r>
        <w:t xml:space="preserve"> </w:t>
      </w:r>
      <w:r w:rsidRPr="00E20F11">
        <w:rPr>
          <w:i/>
          <w:iCs/>
        </w:rPr>
        <w:t>Id.</w:t>
      </w:r>
      <w:r>
        <w:t xml:space="preserve"> at </w:t>
      </w:r>
      <w:proofErr w:type="gramStart"/>
      <w:r>
        <w:t>9</w:t>
      </w:r>
      <w:proofErr w:type="gramEnd"/>
      <w:r>
        <w:t>.</w:t>
      </w:r>
    </w:p>
  </w:footnote>
  <w:footnote w:id="36">
    <w:p w14:paraId="2B92EB68" w14:textId="13188E8A" w:rsidR="002834CA" w:rsidRDefault="002834CA">
      <w:pPr>
        <w:pStyle w:val="FootnoteText"/>
      </w:pPr>
      <w:r>
        <w:rPr>
          <w:rStyle w:val="FootnoteReference"/>
        </w:rPr>
        <w:footnoteRef/>
      </w:r>
      <w:r>
        <w:t xml:space="preserve"> NESCOE Comments at 3-9.</w:t>
      </w:r>
    </w:p>
  </w:footnote>
  <w:footnote w:id="37">
    <w:p w14:paraId="2115E7E3" w14:textId="70416269" w:rsidR="002834CA" w:rsidRPr="001E0C1A" w:rsidRDefault="002834CA" w:rsidP="00563363">
      <w:pPr>
        <w:pStyle w:val="FootnoteText"/>
        <w:rPr>
          <w:iCs/>
        </w:rPr>
      </w:pPr>
      <w:r>
        <w:rPr>
          <w:rStyle w:val="FootnoteReference"/>
        </w:rPr>
        <w:footnoteRef/>
      </w:r>
      <w:r>
        <w:t xml:space="preserve"> </w:t>
      </w:r>
      <w:r w:rsidRPr="00E300BA">
        <w:rPr>
          <w:iCs/>
        </w:rPr>
        <w:t xml:space="preserve">Cross-Sound Cable Comments at </w:t>
      </w:r>
      <w:r>
        <w:rPr>
          <w:iCs/>
        </w:rPr>
        <w:t>6-7.</w:t>
      </w:r>
    </w:p>
  </w:footnote>
  <w:footnote w:id="38">
    <w:p w14:paraId="6362EA20" w14:textId="375D2ABD" w:rsidR="002834CA" w:rsidRDefault="002834CA">
      <w:pPr>
        <w:pStyle w:val="FootnoteText"/>
      </w:pPr>
      <w:r>
        <w:rPr>
          <w:rStyle w:val="FootnoteReference"/>
        </w:rPr>
        <w:footnoteRef/>
      </w:r>
      <w:r>
        <w:t xml:space="preserve"> </w:t>
      </w:r>
      <w:r w:rsidRPr="001E0C1A">
        <w:t xml:space="preserve">IROL-Critical Facility Owners </w:t>
      </w:r>
      <w:r>
        <w:t>Comments at 6-10.</w:t>
      </w:r>
    </w:p>
  </w:footnote>
  <w:footnote w:id="39">
    <w:p w14:paraId="0421C869" w14:textId="276367BC" w:rsidR="002834CA" w:rsidRDefault="002834CA">
      <w:pPr>
        <w:pStyle w:val="FootnoteText"/>
      </w:pPr>
      <w:r>
        <w:rPr>
          <w:rStyle w:val="FootnoteReference"/>
        </w:rPr>
        <w:footnoteRef/>
      </w:r>
      <w:r>
        <w:t xml:space="preserve"> NESCOE Answer at </w:t>
      </w:r>
      <w:proofErr w:type="gramStart"/>
      <w:r>
        <w:t>5</w:t>
      </w:r>
      <w:proofErr w:type="gramEnd"/>
      <w:r>
        <w:t>.</w:t>
      </w:r>
    </w:p>
  </w:footnote>
  <w:footnote w:id="40">
    <w:p w14:paraId="4DCDCA64" w14:textId="175F8742" w:rsidR="002834CA" w:rsidRDefault="002834CA">
      <w:pPr>
        <w:pStyle w:val="FootnoteText"/>
      </w:pPr>
      <w:r>
        <w:rPr>
          <w:rStyle w:val="FootnoteReference"/>
        </w:rPr>
        <w:footnoteRef/>
      </w:r>
      <w:r>
        <w:t xml:space="preserve"> </w:t>
      </w:r>
      <w:r w:rsidRPr="003D35A5">
        <w:rPr>
          <w:i/>
        </w:rPr>
        <w:t>Id.</w:t>
      </w:r>
    </w:p>
  </w:footnote>
  <w:footnote w:id="41">
    <w:p w14:paraId="3FEF1AAD" w14:textId="6A2F6B48" w:rsidR="002834CA" w:rsidRDefault="002834CA">
      <w:pPr>
        <w:pStyle w:val="FootnoteText"/>
      </w:pPr>
      <w:r>
        <w:rPr>
          <w:rStyle w:val="FootnoteReference"/>
        </w:rPr>
        <w:footnoteRef/>
      </w:r>
      <w:r>
        <w:t xml:space="preserve"> ISO-NE Answer at 5-7.</w:t>
      </w:r>
    </w:p>
  </w:footnote>
  <w:footnote w:id="42">
    <w:p w14:paraId="40FB71DB" w14:textId="77777777" w:rsidR="002834CA" w:rsidRDefault="002834CA" w:rsidP="00EA76ED">
      <w:pPr>
        <w:pStyle w:val="FootnoteText"/>
      </w:pPr>
      <w:r>
        <w:rPr>
          <w:rStyle w:val="FootnoteReference"/>
        </w:rPr>
        <w:footnoteRef/>
      </w:r>
      <w:r>
        <w:t xml:space="preserve"> </w:t>
      </w:r>
      <w:r>
        <w:rPr>
          <w:i/>
        </w:rPr>
        <w:t>Id.</w:t>
      </w:r>
      <w:r>
        <w:t xml:space="preserve"> at 7-8.</w:t>
      </w:r>
    </w:p>
  </w:footnote>
  <w:footnote w:id="43">
    <w:p w14:paraId="18FD026E" w14:textId="1ACED36E" w:rsidR="002834CA" w:rsidRDefault="002834CA" w:rsidP="004832F0">
      <w:pPr>
        <w:pStyle w:val="FootnoteText"/>
      </w:pPr>
      <w:r>
        <w:rPr>
          <w:rStyle w:val="FootnoteReference"/>
        </w:rPr>
        <w:footnoteRef/>
      </w:r>
      <w:r>
        <w:t xml:space="preserve"> ISO-NE Deficiency Response at </w:t>
      </w:r>
      <w:proofErr w:type="gramStart"/>
      <w:r>
        <w:t>2</w:t>
      </w:r>
      <w:proofErr w:type="gramEnd"/>
      <w:r>
        <w:t>.</w:t>
      </w:r>
    </w:p>
  </w:footnote>
  <w:footnote w:id="44">
    <w:p w14:paraId="3D52F80C" w14:textId="77777777" w:rsidR="002834CA" w:rsidRDefault="002834CA" w:rsidP="004832F0">
      <w:pPr>
        <w:pStyle w:val="FootnoteText"/>
      </w:pPr>
      <w:r>
        <w:rPr>
          <w:rStyle w:val="FootnoteReference"/>
        </w:rPr>
        <w:footnoteRef/>
      </w:r>
      <w:r>
        <w:t xml:space="preserve"> </w:t>
      </w:r>
      <w:r w:rsidRPr="006F310B">
        <w:rPr>
          <w:i/>
        </w:rPr>
        <w:t>Id.</w:t>
      </w:r>
      <w:r>
        <w:t xml:space="preserve"> at </w:t>
      </w:r>
      <w:proofErr w:type="gramStart"/>
      <w:r>
        <w:t>3</w:t>
      </w:r>
      <w:proofErr w:type="gramEnd"/>
      <w:r>
        <w:t>.</w:t>
      </w:r>
    </w:p>
  </w:footnote>
  <w:footnote w:id="45">
    <w:p w14:paraId="08B4FCD1" w14:textId="0D792A72" w:rsidR="002834CA" w:rsidRDefault="002834CA" w:rsidP="004832F0">
      <w:pPr>
        <w:pStyle w:val="FootnoteText"/>
      </w:pPr>
      <w:r>
        <w:rPr>
          <w:rStyle w:val="FootnoteReference"/>
        </w:rPr>
        <w:footnoteRef/>
      </w:r>
      <w:r>
        <w:t xml:space="preserve"> </w:t>
      </w:r>
      <w:bookmarkStart w:id="31" w:name="_Hlk38363052"/>
      <w:r w:rsidRPr="00885427">
        <w:t xml:space="preserve">IROL-Critical Facility Owners </w:t>
      </w:r>
      <w:r>
        <w:t>Deficiency Response Comments at 3-5.</w:t>
      </w:r>
      <w:bookmarkEnd w:id="31"/>
    </w:p>
  </w:footnote>
  <w:footnote w:id="46">
    <w:p w14:paraId="225387DA" w14:textId="77777777" w:rsidR="002834CA" w:rsidRDefault="002834CA" w:rsidP="004832F0">
      <w:pPr>
        <w:pStyle w:val="FootnoteText"/>
      </w:pPr>
      <w:r>
        <w:rPr>
          <w:rStyle w:val="FootnoteReference"/>
        </w:rPr>
        <w:footnoteRef/>
      </w:r>
      <w:r>
        <w:t xml:space="preserve"> </w:t>
      </w:r>
      <w:r w:rsidRPr="007666AD">
        <w:rPr>
          <w:i/>
          <w:iCs/>
        </w:rPr>
        <w:t>Id.</w:t>
      </w:r>
      <w:r>
        <w:t xml:space="preserve"> at </w:t>
      </w:r>
      <w:proofErr w:type="gramStart"/>
      <w:r>
        <w:t>6</w:t>
      </w:r>
      <w:proofErr w:type="gramEnd"/>
      <w:r>
        <w:t>.</w:t>
      </w:r>
    </w:p>
  </w:footnote>
  <w:footnote w:id="47">
    <w:p w14:paraId="5DE6C761" w14:textId="33962350" w:rsidR="002834CA" w:rsidRDefault="002834CA">
      <w:pPr>
        <w:pStyle w:val="FootnoteText"/>
      </w:pPr>
      <w:r>
        <w:rPr>
          <w:rStyle w:val="FootnoteReference"/>
        </w:rPr>
        <w:footnoteRef/>
      </w:r>
      <w:r>
        <w:t xml:space="preserve"> NESCOE Answer to </w:t>
      </w:r>
      <w:r w:rsidRPr="00885427">
        <w:t xml:space="preserve">IROL-Critical Facility Owners </w:t>
      </w:r>
      <w:r>
        <w:t>Deficiency Response Answer at 2-4.</w:t>
      </w:r>
    </w:p>
  </w:footnote>
  <w:footnote w:id="48">
    <w:p w14:paraId="3B21021E" w14:textId="77777777" w:rsidR="00D75092" w:rsidRDefault="00D75092" w:rsidP="00D75092">
      <w:pPr>
        <w:pStyle w:val="FootnoteText"/>
      </w:pPr>
      <w:r>
        <w:rPr>
          <w:rStyle w:val="FootnoteReference"/>
        </w:rPr>
        <w:footnoteRef/>
      </w:r>
      <w:r>
        <w:t xml:space="preserve"> </w:t>
      </w:r>
      <w:r w:rsidRPr="00626156">
        <w:rPr>
          <w:i/>
        </w:rPr>
        <w:t>Towns of Concord, Norwood, and Wellesley v. FERC</w:t>
      </w:r>
      <w:r w:rsidRPr="00626156">
        <w:t>, 955 F.2d 67, 75 (D.C. Cir. 1992).</w:t>
      </w:r>
    </w:p>
  </w:footnote>
  <w:footnote w:id="49">
    <w:p w14:paraId="7C5B0625" w14:textId="77777777" w:rsidR="00D75092" w:rsidRDefault="00D75092" w:rsidP="00D75092">
      <w:pPr>
        <w:pStyle w:val="FootnoteText"/>
      </w:pPr>
      <w:r>
        <w:rPr>
          <w:rStyle w:val="FootnoteReference"/>
        </w:rPr>
        <w:footnoteRef/>
      </w:r>
      <w:r>
        <w:t xml:space="preserve"> </w:t>
      </w:r>
      <w:r w:rsidRPr="00EB0E9B">
        <w:rPr>
          <w:i/>
          <w:iCs/>
        </w:rPr>
        <w:t>Id.</w:t>
      </w:r>
      <w:r>
        <w:t xml:space="preserve"> at 71 n.2</w:t>
      </w:r>
      <w:r w:rsidRPr="0062615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F07CA" w14:textId="77777777" w:rsidR="002834CA" w:rsidRDefault="002834CA"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BCAC0B4" w14:textId="77777777" w:rsidR="002834CA" w:rsidRDefault="002834CA"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B5FD4" w14:textId="115226CF" w:rsidR="002834CA" w:rsidRDefault="002834CA" w:rsidP="008E41C3">
    <w:pPr>
      <w:pStyle w:val="Header"/>
      <w:tabs>
        <w:tab w:val="clear" w:pos="4680"/>
      </w:tabs>
      <w:spacing w:after="240"/>
    </w:pPr>
    <w:r>
      <w:t xml:space="preserve">Docket Nos. ER20-739-000 and ER20-739-001 </w:t>
    </w:r>
    <w:r>
      <w:tab/>
    </w:r>
    <w:r>
      <w:fldChar w:fldCharType="begin"/>
    </w:r>
    <w:r>
      <w:instrText xml:space="preserve"> PAGE  \* MERGEFORMAT </w:instrText>
    </w:r>
    <w:r>
      <w:fldChar w:fldCharType="separate"/>
    </w:r>
    <w:r w:rsidR="008E0846">
      <w:rPr>
        <w:noProof/>
      </w:rPr>
      <w:t>- 12 -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0966" w14:textId="77777777" w:rsidR="002834CA" w:rsidRDefault="002834CA"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5455E6D"/>
    <w:multiLevelType w:val="hybridMultilevel"/>
    <w:tmpl w:val="7242E83E"/>
    <w:lvl w:ilvl="0" w:tplc="94EE0A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3"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15:restartNumberingAfterBreak="0">
    <w:nsid w:val="27D26B62"/>
    <w:multiLevelType w:val="hybridMultilevel"/>
    <w:tmpl w:val="F032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9693A"/>
    <w:multiLevelType w:val="hybridMultilevel"/>
    <w:tmpl w:val="670E1EEE"/>
    <w:lvl w:ilvl="0" w:tplc="5E1A94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768CA"/>
    <w:multiLevelType w:val="hybridMultilevel"/>
    <w:tmpl w:val="F8DCC4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42DCB"/>
    <w:multiLevelType w:val="hybridMultilevel"/>
    <w:tmpl w:val="27009940"/>
    <w:lvl w:ilvl="0" w:tplc="B39C1EC6">
      <w:start w:val="1"/>
      <w:numFmt w:val="decimal"/>
      <w:lvlText w:val="%1."/>
      <w:lvlJc w:val="left"/>
      <w:pPr>
        <w:tabs>
          <w:tab w:val="num" w:pos="72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502FF"/>
    <w:multiLevelType w:val="multilevel"/>
    <w:tmpl w:val="2D6AA1C8"/>
    <w:lvl w:ilvl="0">
      <w:start w:val="1"/>
      <w:numFmt w:val="upperRoman"/>
      <w:lvlRestart w:val="0"/>
      <w:pStyle w:val="Heading1"/>
      <w:lvlText w:val="%1."/>
      <w:lvlJc w:val="left"/>
      <w:pPr>
        <w:tabs>
          <w:tab w:val="num" w:pos="720"/>
        </w:tabs>
        <w:ind w:left="720" w:hanging="720"/>
      </w:pPr>
      <w:rPr>
        <w:b/>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1"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3" w15:restartNumberingAfterBreak="0">
    <w:nsid w:val="7D3B09D3"/>
    <w:multiLevelType w:val="hybridMultilevel"/>
    <w:tmpl w:val="749889A4"/>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1"/>
  </w:num>
  <w:num w:numId="13">
    <w:abstractNumId w:val="14"/>
  </w:num>
  <w:num w:numId="14">
    <w:abstractNumId w:val="22"/>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13"/>
  </w:num>
  <w:num w:numId="21">
    <w:abstractNumId w:val="24"/>
  </w:num>
  <w:num w:numId="22">
    <w:abstractNumId w:val="17"/>
  </w:num>
  <w:num w:numId="23">
    <w:abstractNumId w:val="18"/>
  </w:num>
  <w:num w:numId="24">
    <w:abstractNumId w:val="19"/>
  </w:num>
  <w:num w:numId="25">
    <w:abstractNumId w:val="16"/>
  </w:num>
  <w:num w:numId="26">
    <w:abstractNumId w:val="11"/>
  </w:num>
  <w:num w:numId="27">
    <w:abstractNumId w:val="23"/>
  </w:num>
  <w:num w:numId="28">
    <w:abstractNumId w:val="23"/>
  </w:num>
  <w:num w:numId="29">
    <w:abstractNumId w:val="23"/>
  </w:num>
  <w:num w:numId="30">
    <w:abstractNumId w:val="20"/>
  </w:num>
  <w:num w:numId="31">
    <w:abstractNumId w:val="23"/>
  </w:num>
  <w:num w:numId="32">
    <w:abstractNumId w:val="23"/>
  </w:num>
  <w:num w:numId="33">
    <w:abstractNumId w:val="20"/>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C3"/>
    <w:rsid w:val="000001BA"/>
    <w:rsid w:val="000016DC"/>
    <w:rsid w:val="00002289"/>
    <w:rsid w:val="00003322"/>
    <w:rsid w:val="00003340"/>
    <w:rsid w:val="00003BC5"/>
    <w:rsid w:val="00004009"/>
    <w:rsid w:val="00004026"/>
    <w:rsid w:val="000041E2"/>
    <w:rsid w:val="00004D96"/>
    <w:rsid w:val="000051D2"/>
    <w:rsid w:val="000069E0"/>
    <w:rsid w:val="00006CD5"/>
    <w:rsid w:val="0000731D"/>
    <w:rsid w:val="00010F16"/>
    <w:rsid w:val="00010FA6"/>
    <w:rsid w:val="000118C8"/>
    <w:rsid w:val="00011B17"/>
    <w:rsid w:val="000121D9"/>
    <w:rsid w:val="00013BDE"/>
    <w:rsid w:val="00013C1F"/>
    <w:rsid w:val="000143AA"/>
    <w:rsid w:val="00016C07"/>
    <w:rsid w:val="00016C30"/>
    <w:rsid w:val="00017257"/>
    <w:rsid w:val="00017A6C"/>
    <w:rsid w:val="00017C6A"/>
    <w:rsid w:val="00020017"/>
    <w:rsid w:val="0002003D"/>
    <w:rsid w:val="0002035D"/>
    <w:rsid w:val="0002042F"/>
    <w:rsid w:val="00020817"/>
    <w:rsid w:val="000208D8"/>
    <w:rsid w:val="00020C5B"/>
    <w:rsid w:val="000218E2"/>
    <w:rsid w:val="00021CDC"/>
    <w:rsid w:val="0002232E"/>
    <w:rsid w:val="00022A33"/>
    <w:rsid w:val="0002355F"/>
    <w:rsid w:val="000263E1"/>
    <w:rsid w:val="00026815"/>
    <w:rsid w:val="00026BE1"/>
    <w:rsid w:val="000303E1"/>
    <w:rsid w:val="00030ECE"/>
    <w:rsid w:val="00032D96"/>
    <w:rsid w:val="000332C4"/>
    <w:rsid w:val="000349DC"/>
    <w:rsid w:val="00034CD9"/>
    <w:rsid w:val="0003566D"/>
    <w:rsid w:val="00035C1B"/>
    <w:rsid w:val="00035DC2"/>
    <w:rsid w:val="0003617F"/>
    <w:rsid w:val="000361CC"/>
    <w:rsid w:val="000366A1"/>
    <w:rsid w:val="00036AD9"/>
    <w:rsid w:val="00037910"/>
    <w:rsid w:val="000417D5"/>
    <w:rsid w:val="000426A9"/>
    <w:rsid w:val="0004287B"/>
    <w:rsid w:val="000428C4"/>
    <w:rsid w:val="00043208"/>
    <w:rsid w:val="0004400F"/>
    <w:rsid w:val="0004548B"/>
    <w:rsid w:val="00045A2E"/>
    <w:rsid w:val="0004624A"/>
    <w:rsid w:val="00046748"/>
    <w:rsid w:val="000514A4"/>
    <w:rsid w:val="000542A7"/>
    <w:rsid w:val="000550DC"/>
    <w:rsid w:val="00055F5F"/>
    <w:rsid w:val="0005793B"/>
    <w:rsid w:val="0006076A"/>
    <w:rsid w:val="000608B4"/>
    <w:rsid w:val="0006117F"/>
    <w:rsid w:val="0006188F"/>
    <w:rsid w:val="00062376"/>
    <w:rsid w:val="0006263F"/>
    <w:rsid w:val="000640AE"/>
    <w:rsid w:val="000641EB"/>
    <w:rsid w:val="000646C4"/>
    <w:rsid w:val="00065980"/>
    <w:rsid w:val="00065E77"/>
    <w:rsid w:val="00066F9F"/>
    <w:rsid w:val="00067876"/>
    <w:rsid w:val="00067C7F"/>
    <w:rsid w:val="00070857"/>
    <w:rsid w:val="00071C53"/>
    <w:rsid w:val="0007272C"/>
    <w:rsid w:val="00072D8C"/>
    <w:rsid w:val="0007377C"/>
    <w:rsid w:val="000737AA"/>
    <w:rsid w:val="00073A2F"/>
    <w:rsid w:val="000740DB"/>
    <w:rsid w:val="00074352"/>
    <w:rsid w:val="00074405"/>
    <w:rsid w:val="000748E9"/>
    <w:rsid w:val="00074B53"/>
    <w:rsid w:val="00075C6A"/>
    <w:rsid w:val="0007636C"/>
    <w:rsid w:val="000766CC"/>
    <w:rsid w:val="00081021"/>
    <w:rsid w:val="0008103F"/>
    <w:rsid w:val="00081376"/>
    <w:rsid w:val="00081AAB"/>
    <w:rsid w:val="00082467"/>
    <w:rsid w:val="00084512"/>
    <w:rsid w:val="0008478C"/>
    <w:rsid w:val="00084A31"/>
    <w:rsid w:val="00084D89"/>
    <w:rsid w:val="0008661D"/>
    <w:rsid w:val="00086D98"/>
    <w:rsid w:val="0008778D"/>
    <w:rsid w:val="000908C0"/>
    <w:rsid w:val="000910C6"/>
    <w:rsid w:val="00092634"/>
    <w:rsid w:val="000927BC"/>
    <w:rsid w:val="00092AA9"/>
    <w:rsid w:val="0009323B"/>
    <w:rsid w:val="000944E1"/>
    <w:rsid w:val="00094DDC"/>
    <w:rsid w:val="000954C4"/>
    <w:rsid w:val="00097C05"/>
    <w:rsid w:val="000A075C"/>
    <w:rsid w:val="000A0CAA"/>
    <w:rsid w:val="000A10C0"/>
    <w:rsid w:val="000A229E"/>
    <w:rsid w:val="000A286D"/>
    <w:rsid w:val="000A2FA2"/>
    <w:rsid w:val="000A31C9"/>
    <w:rsid w:val="000A33E6"/>
    <w:rsid w:val="000A3D2F"/>
    <w:rsid w:val="000A4691"/>
    <w:rsid w:val="000A4C2A"/>
    <w:rsid w:val="000A5328"/>
    <w:rsid w:val="000A6835"/>
    <w:rsid w:val="000A6C0A"/>
    <w:rsid w:val="000A7A95"/>
    <w:rsid w:val="000B0332"/>
    <w:rsid w:val="000B1772"/>
    <w:rsid w:val="000B24E0"/>
    <w:rsid w:val="000B25A6"/>
    <w:rsid w:val="000B2F90"/>
    <w:rsid w:val="000B32C6"/>
    <w:rsid w:val="000B3A3B"/>
    <w:rsid w:val="000B4124"/>
    <w:rsid w:val="000B419F"/>
    <w:rsid w:val="000B4835"/>
    <w:rsid w:val="000B5DFB"/>
    <w:rsid w:val="000B5F69"/>
    <w:rsid w:val="000B644D"/>
    <w:rsid w:val="000B6C2F"/>
    <w:rsid w:val="000B72D6"/>
    <w:rsid w:val="000B77E1"/>
    <w:rsid w:val="000B786D"/>
    <w:rsid w:val="000B7E62"/>
    <w:rsid w:val="000C0253"/>
    <w:rsid w:val="000C05B1"/>
    <w:rsid w:val="000C1204"/>
    <w:rsid w:val="000C1491"/>
    <w:rsid w:val="000C1A2F"/>
    <w:rsid w:val="000C1A8B"/>
    <w:rsid w:val="000C1FCA"/>
    <w:rsid w:val="000C202A"/>
    <w:rsid w:val="000C2871"/>
    <w:rsid w:val="000C2BCA"/>
    <w:rsid w:val="000C33DC"/>
    <w:rsid w:val="000C3684"/>
    <w:rsid w:val="000C4A0B"/>
    <w:rsid w:val="000C59E1"/>
    <w:rsid w:val="000C5B07"/>
    <w:rsid w:val="000C6042"/>
    <w:rsid w:val="000C6869"/>
    <w:rsid w:val="000C71AF"/>
    <w:rsid w:val="000C74C6"/>
    <w:rsid w:val="000D049A"/>
    <w:rsid w:val="000D05DC"/>
    <w:rsid w:val="000D0B6E"/>
    <w:rsid w:val="000D0C1E"/>
    <w:rsid w:val="000D0EE6"/>
    <w:rsid w:val="000D10E0"/>
    <w:rsid w:val="000D1309"/>
    <w:rsid w:val="000D14A2"/>
    <w:rsid w:val="000D1D4B"/>
    <w:rsid w:val="000D1FB6"/>
    <w:rsid w:val="000D2F46"/>
    <w:rsid w:val="000D3D71"/>
    <w:rsid w:val="000D3F85"/>
    <w:rsid w:val="000D3FAC"/>
    <w:rsid w:val="000D49EF"/>
    <w:rsid w:val="000D4ADE"/>
    <w:rsid w:val="000D5919"/>
    <w:rsid w:val="000D6780"/>
    <w:rsid w:val="000D739B"/>
    <w:rsid w:val="000D7DD4"/>
    <w:rsid w:val="000D7E96"/>
    <w:rsid w:val="000E0857"/>
    <w:rsid w:val="000E2BFA"/>
    <w:rsid w:val="000E2C33"/>
    <w:rsid w:val="000E3389"/>
    <w:rsid w:val="000E4E86"/>
    <w:rsid w:val="000E55C4"/>
    <w:rsid w:val="000E575D"/>
    <w:rsid w:val="000E670A"/>
    <w:rsid w:val="000F01ED"/>
    <w:rsid w:val="000F0ECD"/>
    <w:rsid w:val="000F2DC1"/>
    <w:rsid w:val="000F31F1"/>
    <w:rsid w:val="000F372C"/>
    <w:rsid w:val="000F41C2"/>
    <w:rsid w:val="000F461A"/>
    <w:rsid w:val="000F47D1"/>
    <w:rsid w:val="000F47D9"/>
    <w:rsid w:val="000F603B"/>
    <w:rsid w:val="000F6403"/>
    <w:rsid w:val="000F672C"/>
    <w:rsid w:val="000F6C7F"/>
    <w:rsid w:val="00100E1B"/>
    <w:rsid w:val="00101107"/>
    <w:rsid w:val="00102736"/>
    <w:rsid w:val="0010290F"/>
    <w:rsid w:val="00103036"/>
    <w:rsid w:val="001038EC"/>
    <w:rsid w:val="00104F76"/>
    <w:rsid w:val="00106002"/>
    <w:rsid w:val="00107076"/>
    <w:rsid w:val="00107337"/>
    <w:rsid w:val="00107ADE"/>
    <w:rsid w:val="00110532"/>
    <w:rsid w:val="001107C7"/>
    <w:rsid w:val="00111CC2"/>
    <w:rsid w:val="00112719"/>
    <w:rsid w:val="00112E39"/>
    <w:rsid w:val="001135A9"/>
    <w:rsid w:val="001151D6"/>
    <w:rsid w:val="00120603"/>
    <w:rsid w:val="00120994"/>
    <w:rsid w:val="001209EF"/>
    <w:rsid w:val="00120F42"/>
    <w:rsid w:val="001216A8"/>
    <w:rsid w:val="001222EB"/>
    <w:rsid w:val="00124035"/>
    <w:rsid w:val="00124497"/>
    <w:rsid w:val="0012458F"/>
    <w:rsid w:val="00124A7A"/>
    <w:rsid w:val="00124C66"/>
    <w:rsid w:val="00125C90"/>
    <w:rsid w:val="0012713F"/>
    <w:rsid w:val="001279B9"/>
    <w:rsid w:val="00130B03"/>
    <w:rsid w:val="00130CCE"/>
    <w:rsid w:val="00130D34"/>
    <w:rsid w:val="00130EF0"/>
    <w:rsid w:val="00131CA9"/>
    <w:rsid w:val="00131DB8"/>
    <w:rsid w:val="00131E6A"/>
    <w:rsid w:val="00132B6A"/>
    <w:rsid w:val="00132D57"/>
    <w:rsid w:val="001330FA"/>
    <w:rsid w:val="00134478"/>
    <w:rsid w:val="00134816"/>
    <w:rsid w:val="00134FC1"/>
    <w:rsid w:val="00135577"/>
    <w:rsid w:val="00135D21"/>
    <w:rsid w:val="001362CA"/>
    <w:rsid w:val="001365DB"/>
    <w:rsid w:val="001365E7"/>
    <w:rsid w:val="001378D6"/>
    <w:rsid w:val="00140D13"/>
    <w:rsid w:val="00140DBC"/>
    <w:rsid w:val="00141C09"/>
    <w:rsid w:val="00142005"/>
    <w:rsid w:val="001421AA"/>
    <w:rsid w:val="00142207"/>
    <w:rsid w:val="00142875"/>
    <w:rsid w:val="00142943"/>
    <w:rsid w:val="0014321A"/>
    <w:rsid w:val="001432E8"/>
    <w:rsid w:val="001447F4"/>
    <w:rsid w:val="00144EB8"/>
    <w:rsid w:val="00145BC1"/>
    <w:rsid w:val="00145ECF"/>
    <w:rsid w:val="00146A50"/>
    <w:rsid w:val="001475F7"/>
    <w:rsid w:val="001503F1"/>
    <w:rsid w:val="00151A47"/>
    <w:rsid w:val="00151B81"/>
    <w:rsid w:val="001520D4"/>
    <w:rsid w:val="00153A2A"/>
    <w:rsid w:val="001549DE"/>
    <w:rsid w:val="00154C7A"/>
    <w:rsid w:val="00155421"/>
    <w:rsid w:val="00155DE8"/>
    <w:rsid w:val="0015731A"/>
    <w:rsid w:val="00157687"/>
    <w:rsid w:val="00157D53"/>
    <w:rsid w:val="00162FBB"/>
    <w:rsid w:val="00163EE9"/>
    <w:rsid w:val="00164C42"/>
    <w:rsid w:val="00165579"/>
    <w:rsid w:val="001658B5"/>
    <w:rsid w:val="00165DB1"/>
    <w:rsid w:val="00165FB8"/>
    <w:rsid w:val="00166957"/>
    <w:rsid w:val="00167425"/>
    <w:rsid w:val="00167DE8"/>
    <w:rsid w:val="00170611"/>
    <w:rsid w:val="00170C09"/>
    <w:rsid w:val="0017140C"/>
    <w:rsid w:val="0017246B"/>
    <w:rsid w:val="00173A38"/>
    <w:rsid w:val="0017570C"/>
    <w:rsid w:val="00175789"/>
    <w:rsid w:val="0017696A"/>
    <w:rsid w:val="00176BAE"/>
    <w:rsid w:val="00181113"/>
    <w:rsid w:val="00181262"/>
    <w:rsid w:val="00182229"/>
    <w:rsid w:val="00182511"/>
    <w:rsid w:val="00182771"/>
    <w:rsid w:val="00183499"/>
    <w:rsid w:val="00183628"/>
    <w:rsid w:val="00184F9D"/>
    <w:rsid w:val="0018758C"/>
    <w:rsid w:val="00187C17"/>
    <w:rsid w:val="00191617"/>
    <w:rsid w:val="00191D82"/>
    <w:rsid w:val="00192024"/>
    <w:rsid w:val="001923CC"/>
    <w:rsid w:val="0019292E"/>
    <w:rsid w:val="00192BFC"/>
    <w:rsid w:val="0019396A"/>
    <w:rsid w:val="001939AA"/>
    <w:rsid w:val="001947AC"/>
    <w:rsid w:val="00195C45"/>
    <w:rsid w:val="001960DD"/>
    <w:rsid w:val="001967C8"/>
    <w:rsid w:val="00196B00"/>
    <w:rsid w:val="001971E4"/>
    <w:rsid w:val="00197412"/>
    <w:rsid w:val="001A0892"/>
    <w:rsid w:val="001A1DA8"/>
    <w:rsid w:val="001A2246"/>
    <w:rsid w:val="001A269A"/>
    <w:rsid w:val="001A2924"/>
    <w:rsid w:val="001A2AF1"/>
    <w:rsid w:val="001A33D6"/>
    <w:rsid w:val="001A4381"/>
    <w:rsid w:val="001A4876"/>
    <w:rsid w:val="001A563A"/>
    <w:rsid w:val="001A5D49"/>
    <w:rsid w:val="001A63D9"/>
    <w:rsid w:val="001A7465"/>
    <w:rsid w:val="001A7694"/>
    <w:rsid w:val="001A792A"/>
    <w:rsid w:val="001B042B"/>
    <w:rsid w:val="001B068D"/>
    <w:rsid w:val="001B0E8F"/>
    <w:rsid w:val="001B1A3F"/>
    <w:rsid w:val="001B1FE9"/>
    <w:rsid w:val="001B258A"/>
    <w:rsid w:val="001B2C6D"/>
    <w:rsid w:val="001B2DF9"/>
    <w:rsid w:val="001B3104"/>
    <w:rsid w:val="001B3349"/>
    <w:rsid w:val="001B362D"/>
    <w:rsid w:val="001B392B"/>
    <w:rsid w:val="001B3BA4"/>
    <w:rsid w:val="001B40A8"/>
    <w:rsid w:val="001B4FB2"/>
    <w:rsid w:val="001B72E3"/>
    <w:rsid w:val="001B78B4"/>
    <w:rsid w:val="001C0E6C"/>
    <w:rsid w:val="001C2400"/>
    <w:rsid w:val="001C2CE0"/>
    <w:rsid w:val="001C2FBB"/>
    <w:rsid w:val="001C32C0"/>
    <w:rsid w:val="001C3FCD"/>
    <w:rsid w:val="001C4868"/>
    <w:rsid w:val="001C6788"/>
    <w:rsid w:val="001D19C1"/>
    <w:rsid w:val="001D264B"/>
    <w:rsid w:val="001D26CF"/>
    <w:rsid w:val="001D2CD6"/>
    <w:rsid w:val="001D2E4E"/>
    <w:rsid w:val="001D3234"/>
    <w:rsid w:val="001D3343"/>
    <w:rsid w:val="001D3B0D"/>
    <w:rsid w:val="001D42B0"/>
    <w:rsid w:val="001D458F"/>
    <w:rsid w:val="001D5BA8"/>
    <w:rsid w:val="001D5C27"/>
    <w:rsid w:val="001D6B75"/>
    <w:rsid w:val="001D7834"/>
    <w:rsid w:val="001D7927"/>
    <w:rsid w:val="001E05F6"/>
    <w:rsid w:val="001E0BB7"/>
    <w:rsid w:val="001E0C1A"/>
    <w:rsid w:val="001E2234"/>
    <w:rsid w:val="001E3C99"/>
    <w:rsid w:val="001E4586"/>
    <w:rsid w:val="001E4997"/>
    <w:rsid w:val="001E56F1"/>
    <w:rsid w:val="001E59F9"/>
    <w:rsid w:val="001E6FA6"/>
    <w:rsid w:val="001E71EA"/>
    <w:rsid w:val="001E7A8F"/>
    <w:rsid w:val="001E7D10"/>
    <w:rsid w:val="001F0321"/>
    <w:rsid w:val="001F2A9A"/>
    <w:rsid w:val="001F2EE8"/>
    <w:rsid w:val="001F2FE7"/>
    <w:rsid w:val="001F32D1"/>
    <w:rsid w:val="001F4DE9"/>
    <w:rsid w:val="001F51A0"/>
    <w:rsid w:val="001F5B86"/>
    <w:rsid w:val="001F5CC6"/>
    <w:rsid w:val="001F7B90"/>
    <w:rsid w:val="00201C6A"/>
    <w:rsid w:val="00202822"/>
    <w:rsid w:val="00202BC3"/>
    <w:rsid w:val="0020302A"/>
    <w:rsid w:val="00203067"/>
    <w:rsid w:val="00203745"/>
    <w:rsid w:val="00203911"/>
    <w:rsid w:val="002039B0"/>
    <w:rsid w:val="00203DB9"/>
    <w:rsid w:val="00204EE6"/>
    <w:rsid w:val="002059A9"/>
    <w:rsid w:val="00205BF1"/>
    <w:rsid w:val="00205F4C"/>
    <w:rsid w:val="002061B1"/>
    <w:rsid w:val="00206CE2"/>
    <w:rsid w:val="00206E16"/>
    <w:rsid w:val="00207067"/>
    <w:rsid w:val="002072CF"/>
    <w:rsid w:val="0020742F"/>
    <w:rsid w:val="00210175"/>
    <w:rsid w:val="0021023C"/>
    <w:rsid w:val="002108B7"/>
    <w:rsid w:val="0021090B"/>
    <w:rsid w:val="002112A4"/>
    <w:rsid w:val="00211765"/>
    <w:rsid w:val="002119A1"/>
    <w:rsid w:val="00211F8D"/>
    <w:rsid w:val="00212C6E"/>
    <w:rsid w:val="002136E7"/>
    <w:rsid w:val="00213889"/>
    <w:rsid w:val="00213D85"/>
    <w:rsid w:val="00214049"/>
    <w:rsid w:val="002145E1"/>
    <w:rsid w:val="00214F9A"/>
    <w:rsid w:val="0021506C"/>
    <w:rsid w:val="00215631"/>
    <w:rsid w:val="00216867"/>
    <w:rsid w:val="002206DB"/>
    <w:rsid w:val="00222588"/>
    <w:rsid w:val="00222802"/>
    <w:rsid w:val="002230E0"/>
    <w:rsid w:val="00223C2F"/>
    <w:rsid w:val="002240A3"/>
    <w:rsid w:val="00224859"/>
    <w:rsid w:val="00224A05"/>
    <w:rsid w:val="00225A12"/>
    <w:rsid w:val="0022604F"/>
    <w:rsid w:val="002261B3"/>
    <w:rsid w:val="0022696B"/>
    <w:rsid w:val="00226DC4"/>
    <w:rsid w:val="002302D5"/>
    <w:rsid w:val="002318B6"/>
    <w:rsid w:val="00231A80"/>
    <w:rsid w:val="00231ADB"/>
    <w:rsid w:val="00232398"/>
    <w:rsid w:val="00233CEF"/>
    <w:rsid w:val="00233FD0"/>
    <w:rsid w:val="002352B0"/>
    <w:rsid w:val="002354E4"/>
    <w:rsid w:val="00236021"/>
    <w:rsid w:val="00236D16"/>
    <w:rsid w:val="00237123"/>
    <w:rsid w:val="00237882"/>
    <w:rsid w:val="00240493"/>
    <w:rsid w:val="00240738"/>
    <w:rsid w:val="00240C1D"/>
    <w:rsid w:val="00242AD2"/>
    <w:rsid w:val="00244442"/>
    <w:rsid w:val="00244B37"/>
    <w:rsid w:val="0024580A"/>
    <w:rsid w:val="002464E8"/>
    <w:rsid w:val="0024717F"/>
    <w:rsid w:val="0024722A"/>
    <w:rsid w:val="0024741C"/>
    <w:rsid w:val="00247678"/>
    <w:rsid w:val="00247831"/>
    <w:rsid w:val="00250782"/>
    <w:rsid w:val="0025096A"/>
    <w:rsid w:val="00251873"/>
    <w:rsid w:val="0025317C"/>
    <w:rsid w:val="00253776"/>
    <w:rsid w:val="00254279"/>
    <w:rsid w:val="0025442E"/>
    <w:rsid w:val="00255142"/>
    <w:rsid w:val="00255417"/>
    <w:rsid w:val="002559F4"/>
    <w:rsid w:val="002561B7"/>
    <w:rsid w:val="00256C49"/>
    <w:rsid w:val="002571AE"/>
    <w:rsid w:val="00257989"/>
    <w:rsid w:val="00260517"/>
    <w:rsid w:val="00260721"/>
    <w:rsid w:val="00260A3D"/>
    <w:rsid w:val="00261B95"/>
    <w:rsid w:val="00262D6D"/>
    <w:rsid w:val="00262E51"/>
    <w:rsid w:val="00262FED"/>
    <w:rsid w:val="002654C6"/>
    <w:rsid w:val="00266CEE"/>
    <w:rsid w:val="00267328"/>
    <w:rsid w:val="00267529"/>
    <w:rsid w:val="002711B9"/>
    <w:rsid w:val="002714CD"/>
    <w:rsid w:val="00271EC2"/>
    <w:rsid w:val="0027284A"/>
    <w:rsid w:val="00272EDE"/>
    <w:rsid w:val="0027354C"/>
    <w:rsid w:val="00273630"/>
    <w:rsid w:val="00273779"/>
    <w:rsid w:val="00273EB9"/>
    <w:rsid w:val="00274963"/>
    <w:rsid w:val="00274D09"/>
    <w:rsid w:val="002757B2"/>
    <w:rsid w:val="00275EC3"/>
    <w:rsid w:val="002768F2"/>
    <w:rsid w:val="0028092A"/>
    <w:rsid w:val="00280B3C"/>
    <w:rsid w:val="002817CE"/>
    <w:rsid w:val="0028285C"/>
    <w:rsid w:val="00283095"/>
    <w:rsid w:val="002834CA"/>
    <w:rsid w:val="0028367E"/>
    <w:rsid w:val="00283701"/>
    <w:rsid w:val="00283AA6"/>
    <w:rsid w:val="0028432C"/>
    <w:rsid w:val="00284396"/>
    <w:rsid w:val="002848A9"/>
    <w:rsid w:val="002857E2"/>
    <w:rsid w:val="00285F75"/>
    <w:rsid w:val="00286A4E"/>
    <w:rsid w:val="002870A9"/>
    <w:rsid w:val="002870E9"/>
    <w:rsid w:val="00290ABD"/>
    <w:rsid w:val="00291255"/>
    <w:rsid w:val="002913FC"/>
    <w:rsid w:val="00291B28"/>
    <w:rsid w:val="0029280C"/>
    <w:rsid w:val="00293701"/>
    <w:rsid w:val="00293861"/>
    <w:rsid w:val="00294136"/>
    <w:rsid w:val="0029742D"/>
    <w:rsid w:val="002A07B4"/>
    <w:rsid w:val="002A0B4A"/>
    <w:rsid w:val="002A1A2B"/>
    <w:rsid w:val="002A23E2"/>
    <w:rsid w:val="002A2C7A"/>
    <w:rsid w:val="002A30E4"/>
    <w:rsid w:val="002A34C1"/>
    <w:rsid w:val="002A4C61"/>
    <w:rsid w:val="002A4F46"/>
    <w:rsid w:val="002A5244"/>
    <w:rsid w:val="002A5C43"/>
    <w:rsid w:val="002A5D4C"/>
    <w:rsid w:val="002A729E"/>
    <w:rsid w:val="002A76F1"/>
    <w:rsid w:val="002A7E04"/>
    <w:rsid w:val="002A7FB5"/>
    <w:rsid w:val="002B0594"/>
    <w:rsid w:val="002B2145"/>
    <w:rsid w:val="002B35F2"/>
    <w:rsid w:val="002B3956"/>
    <w:rsid w:val="002B3C1B"/>
    <w:rsid w:val="002B4098"/>
    <w:rsid w:val="002B4468"/>
    <w:rsid w:val="002B5266"/>
    <w:rsid w:val="002B5674"/>
    <w:rsid w:val="002B56A5"/>
    <w:rsid w:val="002B6125"/>
    <w:rsid w:val="002B6C36"/>
    <w:rsid w:val="002B70FF"/>
    <w:rsid w:val="002B7794"/>
    <w:rsid w:val="002B7DA1"/>
    <w:rsid w:val="002C0710"/>
    <w:rsid w:val="002C13F6"/>
    <w:rsid w:val="002C1D6F"/>
    <w:rsid w:val="002C326C"/>
    <w:rsid w:val="002C568A"/>
    <w:rsid w:val="002C57E5"/>
    <w:rsid w:val="002C6943"/>
    <w:rsid w:val="002C7704"/>
    <w:rsid w:val="002D13A2"/>
    <w:rsid w:val="002D1AC9"/>
    <w:rsid w:val="002D206A"/>
    <w:rsid w:val="002D29BF"/>
    <w:rsid w:val="002D315E"/>
    <w:rsid w:val="002D358E"/>
    <w:rsid w:val="002D509A"/>
    <w:rsid w:val="002D5302"/>
    <w:rsid w:val="002D5BD3"/>
    <w:rsid w:val="002D65B3"/>
    <w:rsid w:val="002D7028"/>
    <w:rsid w:val="002D7D6B"/>
    <w:rsid w:val="002D7F2A"/>
    <w:rsid w:val="002E18C4"/>
    <w:rsid w:val="002E19F6"/>
    <w:rsid w:val="002E1A0B"/>
    <w:rsid w:val="002E277D"/>
    <w:rsid w:val="002E291A"/>
    <w:rsid w:val="002E3A2F"/>
    <w:rsid w:val="002E434F"/>
    <w:rsid w:val="002E467A"/>
    <w:rsid w:val="002E4E8A"/>
    <w:rsid w:val="002E5083"/>
    <w:rsid w:val="002E6162"/>
    <w:rsid w:val="002E6676"/>
    <w:rsid w:val="002E6725"/>
    <w:rsid w:val="002E68EE"/>
    <w:rsid w:val="002E6AE5"/>
    <w:rsid w:val="002E70EF"/>
    <w:rsid w:val="002E7AA8"/>
    <w:rsid w:val="002F0166"/>
    <w:rsid w:val="002F0411"/>
    <w:rsid w:val="002F0500"/>
    <w:rsid w:val="002F06A6"/>
    <w:rsid w:val="002F0736"/>
    <w:rsid w:val="002F1AE9"/>
    <w:rsid w:val="002F2A6C"/>
    <w:rsid w:val="002F4494"/>
    <w:rsid w:val="002F52A9"/>
    <w:rsid w:val="002F55D7"/>
    <w:rsid w:val="002F5A5F"/>
    <w:rsid w:val="002F5D63"/>
    <w:rsid w:val="002F5D6B"/>
    <w:rsid w:val="002F6075"/>
    <w:rsid w:val="002F65C3"/>
    <w:rsid w:val="002F7052"/>
    <w:rsid w:val="002F73E9"/>
    <w:rsid w:val="002F7C0C"/>
    <w:rsid w:val="0030075C"/>
    <w:rsid w:val="00301D68"/>
    <w:rsid w:val="00301D82"/>
    <w:rsid w:val="00301EEC"/>
    <w:rsid w:val="00302551"/>
    <w:rsid w:val="0030301D"/>
    <w:rsid w:val="003031DA"/>
    <w:rsid w:val="003031F9"/>
    <w:rsid w:val="00304660"/>
    <w:rsid w:val="00305723"/>
    <w:rsid w:val="003107A1"/>
    <w:rsid w:val="00312651"/>
    <w:rsid w:val="00313522"/>
    <w:rsid w:val="00313634"/>
    <w:rsid w:val="00313DE0"/>
    <w:rsid w:val="00314FBA"/>
    <w:rsid w:val="00315C57"/>
    <w:rsid w:val="00315F76"/>
    <w:rsid w:val="00316D62"/>
    <w:rsid w:val="00317C50"/>
    <w:rsid w:val="003200C9"/>
    <w:rsid w:val="00320D57"/>
    <w:rsid w:val="00320EEA"/>
    <w:rsid w:val="0032104A"/>
    <w:rsid w:val="00321C67"/>
    <w:rsid w:val="00321CCE"/>
    <w:rsid w:val="00322F05"/>
    <w:rsid w:val="00323382"/>
    <w:rsid w:val="003247AC"/>
    <w:rsid w:val="00324F79"/>
    <w:rsid w:val="0032532C"/>
    <w:rsid w:val="00325756"/>
    <w:rsid w:val="00325C3B"/>
    <w:rsid w:val="003267A8"/>
    <w:rsid w:val="00326F29"/>
    <w:rsid w:val="00327297"/>
    <w:rsid w:val="00327401"/>
    <w:rsid w:val="00327EEB"/>
    <w:rsid w:val="003301D6"/>
    <w:rsid w:val="0033046E"/>
    <w:rsid w:val="0033066F"/>
    <w:rsid w:val="0033071A"/>
    <w:rsid w:val="003307A8"/>
    <w:rsid w:val="00330FFA"/>
    <w:rsid w:val="00331813"/>
    <w:rsid w:val="003330B0"/>
    <w:rsid w:val="003333D9"/>
    <w:rsid w:val="00333B59"/>
    <w:rsid w:val="003346EB"/>
    <w:rsid w:val="003347FF"/>
    <w:rsid w:val="00334A0A"/>
    <w:rsid w:val="00335534"/>
    <w:rsid w:val="00335933"/>
    <w:rsid w:val="003370E4"/>
    <w:rsid w:val="0033710C"/>
    <w:rsid w:val="00337A20"/>
    <w:rsid w:val="00340224"/>
    <w:rsid w:val="0034027C"/>
    <w:rsid w:val="00340998"/>
    <w:rsid w:val="00340AA6"/>
    <w:rsid w:val="003413CA"/>
    <w:rsid w:val="003413CC"/>
    <w:rsid w:val="003419C1"/>
    <w:rsid w:val="00341CD4"/>
    <w:rsid w:val="00341CEA"/>
    <w:rsid w:val="00341DB4"/>
    <w:rsid w:val="0034263A"/>
    <w:rsid w:val="00342BF9"/>
    <w:rsid w:val="003437BD"/>
    <w:rsid w:val="00343CA3"/>
    <w:rsid w:val="00343D67"/>
    <w:rsid w:val="003441AD"/>
    <w:rsid w:val="00345F53"/>
    <w:rsid w:val="00346258"/>
    <w:rsid w:val="00347057"/>
    <w:rsid w:val="003478CF"/>
    <w:rsid w:val="003504D8"/>
    <w:rsid w:val="00350919"/>
    <w:rsid w:val="00350B86"/>
    <w:rsid w:val="00350E98"/>
    <w:rsid w:val="00350FC8"/>
    <w:rsid w:val="0035115C"/>
    <w:rsid w:val="00351F88"/>
    <w:rsid w:val="003520AD"/>
    <w:rsid w:val="0035335C"/>
    <w:rsid w:val="003540A6"/>
    <w:rsid w:val="0035439C"/>
    <w:rsid w:val="00356733"/>
    <w:rsid w:val="00356D5D"/>
    <w:rsid w:val="00357260"/>
    <w:rsid w:val="00357B26"/>
    <w:rsid w:val="00360AA1"/>
    <w:rsid w:val="003618C9"/>
    <w:rsid w:val="00362E7C"/>
    <w:rsid w:val="00362FFF"/>
    <w:rsid w:val="003636C4"/>
    <w:rsid w:val="00364B8B"/>
    <w:rsid w:val="00364E6F"/>
    <w:rsid w:val="00364E79"/>
    <w:rsid w:val="0036500A"/>
    <w:rsid w:val="003651D1"/>
    <w:rsid w:val="00365D56"/>
    <w:rsid w:val="00365EFD"/>
    <w:rsid w:val="00367761"/>
    <w:rsid w:val="0037041B"/>
    <w:rsid w:val="00370CEA"/>
    <w:rsid w:val="003711AA"/>
    <w:rsid w:val="00371B8C"/>
    <w:rsid w:val="003720EC"/>
    <w:rsid w:val="00372897"/>
    <w:rsid w:val="00372B7F"/>
    <w:rsid w:val="00374532"/>
    <w:rsid w:val="00374868"/>
    <w:rsid w:val="00374C80"/>
    <w:rsid w:val="003759B4"/>
    <w:rsid w:val="00375A26"/>
    <w:rsid w:val="00375DF4"/>
    <w:rsid w:val="00376043"/>
    <w:rsid w:val="00376313"/>
    <w:rsid w:val="00376CEB"/>
    <w:rsid w:val="00381F31"/>
    <w:rsid w:val="00382AEB"/>
    <w:rsid w:val="00383004"/>
    <w:rsid w:val="003830CE"/>
    <w:rsid w:val="00383A3D"/>
    <w:rsid w:val="003841D1"/>
    <w:rsid w:val="0038589D"/>
    <w:rsid w:val="00385E2D"/>
    <w:rsid w:val="00386C93"/>
    <w:rsid w:val="00386CB0"/>
    <w:rsid w:val="00387656"/>
    <w:rsid w:val="00387EE0"/>
    <w:rsid w:val="0039008B"/>
    <w:rsid w:val="00390285"/>
    <w:rsid w:val="003907D7"/>
    <w:rsid w:val="00390C18"/>
    <w:rsid w:val="003912BC"/>
    <w:rsid w:val="00391E32"/>
    <w:rsid w:val="0039225A"/>
    <w:rsid w:val="0039262E"/>
    <w:rsid w:val="00393533"/>
    <w:rsid w:val="003937F3"/>
    <w:rsid w:val="0039385C"/>
    <w:rsid w:val="00393D8B"/>
    <w:rsid w:val="0039469E"/>
    <w:rsid w:val="0039638E"/>
    <w:rsid w:val="00396968"/>
    <w:rsid w:val="00396DB9"/>
    <w:rsid w:val="003972B0"/>
    <w:rsid w:val="003A002A"/>
    <w:rsid w:val="003A06B1"/>
    <w:rsid w:val="003A081B"/>
    <w:rsid w:val="003A0A09"/>
    <w:rsid w:val="003A15D6"/>
    <w:rsid w:val="003A1761"/>
    <w:rsid w:val="003A4CA6"/>
    <w:rsid w:val="003A5145"/>
    <w:rsid w:val="003A5826"/>
    <w:rsid w:val="003A5888"/>
    <w:rsid w:val="003A5EA8"/>
    <w:rsid w:val="003A6CDA"/>
    <w:rsid w:val="003A7B21"/>
    <w:rsid w:val="003B0826"/>
    <w:rsid w:val="003B0DAC"/>
    <w:rsid w:val="003B12B1"/>
    <w:rsid w:val="003B17DB"/>
    <w:rsid w:val="003B1C66"/>
    <w:rsid w:val="003B1ED5"/>
    <w:rsid w:val="003B1F7A"/>
    <w:rsid w:val="003B2445"/>
    <w:rsid w:val="003B2A5C"/>
    <w:rsid w:val="003B2B69"/>
    <w:rsid w:val="003B6514"/>
    <w:rsid w:val="003B67C3"/>
    <w:rsid w:val="003B78B1"/>
    <w:rsid w:val="003B7F05"/>
    <w:rsid w:val="003C1D59"/>
    <w:rsid w:val="003C1D63"/>
    <w:rsid w:val="003C32A5"/>
    <w:rsid w:val="003C3387"/>
    <w:rsid w:val="003C3818"/>
    <w:rsid w:val="003C3A1E"/>
    <w:rsid w:val="003C4A29"/>
    <w:rsid w:val="003C505B"/>
    <w:rsid w:val="003C6AFC"/>
    <w:rsid w:val="003C6E9B"/>
    <w:rsid w:val="003C71CF"/>
    <w:rsid w:val="003C789D"/>
    <w:rsid w:val="003C7D3F"/>
    <w:rsid w:val="003D001B"/>
    <w:rsid w:val="003D07AB"/>
    <w:rsid w:val="003D1076"/>
    <w:rsid w:val="003D12DF"/>
    <w:rsid w:val="003D18D5"/>
    <w:rsid w:val="003D1D8C"/>
    <w:rsid w:val="003D2904"/>
    <w:rsid w:val="003D2E3F"/>
    <w:rsid w:val="003D3234"/>
    <w:rsid w:val="003D35A5"/>
    <w:rsid w:val="003D4272"/>
    <w:rsid w:val="003D435F"/>
    <w:rsid w:val="003D4A56"/>
    <w:rsid w:val="003D5827"/>
    <w:rsid w:val="003D6713"/>
    <w:rsid w:val="003D7394"/>
    <w:rsid w:val="003D7B2C"/>
    <w:rsid w:val="003E185B"/>
    <w:rsid w:val="003E1917"/>
    <w:rsid w:val="003E259A"/>
    <w:rsid w:val="003E3B5F"/>
    <w:rsid w:val="003E5211"/>
    <w:rsid w:val="003F00A5"/>
    <w:rsid w:val="003F02E2"/>
    <w:rsid w:val="003F07B0"/>
    <w:rsid w:val="003F09ED"/>
    <w:rsid w:val="003F0F0E"/>
    <w:rsid w:val="003F1603"/>
    <w:rsid w:val="003F2434"/>
    <w:rsid w:val="003F278B"/>
    <w:rsid w:val="003F31D2"/>
    <w:rsid w:val="003F3716"/>
    <w:rsid w:val="003F3DC0"/>
    <w:rsid w:val="003F469E"/>
    <w:rsid w:val="003F4845"/>
    <w:rsid w:val="003F4DBE"/>
    <w:rsid w:val="003F557E"/>
    <w:rsid w:val="003F6C87"/>
    <w:rsid w:val="003F7CC5"/>
    <w:rsid w:val="003F7F9C"/>
    <w:rsid w:val="004006FA"/>
    <w:rsid w:val="00400A8B"/>
    <w:rsid w:val="00400D68"/>
    <w:rsid w:val="00400EFC"/>
    <w:rsid w:val="00401495"/>
    <w:rsid w:val="00401A63"/>
    <w:rsid w:val="004029CD"/>
    <w:rsid w:val="004031C0"/>
    <w:rsid w:val="00403340"/>
    <w:rsid w:val="004035CB"/>
    <w:rsid w:val="00405296"/>
    <w:rsid w:val="0040550A"/>
    <w:rsid w:val="004067AD"/>
    <w:rsid w:val="00407EE0"/>
    <w:rsid w:val="00410DE3"/>
    <w:rsid w:val="00410F13"/>
    <w:rsid w:val="0041227C"/>
    <w:rsid w:val="00413626"/>
    <w:rsid w:val="00413D0B"/>
    <w:rsid w:val="00414344"/>
    <w:rsid w:val="00414806"/>
    <w:rsid w:val="004148F6"/>
    <w:rsid w:val="00414BBA"/>
    <w:rsid w:val="00414DA9"/>
    <w:rsid w:val="004158DE"/>
    <w:rsid w:val="004159A3"/>
    <w:rsid w:val="00415A91"/>
    <w:rsid w:val="00415ABD"/>
    <w:rsid w:val="00416587"/>
    <w:rsid w:val="004165F1"/>
    <w:rsid w:val="0041743B"/>
    <w:rsid w:val="00420FD2"/>
    <w:rsid w:val="00421163"/>
    <w:rsid w:val="00421BB0"/>
    <w:rsid w:val="00424ABF"/>
    <w:rsid w:val="00424B78"/>
    <w:rsid w:val="004255A0"/>
    <w:rsid w:val="00426592"/>
    <w:rsid w:val="00426F97"/>
    <w:rsid w:val="00427A65"/>
    <w:rsid w:val="0043133F"/>
    <w:rsid w:val="00431527"/>
    <w:rsid w:val="0043157E"/>
    <w:rsid w:val="00432F4D"/>
    <w:rsid w:val="004335E8"/>
    <w:rsid w:val="004336DD"/>
    <w:rsid w:val="004338A5"/>
    <w:rsid w:val="004341A5"/>
    <w:rsid w:val="004345C1"/>
    <w:rsid w:val="00434825"/>
    <w:rsid w:val="0043505D"/>
    <w:rsid w:val="00435166"/>
    <w:rsid w:val="0043597B"/>
    <w:rsid w:val="00436A3E"/>
    <w:rsid w:val="0043773F"/>
    <w:rsid w:val="0043776F"/>
    <w:rsid w:val="00440556"/>
    <w:rsid w:val="00440D78"/>
    <w:rsid w:val="00440EBB"/>
    <w:rsid w:val="0044131C"/>
    <w:rsid w:val="00441A2A"/>
    <w:rsid w:val="00441B6F"/>
    <w:rsid w:val="004420F6"/>
    <w:rsid w:val="0044359A"/>
    <w:rsid w:val="00443D2C"/>
    <w:rsid w:val="00444625"/>
    <w:rsid w:val="00444CEF"/>
    <w:rsid w:val="00444F65"/>
    <w:rsid w:val="004451B0"/>
    <w:rsid w:val="004460A9"/>
    <w:rsid w:val="0044639D"/>
    <w:rsid w:val="00446E15"/>
    <w:rsid w:val="004476C6"/>
    <w:rsid w:val="00451281"/>
    <w:rsid w:val="0045130C"/>
    <w:rsid w:val="0045151A"/>
    <w:rsid w:val="00451564"/>
    <w:rsid w:val="00451852"/>
    <w:rsid w:val="00451B38"/>
    <w:rsid w:val="004526BD"/>
    <w:rsid w:val="0045301F"/>
    <w:rsid w:val="00453578"/>
    <w:rsid w:val="00454674"/>
    <w:rsid w:val="00454A58"/>
    <w:rsid w:val="00455214"/>
    <w:rsid w:val="00455259"/>
    <w:rsid w:val="00455F7F"/>
    <w:rsid w:val="004567CB"/>
    <w:rsid w:val="00456D5A"/>
    <w:rsid w:val="00457F52"/>
    <w:rsid w:val="004601F4"/>
    <w:rsid w:val="00460347"/>
    <w:rsid w:val="00460631"/>
    <w:rsid w:val="00460C30"/>
    <w:rsid w:val="0046133D"/>
    <w:rsid w:val="004614B3"/>
    <w:rsid w:val="00462532"/>
    <w:rsid w:val="00462BA3"/>
    <w:rsid w:val="00463595"/>
    <w:rsid w:val="00463F9E"/>
    <w:rsid w:val="0046409F"/>
    <w:rsid w:val="0046521F"/>
    <w:rsid w:val="0046552C"/>
    <w:rsid w:val="004662D0"/>
    <w:rsid w:val="004678D2"/>
    <w:rsid w:val="0046793D"/>
    <w:rsid w:val="00470D43"/>
    <w:rsid w:val="004728DE"/>
    <w:rsid w:val="00472C9B"/>
    <w:rsid w:val="00473470"/>
    <w:rsid w:val="00473A5E"/>
    <w:rsid w:val="00473D3A"/>
    <w:rsid w:val="0047571C"/>
    <w:rsid w:val="004758A9"/>
    <w:rsid w:val="00475AE8"/>
    <w:rsid w:val="00475D7A"/>
    <w:rsid w:val="00476273"/>
    <w:rsid w:val="004767F9"/>
    <w:rsid w:val="00476DFD"/>
    <w:rsid w:val="00477399"/>
    <w:rsid w:val="004779E2"/>
    <w:rsid w:val="00477AA2"/>
    <w:rsid w:val="0048020B"/>
    <w:rsid w:val="00480231"/>
    <w:rsid w:val="00480B07"/>
    <w:rsid w:val="00482609"/>
    <w:rsid w:val="004832F0"/>
    <w:rsid w:val="0048438A"/>
    <w:rsid w:val="00484D7F"/>
    <w:rsid w:val="004858A2"/>
    <w:rsid w:val="00485F32"/>
    <w:rsid w:val="004864DA"/>
    <w:rsid w:val="00486B46"/>
    <w:rsid w:val="00486D49"/>
    <w:rsid w:val="00486D77"/>
    <w:rsid w:val="004872BC"/>
    <w:rsid w:val="004872EB"/>
    <w:rsid w:val="004874A4"/>
    <w:rsid w:val="00490DF0"/>
    <w:rsid w:val="004916B4"/>
    <w:rsid w:val="00492B7B"/>
    <w:rsid w:val="00492BAC"/>
    <w:rsid w:val="00493486"/>
    <w:rsid w:val="00493A00"/>
    <w:rsid w:val="00493F02"/>
    <w:rsid w:val="00493F5A"/>
    <w:rsid w:val="00494355"/>
    <w:rsid w:val="00494541"/>
    <w:rsid w:val="00494945"/>
    <w:rsid w:val="004954E1"/>
    <w:rsid w:val="0049564E"/>
    <w:rsid w:val="00495D9D"/>
    <w:rsid w:val="00495E07"/>
    <w:rsid w:val="004965CA"/>
    <w:rsid w:val="0049798C"/>
    <w:rsid w:val="004979F8"/>
    <w:rsid w:val="00497F70"/>
    <w:rsid w:val="004A03E5"/>
    <w:rsid w:val="004A0523"/>
    <w:rsid w:val="004A0695"/>
    <w:rsid w:val="004A275B"/>
    <w:rsid w:val="004A2BCD"/>
    <w:rsid w:val="004A2EED"/>
    <w:rsid w:val="004A484C"/>
    <w:rsid w:val="004A503D"/>
    <w:rsid w:val="004A5F8E"/>
    <w:rsid w:val="004B084A"/>
    <w:rsid w:val="004B08D5"/>
    <w:rsid w:val="004B0E1A"/>
    <w:rsid w:val="004B141F"/>
    <w:rsid w:val="004B1859"/>
    <w:rsid w:val="004B263F"/>
    <w:rsid w:val="004B3384"/>
    <w:rsid w:val="004B3AF4"/>
    <w:rsid w:val="004B4396"/>
    <w:rsid w:val="004B4A8D"/>
    <w:rsid w:val="004B4C4C"/>
    <w:rsid w:val="004B5403"/>
    <w:rsid w:val="004B6432"/>
    <w:rsid w:val="004C046C"/>
    <w:rsid w:val="004C0E28"/>
    <w:rsid w:val="004C13ED"/>
    <w:rsid w:val="004C190E"/>
    <w:rsid w:val="004C1A23"/>
    <w:rsid w:val="004C1C16"/>
    <w:rsid w:val="004C1CD2"/>
    <w:rsid w:val="004C456B"/>
    <w:rsid w:val="004C4D5F"/>
    <w:rsid w:val="004C62C0"/>
    <w:rsid w:val="004C7C77"/>
    <w:rsid w:val="004D1314"/>
    <w:rsid w:val="004D1F43"/>
    <w:rsid w:val="004D2146"/>
    <w:rsid w:val="004D25A3"/>
    <w:rsid w:val="004D2B39"/>
    <w:rsid w:val="004D327C"/>
    <w:rsid w:val="004D33D4"/>
    <w:rsid w:val="004D3562"/>
    <w:rsid w:val="004D35E8"/>
    <w:rsid w:val="004D3FF0"/>
    <w:rsid w:val="004D614C"/>
    <w:rsid w:val="004D62AF"/>
    <w:rsid w:val="004D64EF"/>
    <w:rsid w:val="004D79A6"/>
    <w:rsid w:val="004D7CDD"/>
    <w:rsid w:val="004E07E7"/>
    <w:rsid w:val="004E0873"/>
    <w:rsid w:val="004E138C"/>
    <w:rsid w:val="004E25A6"/>
    <w:rsid w:val="004E2627"/>
    <w:rsid w:val="004E27E5"/>
    <w:rsid w:val="004E41D8"/>
    <w:rsid w:val="004E4CBE"/>
    <w:rsid w:val="004E59CC"/>
    <w:rsid w:val="004E5B4B"/>
    <w:rsid w:val="004E75C6"/>
    <w:rsid w:val="004E78F9"/>
    <w:rsid w:val="004F0D46"/>
    <w:rsid w:val="004F0F3B"/>
    <w:rsid w:val="004F131A"/>
    <w:rsid w:val="004F1F92"/>
    <w:rsid w:val="004F217C"/>
    <w:rsid w:val="004F35D5"/>
    <w:rsid w:val="004F3CFE"/>
    <w:rsid w:val="004F3EE8"/>
    <w:rsid w:val="004F4F93"/>
    <w:rsid w:val="004F5DAC"/>
    <w:rsid w:val="004F6475"/>
    <w:rsid w:val="004F6529"/>
    <w:rsid w:val="004F7AD6"/>
    <w:rsid w:val="0050001C"/>
    <w:rsid w:val="0050155F"/>
    <w:rsid w:val="00501C49"/>
    <w:rsid w:val="00501F22"/>
    <w:rsid w:val="00502118"/>
    <w:rsid w:val="00502730"/>
    <w:rsid w:val="00502E26"/>
    <w:rsid w:val="005032B1"/>
    <w:rsid w:val="00503FA5"/>
    <w:rsid w:val="00504863"/>
    <w:rsid w:val="00504FA3"/>
    <w:rsid w:val="00505021"/>
    <w:rsid w:val="005052D2"/>
    <w:rsid w:val="0050562A"/>
    <w:rsid w:val="00505FEB"/>
    <w:rsid w:val="0050699C"/>
    <w:rsid w:val="00507314"/>
    <w:rsid w:val="0051086B"/>
    <w:rsid w:val="00510BE0"/>
    <w:rsid w:val="00510E48"/>
    <w:rsid w:val="00511525"/>
    <w:rsid w:val="00511693"/>
    <w:rsid w:val="00511E86"/>
    <w:rsid w:val="00513CC5"/>
    <w:rsid w:val="00513E14"/>
    <w:rsid w:val="005150AE"/>
    <w:rsid w:val="005154C1"/>
    <w:rsid w:val="00515E1E"/>
    <w:rsid w:val="005162AB"/>
    <w:rsid w:val="005164F8"/>
    <w:rsid w:val="00516E67"/>
    <w:rsid w:val="00517101"/>
    <w:rsid w:val="00520A00"/>
    <w:rsid w:val="00520F33"/>
    <w:rsid w:val="00521122"/>
    <w:rsid w:val="00521382"/>
    <w:rsid w:val="00521A6B"/>
    <w:rsid w:val="0052351B"/>
    <w:rsid w:val="0052763C"/>
    <w:rsid w:val="00527C01"/>
    <w:rsid w:val="00531A63"/>
    <w:rsid w:val="00532400"/>
    <w:rsid w:val="00532CD9"/>
    <w:rsid w:val="00532D96"/>
    <w:rsid w:val="00533C3F"/>
    <w:rsid w:val="00533F41"/>
    <w:rsid w:val="00534747"/>
    <w:rsid w:val="00534BF5"/>
    <w:rsid w:val="00534F98"/>
    <w:rsid w:val="00536866"/>
    <w:rsid w:val="005378D4"/>
    <w:rsid w:val="00541067"/>
    <w:rsid w:val="00541146"/>
    <w:rsid w:val="00541E47"/>
    <w:rsid w:val="00541E8C"/>
    <w:rsid w:val="00542814"/>
    <w:rsid w:val="00542A3B"/>
    <w:rsid w:val="00542BD2"/>
    <w:rsid w:val="005431E8"/>
    <w:rsid w:val="00544B82"/>
    <w:rsid w:val="00545A35"/>
    <w:rsid w:val="00545CC2"/>
    <w:rsid w:val="00546238"/>
    <w:rsid w:val="005472A6"/>
    <w:rsid w:val="00547D3F"/>
    <w:rsid w:val="00550CD8"/>
    <w:rsid w:val="00551717"/>
    <w:rsid w:val="0055226D"/>
    <w:rsid w:val="00552271"/>
    <w:rsid w:val="00552A11"/>
    <w:rsid w:val="0055320A"/>
    <w:rsid w:val="00553B38"/>
    <w:rsid w:val="005542EC"/>
    <w:rsid w:val="005543B3"/>
    <w:rsid w:val="00554CC2"/>
    <w:rsid w:val="00556034"/>
    <w:rsid w:val="00556E51"/>
    <w:rsid w:val="0055756F"/>
    <w:rsid w:val="0055763A"/>
    <w:rsid w:val="005577D9"/>
    <w:rsid w:val="00560076"/>
    <w:rsid w:val="005601EB"/>
    <w:rsid w:val="005606EA"/>
    <w:rsid w:val="00560E30"/>
    <w:rsid w:val="0056190E"/>
    <w:rsid w:val="00561D15"/>
    <w:rsid w:val="00561DA8"/>
    <w:rsid w:val="00562410"/>
    <w:rsid w:val="00562CB2"/>
    <w:rsid w:val="00563363"/>
    <w:rsid w:val="0056403F"/>
    <w:rsid w:val="00565ED6"/>
    <w:rsid w:val="00566050"/>
    <w:rsid w:val="0056651E"/>
    <w:rsid w:val="00566ABD"/>
    <w:rsid w:val="00567D51"/>
    <w:rsid w:val="005700BD"/>
    <w:rsid w:val="0057165A"/>
    <w:rsid w:val="00571D6D"/>
    <w:rsid w:val="00572F46"/>
    <w:rsid w:val="00572F5A"/>
    <w:rsid w:val="00573056"/>
    <w:rsid w:val="00573437"/>
    <w:rsid w:val="00573482"/>
    <w:rsid w:val="00574A02"/>
    <w:rsid w:val="005757F2"/>
    <w:rsid w:val="00575ECA"/>
    <w:rsid w:val="005763D0"/>
    <w:rsid w:val="0057640F"/>
    <w:rsid w:val="005764AE"/>
    <w:rsid w:val="005764C1"/>
    <w:rsid w:val="005767B2"/>
    <w:rsid w:val="00576A54"/>
    <w:rsid w:val="00577DC6"/>
    <w:rsid w:val="0058034C"/>
    <w:rsid w:val="00580ED0"/>
    <w:rsid w:val="00580FA7"/>
    <w:rsid w:val="005816F4"/>
    <w:rsid w:val="00581BDF"/>
    <w:rsid w:val="00582C0F"/>
    <w:rsid w:val="00583088"/>
    <w:rsid w:val="00583846"/>
    <w:rsid w:val="005838B0"/>
    <w:rsid w:val="00584617"/>
    <w:rsid w:val="00584629"/>
    <w:rsid w:val="00585174"/>
    <w:rsid w:val="005861FD"/>
    <w:rsid w:val="005862DF"/>
    <w:rsid w:val="00586E3E"/>
    <w:rsid w:val="0059038C"/>
    <w:rsid w:val="00590415"/>
    <w:rsid w:val="00590BD6"/>
    <w:rsid w:val="005921E2"/>
    <w:rsid w:val="005929AD"/>
    <w:rsid w:val="005929E1"/>
    <w:rsid w:val="00593159"/>
    <w:rsid w:val="00593D81"/>
    <w:rsid w:val="005940AF"/>
    <w:rsid w:val="00594DFA"/>
    <w:rsid w:val="00594E87"/>
    <w:rsid w:val="005950E5"/>
    <w:rsid w:val="00595725"/>
    <w:rsid w:val="005958EA"/>
    <w:rsid w:val="00595D00"/>
    <w:rsid w:val="005963BF"/>
    <w:rsid w:val="00597309"/>
    <w:rsid w:val="005A0799"/>
    <w:rsid w:val="005A17E0"/>
    <w:rsid w:val="005A2839"/>
    <w:rsid w:val="005A4CD3"/>
    <w:rsid w:val="005A5249"/>
    <w:rsid w:val="005A653F"/>
    <w:rsid w:val="005A6E73"/>
    <w:rsid w:val="005A6F7C"/>
    <w:rsid w:val="005A7287"/>
    <w:rsid w:val="005B07E6"/>
    <w:rsid w:val="005B1295"/>
    <w:rsid w:val="005B132F"/>
    <w:rsid w:val="005B18B2"/>
    <w:rsid w:val="005B1BFB"/>
    <w:rsid w:val="005B1CAD"/>
    <w:rsid w:val="005B26AB"/>
    <w:rsid w:val="005B40A6"/>
    <w:rsid w:val="005B49F7"/>
    <w:rsid w:val="005B4CBD"/>
    <w:rsid w:val="005B5273"/>
    <w:rsid w:val="005B5B34"/>
    <w:rsid w:val="005B6FD3"/>
    <w:rsid w:val="005B797B"/>
    <w:rsid w:val="005C0180"/>
    <w:rsid w:val="005C01B7"/>
    <w:rsid w:val="005C04AC"/>
    <w:rsid w:val="005C0DAD"/>
    <w:rsid w:val="005C11D8"/>
    <w:rsid w:val="005C1B70"/>
    <w:rsid w:val="005C232B"/>
    <w:rsid w:val="005C28EF"/>
    <w:rsid w:val="005C2D7E"/>
    <w:rsid w:val="005C3B1C"/>
    <w:rsid w:val="005C3EE6"/>
    <w:rsid w:val="005C427E"/>
    <w:rsid w:val="005C4B38"/>
    <w:rsid w:val="005C5CA7"/>
    <w:rsid w:val="005C5DD5"/>
    <w:rsid w:val="005C71E6"/>
    <w:rsid w:val="005C74B1"/>
    <w:rsid w:val="005C7B69"/>
    <w:rsid w:val="005D02B8"/>
    <w:rsid w:val="005D1229"/>
    <w:rsid w:val="005D2A79"/>
    <w:rsid w:val="005D3004"/>
    <w:rsid w:val="005D36EA"/>
    <w:rsid w:val="005D3C84"/>
    <w:rsid w:val="005D3D39"/>
    <w:rsid w:val="005D42AA"/>
    <w:rsid w:val="005D4839"/>
    <w:rsid w:val="005D4E6D"/>
    <w:rsid w:val="005D508A"/>
    <w:rsid w:val="005D5876"/>
    <w:rsid w:val="005D5AED"/>
    <w:rsid w:val="005D620A"/>
    <w:rsid w:val="005D73FF"/>
    <w:rsid w:val="005D787E"/>
    <w:rsid w:val="005D7C39"/>
    <w:rsid w:val="005E13DF"/>
    <w:rsid w:val="005E3147"/>
    <w:rsid w:val="005E387D"/>
    <w:rsid w:val="005E3B75"/>
    <w:rsid w:val="005E3D15"/>
    <w:rsid w:val="005E3F59"/>
    <w:rsid w:val="005E4C65"/>
    <w:rsid w:val="005E4E6D"/>
    <w:rsid w:val="005E6859"/>
    <w:rsid w:val="005E703E"/>
    <w:rsid w:val="005F0879"/>
    <w:rsid w:val="005F1901"/>
    <w:rsid w:val="005F25FC"/>
    <w:rsid w:val="005F2946"/>
    <w:rsid w:val="005F2D82"/>
    <w:rsid w:val="005F2FA9"/>
    <w:rsid w:val="005F34C6"/>
    <w:rsid w:val="005F3544"/>
    <w:rsid w:val="005F3F91"/>
    <w:rsid w:val="005F4318"/>
    <w:rsid w:val="005F439C"/>
    <w:rsid w:val="005F45A1"/>
    <w:rsid w:val="005F4F8E"/>
    <w:rsid w:val="005F51EA"/>
    <w:rsid w:val="005F54A4"/>
    <w:rsid w:val="005F5A9A"/>
    <w:rsid w:val="005F71D1"/>
    <w:rsid w:val="0060035F"/>
    <w:rsid w:val="006004D8"/>
    <w:rsid w:val="00600670"/>
    <w:rsid w:val="006008C5"/>
    <w:rsid w:val="00600A23"/>
    <w:rsid w:val="0060236D"/>
    <w:rsid w:val="00602443"/>
    <w:rsid w:val="006029B2"/>
    <w:rsid w:val="00602D44"/>
    <w:rsid w:val="00603B5F"/>
    <w:rsid w:val="00603D1B"/>
    <w:rsid w:val="006044A6"/>
    <w:rsid w:val="00604D7B"/>
    <w:rsid w:val="006060E0"/>
    <w:rsid w:val="00606B49"/>
    <w:rsid w:val="00606C4F"/>
    <w:rsid w:val="00607205"/>
    <w:rsid w:val="006074E4"/>
    <w:rsid w:val="00607682"/>
    <w:rsid w:val="00607C54"/>
    <w:rsid w:val="006105DF"/>
    <w:rsid w:val="006112D1"/>
    <w:rsid w:val="006112FA"/>
    <w:rsid w:val="006115A6"/>
    <w:rsid w:val="006120A6"/>
    <w:rsid w:val="00612490"/>
    <w:rsid w:val="00613B93"/>
    <w:rsid w:val="00613F3A"/>
    <w:rsid w:val="006154B4"/>
    <w:rsid w:val="0061565F"/>
    <w:rsid w:val="00617723"/>
    <w:rsid w:val="006177F8"/>
    <w:rsid w:val="00620205"/>
    <w:rsid w:val="00620E26"/>
    <w:rsid w:val="00622340"/>
    <w:rsid w:val="00622D42"/>
    <w:rsid w:val="00622F63"/>
    <w:rsid w:val="00623402"/>
    <w:rsid w:val="0062348A"/>
    <w:rsid w:val="0062442F"/>
    <w:rsid w:val="00624B34"/>
    <w:rsid w:val="006252A8"/>
    <w:rsid w:val="00625377"/>
    <w:rsid w:val="006257E3"/>
    <w:rsid w:val="00625B93"/>
    <w:rsid w:val="0062651F"/>
    <w:rsid w:val="006266FD"/>
    <w:rsid w:val="00630260"/>
    <w:rsid w:val="0063097F"/>
    <w:rsid w:val="00630CC2"/>
    <w:rsid w:val="00631EBD"/>
    <w:rsid w:val="00631ECD"/>
    <w:rsid w:val="00632968"/>
    <w:rsid w:val="006330FE"/>
    <w:rsid w:val="00633375"/>
    <w:rsid w:val="0063349C"/>
    <w:rsid w:val="00633563"/>
    <w:rsid w:val="00633645"/>
    <w:rsid w:val="0063370A"/>
    <w:rsid w:val="006342C4"/>
    <w:rsid w:val="00634706"/>
    <w:rsid w:val="00634C7A"/>
    <w:rsid w:val="00636271"/>
    <w:rsid w:val="00636427"/>
    <w:rsid w:val="00636B5A"/>
    <w:rsid w:val="00637840"/>
    <w:rsid w:val="00640A29"/>
    <w:rsid w:val="00640BCA"/>
    <w:rsid w:val="006411F5"/>
    <w:rsid w:val="00641766"/>
    <w:rsid w:val="00641931"/>
    <w:rsid w:val="006429AA"/>
    <w:rsid w:val="00643C5A"/>
    <w:rsid w:val="00643C82"/>
    <w:rsid w:val="006440C4"/>
    <w:rsid w:val="0064445E"/>
    <w:rsid w:val="00644AB3"/>
    <w:rsid w:val="00644BA2"/>
    <w:rsid w:val="00644BEB"/>
    <w:rsid w:val="00645227"/>
    <w:rsid w:val="00645A6A"/>
    <w:rsid w:val="00645D41"/>
    <w:rsid w:val="006465A7"/>
    <w:rsid w:val="00647DDE"/>
    <w:rsid w:val="006502FA"/>
    <w:rsid w:val="00650673"/>
    <w:rsid w:val="00652580"/>
    <w:rsid w:val="00652586"/>
    <w:rsid w:val="006527BB"/>
    <w:rsid w:val="00652B0F"/>
    <w:rsid w:val="00652B97"/>
    <w:rsid w:val="00652F03"/>
    <w:rsid w:val="00653D8D"/>
    <w:rsid w:val="00654790"/>
    <w:rsid w:val="00654A71"/>
    <w:rsid w:val="00654B41"/>
    <w:rsid w:val="00654E64"/>
    <w:rsid w:val="00654FDA"/>
    <w:rsid w:val="00655A79"/>
    <w:rsid w:val="00656875"/>
    <w:rsid w:val="00656B9E"/>
    <w:rsid w:val="00656F87"/>
    <w:rsid w:val="006572B4"/>
    <w:rsid w:val="00657991"/>
    <w:rsid w:val="00660782"/>
    <w:rsid w:val="00660AFB"/>
    <w:rsid w:val="006610CA"/>
    <w:rsid w:val="006620A4"/>
    <w:rsid w:val="006622C5"/>
    <w:rsid w:val="00663C3B"/>
    <w:rsid w:val="00664E0E"/>
    <w:rsid w:val="00664FF5"/>
    <w:rsid w:val="00665669"/>
    <w:rsid w:val="0066584D"/>
    <w:rsid w:val="00666455"/>
    <w:rsid w:val="0066695A"/>
    <w:rsid w:val="00667207"/>
    <w:rsid w:val="00667403"/>
    <w:rsid w:val="00667B22"/>
    <w:rsid w:val="00667BDC"/>
    <w:rsid w:val="00667DD7"/>
    <w:rsid w:val="00667E2E"/>
    <w:rsid w:val="0067091E"/>
    <w:rsid w:val="006710C1"/>
    <w:rsid w:val="00671341"/>
    <w:rsid w:val="006714AF"/>
    <w:rsid w:val="006717CB"/>
    <w:rsid w:val="00671922"/>
    <w:rsid w:val="00671BE5"/>
    <w:rsid w:val="00672553"/>
    <w:rsid w:val="006727E7"/>
    <w:rsid w:val="0067304E"/>
    <w:rsid w:val="0067449C"/>
    <w:rsid w:val="006745E5"/>
    <w:rsid w:val="00674AE8"/>
    <w:rsid w:val="0067533D"/>
    <w:rsid w:val="00675F7A"/>
    <w:rsid w:val="00676951"/>
    <w:rsid w:val="00677407"/>
    <w:rsid w:val="00677A0E"/>
    <w:rsid w:val="00680613"/>
    <w:rsid w:val="0068068B"/>
    <w:rsid w:val="00680786"/>
    <w:rsid w:val="00680975"/>
    <w:rsid w:val="006810C2"/>
    <w:rsid w:val="00681181"/>
    <w:rsid w:val="00681471"/>
    <w:rsid w:val="00681694"/>
    <w:rsid w:val="00682099"/>
    <w:rsid w:val="00683019"/>
    <w:rsid w:val="006840B9"/>
    <w:rsid w:val="00684645"/>
    <w:rsid w:val="006846DC"/>
    <w:rsid w:val="006850D0"/>
    <w:rsid w:val="00686E6C"/>
    <w:rsid w:val="00686EDF"/>
    <w:rsid w:val="00687F12"/>
    <w:rsid w:val="00690574"/>
    <w:rsid w:val="00690E69"/>
    <w:rsid w:val="00692960"/>
    <w:rsid w:val="00693F5A"/>
    <w:rsid w:val="00694F3D"/>
    <w:rsid w:val="00695036"/>
    <w:rsid w:val="00695269"/>
    <w:rsid w:val="00695DE6"/>
    <w:rsid w:val="00696069"/>
    <w:rsid w:val="006966CB"/>
    <w:rsid w:val="006973C6"/>
    <w:rsid w:val="006A03CF"/>
    <w:rsid w:val="006A074E"/>
    <w:rsid w:val="006A18B6"/>
    <w:rsid w:val="006A1EDC"/>
    <w:rsid w:val="006A369D"/>
    <w:rsid w:val="006A58B5"/>
    <w:rsid w:val="006A5B0F"/>
    <w:rsid w:val="006A5ED6"/>
    <w:rsid w:val="006A5FF3"/>
    <w:rsid w:val="006A64DC"/>
    <w:rsid w:val="006B041A"/>
    <w:rsid w:val="006B0905"/>
    <w:rsid w:val="006B188C"/>
    <w:rsid w:val="006B1CD5"/>
    <w:rsid w:val="006B20EE"/>
    <w:rsid w:val="006B3709"/>
    <w:rsid w:val="006B408E"/>
    <w:rsid w:val="006B4826"/>
    <w:rsid w:val="006B4D9B"/>
    <w:rsid w:val="006B56AF"/>
    <w:rsid w:val="006B5B8D"/>
    <w:rsid w:val="006B5ED2"/>
    <w:rsid w:val="006B63AC"/>
    <w:rsid w:val="006B73CF"/>
    <w:rsid w:val="006C1614"/>
    <w:rsid w:val="006C17A4"/>
    <w:rsid w:val="006C1D8C"/>
    <w:rsid w:val="006C20D1"/>
    <w:rsid w:val="006C26B2"/>
    <w:rsid w:val="006C2816"/>
    <w:rsid w:val="006C3397"/>
    <w:rsid w:val="006C4635"/>
    <w:rsid w:val="006C51D5"/>
    <w:rsid w:val="006C6ED9"/>
    <w:rsid w:val="006C7BF2"/>
    <w:rsid w:val="006C7D7F"/>
    <w:rsid w:val="006C7DBF"/>
    <w:rsid w:val="006D03E3"/>
    <w:rsid w:val="006D095D"/>
    <w:rsid w:val="006D09BF"/>
    <w:rsid w:val="006D18C7"/>
    <w:rsid w:val="006D2402"/>
    <w:rsid w:val="006D2A80"/>
    <w:rsid w:val="006D354C"/>
    <w:rsid w:val="006D3F4D"/>
    <w:rsid w:val="006D432E"/>
    <w:rsid w:val="006D4643"/>
    <w:rsid w:val="006D4F50"/>
    <w:rsid w:val="006D5B0E"/>
    <w:rsid w:val="006D77DB"/>
    <w:rsid w:val="006E04D9"/>
    <w:rsid w:val="006E07AA"/>
    <w:rsid w:val="006E0E3B"/>
    <w:rsid w:val="006E1165"/>
    <w:rsid w:val="006E12E1"/>
    <w:rsid w:val="006E19B6"/>
    <w:rsid w:val="006E2D6E"/>
    <w:rsid w:val="006E435D"/>
    <w:rsid w:val="006E4894"/>
    <w:rsid w:val="006E55C9"/>
    <w:rsid w:val="006E55DE"/>
    <w:rsid w:val="006E5ECD"/>
    <w:rsid w:val="006E6044"/>
    <w:rsid w:val="006E613F"/>
    <w:rsid w:val="006E633C"/>
    <w:rsid w:val="006E6FBA"/>
    <w:rsid w:val="006E7DEC"/>
    <w:rsid w:val="006F0AFA"/>
    <w:rsid w:val="006F0FF4"/>
    <w:rsid w:val="006F19C1"/>
    <w:rsid w:val="006F1B52"/>
    <w:rsid w:val="006F205B"/>
    <w:rsid w:val="006F21C8"/>
    <w:rsid w:val="006F27A6"/>
    <w:rsid w:val="006F2812"/>
    <w:rsid w:val="006F37FA"/>
    <w:rsid w:val="006F3FE0"/>
    <w:rsid w:val="006F42DE"/>
    <w:rsid w:val="006F4644"/>
    <w:rsid w:val="006F53C0"/>
    <w:rsid w:val="006F6EDA"/>
    <w:rsid w:val="007011EB"/>
    <w:rsid w:val="00702BB6"/>
    <w:rsid w:val="00702EA6"/>
    <w:rsid w:val="00703DDF"/>
    <w:rsid w:val="007054A3"/>
    <w:rsid w:val="0070585B"/>
    <w:rsid w:val="00705B33"/>
    <w:rsid w:val="00705BD4"/>
    <w:rsid w:val="00705FF1"/>
    <w:rsid w:val="0070615E"/>
    <w:rsid w:val="00706B11"/>
    <w:rsid w:val="00706C4B"/>
    <w:rsid w:val="00706C4E"/>
    <w:rsid w:val="00707EA3"/>
    <w:rsid w:val="00710339"/>
    <w:rsid w:val="00710A3E"/>
    <w:rsid w:val="00710A58"/>
    <w:rsid w:val="00710A78"/>
    <w:rsid w:val="007116AC"/>
    <w:rsid w:val="007122A1"/>
    <w:rsid w:val="007124A2"/>
    <w:rsid w:val="00712B44"/>
    <w:rsid w:val="00712CB7"/>
    <w:rsid w:val="007133ED"/>
    <w:rsid w:val="00713D7C"/>
    <w:rsid w:val="00713DB0"/>
    <w:rsid w:val="007140B6"/>
    <w:rsid w:val="00714A50"/>
    <w:rsid w:val="007150F6"/>
    <w:rsid w:val="007175C9"/>
    <w:rsid w:val="00717EF3"/>
    <w:rsid w:val="007204D2"/>
    <w:rsid w:val="0072061F"/>
    <w:rsid w:val="00720EF7"/>
    <w:rsid w:val="00721AB9"/>
    <w:rsid w:val="00722166"/>
    <w:rsid w:val="00722BB1"/>
    <w:rsid w:val="00722C44"/>
    <w:rsid w:val="007230D6"/>
    <w:rsid w:val="00723E4B"/>
    <w:rsid w:val="00724553"/>
    <w:rsid w:val="0072563F"/>
    <w:rsid w:val="00725E5C"/>
    <w:rsid w:val="0072731C"/>
    <w:rsid w:val="007300D8"/>
    <w:rsid w:val="00730631"/>
    <w:rsid w:val="00732CFA"/>
    <w:rsid w:val="00732D8F"/>
    <w:rsid w:val="00732E2C"/>
    <w:rsid w:val="00733148"/>
    <w:rsid w:val="00733398"/>
    <w:rsid w:val="0073386B"/>
    <w:rsid w:val="00734468"/>
    <w:rsid w:val="00735527"/>
    <w:rsid w:val="00735963"/>
    <w:rsid w:val="00735C39"/>
    <w:rsid w:val="00735ECF"/>
    <w:rsid w:val="00735F0C"/>
    <w:rsid w:val="00736506"/>
    <w:rsid w:val="007368A2"/>
    <w:rsid w:val="00736DE9"/>
    <w:rsid w:val="0073705B"/>
    <w:rsid w:val="0073796D"/>
    <w:rsid w:val="007379B8"/>
    <w:rsid w:val="00740952"/>
    <w:rsid w:val="00740C35"/>
    <w:rsid w:val="00742439"/>
    <w:rsid w:val="007437B4"/>
    <w:rsid w:val="00743A10"/>
    <w:rsid w:val="0074436F"/>
    <w:rsid w:val="00745180"/>
    <w:rsid w:val="007465A9"/>
    <w:rsid w:val="00747F77"/>
    <w:rsid w:val="00750E6A"/>
    <w:rsid w:val="0075145E"/>
    <w:rsid w:val="007519D0"/>
    <w:rsid w:val="00751C1B"/>
    <w:rsid w:val="0075451D"/>
    <w:rsid w:val="00754A0D"/>
    <w:rsid w:val="007552C1"/>
    <w:rsid w:val="007553E1"/>
    <w:rsid w:val="00755AE5"/>
    <w:rsid w:val="00755BA7"/>
    <w:rsid w:val="007562E2"/>
    <w:rsid w:val="00757248"/>
    <w:rsid w:val="007577C2"/>
    <w:rsid w:val="00757F5F"/>
    <w:rsid w:val="007613B3"/>
    <w:rsid w:val="0076151E"/>
    <w:rsid w:val="0076164A"/>
    <w:rsid w:val="00762F2B"/>
    <w:rsid w:val="0076303C"/>
    <w:rsid w:val="0076328E"/>
    <w:rsid w:val="007633C5"/>
    <w:rsid w:val="00763BA9"/>
    <w:rsid w:val="00763E0D"/>
    <w:rsid w:val="0076402A"/>
    <w:rsid w:val="00764745"/>
    <w:rsid w:val="0076561E"/>
    <w:rsid w:val="007661B0"/>
    <w:rsid w:val="00767864"/>
    <w:rsid w:val="007708E8"/>
    <w:rsid w:val="00770BE0"/>
    <w:rsid w:val="0077139F"/>
    <w:rsid w:val="007721B5"/>
    <w:rsid w:val="0077236D"/>
    <w:rsid w:val="0077238E"/>
    <w:rsid w:val="00773353"/>
    <w:rsid w:val="007736B9"/>
    <w:rsid w:val="0077371A"/>
    <w:rsid w:val="00774E51"/>
    <w:rsid w:val="00774FA4"/>
    <w:rsid w:val="007752E7"/>
    <w:rsid w:val="0077552F"/>
    <w:rsid w:val="007757C6"/>
    <w:rsid w:val="00775F03"/>
    <w:rsid w:val="00776AD8"/>
    <w:rsid w:val="00777CF4"/>
    <w:rsid w:val="007807FB"/>
    <w:rsid w:val="00780A45"/>
    <w:rsid w:val="0078206E"/>
    <w:rsid w:val="00783842"/>
    <w:rsid w:val="00784C38"/>
    <w:rsid w:val="00784E37"/>
    <w:rsid w:val="00785096"/>
    <w:rsid w:val="00785C5A"/>
    <w:rsid w:val="00786632"/>
    <w:rsid w:val="007876E3"/>
    <w:rsid w:val="00791D94"/>
    <w:rsid w:val="0079217E"/>
    <w:rsid w:val="007927CA"/>
    <w:rsid w:val="007928AD"/>
    <w:rsid w:val="007935D8"/>
    <w:rsid w:val="00794724"/>
    <w:rsid w:val="00794863"/>
    <w:rsid w:val="007948B8"/>
    <w:rsid w:val="00794F24"/>
    <w:rsid w:val="00794F4D"/>
    <w:rsid w:val="00795606"/>
    <w:rsid w:val="007974A2"/>
    <w:rsid w:val="0079750C"/>
    <w:rsid w:val="00797658"/>
    <w:rsid w:val="00797A84"/>
    <w:rsid w:val="007A0174"/>
    <w:rsid w:val="007A0BB2"/>
    <w:rsid w:val="007A2AE7"/>
    <w:rsid w:val="007A42C1"/>
    <w:rsid w:val="007A47E2"/>
    <w:rsid w:val="007A4B18"/>
    <w:rsid w:val="007A5131"/>
    <w:rsid w:val="007A5B42"/>
    <w:rsid w:val="007A5B7D"/>
    <w:rsid w:val="007A5F10"/>
    <w:rsid w:val="007A743B"/>
    <w:rsid w:val="007B10A6"/>
    <w:rsid w:val="007B4019"/>
    <w:rsid w:val="007B4691"/>
    <w:rsid w:val="007B4815"/>
    <w:rsid w:val="007B574A"/>
    <w:rsid w:val="007B66A0"/>
    <w:rsid w:val="007B69AF"/>
    <w:rsid w:val="007B6E4E"/>
    <w:rsid w:val="007B71E9"/>
    <w:rsid w:val="007B7263"/>
    <w:rsid w:val="007C0806"/>
    <w:rsid w:val="007C1702"/>
    <w:rsid w:val="007C1713"/>
    <w:rsid w:val="007C34C3"/>
    <w:rsid w:val="007C41D1"/>
    <w:rsid w:val="007C48C7"/>
    <w:rsid w:val="007C48F4"/>
    <w:rsid w:val="007C536E"/>
    <w:rsid w:val="007C562D"/>
    <w:rsid w:val="007C62C8"/>
    <w:rsid w:val="007C6423"/>
    <w:rsid w:val="007C69D6"/>
    <w:rsid w:val="007C7F20"/>
    <w:rsid w:val="007D0D99"/>
    <w:rsid w:val="007D12B7"/>
    <w:rsid w:val="007D1A93"/>
    <w:rsid w:val="007D2CEB"/>
    <w:rsid w:val="007D305F"/>
    <w:rsid w:val="007D347E"/>
    <w:rsid w:val="007D3591"/>
    <w:rsid w:val="007D4DFB"/>
    <w:rsid w:val="007D4F47"/>
    <w:rsid w:val="007D5075"/>
    <w:rsid w:val="007D63E6"/>
    <w:rsid w:val="007D6683"/>
    <w:rsid w:val="007E037A"/>
    <w:rsid w:val="007E0F25"/>
    <w:rsid w:val="007E1230"/>
    <w:rsid w:val="007E14FD"/>
    <w:rsid w:val="007E1ADE"/>
    <w:rsid w:val="007E3624"/>
    <w:rsid w:val="007E48ED"/>
    <w:rsid w:val="007E49F9"/>
    <w:rsid w:val="007E6167"/>
    <w:rsid w:val="007E658D"/>
    <w:rsid w:val="007E6AAD"/>
    <w:rsid w:val="007E6BF2"/>
    <w:rsid w:val="007E74C5"/>
    <w:rsid w:val="007E7D34"/>
    <w:rsid w:val="007F0093"/>
    <w:rsid w:val="007F0E34"/>
    <w:rsid w:val="007F1253"/>
    <w:rsid w:val="007F13B9"/>
    <w:rsid w:val="007F32C6"/>
    <w:rsid w:val="007F3F7F"/>
    <w:rsid w:val="007F5753"/>
    <w:rsid w:val="007F5B12"/>
    <w:rsid w:val="007F5DB2"/>
    <w:rsid w:val="007F5FF7"/>
    <w:rsid w:val="007F6368"/>
    <w:rsid w:val="007F6862"/>
    <w:rsid w:val="007F7B7F"/>
    <w:rsid w:val="007F7ED8"/>
    <w:rsid w:val="0080224F"/>
    <w:rsid w:val="0080262C"/>
    <w:rsid w:val="00803428"/>
    <w:rsid w:val="00804375"/>
    <w:rsid w:val="008043DE"/>
    <w:rsid w:val="008046E7"/>
    <w:rsid w:val="0080498D"/>
    <w:rsid w:val="008058F5"/>
    <w:rsid w:val="0080606A"/>
    <w:rsid w:val="008065F0"/>
    <w:rsid w:val="00807C2F"/>
    <w:rsid w:val="00810ED9"/>
    <w:rsid w:val="0081249B"/>
    <w:rsid w:val="008129C6"/>
    <w:rsid w:val="00812E0A"/>
    <w:rsid w:val="0081304A"/>
    <w:rsid w:val="0081352B"/>
    <w:rsid w:val="008136AC"/>
    <w:rsid w:val="00814514"/>
    <w:rsid w:val="00814806"/>
    <w:rsid w:val="008151FE"/>
    <w:rsid w:val="00815538"/>
    <w:rsid w:val="00815564"/>
    <w:rsid w:val="00815A95"/>
    <w:rsid w:val="00815CA3"/>
    <w:rsid w:val="00816738"/>
    <w:rsid w:val="008171CB"/>
    <w:rsid w:val="00817766"/>
    <w:rsid w:val="00817D67"/>
    <w:rsid w:val="00817DDF"/>
    <w:rsid w:val="00821003"/>
    <w:rsid w:val="0082104F"/>
    <w:rsid w:val="00821444"/>
    <w:rsid w:val="00821648"/>
    <w:rsid w:val="008216E5"/>
    <w:rsid w:val="0082268C"/>
    <w:rsid w:val="008237E2"/>
    <w:rsid w:val="008239B2"/>
    <w:rsid w:val="00823C95"/>
    <w:rsid w:val="00824003"/>
    <w:rsid w:val="00824E5B"/>
    <w:rsid w:val="008255E4"/>
    <w:rsid w:val="00825A99"/>
    <w:rsid w:val="0082606B"/>
    <w:rsid w:val="00826895"/>
    <w:rsid w:val="00827485"/>
    <w:rsid w:val="00827563"/>
    <w:rsid w:val="00827759"/>
    <w:rsid w:val="00827BAD"/>
    <w:rsid w:val="00830639"/>
    <w:rsid w:val="008309C9"/>
    <w:rsid w:val="00830A90"/>
    <w:rsid w:val="00830BC7"/>
    <w:rsid w:val="0083165A"/>
    <w:rsid w:val="0083266C"/>
    <w:rsid w:val="00832CAD"/>
    <w:rsid w:val="00833569"/>
    <w:rsid w:val="008335E3"/>
    <w:rsid w:val="00833B2F"/>
    <w:rsid w:val="00834DCB"/>
    <w:rsid w:val="00836387"/>
    <w:rsid w:val="008363C5"/>
    <w:rsid w:val="00836673"/>
    <w:rsid w:val="00836A9A"/>
    <w:rsid w:val="00836DA3"/>
    <w:rsid w:val="008370B2"/>
    <w:rsid w:val="0084069D"/>
    <w:rsid w:val="00840C01"/>
    <w:rsid w:val="00840C42"/>
    <w:rsid w:val="0084167C"/>
    <w:rsid w:val="00842D36"/>
    <w:rsid w:val="00842F8B"/>
    <w:rsid w:val="008446D7"/>
    <w:rsid w:val="00844F10"/>
    <w:rsid w:val="00845075"/>
    <w:rsid w:val="00845186"/>
    <w:rsid w:val="00845BBC"/>
    <w:rsid w:val="00846044"/>
    <w:rsid w:val="008469A3"/>
    <w:rsid w:val="00846EEA"/>
    <w:rsid w:val="00847ACD"/>
    <w:rsid w:val="00847D78"/>
    <w:rsid w:val="00847F2B"/>
    <w:rsid w:val="00850048"/>
    <w:rsid w:val="00850259"/>
    <w:rsid w:val="008506E9"/>
    <w:rsid w:val="00850AD9"/>
    <w:rsid w:val="00850FAE"/>
    <w:rsid w:val="008513D8"/>
    <w:rsid w:val="00852C25"/>
    <w:rsid w:val="00852D20"/>
    <w:rsid w:val="0085341A"/>
    <w:rsid w:val="00853963"/>
    <w:rsid w:val="00853B6F"/>
    <w:rsid w:val="00855767"/>
    <w:rsid w:val="00855D43"/>
    <w:rsid w:val="008561D7"/>
    <w:rsid w:val="00856A12"/>
    <w:rsid w:val="00856B41"/>
    <w:rsid w:val="008572F5"/>
    <w:rsid w:val="0086015E"/>
    <w:rsid w:val="00860228"/>
    <w:rsid w:val="0086061E"/>
    <w:rsid w:val="00860B22"/>
    <w:rsid w:val="00861074"/>
    <w:rsid w:val="00861669"/>
    <w:rsid w:val="00861699"/>
    <w:rsid w:val="00861A8C"/>
    <w:rsid w:val="00861F2F"/>
    <w:rsid w:val="00862568"/>
    <w:rsid w:val="008636FC"/>
    <w:rsid w:val="00863CCC"/>
    <w:rsid w:val="00863DB6"/>
    <w:rsid w:val="00863E3F"/>
    <w:rsid w:val="008641C8"/>
    <w:rsid w:val="008643C6"/>
    <w:rsid w:val="00865B60"/>
    <w:rsid w:val="00865C05"/>
    <w:rsid w:val="008678F2"/>
    <w:rsid w:val="00867DEB"/>
    <w:rsid w:val="008705E0"/>
    <w:rsid w:val="008710C2"/>
    <w:rsid w:val="00871164"/>
    <w:rsid w:val="00871B5D"/>
    <w:rsid w:val="00872633"/>
    <w:rsid w:val="00872CAC"/>
    <w:rsid w:val="00872EC2"/>
    <w:rsid w:val="00873BC6"/>
    <w:rsid w:val="00873C43"/>
    <w:rsid w:val="00873C80"/>
    <w:rsid w:val="00874375"/>
    <w:rsid w:val="00874A7E"/>
    <w:rsid w:val="00874FB1"/>
    <w:rsid w:val="00875067"/>
    <w:rsid w:val="00875AE2"/>
    <w:rsid w:val="00876305"/>
    <w:rsid w:val="008771F4"/>
    <w:rsid w:val="008774A0"/>
    <w:rsid w:val="00877A3E"/>
    <w:rsid w:val="008802FF"/>
    <w:rsid w:val="0088048E"/>
    <w:rsid w:val="0088070C"/>
    <w:rsid w:val="00880902"/>
    <w:rsid w:val="008809A3"/>
    <w:rsid w:val="008818DF"/>
    <w:rsid w:val="008819B1"/>
    <w:rsid w:val="00881E3C"/>
    <w:rsid w:val="00882274"/>
    <w:rsid w:val="00882465"/>
    <w:rsid w:val="00883531"/>
    <w:rsid w:val="00883CB7"/>
    <w:rsid w:val="008842BB"/>
    <w:rsid w:val="0088523A"/>
    <w:rsid w:val="00885603"/>
    <w:rsid w:val="00885CBB"/>
    <w:rsid w:val="0088611C"/>
    <w:rsid w:val="00886DD2"/>
    <w:rsid w:val="00886EBE"/>
    <w:rsid w:val="0088740E"/>
    <w:rsid w:val="008876C2"/>
    <w:rsid w:val="00890847"/>
    <w:rsid w:val="00891970"/>
    <w:rsid w:val="00891C58"/>
    <w:rsid w:val="008926A6"/>
    <w:rsid w:val="008926E5"/>
    <w:rsid w:val="00892947"/>
    <w:rsid w:val="00892A4E"/>
    <w:rsid w:val="00893106"/>
    <w:rsid w:val="0089402B"/>
    <w:rsid w:val="00894A27"/>
    <w:rsid w:val="00894EA6"/>
    <w:rsid w:val="008952C0"/>
    <w:rsid w:val="008955AC"/>
    <w:rsid w:val="00895BF8"/>
    <w:rsid w:val="00896894"/>
    <w:rsid w:val="00896A4C"/>
    <w:rsid w:val="00896EBA"/>
    <w:rsid w:val="00896FB0"/>
    <w:rsid w:val="0089705E"/>
    <w:rsid w:val="0089797F"/>
    <w:rsid w:val="00897A6A"/>
    <w:rsid w:val="008A04A5"/>
    <w:rsid w:val="008A07FE"/>
    <w:rsid w:val="008A08E4"/>
    <w:rsid w:val="008A0B5A"/>
    <w:rsid w:val="008A1C7F"/>
    <w:rsid w:val="008A1DE4"/>
    <w:rsid w:val="008A1F08"/>
    <w:rsid w:val="008A23C9"/>
    <w:rsid w:val="008A2745"/>
    <w:rsid w:val="008A2BFE"/>
    <w:rsid w:val="008A3706"/>
    <w:rsid w:val="008A39F8"/>
    <w:rsid w:val="008A3E53"/>
    <w:rsid w:val="008A651A"/>
    <w:rsid w:val="008A6A6A"/>
    <w:rsid w:val="008A6AAB"/>
    <w:rsid w:val="008A700C"/>
    <w:rsid w:val="008A7C01"/>
    <w:rsid w:val="008B027D"/>
    <w:rsid w:val="008B033D"/>
    <w:rsid w:val="008B0B3A"/>
    <w:rsid w:val="008B0E1A"/>
    <w:rsid w:val="008B1EE7"/>
    <w:rsid w:val="008B1F28"/>
    <w:rsid w:val="008B24F6"/>
    <w:rsid w:val="008B263D"/>
    <w:rsid w:val="008B2A74"/>
    <w:rsid w:val="008B32A9"/>
    <w:rsid w:val="008B3A9F"/>
    <w:rsid w:val="008B40EB"/>
    <w:rsid w:val="008B4966"/>
    <w:rsid w:val="008B5091"/>
    <w:rsid w:val="008B59CD"/>
    <w:rsid w:val="008B59E3"/>
    <w:rsid w:val="008B6226"/>
    <w:rsid w:val="008B6858"/>
    <w:rsid w:val="008B7246"/>
    <w:rsid w:val="008B7915"/>
    <w:rsid w:val="008C0083"/>
    <w:rsid w:val="008C11A5"/>
    <w:rsid w:val="008C211A"/>
    <w:rsid w:val="008C2B90"/>
    <w:rsid w:val="008C2EDB"/>
    <w:rsid w:val="008C3788"/>
    <w:rsid w:val="008C3D5A"/>
    <w:rsid w:val="008C43C0"/>
    <w:rsid w:val="008C4486"/>
    <w:rsid w:val="008C6805"/>
    <w:rsid w:val="008C6835"/>
    <w:rsid w:val="008C69CC"/>
    <w:rsid w:val="008C6C9A"/>
    <w:rsid w:val="008C701E"/>
    <w:rsid w:val="008D0311"/>
    <w:rsid w:val="008D0AB0"/>
    <w:rsid w:val="008D0B45"/>
    <w:rsid w:val="008D1614"/>
    <w:rsid w:val="008D19A3"/>
    <w:rsid w:val="008D1B64"/>
    <w:rsid w:val="008D3B76"/>
    <w:rsid w:val="008D4090"/>
    <w:rsid w:val="008D4162"/>
    <w:rsid w:val="008D4E54"/>
    <w:rsid w:val="008D53EA"/>
    <w:rsid w:val="008D55DF"/>
    <w:rsid w:val="008D59D9"/>
    <w:rsid w:val="008E0846"/>
    <w:rsid w:val="008E11C0"/>
    <w:rsid w:val="008E29A8"/>
    <w:rsid w:val="008E2E8A"/>
    <w:rsid w:val="008E325C"/>
    <w:rsid w:val="008E3510"/>
    <w:rsid w:val="008E3C2C"/>
    <w:rsid w:val="008E41C3"/>
    <w:rsid w:val="008E4263"/>
    <w:rsid w:val="008E438C"/>
    <w:rsid w:val="008E517E"/>
    <w:rsid w:val="008E51AF"/>
    <w:rsid w:val="008E548A"/>
    <w:rsid w:val="008E68AB"/>
    <w:rsid w:val="008E6D23"/>
    <w:rsid w:val="008E6D3F"/>
    <w:rsid w:val="008E74A2"/>
    <w:rsid w:val="008F08E7"/>
    <w:rsid w:val="008F0F1B"/>
    <w:rsid w:val="008F16AD"/>
    <w:rsid w:val="008F1B25"/>
    <w:rsid w:val="008F1CA2"/>
    <w:rsid w:val="008F2AD5"/>
    <w:rsid w:val="008F35A4"/>
    <w:rsid w:val="008F4B82"/>
    <w:rsid w:val="008F4E50"/>
    <w:rsid w:val="008F4E8E"/>
    <w:rsid w:val="008F548A"/>
    <w:rsid w:val="008F7028"/>
    <w:rsid w:val="008F7B6C"/>
    <w:rsid w:val="00900AC1"/>
    <w:rsid w:val="00901357"/>
    <w:rsid w:val="00901CA3"/>
    <w:rsid w:val="00902348"/>
    <w:rsid w:val="009024D0"/>
    <w:rsid w:val="00902C68"/>
    <w:rsid w:val="0090303E"/>
    <w:rsid w:val="00903784"/>
    <w:rsid w:val="00903990"/>
    <w:rsid w:val="00903AC3"/>
    <w:rsid w:val="0090412E"/>
    <w:rsid w:val="00904536"/>
    <w:rsid w:val="0090478A"/>
    <w:rsid w:val="00904B0C"/>
    <w:rsid w:val="009060C3"/>
    <w:rsid w:val="00907F3F"/>
    <w:rsid w:val="009102A7"/>
    <w:rsid w:val="009106E0"/>
    <w:rsid w:val="00910A68"/>
    <w:rsid w:val="009117CC"/>
    <w:rsid w:val="00911BF2"/>
    <w:rsid w:val="00911D86"/>
    <w:rsid w:val="00912469"/>
    <w:rsid w:val="00912A46"/>
    <w:rsid w:val="00912EA5"/>
    <w:rsid w:val="00913133"/>
    <w:rsid w:val="0091359E"/>
    <w:rsid w:val="009136E1"/>
    <w:rsid w:val="00913731"/>
    <w:rsid w:val="009137A6"/>
    <w:rsid w:val="009137DB"/>
    <w:rsid w:val="0091380A"/>
    <w:rsid w:val="009139F0"/>
    <w:rsid w:val="00914238"/>
    <w:rsid w:val="009142AE"/>
    <w:rsid w:val="009144B5"/>
    <w:rsid w:val="009146F6"/>
    <w:rsid w:val="009151F2"/>
    <w:rsid w:val="009157DB"/>
    <w:rsid w:val="00915863"/>
    <w:rsid w:val="0091692E"/>
    <w:rsid w:val="00916ED7"/>
    <w:rsid w:val="00917043"/>
    <w:rsid w:val="00917095"/>
    <w:rsid w:val="0091789E"/>
    <w:rsid w:val="00917B88"/>
    <w:rsid w:val="00917EB6"/>
    <w:rsid w:val="00920AE9"/>
    <w:rsid w:val="00920BC0"/>
    <w:rsid w:val="009210A7"/>
    <w:rsid w:val="00922918"/>
    <w:rsid w:val="0092294B"/>
    <w:rsid w:val="00923856"/>
    <w:rsid w:val="0092388A"/>
    <w:rsid w:val="00924F6B"/>
    <w:rsid w:val="00925560"/>
    <w:rsid w:val="00925D60"/>
    <w:rsid w:val="009260AB"/>
    <w:rsid w:val="00926727"/>
    <w:rsid w:val="00926891"/>
    <w:rsid w:val="00926E69"/>
    <w:rsid w:val="00927572"/>
    <w:rsid w:val="00927ED7"/>
    <w:rsid w:val="00930EF7"/>
    <w:rsid w:val="009317B8"/>
    <w:rsid w:val="0093242E"/>
    <w:rsid w:val="00934EBF"/>
    <w:rsid w:val="0093509B"/>
    <w:rsid w:val="00935E02"/>
    <w:rsid w:val="009360D6"/>
    <w:rsid w:val="00936510"/>
    <w:rsid w:val="0093654D"/>
    <w:rsid w:val="00937186"/>
    <w:rsid w:val="00937337"/>
    <w:rsid w:val="0094068D"/>
    <w:rsid w:val="00941336"/>
    <w:rsid w:val="0094186E"/>
    <w:rsid w:val="00941E73"/>
    <w:rsid w:val="00942379"/>
    <w:rsid w:val="00945E92"/>
    <w:rsid w:val="009466EE"/>
    <w:rsid w:val="0094728C"/>
    <w:rsid w:val="00947A21"/>
    <w:rsid w:val="00950CA5"/>
    <w:rsid w:val="00950F02"/>
    <w:rsid w:val="0095137F"/>
    <w:rsid w:val="009517F5"/>
    <w:rsid w:val="009518FA"/>
    <w:rsid w:val="00952880"/>
    <w:rsid w:val="00953D8A"/>
    <w:rsid w:val="00954D9C"/>
    <w:rsid w:val="009570B2"/>
    <w:rsid w:val="009575E1"/>
    <w:rsid w:val="009576C0"/>
    <w:rsid w:val="0096040C"/>
    <w:rsid w:val="00960A95"/>
    <w:rsid w:val="00960BC7"/>
    <w:rsid w:val="00960ED4"/>
    <w:rsid w:val="00961109"/>
    <w:rsid w:val="00962129"/>
    <w:rsid w:val="00962882"/>
    <w:rsid w:val="009632C9"/>
    <w:rsid w:val="0096357A"/>
    <w:rsid w:val="00964625"/>
    <w:rsid w:val="009657C0"/>
    <w:rsid w:val="00966592"/>
    <w:rsid w:val="009667EE"/>
    <w:rsid w:val="00966B9F"/>
    <w:rsid w:val="00967423"/>
    <w:rsid w:val="00971115"/>
    <w:rsid w:val="0097147F"/>
    <w:rsid w:val="0097183B"/>
    <w:rsid w:val="00971B81"/>
    <w:rsid w:val="009722F6"/>
    <w:rsid w:val="00973133"/>
    <w:rsid w:val="0097316B"/>
    <w:rsid w:val="00973305"/>
    <w:rsid w:val="009734AB"/>
    <w:rsid w:val="0097354A"/>
    <w:rsid w:val="00973CD2"/>
    <w:rsid w:val="00974FAA"/>
    <w:rsid w:val="00975A7C"/>
    <w:rsid w:val="009760AE"/>
    <w:rsid w:val="009763BF"/>
    <w:rsid w:val="00977053"/>
    <w:rsid w:val="00977184"/>
    <w:rsid w:val="0097718F"/>
    <w:rsid w:val="009802C9"/>
    <w:rsid w:val="00980EF6"/>
    <w:rsid w:val="009814FC"/>
    <w:rsid w:val="009817E0"/>
    <w:rsid w:val="00982589"/>
    <w:rsid w:val="009828E7"/>
    <w:rsid w:val="00983BFC"/>
    <w:rsid w:val="00983D08"/>
    <w:rsid w:val="00983F34"/>
    <w:rsid w:val="00984AC5"/>
    <w:rsid w:val="009856A5"/>
    <w:rsid w:val="00985ABF"/>
    <w:rsid w:val="00986106"/>
    <w:rsid w:val="00986853"/>
    <w:rsid w:val="009879FD"/>
    <w:rsid w:val="00987C61"/>
    <w:rsid w:val="00987D11"/>
    <w:rsid w:val="0099145F"/>
    <w:rsid w:val="0099169E"/>
    <w:rsid w:val="00992058"/>
    <w:rsid w:val="0099221B"/>
    <w:rsid w:val="009927FA"/>
    <w:rsid w:val="009928CD"/>
    <w:rsid w:val="00992F94"/>
    <w:rsid w:val="00994114"/>
    <w:rsid w:val="00994687"/>
    <w:rsid w:val="00994D03"/>
    <w:rsid w:val="00995C11"/>
    <w:rsid w:val="009967F2"/>
    <w:rsid w:val="00997790"/>
    <w:rsid w:val="009A1197"/>
    <w:rsid w:val="009A11A5"/>
    <w:rsid w:val="009A1A1A"/>
    <w:rsid w:val="009A2814"/>
    <w:rsid w:val="009A2A09"/>
    <w:rsid w:val="009A2D39"/>
    <w:rsid w:val="009A3679"/>
    <w:rsid w:val="009A4398"/>
    <w:rsid w:val="009A4C0F"/>
    <w:rsid w:val="009A5480"/>
    <w:rsid w:val="009A66D0"/>
    <w:rsid w:val="009A6D4B"/>
    <w:rsid w:val="009A7B52"/>
    <w:rsid w:val="009B01FC"/>
    <w:rsid w:val="009B189C"/>
    <w:rsid w:val="009B19A9"/>
    <w:rsid w:val="009B1BFE"/>
    <w:rsid w:val="009B2816"/>
    <w:rsid w:val="009B60FE"/>
    <w:rsid w:val="009B707F"/>
    <w:rsid w:val="009B7328"/>
    <w:rsid w:val="009B7367"/>
    <w:rsid w:val="009C011C"/>
    <w:rsid w:val="009C1904"/>
    <w:rsid w:val="009C1B65"/>
    <w:rsid w:val="009C1D75"/>
    <w:rsid w:val="009C48A5"/>
    <w:rsid w:val="009C4A5A"/>
    <w:rsid w:val="009C4E68"/>
    <w:rsid w:val="009C7127"/>
    <w:rsid w:val="009C77C7"/>
    <w:rsid w:val="009C787A"/>
    <w:rsid w:val="009C7968"/>
    <w:rsid w:val="009D0488"/>
    <w:rsid w:val="009D1B79"/>
    <w:rsid w:val="009D1FC8"/>
    <w:rsid w:val="009D2DF2"/>
    <w:rsid w:val="009D32CA"/>
    <w:rsid w:val="009D3790"/>
    <w:rsid w:val="009D38C7"/>
    <w:rsid w:val="009D3F76"/>
    <w:rsid w:val="009D44E9"/>
    <w:rsid w:val="009D4B75"/>
    <w:rsid w:val="009D5326"/>
    <w:rsid w:val="009D6D77"/>
    <w:rsid w:val="009D7099"/>
    <w:rsid w:val="009D74FC"/>
    <w:rsid w:val="009D78C6"/>
    <w:rsid w:val="009E012E"/>
    <w:rsid w:val="009E0EA2"/>
    <w:rsid w:val="009E1E01"/>
    <w:rsid w:val="009E214D"/>
    <w:rsid w:val="009E28EC"/>
    <w:rsid w:val="009E2E05"/>
    <w:rsid w:val="009E4841"/>
    <w:rsid w:val="009E5BE6"/>
    <w:rsid w:val="009E6C8F"/>
    <w:rsid w:val="009E6FEC"/>
    <w:rsid w:val="009E7983"/>
    <w:rsid w:val="009F126D"/>
    <w:rsid w:val="009F1704"/>
    <w:rsid w:val="009F18A7"/>
    <w:rsid w:val="009F2E31"/>
    <w:rsid w:val="009F3225"/>
    <w:rsid w:val="009F39E9"/>
    <w:rsid w:val="009F3AEE"/>
    <w:rsid w:val="009F3F1F"/>
    <w:rsid w:val="009F4BA3"/>
    <w:rsid w:val="009F4FB3"/>
    <w:rsid w:val="009F5E17"/>
    <w:rsid w:val="009F693D"/>
    <w:rsid w:val="009F71D1"/>
    <w:rsid w:val="009F74E6"/>
    <w:rsid w:val="009F7B8A"/>
    <w:rsid w:val="00A000EA"/>
    <w:rsid w:val="00A00754"/>
    <w:rsid w:val="00A00DD6"/>
    <w:rsid w:val="00A017BA"/>
    <w:rsid w:val="00A01EFD"/>
    <w:rsid w:val="00A01F7A"/>
    <w:rsid w:val="00A0243F"/>
    <w:rsid w:val="00A026DF"/>
    <w:rsid w:val="00A03012"/>
    <w:rsid w:val="00A032A5"/>
    <w:rsid w:val="00A03A5F"/>
    <w:rsid w:val="00A04100"/>
    <w:rsid w:val="00A048F6"/>
    <w:rsid w:val="00A0547B"/>
    <w:rsid w:val="00A056A9"/>
    <w:rsid w:val="00A05773"/>
    <w:rsid w:val="00A05C6A"/>
    <w:rsid w:val="00A06035"/>
    <w:rsid w:val="00A0634D"/>
    <w:rsid w:val="00A066DE"/>
    <w:rsid w:val="00A07029"/>
    <w:rsid w:val="00A075C8"/>
    <w:rsid w:val="00A100F5"/>
    <w:rsid w:val="00A10225"/>
    <w:rsid w:val="00A10B65"/>
    <w:rsid w:val="00A10D0C"/>
    <w:rsid w:val="00A11A45"/>
    <w:rsid w:val="00A1349D"/>
    <w:rsid w:val="00A141E5"/>
    <w:rsid w:val="00A15581"/>
    <w:rsid w:val="00A1593F"/>
    <w:rsid w:val="00A15B57"/>
    <w:rsid w:val="00A161CF"/>
    <w:rsid w:val="00A16969"/>
    <w:rsid w:val="00A178AA"/>
    <w:rsid w:val="00A2012E"/>
    <w:rsid w:val="00A209CC"/>
    <w:rsid w:val="00A21828"/>
    <w:rsid w:val="00A21E11"/>
    <w:rsid w:val="00A21F92"/>
    <w:rsid w:val="00A231AD"/>
    <w:rsid w:val="00A245AA"/>
    <w:rsid w:val="00A2507E"/>
    <w:rsid w:val="00A2536F"/>
    <w:rsid w:val="00A263F4"/>
    <w:rsid w:val="00A26AF6"/>
    <w:rsid w:val="00A26C36"/>
    <w:rsid w:val="00A27B66"/>
    <w:rsid w:val="00A30DB3"/>
    <w:rsid w:val="00A30F1E"/>
    <w:rsid w:val="00A33145"/>
    <w:rsid w:val="00A344A6"/>
    <w:rsid w:val="00A346B4"/>
    <w:rsid w:val="00A369E3"/>
    <w:rsid w:val="00A403E9"/>
    <w:rsid w:val="00A406DC"/>
    <w:rsid w:val="00A41119"/>
    <w:rsid w:val="00A418B7"/>
    <w:rsid w:val="00A41D74"/>
    <w:rsid w:val="00A422D6"/>
    <w:rsid w:val="00A426E8"/>
    <w:rsid w:val="00A42744"/>
    <w:rsid w:val="00A4347E"/>
    <w:rsid w:val="00A4365C"/>
    <w:rsid w:val="00A4381E"/>
    <w:rsid w:val="00A439B5"/>
    <w:rsid w:val="00A43BF5"/>
    <w:rsid w:val="00A4432E"/>
    <w:rsid w:val="00A45634"/>
    <w:rsid w:val="00A4630E"/>
    <w:rsid w:val="00A46646"/>
    <w:rsid w:val="00A47DE3"/>
    <w:rsid w:val="00A5167A"/>
    <w:rsid w:val="00A516B8"/>
    <w:rsid w:val="00A5195D"/>
    <w:rsid w:val="00A51B76"/>
    <w:rsid w:val="00A51B9A"/>
    <w:rsid w:val="00A5227A"/>
    <w:rsid w:val="00A52BD6"/>
    <w:rsid w:val="00A53876"/>
    <w:rsid w:val="00A5566D"/>
    <w:rsid w:val="00A55A52"/>
    <w:rsid w:val="00A55DE0"/>
    <w:rsid w:val="00A56198"/>
    <w:rsid w:val="00A5647E"/>
    <w:rsid w:val="00A56884"/>
    <w:rsid w:val="00A572BA"/>
    <w:rsid w:val="00A57D42"/>
    <w:rsid w:val="00A60001"/>
    <w:rsid w:val="00A605DF"/>
    <w:rsid w:val="00A60BBB"/>
    <w:rsid w:val="00A60C83"/>
    <w:rsid w:val="00A61F5E"/>
    <w:rsid w:val="00A62EAF"/>
    <w:rsid w:val="00A63504"/>
    <w:rsid w:val="00A63A99"/>
    <w:rsid w:val="00A63EDE"/>
    <w:rsid w:val="00A65AA8"/>
    <w:rsid w:val="00A65F1E"/>
    <w:rsid w:val="00A66EB3"/>
    <w:rsid w:val="00A67E67"/>
    <w:rsid w:val="00A67F78"/>
    <w:rsid w:val="00A720A9"/>
    <w:rsid w:val="00A7326A"/>
    <w:rsid w:val="00A739AD"/>
    <w:rsid w:val="00A74190"/>
    <w:rsid w:val="00A74E11"/>
    <w:rsid w:val="00A755EE"/>
    <w:rsid w:val="00A7596C"/>
    <w:rsid w:val="00A767AC"/>
    <w:rsid w:val="00A76931"/>
    <w:rsid w:val="00A769F3"/>
    <w:rsid w:val="00A76E96"/>
    <w:rsid w:val="00A778B1"/>
    <w:rsid w:val="00A77BB3"/>
    <w:rsid w:val="00A80964"/>
    <w:rsid w:val="00A80FDC"/>
    <w:rsid w:val="00A83111"/>
    <w:rsid w:val="00A83B07"/>
    <w:rsid w:val="00A84616"/>
    <w:rsid w:val="00A847A6"/>
    <w:rsid w:val="00A84A09"/>
    <w:rsid w:val="00A8533C"/>
    <w:rsid w:val="00A855AA"/>
    <w:rsid w:val="00A85982"/>
    <w:rsid w:val="00A85B90"/>
    <w:rsid w:val="00A8611D"/>
    <w:rsid w:val="00A87256"/>
    <w:rsid w:val="00A87E1C"/>
    <w:rsid w:val="00A900A2"/>
    <w:rsid w:val="00A9015D"/>
    <w:rsid w:val="00A90BE6"/>
    <w:rsid w:val="00A917B5"/>
    <w:rsid w:val="00A92F4D"/>
    <w:rsid w:val="00A934C1"/>
    <w:rsid w:val="00A93F9B"/>
    <w:rsid w:val="00A9414A"/>
    <w:rsid w:val="00A958CE"/>
    <w:rsid w:val="00A963EF"/>
    <w:rsid w:val="00A972FF"/>
    <w:rsid w:val="00A97760"/>
    <w:rsid w:val="00A97D14"/>
    <w:rsid w:val="00AA0449"/>
    <w:rsid w:val="00AA22FC"/>
    <w:rsid w:val="00AA3658"/>
    <w:rsid w:val="00AA3E11"/>
    <w:rsid w:val="00AA4767"/>
    <w:rsid w:val="00AA596D"/>
    <w:rsid w:val="00AA5A91"/>
    <w:rsid w:val="00AA6F71"/>
    <w:rsid w:val="00AA7579"/>
    <w:rsid w:val="00AA774B"/>
    <w:rsid w:val="00AA7A19"/>
    <w:rsid w:val="00AB059C"/>
    <w:rsid w:val="00AB0655"/>
    <w:rsid w:val="00AB0683"/>
    <w:rsid w:val="00AB179B"/>
    <w:rsid w:val="00AB197C"/>
    <w:rsid w:val="00AB199E"/>
    <w:rsid w:val="00AB2C04"/>
    <w:rsid w:val="00AB2DA9"/>
    <w:rsid w:val="00AB31D4"/>
    <w:rsid w:val="00AB3DE5"/>
    <w:rsid w:val="00AB5052"/>
    <w:rsid w:val="00AB5560"/>
    <w:rsid w:val="00AB5F88"/>
    <w:rsid w:val="00AB617F"/>
    <w:rsid w:val="00AB6A6D"/>
    <w:rsid w:val="00AB6AD5"/>
    <w:rsid w:val="00AC0243"/>
    <w:rsid w:val="00AC1C80"/>
    <w:rsid w:val="00AC1EDA"/>
    <w:rsid w:val="00AC4914"/>
    <w:rsid w:val="00AC5187"/>
    <w:rsid w:val="00AC58FC"/>
    <w:rsid w:val="00AC5B84"/>
    <w:rsid w:val="00AC675F"/>
    <w:rsid w:val="00AC6818"/>
    <w:rsid w:val="00AD0B1B"/>
    <w:rsid w:val="00AD26DD"/>
    <w:rsid w:val="00AD287B"/>
    <w:rsid w:val="00AD2C6C"/>
    <w:rsid w:val="00AD3ACB"/>
    <w:rsid w:val="00AD3B6B"/>
    <w:rsid w:val="00AD48BE"/>
    <w:rsid w:val="00AD4D89"/>
    <w:rsid w:val="00AD5A89"/>
    <w:rsid w:val="00AD5E69"/>
    <w:rsid w:val="00AD6BF5"/>
    <w:rsid w:val="00AD6F3C"/>
    <w:rsid w:val="00AD7AA1"/>
    <w:rsid w:val="00AD7C8B"/>
    <w:rsid w:val="00AE009E"/>
    <w:rsid w:val="00AE0D3A"/>
    <w:rsid w:val="00AE2BA5"/>
    <w:rsid w:val="00AE3380"/>
    <w:rsid w:val="00AE3421"/>
    <w:rsid w:val="00AE4FDE"/>
    <w:rsid w:val="00AE7106"/>
    <w:rsid w:val="00AE7160"/>
    <w:rsid w:val="00AE7367"/>
    <w:rsid w:val="00AE73B1"/>
    <w:rsid w:val="00AE7443"/>
    <w:rsid w:val="00AE776B"/>
    <w:rsid w:val="00AE7B30"/>
    <w:rsid w:val="00AE7B86"/>
    <w:rsid w:val="00AF026B"/>
    <w:rsid w:val="00AF0A10"/>
    <w:rsid w:val="00AF0D32"/>
    <w:rsid w:val="00AF1851"/>
    <w:rsid w:val="00AF1932"/>
    <w:rsid w:val="00AF1A80"/>
    <w:rsid w:val="00AF2305"/>
    <w:rsid w:val="00AF2A93"/>
    <w:rsid w:val="00AF3838"/>
    <w:rsid w:val="00AF3FF4"/>
    <w:rsid w:val="00AF46AA"/>
    <w:rsid w:val="00AF560C"/>
    <w:rsid w:val="00AF58D0"/>
    <w:rsid w:val="00AF5A45"/>
    <w:rsid w:val="00AF5D98"/>
    <w:rsid w:val="00AF5E6C"/>
    <w:rsid w:val="00AF6576"/>
    <w:rsid w:val="00AF6D97"/>
    <w:rsid w:val="00AF725C"/>
    <w:rsid w:val="00AF7307"/>
    <w:rsid w:val="00B00616"/>
    <w:rsid w:val="00B02D62"/>
    <w:rsid w:val="00B03A57"/>
    <w:rsid w:val="00B044C6"/>
    <w:rsid w:val="00B04A05"/>
    <w:rsid w:val="00B04FDD"/>
    <w:rsid w:val="00B05264"/>
    <w:rsid w:val="00B05B95"/>
    <w:rsid w:val="00B06FA0"/>
    <w:rsid w:val="00B073AD"/>
    <w:rsid w:val="00B074DC"/>
    <w:rsid w:val="00B1005B"/>
    <w:rsid w:val="00B10277"/>
    <w:rsid w:val="00B115F0"/>
    <w:rsid w:val="00B115FD"/>
    <w:rsid w:val="00B11C27"/>
    <w:rsid w:val="00B11F55"/>
    <w:rsid w:val="00B11FF2"/>
    <w:rsid w:val="00B12858"/>
    <w:rsid w:val="00B13533"/>
    <w:rsid w:val="00B14A9F"/>
    <w:rsid w:val="00B169AD"/>
    <w:rsid w:val="00B16EDB"/>
    <w:rsid w:val="00B17C6D"/>
    <w:rsid w:val="00B2015B"/>
    <w:rsid w:val="00B2035E"/>
    <w:rsid w:val="00B20404"/>
    <w:rsid w:val="00B2222C"/>
    <w:rsid w:val="00B22422"/>
    <w:rsid w:val="00B23053"/>
    <w:rsid w:val="00B237DD"/>
    <w:rsid w:val="00B23CE0"/>
    <w:rsid w:val="00B23F76"/>
    <w:rsid w:val="00B26221"/>
    <w:rsid w:val="00B26511"/>
    <w:rsid w:val="00B265E3"/>
    <w:rsid w:val="00B269FC"/>
    <w:rsid w:val="00B27A34"/>
    <w:rsid w:val="00B300D7"/>
    <w:rsid w:val="00B306EE"/>
    <w:rsid w:val="00B30A75"/>
    <w:rsid w:val="00B30B18"/>
    <w:rsid w:val="00B30BC8"/>
    <w:rsid w:val="00B3187F"/>
    <w:rsid w:val="00B31B5E"/>
    <w:rsid w:val="00B320E6"/>
    <w:rsid w:val="00B32170"/>
    <w:rsid w:val="00B32327"/>
    <w:rsid w:val="00B3367F"/>
    <w:rsid w:val="00B33DB4"/>
    <w:rsid w:val="00B34968"/>
    <w:rsid w:val="00B34F63"/>
    <w:rsid w:val="00B35670"/>
    <w:rsid w:val="00B367E5"/>
    <w:rsid w:val="00B37DDC"/>
    <w:rsid w:val="00B4012B"/>
    <w:rsid w:val="00B40426"/>
    <w:rsid w:val="00B40EDB"/>
    <w:rsid w:val="00B4136D"/>
    <w:rsid w:val="00B42F04"/>
    <w:rsid w:val="00B43126"/>
    <w:rsid w:val="00B43A2D"/>
    <w:rsid w:val="00B447A6"/>
    <w:rsid w:val="00B447CB"/>
    <w:rsid w:val="00B449BD"/>
    <w:rsid w:val="00B44C52"/>
    <w:rsid w:val="00B45D75"/>
    <w:rsid w:val="00B45F88"/>
    <w:rsid w:val="00B47069"/>
    <w:rsid w:val="00B521F0"/>
    <w:rsid w:val="00B5275C"/>
    <w:rsid w:val="00B52D67"/>
    <w:rsid w:val="00B53A21"/>
    <w:rsid w:val="00B53B49"/>
    <w:rsid w:val="00B542DB"/>
    <w:rsid w:val="00B548FA"/>
    <w:rsid w:val="00B54A0A"/>
    <w:rsid w:val="00B54FFC"/>
    <w:rsid w:val="00B55339"/>
    <w:rsid w:val="00B5585D"/>
    <w:rsid w:val="00B56695"/>
    <w:rsid w:val="00B56953"/>
    <w:rsid w:val="00B56A7D"/>
    <w:rsid w:val="00B56DDA"/>
    <w:rsid w:val="00B56FF3"/>
    <w:rsid w:val="00B57AFD"/>
    <w:rsid w:val="00B57EA9"/>
    <w:rsid w:val="00B57F3E"/>
    <w:rsid w:val="00B60607"/>
    <w:rsid w:val="00B6070C"/>
    <w:rsid w:val="00B6078D"/>
    <w:rsid w:val="00B60F30"/>
    <w:rsid w:val="00B61497"/>
    <w:rsid w:val="00B62499"/>
    <w:rsid w:val="00B62699"/>
    <w:rsid w:val="00B6273E"/>
    <w:rsid w:val="00B63812"/>
    <w:rsid w:val="00B641F8"/>
    <w:rsid w:val="00B64399"/>
    <w:rsid w:val="00B66BB5"/>
    <w:rsid w:val="00B66DC0"/>
    <w:rsid w:val="00B70E8D"/>
    <w:rsid w:val="00B712A4"/>
    <w:rsid w:val="00B721DA"/>
    <w:rsid w:val="00B7228A"/>
    <w:rsid w:val="00B72C0E"/>
    <w:rsid w:val="00B73513"/>
    <w:rsid w:val="00B762E0"/>
    <w:rsid w:val="00B765E6"/>
    <w:rsid w:val="00B7662E"/>
    <w:rsid w:val="00B76EF2"/>
    <w:rsid w:val="00B77F94"/>
    <w:rsid w:val="00B811D5"/>
    <w:rsid w:val="00B81C94"/>
    <w:rsid w:val="00B8202F"/>
    <w:rsid w:val="00B82086"/>
    <w:rsid w:val="00B82AEB"/>
    <w:rsid w:val="00B847D7"/>
    <w:rsid w:val="00B851AF"/>
    <w:rsid w:val="00B8573E"/>
    <w:rsid w:val="00B85DB4"/>
    <w:rsid w:val="00B87167"/>
    <w:rsid w:val="00B8740C"/>
    <w:rsid w:val="00B87AFE"/>
    <w:rsid w:val="00B87EBE"/>
    <w:rsid w:val="00B9005F"/>
    <w:rsid w:val="00B90085"/>
    <w:rsid w:val="00B9042F"/>
    <w:rsid w:val="00B91263"/>
    <w:rsid w:val="00B917CA"/>
    <w:rsid w:val="00B927E5"/>
    <w:rsid w:val="00B929F5"/>
    <w:rsid w:val="00B94874"/>
    <w:rsid w:val="00B95355"/>
    <w:rsid w:val="00B95427"/>
    <w:rsid w:val="00B95B7C"/>
    <w:rsid w:val="00B96E05"/>
    <w:rsid w:val="00B96E1D"/>
    <w:rsid w:val="00B970AA"/>
    <w:rsid w:val="00B975F3"/>
    <w:rsid w:val="00B97934"/>
    <w:rsid w:val="00BA025C"/>
    <w:rsid w:val="00BA0386"/>
    <w:rsid w:val="00BA0921"/>
    <w:rsid w:val="00BA0ADC"/>
    <w:rsid w:val="00BA0ADD"/>
    <w:rsid w:val="00BA1659"/>
    <w:rsid w:val="00BA1E11"/>
    <w:rsid w:val="00BA2581"/>
    <w:rsid w:val="00BA25D3"/>
    <w:rsid w:val="00BA3490"/>
    <w:rsid w:val="00BA41D0"/>
    <w:rsid w:val="00BA42C6"/>
    <w:rsid w:val="00BA5BF0"/>
    <w:rsid w:val="00BA6C91"/>
    <w:rsid w:val="00BA6D32"/>
    <w:rsid w:val="00BA795E"/>
    <w:rsid w:val="00BB10A2"/>
    <w:rsid w:val="00BB137C"/>
    <w:rsid w:val="00BB14F8"/>
    <w:rsid w:val="00BB3EC8"/>
    <w:rsid w:val="00BB4041"/>
    <w:rsid w:val="00BB4878"/>
    <w:rsid w:val="00BB530B"/>
    <w:rsid w:val="00BB6A1F"/>
    <w:rsid w:val="00BC0EFB"/>
    <w:rsid w:val="00BC13D0"/>
    <w:rsid w:val="00BC2022"/>
    <w:rsid w:val="00BC21EE"/>
    <w:rsid w:val="00BC45BC"/>
    <w:rsid w:val="00BC47AF"/>
    <w:rsid w:val="00BC621D"/>
    <w:rsid w:val="00BC62B5"/>
    <w:rsid w:val="00BC647B"/>
    <w:rsid w:val="00BC65D8"/>
    <w:rsid w:val="00BC67C6"/>
    <w:rsid w:val="00BC750D"/>
    <w:rsid w:val="00BC7BF2"/>
    <w:rsid w:val="00BD01ED"/>
    <w:rsid w:val="00BD049E"/>
    <w:rsid w:val="00BD0958"/>
    <w:rsid w:val="00BD0A63"/>
    <w:rsid w:val="00BD1043"/>
    <w:rsid w:val="00BD1415"/>
    <w:rsid w:val="00BD15A1"/>
    <w:rsid w:val="00BD27E4"/>
    <w:rsid w:val="00BD316B"/>
    <w:rsid w:val="00BD3DBD"/>
    <w:rsid w:val="00BD4653"/>
    <w:rsid w:val="00BD46A7"/>
    <w:rsid w:val="00BD47C4"/>
    <w:rsid w:val="00BD5426"/>
    <w:rsid w:val="00BD560B"/>
    <w:rsid w:val="00BD6475"/>
    <w:rsid w:val="00BD79E5"/>
    <w:rsid w:val="00BE01E6"/>
    <w:rsid w:val="00BE0A60"/>
    <w:rsid w:val="00BE175B"/>
    <w:rsid w:val="00BE17BE"/>
    <w:rsid w:val="00BE2499"/>
    <w:rsid w:val="00BE3559"/>
    <w:rsid w:val="00BE3FAB"/>
    <w:rsid w:val="00BE43BE"/>
    <w:rsid w:val="00BE45D4"/>
    <w:rsid w:val="00BE48B6"/>
    <w:rsid w:val="00BE5BEE"/>
    <w:rsid w:val="00BE6721"/>
    <w:rsid w:val="00BE720E"/>
    <w:rsid w:val="00BF0271"/>
    <w:rsid w:val="00BF06DD"/>
    <w:rsid w:val="00BF12C4"/>
    <w:rsid w:val="00BF1A02"/>
    <w:rsid w:val="00BF1C42"/>
    <w:rsid w:val="00BF265E"/>
    <w:rsid w:val="00BF2AA0"/>
    <w:rsid w:val="00BF2B61"/>
    <w:rsid w:val="00BF2C0E"/>
    <w:rsid w:val="00BF5E81"/>
    <w:rsid w:val="00BF5F59"/>
    <w:rsid w:val="00BF5F95"/>
    <w:rsid w:val="00BF65CA"/>
    <w:rsid w:val="00BF687A"/>
    <w:rsid w:val="00BF71D4"/>
    <w:rsid w:val="00BF7BBD"/>
    <w:rsid w:val="00C01123"/>
    <w:rsid w:val="00C01987"/>
    <w:rsid w:val="00C02CC6"/>
    <w:rsid w:val="00C02D27"/>
    <w:rsid w:val="00C02EEB"/>
    <w:rsid w:val="00C0431C"/>
    <w:rsid w:val="00C0490B"/>
    <w:rsid w:val="00C061BA"/>
    <w:rsid w:val="00C06ABC"/>
    <w:rsid w:val="00C101BA"/>
    <w:rsid w:val="00C1110D"/>
    <w:rsid w:val="00C1174B"/>
    <w:rsid w:val="00C11B63"/>
    <w:rsid w:val="00C11BB8"/>
    <w:rsid w:val="00C127B1"/>
    <w:rsid w:val="00C134B7"/>
    <w:rsid w:val="00C1499C"/>
    <w:rsid w:val="00C15E87"/>
    <w:rsid w:val="00C175D0"/>
    <w:rsid w:val="00C2096B"/>
    <w:rsid w:val="00C21132"/>
    <w:rsid w:val="00C21A8D"/>
    <w:rsid w:val="00C21CE6"/>
    <w:rsid w:val="00C21E2C"/>
    <w:rsid w:val="00C2222D"/>
    <w:rsid w:val="00C222D2"/>
    <w:rsid w:val="00C22D8B"/>
    <w:rsid w:val="00C242D5"/>
    <w:rsid w:val="00C24DB0"/>
    <w:rsid w:val="00C264AA"/>
    <w:rsid w:val="00C26B1C"/>
    <w:rsid w:val="00C274AA"/>
    <w:rsid w:val="00C27686"/>
    <w:rsid w:val="00C30506"/>
    <w:rsid w:val="00C32A72"/>
    <w:rsid w:val="00C32ABA"/>
    <w:rsid w:val="00C32BE4"/>
    <w:rsid w:val="00C33326"/>
    <w:rsid w:val="00C3410C"/>
    <w:rsid w:val="00C3426D"/>
    <w:rsid w:val="00C34552"/>
    <w:rsid w:val="00C34564"/>
    <w:rsid w:val="00C353DB"/>
    <w:rsid w:val="00C3558E"/>
    <w:rsid w:val="00C35C56"/>
    <w:rsid w:val="00C36529"/>
    <w:rsid w:val="00C37781"/>
    <w:rsid w:val="00C37DAC"/>
    <w:rsid w:val="00C40966"/>
    <w:rsid w:val="00C40F72"/>
    <w:rsid w:val="00C40F92"/>
    <w:rsid w:val="00C412D3"/>
    <w:rsid w:val="00C42217"/>
    <w:rsid w:val="00C43082"/>
    <w:rsid w:val="00C437E9"/>
    <w:rsid w:val="00C43F17"/>
    <w:rsid w:val="00C44ADA"/>
    <w:rsid w:val="00C4504A"/>
    <w:rsid w:val="00C4542D"/>
    <w:rsid w:val="00C458BF"/>
    <w:rsid w:val="00C45F2D"/>
    <w:rsid w:val="00C46060"/>
    <w:rsid w:val="00C47925"/>
    <w:rsid w:val="00C479F6"/>
    <w:rsid w:val="00C50711"/>
    <w:rsid w:val="00C507C3"/>
    <w:rsid w:val="00C51941"/>
    <w:rsid w:val="00C51EF8"/>
    <w:rsid w:val="00C523C6"/>
    <w:rsid w:val="00C525BA"/>
    <w:rsid w:val="00C52CAB"/>
    <w:rsid w:val="00C53065"/>
    <w:rsid w:val="00C5309B"/>
    <w:rsid w:val="00C54204"/>
    <w:rsid w:val="00C54C98"/>
    <w:rsid w:val="00C555F7"/>
    <w:rsid w:val="00C55636"/>
    <w:rsid w:val="00C56C04"/>
    <w:rsid w:val="00C56E47"/>
    <w:rsid w:val="00C56F7A"/>
    <w:rsid w:val="00C576BE"/>
    <w:rsid w:val="00C60863"/>
    <w:rsid w:val="00C618CF"/>
    <w:rsid w:val="00C61A13"/>
    <w:rsid w:val="00C61A9C"/>
    <w:rsid w:val="00C62072"/>
    <w:rsid w:val="00C62557"/>
    <w:rsid w:val="00C6285D"/>
    <w:rsid w:val="00C62B93"/>
    <w:rsid w:val="00C62C33"/>
    <w:rsid w:val="00C639E3"/>
    <w:rsid w:val="00C643D8"/>
    <w:rsid w:val="00C6472F"/>
    <w:rsid w:val="00C662BD"/>
    <w:rsid w:val="00C66CD9"/>
    <w:rsid w:val="00C670FD"/>
    <w:rsid w:val="00C674B9"/>
    <w:rsid w:val="00C674F0"/>
    <w:rsid w:val="00C67C1C"/>
    <w:rsid w:val="00C70563"/>
    <w:rsid w:val="00C71292"/>
    <w:rsid w:val="00C71484"/>
    <w:rsid w:val="00C716CA"/>
    <w:rsid w:val="00C71E7D"/>
    <w:rsid w:val="00C722EE"/>
    <w:rsid w:val="00C727B6"/>
    <w:rsid w:val="00C735A7"/>
    <w:rsid w:val="00C73678"/>
    <w:rsid w:val="00C74AFD"/>
    <w:rsid w:val="00C74D8C"/>
    <w:rsid w:val="00C74F0B"/>
    <w:rsid w:val="00C75861"/>
    <w:rsid w:val="00C76FAC"/>
    <w:rsid w:val="00C774BA"/>
    <w:rsid w:val="00C811FD"/>
    <w:rsid w:val="00C81495"/>
    <w:rsid w:val="00C8169A"/>
    <w:rsid w:val="00C81822"/>
    <w:rsid w:val="00C81FA4"/>
    <w:rsid w:val="00C8292C"/>
    <w:rsid w:val="00C82B6D"/>
    <w:rsid w:val="00C83459"/>
    <w:rsid w:val="00C83B65"/>
    <w:rsid w:val="00C84074"/>
    <w:rsid w:val="00C8431A"/>
    <w:rsid w:val="00C84C45"/>
    <w:rsid w:val="00C8555C"/>
    <w:rsid w:val="00C8566F"/>
    <w:rsid w:val="00C8596C"/>
    <w:rsid w:val="00C862AB"/>
    <w:rsid w:val="00C86400"/>
    <w:rsid w:val="00C868D9"/>
    <w:rsid w:val="00C87C43"/>
    <w:rsid w:val="00C918FF"/>
    <w:rsid w:val="00C91967"/>
    <w:rsid w:val="00C91B43"/>
    <w:rsid w:val="00C9243C"/>
    <w:rsid w:val="00C93CDF"/>
    <w:rsid w:val="00C93DBB"/>
    <w:rsid w:val="00C95C44"/>
    <w:rsid w:val="00C979D0"/>
    <w:rsid w:val="00CA1E08"/>
    <w:rsid w:val="00CA2C56"/>
    <w:rsid w:val="00CA3984"/>
    <w:rsid w:val="00CA3D3C"/>
    <w:rsid w:val="00CA3E42"/>
    <w:rsid w:val="00CA407D"/>
    <w:rsid w:val="00CA410E"/>
    <w:rsid w:val="00CA447E"/>
    <w:rsid w:val="00CA44ED"/>
    <w:rsid w:val="00CA57EF"/>
    <w:rsid w:val="00CA5E97"/>
    <w:rsid w:val="00CA61A3"/>
    <w:rsid w:val="00CA68D3"/>
    <w:rsid w:val="00CA71A0"/>
    <w:rsid w:val="00CA79B7"/>
    <w:rsid w:val="00CB00CF"/>
    <w:rsid w:val="00CB068E"/>
    <w:rsid w:val="00CB0994"/>
    <w:rsid w:val="00CB0CDF"/>
    <w:rsid w:val="00CB0FE7"/>
    <w:rsid w:val="00CB1549"/>
    <w:rsid w:val="00CB1C13"/>
    <w:rsid w:val="00CB37EC"/>
    <w:rsid w:val="00CB4BCB"/>
    <w:rsid w:val="00CB528D"/>
    <w:rsid w:val="00CB7321"/>
    <w:rsid w:val="00CB7E0A"/>
    <w:rsid w:val="00CC06BF"/>
    <w:rsid w:val="00CC1F53"/>
    <w:rsid w:val="00CC220A"/>
    <w:rsid w:val="00CC421B"/>
    <w:rsid w:val="00CC4975"/>
    <w:rsid w:val="00CC5249"/>
    <w:rsid w:val="00CC54D2"/>
    <w:rsid w:val="00CC5D5F"/>
    <w:rsid w:val="00CC6249"/>
    <w:rsid w:val="00CD0864"/>
    <w:rsid w:val="00CD0BAB"/>
    <w:rsid w:val="00CD0F29"/>
    <w:rsid w:val="00CD1051"/>
    <w:rsid w:val="00CD1AA1"/>
    <w:rsid w:val="00CD1BAD"/>
    <w:rsid w:val="00CD1BC6"/>
    <w:rsid w:val="00CD43E9"/>
    <w:rsid w:val="00CD43F6"/>
    <w:rsid w:val="00CD68DF"/>
    <w:rsid w:val="00CD69D0"/>
    <w:rsid w:val="00CD72EC"/>
    <w:rsid w:val="00CD735B"/>
    <w:rsid w:val="00CE10BD"/>
    <w:rsid w:val="00CE18D1"/>
    <w:rsid w:val="00CE1974"/>
    <w:rsid w:val="00CE1F17"/>
    <w:rsid w:val="00CE218B"/>
    <w:rsid w:val="00CE2563"/>
    <w:rsid w:val="00CE2E5A"/>
    <w:rsid w:val="00CE3DB9"/>
    <w:rsid w:val="00CE4477"/>
    <w:rsid w:val="00CE472A"/>
    <w:rsid w:val="00CE65EA"/>
    <w:rsid w:val="00CE692C"/>
    <w:rsid w:val="00CE6AE0"/>
    <w:rsid w:val="00CE6B7B"/>
    <w:rsid w:val="00CE7709"/>
    <w:rsid w:val="00CE7F13"/>
    <w:rsid w:val="00CF0900"/>
    <w:rsid w:val="00CF10E1"/>
    <w:rsid w:val="00CF20C8"/>
    <w:rsid w:val="00CF2641"/>
    <w:rsid w:val="00CF30C3"/>
    <w:rsid w:val="00CF331D"/>
    <w:rsid w:val="00CF3FB2"/>
    <w:rsid w:val="00CF5027"/>
    <w:rsid w:val="00CF6247"/>
    <w:rsid w:val="00CF69ED"/>
    <w:rsid w:val="00D004BE"/>
    <w:rsid w:val="00D0089E"/>
    <w:rsid w:val="00D00AEA"/>
    <w:rsid w:val="00D00D1B"/>
    <w:rsid w:val="00D00DBC"/>
    <w:rsid w:val="00D019B9"/>
    <w:rsid w:val="00D02496"/>
    <w:rsid w:val="00D03586"/>
    <w:rsid w:val="00D03A17"/>
    <w:rsid w:val="00D0479A"/>
    <w:rsid w:val="00D052F3"/>
    <w:rsid w:val="00D05726"/>
    <w:rsid w:val="00D05A81"/>
    <w:rsid w:val="00D05AB8"/>
    <w:rsid w:val="00D075C6"/>
    <w:rsid w:val="00D0763D"/>
    <w:rsid w:val="00D07E99"/>
    <w:rsid w:val="00D10AD4"/>
    <w:rsid w:val="00D111B7"/>
    <w:rsid w:val="00D12496"/>
    <w:rsid w:val="00D1375A"/>
    <w:rsid w:val="00D14715"/>
    <w:rsid w:val="00D14FB9"/>
    <w:rsid w:val="00D17E37"/>
    <w:rsid w:val="00D2072D"/>
    <w:rsid w:val="00D213E9"/>
    <w:rsid w:val="00D23006"/>
    <w:rsid w:val="00D23012"/>
    <w:rsid w:val="00D23830"/>
    <w:rsid w:val="00D24305"/>
    <w:rsid w:val="00D26170"/>
    <w:rsid w:val="00D30230"/>
    <w:rsid w:val="00D307E7"/>
    <w:rsid w:val="00D30E72"/>
    <w:rsid w:val="00D32781"/>
    <w:rsid w:val="00D32D9D"/>
    <w:rsid w:val="00D335C5"/>
    <w:rsid w:val="00D33632"/>
    <w:rsid w:val="00D33712"/>
    <w:rsid w:val="00D33DE7"/>
    <w:rsid w:val="00D33F64"/>
    <w:rsid w:val="00D33FF1"/>
    <w:rsid w:val="00D3454C"/>
    <w:rsid w:val="00D34EF4"/>
    <w:rsid w:val="00D35809"/>
    <w:rsid w:val="00D35A5B"/>
    <w:rsid w:val="00D36268"/>
    <w:rsid w:val="00D36780"/>
    <w:rsid w:val="00D369A7"/>
    <w:rsid w:val="00D37DE6"/>
    <w:rsid w:val="00D37F45"/>
    <w:rsid w:val="00D404B5"/>
    <w:rsid w:val="00D40B9B"/>
    <w:rsid w:val="00D4104D"/>
    <w:rsid w:val="00D4105E"/>
    <w:rsid w:val="00D42E24"/>
    <w:rsid w:val="00D434DC"/>
    <w:rsid w:val="00D44CA6"/>
    <w:rsid w:val="00D4561E"/>
    <w:rsid w:val="00D46107"/>
    <w:rsid w:val="00D46CF5"/>
    <w:rsid w:val="00D47200"/>
    <w:rsid w:val="00D5069A"/>
    <w:rsid w:val="00D50854"/>
    <w:rsid w:val="00D50899"/>
    <w:rsid w:val="00D50CE3"/>
    <w:rsid w:val="00D51E69"/>
    <w:rsid w:val="00D52186"/>
    <w:rsid w:val="00D53AD5"/>
    <w:rsid w:val="00D54158"/>
    <w:rsid w:val="00D56AB1"/>
    <w:rsid w:val="00D56EC5"/>
    <w:rsid w:val="00D57AF7"/>
    <w:rsid w:val="00D60036"/>
    <w:rsid w:val="00D600BA"/>
    <w:rsid w:val="00D602A2"/>
    <w:rsid w:val="00D6062D"/>
    <w:rsid w:val="00D606EB"/>
    <w:rsid w:val="00D60DAA"/>
    <w:rsid w:val="00D610AC"/>
    <w:rsid w:val="00D61394"/>
    <w:rsid w:val="00D6174C"/>
    <w:rsid w:val="00D61BCC"/>
    <w:rsid w:val="00D626A4"/>
    <w:rsid w:val="00D634F8"/>
    <w:rsid w:val="00D63CF1"/>
    <w:rsid w:val="00D63D53"/>
    <w:rsid w:val="00D64150"/>
    <w:rsid w:val="00D65651"/>
    <w:rsid w:val="00D659FA"/>
    <w:rsid w:val="00D7062F"/>
    <w:rsid w:val="00D70D2B"/>
    <w:rsid w:val="00D72181"/>
    <w:rsid w:val="00D72D3D"/>
    <w:rsid w:val="00D735C8"/>
    <w:rsid w:val="00D737D2"/>
    <w:rsid w:val="00D7396F"/>
    <w:rsid w:val="00D74D2A"/>
    <w:rsid w:val="00D75092"/>
    <w:rsid w:val="00D751CD"/>
    <w:rsid w:val="00D7557B"/>
    <w:rsid w:val="00D7605F"/>
    <w:rsid w:val="00D76712"/>
    <w:rsid w:val="00D76805"/>
    <w:rsid w:val="00D7693B"/>
    <w:rsid w:val="00D76968"/>
    <w:rsid w:val="00D76A33"/>
    <w:rsid w:val="00D77F74"/>
    <w:rsid w:val="00D800E4"/>
    <w:rsid w:val="00D80C46"/>
    <w:rsid w:val="00D81AF1"/>
    <w:rsid w:val="00D81B1A"/>
    <w:rsid w:val="00D81E94"/>
    <w:rsid w:val="00D82040"/>
    <w:rsid w:val="00D829A3"/>
    <w:rsid w:val="00D83320"/>
    <w:rsid w:val="00D83379"/>
    <w:rsid w:val="00D83620"/>
    <w:rsid w:val="00D83818"/>
    <w:rsid w:val="00D843D7"/>
    <w:rsid w:val="00D84E4B"/>
    <w:rsid w:val="00D85E1C"/>
    <w:rsid w:val="00D86700"/>
    <w:rsid w:val="00D86E45"/>
    <w:rsid w:val="00D8762F"/>
    <w:rsid w:val="00D90345"/>
    <w:rsid w:val="00D9083E"/>
    <w:rsid w:val="00D918C9"/>
    <w:rsid w:val="00D9191D"/>
    <w:rsid w:val="00D91FB7"/>
    <w:rsid w:val="00D92A4E"/>
    <w:rsid w:val="00D93598"/>
    <w:rsid w:val="00D93A16"/>
    <w:rsid w:val="00D93B71"/>
    <w:rsid w:val="00D94A54"/>
    <w:rsid w:val="00D9543A"/>
    <w:rsid w:val="00D96F0A"/>
    <w:rsid w:val="00D971F0"/>
    <w:rsid w:val="00D97D5E"/>
    <w:rsid w:val="00DA035E"/>
    <w:rsid w:val="00DA1071"/>
    <w:rsid w:val="00DA1F43"/>
    <w:rsid w:val="00DA21F9"/>
    <w:rsid w:val="00DA23CE"/>
    <w:rsid w:val="00DA3A69"/>
    <w:rsid w:val="00DA4017"/>
    <w:rsid w:val="00DA46E2"/>
    <w:rsid w:val="00DA5374"/>
    <w:rsid w:val="00DA5508"/>
    <w:rsid w:val="00DA5B94"/>
    <w:rsid w:val="00DA5CFD"/>
    <w:rsid w:val="00DA72DC"/>
    <w:rsid w:val="00DB087C"/>
    <w:rsid w:val="00DB14A9"/>
    <w:rsid w:val="00DB16DC"/>
    <w:rsid w:val="00DB16ED"/>
    <w:rsid w:val="00DB175B"/>
    <w:rsid w:val="00DB2DCC"/>
    <w:rsid w:val="00DB2E40"/>
    <w:rsid w:val="00DB2EE8"/>
    <w:rsid w:val="00DB38CE"/>
    <w:rsid w:val="00DB5C76"/>
    <w:rsid w:val="00DB6A63"/>
    <w:rsid w:val="00DB6B58"/>
    <w:rsid w:val="00DB772B"/>
    <w:rsid w:val="00DB77FD"/>
    <w:rsid w:val="00DB7B2C"/>
    <w:rsid w:val="00DB7B97"/>
    <w:rsid w:val="00DB7E89"/>
    <w:rsid w:val="00DC0159"/>
    <w:rsid w:val="00DC0500"/>
    <w:rsid w:val="00DC0B34"/>
    <w:rsid w:val="00DC1801"/>
    <w:rsid w:val="00DC3442"/>
    <w:rsid w:val="00DC3EB4"/>
    <w:rsid w:val="00DC5090"/>
    <w:rsid w:val="00DC612D"/>
    <w:rsid w:val="00DD04F6"/>
    <w:rsid w:val="00DD161F"/>
    <w:rsid w:val="00DD1658"/>
    <w:rsid w:val="00DD1675"/>
    <w:rsid w:val="00DD1854"/>
    <w:rsid w:val="00DD1A44"/>
    <w:rsid w:val="00DD2B27"/>
    <w:rsid w:val="00DD352B"/>
    <w:rsid w:val="00DD49FD"/>
    <w:rsid w:val="00DD4B1B"/>
    <w:rsid w:val="00DD5BE0"/>
    <w:rsid w:val="00DD63F8"/>
    <w:rsid w:val="00DD6D85"/>
    <w:rsid w:val="00DD6D90"/>
    <w:rsid w:val="00DD6F94"/>
    <w:rsid w:val="00DD776A"/>
    <w:rsid w:val="00DE092D"/>
    <w:rsid w:val="00DE12CB"/>
    <w:rsid w:val="00DE12F6"/>
    <w:rsid w:val="00DE1407"/>
    <w:rsid w:val="00DE261E"/>
    <w:rsid w:val="00DE283D"/>
    <w:rsid w:val="00DE357F"/>
    <w:rsid w:val="00DE6303"/>
    <w:rsid w:val="00DE6BE8"/>
    <w:rsid w:val="00DE7144"/>
    <w:rsid w:val="00DE74AB"/>
    <w:rsid w:val="00DF0541"/>
    <w:rsid w:val="00DF0FBC"/>
    <w:rsid w:val="00DF1064"/>
    <w:rsid w:val="00DF1109"/>
    <w:rsid w:val="00DF1296"/>
    <w:rsid w:val="00DF288C"/>
    <w:rsid w:val="00DF3569"/>
    <w:rsid w:val="00DF36BB"/>
    <w:rsid w:val="00DF3C1B"/>
    <w:rsid w:val="00DF51B7"/>
    <w:rsid w:val="00DF5743"/>
    <w:rsid w:val="00DF74D2"/>
    <w:rsid w:val="00E006E9"/>
    <w:rsid w:val="00E00AD5"/>
    <w:rsid w:val="00E0247C"/>
    <w:rsid w:val="00E03A90"/>
    <w:rsid w:val="00E06E83"/>
    <w:rsid w:val="00E073B0"/>
    <w:rsid w:val="00E07520"/>
    <w:rsid w:val="00E10084"/>
    <w:rsid w:val="00E11C02"/>
    <w:rsid w:val="00E1297B"/>
    <w:rsid w:val="00E13240"/>
    <w:rsid w:val="00E13D2A"/>
    <w:rsid w:val="00E147CC"/>
    <w:rsid w:val="00E15811"/>
    <w:rsid w:val="00E163B7"/>
    <w:rsid w:val="00E1655A"/>
    <w:rsid w:val="00E20F11"/>
    <w:rsid w:val="00E2131E"/>
    <w:rsid w:val="00E216A6"/>
    <w:rsid w:val="00E21A56"/>
    <w:rsid w:val="00E2365E"/>
    <w:rsid w:val="00E2484E"/>
    <w:rsid w:val="00E25187"/>
    <w:rsid w:val="00E257D2"/>
    <w:rsid w:val="00E25D66"/>
    <w:rsid w:val="00E264EC"/>
    <w:rsid w:val="00E2749E"/>
    <w:rsid w:val="00E27F8A"/>
    <w:rsid w:val="00E300BA"/>
    <w:rsid w:val="00E309C6"/>
    <w:rsid w:val="00E30A8E"/>
    <w:rsid w:val="00E30EB8"/>
    <w:rsid w:val="00E31012"/>
    <w:rsid w:val="00E31751"/>
    <w:rsid w:val="00E3229D"/>
    <w:rsid w:val="00E32441"/>
    <w:rsid w:val="00E326C3"/>
    <w:rsid w:val="00E332F7"/>
    <w:rsid w:val="00E33D35"/>
    <w:rsid w:val="00E3552E"/>
    <w:rsid w:val="00E357B9"/>
    <w:rsid w:val="00E35B18"/>
    <w:rsid w:val="00E36F79"/>
    <w:rsid w:val="00E36FE0"/>
    <w:rsid w:val="00E3726D"/>
    <w:rsid w:val="00E374E0"/>
    <w:rsid w:val="00E3774E"/>
    <w:rsid w:val="00E4221A"/>
    <w:rsid w:val="00E43231"/>
    <w:rsid w:val="00E43424"/>
    <w:rsid w:val="00E451A1"/>
    <w:rsid w:val="00E4529B"/>
    <w:rsid w:val="00E47430"/>
    <w:rsid w:val="00E4775F"/>
    <w:rsid w:val="00E47863"/>
    <w:rsid w:val="00E47E96"/>
    <w:rsid w:val="00E50484"/>
    <w:rsid w:val="00E50A87"/>
    <w:rsid w:val="00E512E2"/>
    <w:rsid w:val="00E523F8"/>
    <w:rsid w:val="00E5277B"/>
    <w:rsid w:val="00E52CDE"/>
    <w:rsid w:val="00E533D4"/>
    <w:rsid w:val="00E54D3B"/>
    <w:rsid w:val="00E5594B"/>
    <w:rsid w:val="00E55AE8"/>
    <w:rsid w:val="00E561CD"/>
    <w:rsid w:val="00E57D53"/>
    <w:rsid w:val="00E57DBF"/>
    <w:rsid w:val="00E60208"/>
    <w:rsid w:val="00E60F39"/>
    <w:rsid w:val="00E61CCA"/>
    <w:rsid w:val="00E61F64"/>
    <w:rsid w:val="00E64150"/>
    <w:rsid w:val="00E643D8"/>
    <w:rsid w:val="00E645EE"/>
    <w:rsid w:val="00E64EF4"/>
    <w:rsid w:val="00E64FC7"/>
    <w:rsid w:val="00E65274"/>
    <w:rsid w:val="00E65B4D"/>
    <w:rsid w:val="00E65D87"/>
    <w:rsid w:val="00E6635C"/>
    <w:rsid w:val="00E6645D"/>
    <w:rsid w:val="00E66AEF"/>
    <w:rsid w:val="00E671E6"/>
    <w:rsid w:val="00E6746E"/>
    <w:rsid w:val="00E67E4B"/>
    <w:rsid w:val="00E67F34"/>
    <w:rsid w:val="00E70C5A"/>
    <w:rsid w:val="00E71464"/>
    <w:rsid w:val="00E75A96"/>
    <w:rsid w:val="00E77AE4"/>
    <w:rsid w:val="00E80234"/>
    <w:rsid w:val="00E80280"/>
    <w:rsid w:val="00E81126"/>
    <w:rsid w:val="00E81193"/>
    <w:rsid w:val="00E814AC"/>
    <w:rsid w:val="00E81B59"/>
    <w:rsid w:val="00E81C52"/>
    <w:rsid w:val="00E82883"/>
    <w:rsid w:val="00E82A7A"/>
    <w:rsid w:val="00E83B38"/>
    <w:rsid w:val="00E83C3A"/>
    <w:rsid w:val="00E84C41"/>
    <w:rsid w:val="00E866AB"/>
    <w:rsid w:val="00E866EF"/>
    <w:rsid w:val="00E8736E"/>
    <w:rsid w:val="00E877B3"/>
    <w:rsid w:val="00E87F29"/>
    <w:rsid w:val="00E90406"/>
    <w:rsid w:val="00E90D76"/>
    <w:rsid w:val="00E91251"/>
    <w:rsid w:val="00E917E1"/>
    <w:rsid w:val="00E9253B"/>
    <w:rsid w:val="00E9276F"/>
    <w:rsid w:val="00E92C22"/>
    <w:rsid w:val="00E92F00"/>
    <w:rsid w:val="00E95A8A"/>
    <w:rsid w:val="00E95D1C"/>
    <w:rsid w:val="00E95DD2"/>
    <w:rsid w:val="00E96BFA"/>
    <w:rsid w:val="00E9758C"/>
    <w:rsid w:val="00E97592"/>
    <w:rsid w:val="00E97BBD"/>
    <w:rsid w:val="00E97C60"/>
    <w:rsid w:val="00EA1075"/>
    <w:rsid w:val="00EA202E"/>
    <w:rsid w:val="00EA23AB"/>
    <w:rsid w:val="00EA2478"/>
    <w:rsid w:val="00EA2A81"/>
    <w:rsid w:val="00EA35D6"/>
    <w:rsid w:val="00EA3B7B"/>
    <w:rsid w:val="00EA3C09"/>
    <w:rsid w:val="00EA5698"/>
    <w:rsid w:val="00EA6CBA"/>
    <w:rsid w:val="00EA7477"/>
    <w:rsid w:val="00EA748F"/>
    <w:rsid w:val="00EA7657"/>
    <w:rsid w:val="00EA76ED"/>
    <w:rsid w:val="00EA77F3"/>
    <w:rsid w:val="00EB0137"/>
    <w:rsid w:val="00EB0803"/>
    <w:rsid w:val="00EB13C7"/>
    <w:rsid w:val="00EB2A85"/>
    <w:rsid w:val="00EB3697"/>
    <w:rsid w:val="00EB3F54"/>
    <w:rsid w:val="00EB4477"/>
    <w:rsid w:val="00EB5154"/>
    <w:rsid w:val="00EB5EF1"/>
    <w:rsid w:val="00EB7D1D"/>
    <w:rsid w:val="00EB7E1C"/>
    <w:rsid w:val="00EC0D8A"/>
    <w:rsid w:val="00EC3F55"/>
    <w:rsid w:val="00EC3F7A"/>
    <w:rsid w:val="00EC4E4A"/>
    <w:rsid w:val="00EC4F52"/>
    <w:rsid w:val="00EC5D8C"/>
    <w:rsid w:val="00EC731B"/>
    <w:rsid w:val="00ED0125"/>
    <w:rsid w:val="00ED113A"/>
    <w:rsid w:val="00ED2A10"/>
    <w:rsid w:val="00ED2BB0"/>
    <w:rsid w:val="00ED36E0"/>
    <w:rsid w:val="00ED3B5C"/>
    <w:rsid w:val="00ED5A50"/>
    <w:rsid w:val="00ED6423"/>
    <w:rsid w:val="00ED686F"/>
    <w:rsid w:val="00ED6A65"/>
    <w:rsid w:val="00EE0361"/>
    <w:rsid w:val="00EE04AD"/>
    <w:rsid w:val="00EE1BA2"/>
    <w:rsid w:val="00EE1CD6"/>
    <w:rsid w:val="00EE1E44"/>
    <w:rsid w:val="00EE236C"/>
    <w:rsid w:val="00EE26F4"/>
    <w:rsid w:val="00EE282C"/>
    <w:rsid w:val="00EE3005"/>
    <w:rsid w:val="00EE346C"/>
    <w:rsid w:val="00EE3AA7"/>
    <w:rsid w:val="00EE5642"/>
    <w:rsid w:val="00EE7157"/>
    <w:rsid w:val="00EE796C"/>
    <w:rsid w:val="00EE79C9"/>
    <w:rsid w:val="00EE7D87"/>
    <w:rsid w:val="00EF0B4B"/>
    <w:rsid w:val="00EF1A6F"/>
    <w:rsid w:val="00EF1B6B"/>
    <w:rsid w:val="00EF316B"/>
    <w:rsid w:val="00EF337A"/>
    <w:rsid w:val="00EF6226"/>
    <w:rsid w:val="00EF6E86"/>
    <w:rsid w:val="00EF6EFA"/>
    <w:rsid w:val="00EF703F"/>
    <w:rsid w:val="00EF72A5"/>
    <w:rsid w:val="00EF73D8"/>
    <w:rsid w:val="00F0000F"/>
    <w:rsid w:val="00F000AD"/>
    <w:rsid w:val="00F000D1"/>
    <w:rsid w:val="00F008FE"/>
    <w:rsid w:val="00F00AF7"/>
    <w:rsid w:val="00F01066"/>
    <w:rsid w:val="00F011A2"/>
    <w:rsid w:val="00F0139C"/>
    <w:rsid w:val="00F0157C"/>
    <w:rsid w:val="00F01623"/>
    <w:rsid w:val="00F016F1"/>
    <w:rsid w:val="00F02015"/>
    <w:rsid w:val="00F021D5"/>
    <w:rsid w:val="00F02272"/>
    <w:rsid w:val="00F02D89"/>
    <w:rsid w:val="00F033E6"/>
    <w:rsid w:val="00F03545"/>
    <w:rsid w:val="00F05D00"/>
    <w:rsid w:val="00F05D20"/>
    <w:rsid w:val="00F05F9A"/>
    <w:rsid w:val="00F062AC"/>
    <w:rsid w:val="00F07694"/>
    <w:rsid w:val="00F07BDD"/>
    <w:rsid w:val="00F10EAA"/>
    <w:rsid w:val="00F1209B"/>
    <w:rsid w:val="00F12D19"/>
    <w:rsid w:val="00F1412A"/>
    <w:rsid w:val="00F14C91"/>
    <w:rsid w:val="00F1588F"/>
    <w:rsid w:val="00F162E0"/>
    <w:rsid w:val="00F16627"/>
    <w:rsid w:val="00F16B96"/>
    <w:rsid w:val="00F16DD0"/>
    <w:rsid w:val="00F17093"/>
    <w:rsid w:val="00F171EE"/>
    <w:rsid w:val="00F17DDB"/>
    <w:rsid w:val="00F227DC"/>
    <w:rsid w:val="00F23FA0"/>
    <w:rsid w:val="00F249B2"/>
    <w:rsid w:val="00F252CD"/>
    <w:rsid w:val="00F264F5"/>
    <w:rsid w:val="00F26612"/>
    <w:rsid w:val="00F27F25"/>
    <w:rsid w:val="00F30BD1"/>
    <w:rsid w:val="00F32223"/>
    <w:rsid w:val="00F32361"/>
    <w:rsid w:val="00F32B3C"/>
    <w:rsid w:val="00F3385A"/>
    <w:rsid w:val="00F34B9B"/>
    <w:rsid w:val="00F3503D"/>
    <w:rsid w:val="00F36213"/>
    <w:rsid w:val="00F36436"/>
    <w:rsid w:val="00F369A6"/>
    <w:rsid w:val="00F36E4A"/>
    <w:rsid w:val="00F4096C"/>
    <w:rsid w:val="00F409D2"/>
    <w:rsid w:val="00F40CEC"/>
    <w:rsid w:val="00F41801"/>
    <w:rsid w:val="00F41D17"/>
    <w:rsid w:val="00F42328"/>
    <w:rsid w:val="00F425AE"/>
    <w:rsid w:val="00F42602"/>
    <w:rsid w:val="00F42671"/>
    <w:rsid w:val="00F446E9"/>
    <w:rsid w:val="00F472F2"/>
    <w:rsid w:val="00F50B03"/>
    <w:rsid w:val="00F50CB0"/>
    <w:rsid w:val="00F51183"/>
    <w:rsid w:val="00F51E1C"/>
    <w:rsid w:val="00F524FD"/>
    <w:rsid w:val="00F52A31"/>
    <w:rsid w:val="00F53360"/>
    <w:rsid w:val="00F5362C"/>
    <w:rsid w:val="00F53651"/>
    <w:rsid w:val="00F53B42"/>
    <w:rsid w:val="00F53DDC"/>
    <w:rsid w:val="00F540CF"/>
    <w:rsid w:val="00F54184"/>
    <w:rsid w:val="00F54657"/>
    <w:rsid w:val="00F54DDE"/>
    <w:rsid w:val="00F560FE"/>
    <w:rsid w:val="00F566FD"/>
    <w:rsid w:val="00F56DC0"/>
    <w:rsid w:val="00F57205"/>
    <w:rsid w:val="00F60452"/>
    <w:rsid w:val="00F60A11"/>
    <w:rsid w:val="00F60A7F"/>
    <w:rsid w:val="00F60D24"/>
    <w:rsid w:val="00F612C8"/>
    <w:rsid w:val="00F61DE6"/>
    <w:rsid w:val="00F64769"/>
    <w:rsid w:val="00F64C53"/>
    <w:rsid w:val="00F656D8"/>
    <w:rsid w:val="00F65DED"/>
    <w:rsid w:val="00F66AE6"/>
    <w:rsid w:val="00F66D9D"/>
    <w:rsid w:val="00F66FE7"/>
    <w:rsid w:val="00F67BFA"/>
    <w:rsid w:val="00F70EBA"/>
    <w:rsid w:val="00F71008"/>
    <w:rsid w:val="00F71CC1"/>
    <w:rsid w:val="00F72B8A"/>
    <w:rsid w:val="00F73A22"/>
    <w:rsid w:val="00F7571B"/>
    <w:rsid w:val="00F75823"/>
    <w:rsid w:val="00F75B53"/>
    <w:rsid w:val="00F762EB"/>
    <w:rsid w:val="00F764E4"/>
    <w:rsid w:val="00F76EB9"/>
    <w:rsid w:val="00F76F08"/>
    <w:rsid w:val="00F777D9"/>
    <w:rsid w:val="00F810D1"/>
    <w:rsid w:val="00F811A2"/>
    <w:rsid w:val="00F81978"/>
    <w:rsid w:val="00F82181"/>
    <w:rsid w:val="00F83AFB"/>
    <w:rsid w:val="00F83C63"/>
    <w:rsid w:val="00F845C1"/>
    <w:rsid w:val="00F84872"/>
    <w:rsid w:val="00F84A29"/>
    <w:rsid w:val="00F84CE5"/>
    <w:rsid w:val="00F864E4"/>
    <w:rsid w:val="00F86C09"/>
    <w:rsid w:val="00F86FB3"/>
    <w:rsid w:val="00F901E4"/>
    <w:rsid w:val="00F90527"/>
    <w:rsid w:val="00F90873"/>
    <w:rsid w:val="00F909D4"/>
    <w:rsid w:val="00F90CF5"/>
    <w:rsid w:val="00F913C1"/>
    <w:rsid w:val="00F92BE8"/>
    <w:rsid w:val="00F9312E"/>
    <w:rsid w:val="00F932FA"/>
    <w:rsid w:val="00F93352"/>
    <w:rsid w:val="00F9358A"/>
    <w:rsid w:val="00F94424"/>
    <w:rsid w:val="00F94E33"/>
    <w:rsid w:val="00F956B9"/>
    <w:rsid w:val="00F95B11"/>
    <w:rsid w:val="00F95FCA"/>
    <w:rsid w:val="00F96B3E"/>
    <w:rsid w:val="00F96B75"/>
    <w:rsid w:val="00F97341"/>
    <w:rsid w:val="00FA0DF6"/>
    <w:rsid w:val="00FA11DD"/>
    <w:rsid w:val="00FA19FE"/>
    <w:rsid w:val="00FA1E2D"/>
    <w:rsid w:val="00FA287D"/>
    <w:rsid w:val="00FA28F1"/>
    <w:rsid w:val="00FA2A24"/>
    <w:rsid w:val="00FA3208"/>
    <w:rsid w:val="00FA343D"/>
    <w:rsid w:val="00FA44DF"/>
    <w:rsid w:val="00FA4A74"/>
    <w:rsid w:val="00FA4AFB"/>
    <w:rsid w:val="00FA59BC"/>
    <w:rsid w:val="00FA5CDF"/>
    <w:rsid w:val="00FA72A2"/>
    <w:rsid w:val="00FA76CC"/>
    <w:rsid w:val="00FA7D10"/>
    <w:rsid w:val="00FA7F58"/>
    <w:rsid w:val="00FB05BC"/>
    <w:rsid w:val="00FB061F"/>
    <w:rsid w:val="00FB1138"/>
    <w:rsid w:val="00FB320E"/>
    <w:rsid w:val="00FB3B1D"/>
    <w:rsid w:val="00FB3EA3"/>
    <w:rsid w:val="00FB437D"/>
    <w:rsid w:val="00FB48D4"/>
    <w:rsid w:val="00FB58A9"/>
    <w:rsid w:val="00FB60E5"/>
    <w:rsid w:val="00FB65C9"/>
    <w:rsid w:val="00FB6BE6"/>
    <w:rsid w:val="00FC02F2"/>
    <w:rsid w:val="00FC0871"/>
    <w:rsid w:val="00FC0C8F"/>
    <w:rsid w:val="00FC0EAE"/>
    <w:rsid w:val="00FC13CF"/>
    <w:rsid w:val="00FC1B50"/>
    <w:rsid w:val="00FC2012"/>
    <w:rsid w:val="00FC230E"/>
    <w:rsid w:val="00FC270F"/>
    <w:rsid w:val="00FC27B2"/>
    <w:rsid w:val="00FC456B"/>
    <w:rsid w:val="00FC5799"/>
    <w:rsid w:val="00FC6686"/>
    <w:rsid w:val="00FC6A26"/>
    <w:rsid w:val="00FC776B"/>
    <w:rsid w:val="00FD00BF"/>
    <w:rsid w:val="00FD00C6"/>
    <w:rsid w:val="00FD084B"/>
    <w:rsid w:val="00FD1911"/>
    <w:rsid w:val="00FD2504"/>
    <w:rsid w:val="00FD25B7"/>
    <w:rsid w:val="00FD2BA2"/>
    <w:rsid w:val="00FD4046"/>
    <w:rsid w:val="00FD417A"/>
    <w:rsid w:val="00FD49D1"/>
    <w:rsid w:val="00FD544C"/>
    <w:rsid w:val="00FD5601"/>
    <w:rsid w:val="00FD7E73"/>
    <w:rsid w:val="00FE0D4C"/>
    <w:rsid w:val="00FE1D58"/>
    <w:rsid w:val="00FE2077"/>
    <w:rsid w:val="00FE20BF"/>
    <w:rsid w:val="00FE2ACA"/>
    <w:rsid w:val="00FE2C6B"/>
    <w:rsid w:val="00FE2DC3"/>
    <w:rsid w:val="00FE310B"/>
    <w:rsid w:val="00FE385E"/>
    <w:rsid w:val="00FE40E9"/>
    <w:rsid w:val="00FE4197"/>
    <w:rsid w:val="00FE519C"/>
    <w:rsid w:val="00FE57C2"/>
    <w:rsid w:val="00FE7464"/>
    <w:rsid w:val="00FE7937"/>
    <w:rsid w:val="00FE7BBA"/>
    <w:rsid w:val="00FE7BCE"/>
    <w:rsid w:val="00FE7E0D"/>
    <w:rsid w:val="00FF021E"/>
    <w:rsid w:val="00FF1297"/>
    <w:rsid w:val="00FF1472"/>
    <w:rsid w:val="00FF1826"/>
    <w:rsid w:val="00FF2D03"/>
    <w:rsid w:val="00FF32D0"/>
    <w:rsid w:val="00FF3332"/>
    <w:rsid w:val="00FF378F"/>
    <w:rsid w:val="00FF41BA"/>
    <w:rsid w:val="00FF4555"/>
    <w:rsid w:val="00FF4E89"/>
    <w:rsid w:val="00FF55DB"/>
    <w:rsid w:val="00FF60E9"/>
    <w:rsid w:val="00FF6ECC"/>
    <w:rsid w:val="00FF6FF0"/>
    <w:rsid w:val="00FF762B"/>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8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1B3"/>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8E41C3"/>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8E41C3"/>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8E41C3"/>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8E41C3"/>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8E41C3"/>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8E41C3"/>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8E41C3"/>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8E41C3"/>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E41C3"/>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A5227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A5227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A65F1E"/>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A65F1E"/>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815538"/>
    <w:rPr>
      <w:rFonts w:ascii="Times New Roman" w:hAnsi="Times New Roman" w:cs="Times New Roman"/>
      <w:sz w:val="26"/>
      <w:szCs w:val="20"/>
    </w:rPr>
  </w:style>
  <w:style w:type="paragraph" w:customStyle="1" w:styleId="BlockIndent">
    <w:name w:val="Block Indent"/>
    <w:basedOn w:val="Normal"/>
    <w:next w:val="FERCparanumber"/>
    <w:link w:val="BlockIndentChar"/>
    <w:rsid w:val="00EA7657"/>
    <w:pPr>
      <w:widowControl/>
      <w:spacing w:after="240"/>
      <w:ind w:left="1440" w:right="1440"/>
    </w:pPr>
    <w:rPr>
      <w:szCs w:val="20"/>
    </w:rPr>
  </w:style>
  <w:style w:type="character" w:customStyle="1" w:styleId="BlockIndentChar">
    <w:name w:val="Block Indent Char"/>
    <w:basedOn w:val="FootnoteTextChar"/>
    <w:link w:val="BlockIndent"/>
    <w:rsid w:val="00EA7657"/>
    <w:rPr>
      <w:rFonts w:ascii="Times New Roman" w:hAnsi="Times New Roman" w:cs="Times New Roman"/>
      <w:sz w:val="26"/>
      <w:szCs w:val="20"/>
    </w:rPr>
  </w:style>
  <w:style w:type="paragraph" w:styleId="Revision">
    <w:name w:val="Revision"/>
    <w:hidden/>
    <w:uiPriority w:val="99"/>
    <w:semiHidden/>
    <w:rsid w:val="001E6FA6"/>
    <w:pPr>
      <w:spacing w:after="0" w:line="240" w:lineRule="auto"/>
    </w:pPr>
    <w:rPr>
      <w:rFonts w:ascii="Times New Roman" w:hAnsi="Times New Roman" w:cs="Times New Roman"/>
      <w:sz w:val="26"/>
    </w:rPr>
  </w:style>
  <w:style w:type="character" w:customStyle="1" w:styleId="UnresolvedMention1">
    <w:name w:val="Unresolved Mention1"/>
    <w:basedOn w:val="DefaultParagraphFont"/>
    <w:uiPriority w:val="99"/>
    <w:semiHidden/>
    <w:unhideWhenUsed/>
    <w:rsid w:val="003D1076"/>
    <w:rPr>
      <w:color w:val="605E5C"/>
      <w:shd w:val="clear" w:color="auto" w:fill="E1DFDD"/>
    </w:rPr>
  </w:style>
  <w:style w:type="character" w:styleId="EndnoteReference">
    <w:name w:val="endnote reference"/>
    <w:basedOn w:val="DefaultParagraphFont"/>
    <w:uiPriority w:val="99"/>
    <w:semiHidden/>
    <w:unhideWhenUsed/>
    <w:rsid w:val="00FD7E73"/>
    <w:rPr>
      <w:vertAlign w:val="superscript"/>
    </w:rPr>
  </w:style>
  <w:style w:type="character" w:customStyle="1" w:styleId="UnresolvedMention2">
    <w:name w:val="Unresolved Mention2"/>
    <w:basedOn w:val="DefaultParagraphFont"/>
    <w:uiPriority w:val="99"/>
    <w:semiHidden/>
    <w:unhideWhenUsed/>
    <w:rsid w:val="0009323B"/>
    <w:rPr>
      <w:color w:val="605E5C"/>
      <w:shd w:val="clear" w:color="auto" w:fill="E1DFDD"/>
    </w:rPr>
  </w:style>
  <w:style w:type="character" w:styleId="FollowedHyperlink">
    <w:name w:val="FollowedHyperlink"/>
    <w:basedOn w:val="DefaultParagraphFont"/>
    <w:uiPriority w:val="99"/>
    <w:semiHidden/>
    <w:unhideWhenUsed/>
    <w:rsid w:val="000932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475950">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tariff.ferc.gov/TariffSectionDetails.aspx?tid=1507&amp;sid=273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load">
  <ribbon>
    <tabs>
      <tab id="TabFerc" label="Order Templates">
        <group id="customGroup1" label="Document Format Fixes">
          <button id="btnFormat" label="Format" imageMso="HappyFace" onAction="Order_Ribbon.Order_Execute"/>
          <!--
		<button id="btnPNumber" label="Numbers 1 Paragraph" imageMso="NumberingGalleryWord" screentip="Inserts a Paragraph Number at Current Location" onAction="Order_Ribbon.Order_Execute"/>
-->
          <button id="btnFix_PNumber" label="Restores ¶ Nums" imageMso="ParagraphMarks" screentip="Restores missing paragraph numbers" onAction="Order_Ribbon.Order_Execute"/>
          <button id="btnPRange" label="Adds ¶ Nums Range" imageMso="SelectContents" screentip="Converts a Block of Text to FERC Paragraph Numbers" onAction="Order_Ribbon.Order_Execute"/>
        </group>
        <group id="customGroup2" label="Headings">
          <button id="btnHeading" label="Heading Levels" imageMso="ListSetNumberingValue" onAction="Order_Ribbon.Order_Execute"/>
          <button id="btnHeading_Format" label="Heading Formats" imageMso="A" onAction="Order_Ribbon.Order_Execute"/>
          <button id="btnTOCstyle" label="Fix TOC" imageMso="StylesDialogClassic" screentip="Correct Table of Contents Styles" onAction="Order_Ribbon.Order_Execute"/>
          <button id="btnTOC" label="Table of Contents" imageMso="TableOfContentsDialog" size="large" onAction="Order_Ribbon.Order_Execute"/>
        </group>
        <group id="customGroup3" label="Text Format">
          <button id="btnPaste" label="Paste Text" imageMso="Paste" onAction="Order_Ribbon.Order_Execute"/>
          <button id="btnBlock" label="Block Indent" imageMso="ParagraphIndentRight" onAction="Order_Ribbon.Order_Execute"/>
          <button id="btnDate" label="Date Picker" imageMso="ContentControlDate" onAction="Order_Ribbon.Order_Execute"/>
        </group>
        <group id="customGroup4" label="Symbols">
          <button id="btnParagraph" label="Paragraph" imageMso="ParagraphMarks" onAction="Order_Ribbon.Order_Execute"/>
          <button id="btnSection" label="Section" imageMso="Shadow" onAction="Order_Ribbon.Order_Execute"/>
          <button id="btnDegree" label="Degree" imageMso="BrowseSelector" onAction="Order_Ribbon.Order_Execute"/>
        </group>
        <group id="Checks" label="Checks">
          <button id="btnAcronym" label="Acronym Checker" imageMso="Spelling" screentip="Creates list of Acronyms in Document" onAction="Order_Ribbon.Order_Execute"/>
          <button id="btnIdcheck" label="Id. Checker" imageMso="Grammar" screentip="Creates list of potential footnotes requiring Ids." onAction="Order_Ribbon.Order_Execute"/>
          <button id="btnComments" label="Print Comments" imageMso="ReviewNewComment" screentip="Creates a new document with comments" onAction="Order_Ribbon.Order_Execute"/>
          <button id="btncomma" label="Removes italics" imageMso="CommaStyle" screentip="Removes italics from commas at end of citations" onAction="Order_Ribbon.Order_Execute"/>
        </group>
        <group id="TrackChgs" label="Tracking" imageMso="ColorAqua">
          <button id="btnRemNames" label="Removes Names from Track Changes Markings" imageMso="Tracking" screentip="Removes individual names from track changes when the document is saved" onAction="Order_Ribbon.Order_Execute"/>
          <button id="btnrevisions_date" label="Accept Revisions Prior to Date" imageMso="ReviewRevisionAccept" screentip="Accepts track change revisions prior to date specified" onAction="Order_Ribbon.Order_Execute"/>
          <button id="btndate_comments" label="Comments Prior to Date Marked as Done" imageMso="ReviewRejectChangeOrDeleteComment" screentip="Marks comments prior to date specified as Done" onAction="Order_Ribbon.Order_Execute"/>
        </group>
        <group id="customGroup5" label="Apps" imageMso="ColorAqua">
          <box id="box" boxStyle="vertical">
            <!--
	<splitButton id="splitButton" size="large" >
	<button id="button" imageMso="EditIcon" label="Apps" />
	<menu id="menu">
-->
            <button id="btnFindPNum" label="Find Paragraph" imageMso="FindDialog" onAction="Order_Ribbon.Order_Execute"/>
            <button id="btnupdate_fields" label="Updates Cross References" imageMso="FieldCodes" onAction="Order_Ribbon.Order_Execute"/>
            <button id="btnhighlight" label="Removes Highlights" imageMso="TextHighlightColorPicker" screentip="Removes all highlighting from document, leaving text" onAction="Order_Ribbon.Order_Execute"/>
            <!--
 <button id="btnremove_comments" label="Removes Comments" imageMso="DeleteThisFolder" screentip="Removes all commenting in the document" onAction="Order_Ribbon.Order_Execute"/>
-->
            <button id="btnremove_fonts" label="Removes Redline and Strikeout Fonts" imageMso="FontColorCycle" screentip="Removes all text using strikeout font and changes redline to black font" onAction="Order_Ribbon.Order_Execute"/>
            <button id="btnBlack" label="Fixes Blacked Out Numbers" imageMso="BlackAndWhiteBlack" screentip="Resets paragraph or style numbering if the numbering list is corrupted and the number is blacked out" onAction="Order_Ribbon.Order_Execute"/>
          </box>
        </group>
        <!--
<group id="CUI" label="CUI" imageMso="ColorAqua" >
<button id="btnCUI_Add" label= "Adds CUI Header" imageMso="HeaderFooterInsert" screentip="Adds header reading CUI//PRIVILEGED" onAction="Order_Ribbon.Order_Execute"/>
<button id="btnCUI_Remove" label= "Removes CUI Header" imageMso="HeaderFooterRemoveHeaderWord" screentip="Removes CUI headers" onAction="Order_Ribbon.Order_Execute"/>
		</group>
<group id="customGroup6" label="New Order">	
 		<button id="btnOpen" label="Order Menu" imageMso="NewPage" onAction="Order_Ribbon.Order_Execute"/>
	</group>
-->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329DB-C30B-4D5B-B18A-2887591A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56A29-DBD0-4604-A812-42FF6829ADBE}">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84AF5016-2CCF-40C3-A15A-5E08010F2647}">
  <ds:schemaRefs>
    <ds:schemaRef ds:uri="http://schemas.microsoft.com/sharepoint/v3/contenttype/forms"/>
  </ds:schemaRefs>
</ds:datastoreItem>
</file>

<file path=customXml/itemProps4.xml><?xml version="1.0" encoding="utf-8"?>
<ds:datastoreItem xmlns:ds="http://schemas.openxmlformats.org/officeDocument/2006/customXml" ds:itemID="{79C83E62-2D51-4FF4-B1C0-668DF7C2433E}">
  <ds:schemaRefs>
    <ds:schemaRef ds:uri="Microsoft.SharePoint.Taxonomy.ContentTypeSync"/>
  </ds:schemaRefs>
</ds:datastoreItem>
</file>

<file path=customXml/itemProps5.xml><?xml version="1.0" encoding="utf-8"?>
<ds:datastoreItem xmlns:ds="http://schemas.openxmlformats.org/officeDocument/2006/customXml" ds:itemID="{9BF23B3C-C7AB-4482-AEB0-F9AD567E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2020-06-05T12:16:00Z</dcterms:created>
  <dcterms:modified xsi:type="dcterms:W3CDTF">2020-06-05T12:16:00Z</dcterms:modified>
  <cp:category/>
  <dc:identifier/>
  <cp:contentStatus/>
  <cp:version/>
</cp:coreProperties>
</file>