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77" w:rsidRDefault="008F69FB">
      <w:pPr>
        <w:pStyle w:val="Title"/>
        <w:rPr>
          <w:rFonts w:ascii="Times New Roman" w:hAnsi="Times New Roman"/>
          <w:sz w:val="20"/>
        </w:rPr>
      </w:pPr>
      <w:bookmarkStart w:id="0" w:name="_Toc81045411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-228600</wp:posOffset>
            </wp:positionV>
            <wp:extent cx="1607820" cy="819150"/>
            <wp:effectExtent l="0" t="0" r="0" b="0"/>
            <wp:wrapSquare wrapText="bothSides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577" w:rsidRDefault="00D11577">
      <w:pPr>
        <w:pStyle w:val="Title"/>
        <w:rPr>
          <w:rFonts w:ascii="Times New Roman" w:hAnsi="Times New Roman"/>
          <w:sz w:val="20"/>
        </w:rPr>
      </w:pPr>
    </w:p>
    <w:p w:rsidR="00D11577" w:rsidRDefault="00D11577">
      <w:pPr>
        <w:pStyle w:val="Title"/>
        <w:rPr>
          <w:rFonts w:ascii="Times New Roman" w:hAnsi="Times New Roman"/>
          <w:sz w:val="20"/>
        </w:rPr>
      </w:pPr>
    </w:p>
    <w:p w:rsidR="00D11577" w:rsidRDefault="00D11577">
      <w:pPr>
        <w:rPr>
          <w:sz w:val="20"/>
        </w:rPr>
      </w:pPr>
    </w:p>
    <w:p w:rsidR="00DA2762" w:rsidRDefault="00DA2762">
      <w:pPr>
        <w:pStyle w:val="ISODocumentChapterTile"/>
        <w:ind w:right="-450"/>
      </w:pPr>
    </w:p>
    <w:p w:rsidR="00D11577" w:rsidRDefault="00F16E87">
      <w:pPr>
        <w:pStyle w:val="ISODocumentChapterTile"/>
        <w:ind w:right="-450"/>
        <w:rPr>
          <w:sz w:val="32"/>
        </w:rPr>
      </w:pPr>
      <w:r w:rsidRPr="00D23A3D">
        <w:t>Statement Issuance</w:t>
      </w:r>
      <w:r>
        <w:rPr>
          <w:sz w:val="32"/>
        </w:rPr>
        <w:t xml:space="preserve"> </w:t>
      </w:r>
    </w:p>
    <w:p w:rsidR="00D11577" w:rsidRDefault="00F16E87">
      <w:pPr>
        <w:pStyle w:val="ISOHeader1nonumbering"/>
      </w:pPr>
      <w:r>
        <w:t>Weekly and Monthly Statements</w:t>
      </w:r>
    </w:p>
    <w:p w:rsidR="00D11577" w:rsidRDefault="000F5C25">
      <w:pPr>
        <w:pStyle w:val="ISOBodyCopy"/>
      </w:pPr>
      <w:r>
        <w:t>Effective</w:t>
      </w:r>
      <w:r w:rsidR="00C23DFB">
        <w:t xml:space="preserve"> </w:t>
      </w:r>
      <w:r w:rsidR="00051DA7">
        <w:t>J</w:t>
      </w:r>
      <w:r w:rsidR="001667C5">
        <w:t>uly 2</w:t>
      </w:r>
      <w:r w:rsidR="00051DA7">
        <w:t>7</w:t>
      </w:r>
      <w:r w:rsidR="00C23DFB">
        <w:t>, 20</w:t>
      </w:r>
      <w:r w:rsidR="00051DA7">
        <w:t>20</w:t>
      </w:r>
      <w:r>
        <w:t>, t</w:t>
      </w:r>
      <w:r w:rsidR="00F16E87">
        <w:t>he following identifies when Weekly and Monthly Statements will be issued and their associated Payment Dates.  Additional information is located in the Billing Policy.</w:t>
      </w:r>
    </w:p>
    <w:bookmarkEnd w:id="0"/>
    <w:p w:rsidR="00F16E87" w:rsidRPr="00F16E87" w:rsidRDefault="00F16E87" w:rsidP="00F16E87">
      <w:pPr>
        <w:pStyle w:val="ISOHeader2nonumbering"/>
      </w:pPr>
      <w:r w:rsidRPr="000D12FE">
        <w:t>Section 2.1 - Statements for Hourly Charges</w:t>
      </w:r>
    </w:p>
    <w:p w:rsidR="00F16E87" w:rsidRDefault="000F5C25" w:rsidP="00F16E87">
      <w:pPr>
        <w:pStyle w:val="ISOBodyCopy"/>
      </w:pPr>
      <w:r>
        <w:t xml:space="preserve">On each Monday </w:t>
      </w:r>
      <w:r w:rsidR="00C23DFB">
        <w:t xml:space="preserve">and each Wednesday </w:t>
      </w:r>
      <w:r w:rsidR="00F16E87">
        <w:t>or on the followi</w:t>
      </w:r>
      <w:r>
        <w:t>ng Business Day if such Monday</w:t>
      </w:r>
      <w:r w:rsidR="00F16E87">
        <w:t xml:space="preserve"> </w:t>
      </w:r>
      <w:r w:rsidR="00C23DFB">
        <w:t xml:space="preserve">or Wednesday </w:t>
      </w:r>
      <w:r w:rsidR="00F16E87">
        <w:t>is not a Business Day</w:t>
      </w:r>
      <w:r w:rsidR="00FF7193">
        <w:t>.</w:t>
      </w:r>
    </w:p>
    <w:p w:rsidR="00F16E87" w:rsidRDefault="00F16E87" w:rsidP="00F16E87">
      <w:pPr>
        <w:pStyle w:val="ISOHeader2nonumbering"/>
      </w:pPr>
      <w:r>
        <w:t>Section 2.2 - Monthly Statements for Non-Hourly Charges</w:t>
      </w:r>
    </w:p>
    <w:p w:rsidR="00F16E87" w:rsidRPr="000D12FE" w:rsidRDefault="00F16E87" w:rsidP="00F16E87">
      <w:pPr>
        <w:pStyle w:val="ISOBodyCopy"/>
      </w:pPr>
      <w:r w:rsidRPr="000D12FE">
        <w:t xml:space="preserve">The first Statement issued </w:t>
      </w:r>
      <w:r w:rsidR="00C23DFB">
        <w:t xml:space="preserve">on Monday </w:t>
      </w:r>
      <w:r w:rsidRPr="000D12FE">
        <w:t xml:space="preserve">after the </w:t>
      </w:r>
      <w:r w:rsidR="00051DA7">
        <w:t>ninth</w:t>
      </w:r>
      <w:r w:rsidRPr="000D12FE">
        <w:t xml:space="preserve"> of a calendar month will include both the Hourly Charges for the relevant billing period and Non-Hourly Charges for the immediately preceding calendar month (hereinafter sometimes referred to as a “Monthly Statement”)</w:t>
      </w:r>
      <w:r w:rsidR="00FF7193">
        <w:t>.</w:t>
      </w:r>
    </w:p>
    <w:p w:rsidR="001E7933" w:rsidRDefault="003459EF">
      <w:pPr>
        <w:pStyle w:val="ISOHeader2nonumbering"/>
      </w:pPr>
      <w:r w:rsidRPr="002C2072">
        <w:t xml:space="preserve">Section 2.5 </w:t>
      </w:r>
      <w:r w:rsidR="002C2072" w:rsidRPr="002C2072">
        <w:t>-</w:t>
      </w:r>
      <w:r w:rsidRPr="002C2072">
        <w:t xml:space="preserve"> Monthly Statements for Transmission Charges </w:t>
      </w:r>
    </w:p>
    <w:p w:rsidR="003459EF" w:rsidRPr="000C6228" w:rsidRDefault="003459EF" w:rsidP="003459EF">
      <w:pPr>
        <w:autoSpaceDE w:val="0"/>
        <w:autoSpaceDN w:val="0"/>
        <w:adjustRightInd w:val="0"/>
      </w:pPr>
      <w:r w:rsidRPr="000C6228">
        <w:t>On the same date when each</w:t>
      </w:r>
      <w:r>
        <w:t xml:space="preserve"> </w:t>
      </w:r>
      <w:r w:rsidRPr="000C6228">
        <w:t>Monthly Statement is issued, the ISO shall provide electronically to each Covered Entity owing</w:t>
      </w:r>
      <w:r>
        <w:t xml:space="preserve"> </w:t>
      </w:r>
      <w:r w:rsidRPr="000C6228">
        <w:t>or owed any Transmission Charges for the preceding month a Statement (which may be</w:t>
      </w:r>
      <w:r>
        <w:t xml:space="preserve"> </w:t>
      </w:r>
      <w:r w:rsidRPr="000C6228">
        <w:t>combined with that Monthly Statement) showing all of the Transmission Charges for that</w:t>
      </w:r>
      <w:r>
        <w:t xml:space="preserve"> </w:t>
      </w:r>
      <w:r w:rsidRPr="000C6228">
        <w:t>Covered Entity for that preceding month (hereinafter sometimes referred to as a “Transmission</w:t>
      </w:r>
    </w:p>
    <w:p w:rsidR="001E7933" w:rsidRDefault="003459EF">
      <w:pPr>
        <w:autoSpaceDE w:val="0"/>
        <w:autoSpaceDN w:val="0"/>
        <w:adjustRightInd w:val="0"/>
      </w:pPr>
      <w:r w:rsidRPr="000C6228">
        <w:t>Statement”). Any resettlements of Transmission Charges will also be included on the</w:t>
      </w:r>
      <w:r>
        <w:t xml:space="preserve"> </w:t>
      </w:r>
      <w:r w:rsidRPr="003459EF">
        <w:t>Transmission</w:t>
      </w:r>
      <w:r w:rsidR="00106360" w:rsidRPr="00106360">
        <w:rPr>
          <w:b/>
        </w:rPr>
        <w:t xml:space="preserve"> </w:t>
      </w:r>
      <w:r w:rsidRPr="003459EF">
        <w:t>Statement.</w:t>
      </w:r>
    </w:p>
    <w:p w:rsidR="00F16E87" w:rsidRDefault="00F16E87" w:rsidP="00F16E87">
      <w:pPr>
        <w:pStyle w:val="ISOHeader2nonumbering"/>
      </w:pPr>
      <w:r>
        <w:t>Section 3.1 - Invoice Payments</w:t>
      </w:r>
    </w:p>
    <w:p w:rsidR="00F16E87" w:rsidRDefault="00F16E87" w:rsidP="00F16E87">
      <w:pPr>
        <w:pStyle w:val="ISOBodyCopy"/>
      </w:pPr>
      <w:r w:rsidRPr="00F16E87">
        <w:t>Payment Date</w:t>
      </w:r>
      <w:r w:rsidR="005E5A6F">
        <w:t>:</w:t>
      </w:r>
      <w:r>
        <w:t xml:space="preserve"> </w:t>
      </w:r>
      <w:r w:rsidR="00945433">
        <w:t xml:space="preserve"> </w:t>
      </w:r>
      <w:r>
        <w:t>Except in the case of special billings, all Charges due shall be paid to and received by the I</w:t>
      </w:r>
      <w:r w:rsidR="000F5C25">
        <w:t>SO not later than the second (2nd</w:t>
      </w:r>
      <w:r>
        <w:t xml:space="preserve">) Business Day after the Invoice on which they appeared was issued (the “Invoice Date”) so long as the ISO </w:t>
      </w:r>
      <w:r w:rsidR="00876CEE">
        <w:t>issues</w:t>
      </w:r>
      <w:r>
        <w:t xml:space="preserve"> such Invoice to the Covered Entities by </w:t>
      </w:r>
      <w:r w:rsidR="000F5C25">
        <w:t>11:00 a</w:t>
      </w:r>
      <w:r>
        <w:t xml:space="preserve">.m. on the Invoice Date. If the ISO </w:t>
      </w:r>
      <w:r w:rsidR="00876CEE">
        <w:t>issues</w:t>
      </w:r>
      <w:r>
        <w:t xml:space="preserve"> an Invoice after </w:t>
      </w:r>
      <w:r w:rsidR="000F5C25">
        <w:t>11:00 a</w:t>
      </w:r>
      <w:r>
        <w:t>.m. on the Invoice Date, the charges on such Invoice will b</w:t>
      </w:r>
      <w:r w:rsidR="000F5C25">
        <w:t>e paid not later than the third (3rd</w:t>
      </w:r>
      <w:r>
        <w:t>) Business Day after such Invoice Date. Notwithstanding the foregoing, a Non-Market Participant Transmission Customer will in no event be required to make a payment on an Invoice any sooner than provided in Section II of the Transmission, Markets and Services Tariff.</w:t>
      </w:r>
    </w:p>
    <w:p w:rsidR="00F16E87" w:rsidRDefault="00F16E87" w:rsidP="00F16E87">
      <w:pPr>
        <w:pStyle w:val="ISOHeader2nonumbering"/>
      </w:pPr>
      <w:r>
        <w:t>Section 3.2 - ISO Payment of Remittance Advice Amounts</w:t>
      </w:r>
    </w:p>
    <w:p w:rsidR="00F16E87" w:rsidRDefault="00F16E87" w:rsidP="00F16E87">
      <w:pPr>
        <w:pStyle w:val="ISOBodyCopy"/>
      </w:pPr>
      <w:r>
        <w:t>The Payment Date for a Remittance Advice shall be the</w:t>
      </w:r>
      <w:r w:rsidR="000F5C25">
        <w:t xml:space="preserve"> fourth (4</w:t>
      </w:r>
      <w:r>
        <w:t xml:space="preserve">th) Business Day following the date on which the Remittance Advice was issued (the “Remittance Advice Date”) so long as the ISO </w:t>
      </w:r>
      <w:r w:rsidR="00876CEE">
        <w:t>issues</w:t>
      </w:r>
      <w:r>
        <w:t xml:space="preserve"> such Remittance Advice by </w:t>
      </w:r>
      <w:r w:rsidR="000F5C25">
        <w:t>11:00 a</w:t>
      </w:r>
      <w:r>
        <w:t xml:space="preserve">.m. on the Remittance Advice Date. If the ISO </w:t>
      </w:r>
      <w:r w:rsidR="00876CEE">
        <w:t>issues</w:t>
      </w:r>
      <w:r>
        <w:t xml:space="preserve"> a Remittance Advice after </w:t>
      </w:r>
      <w:r w:rsidR="000F5C25">
        <w:t>11:00 a</w:t>
      </w:r>
      <w:r>
        <w:t>.m. on the Remittance Advice Date, the Payment Date for that Remi</w:t>
      </w:r>
      <w:r w:rsidR="000F5C25">
        <w:t>ttance Advice shall be the fifth (5</w:t>
      </w:r>
      <w:r w:rsidRPr="00F16E87">
        <w:t>th</w:t>
      </w:r>
      <w:r>
        <w:t xml:space="preserve">) Business Day after the Remittance Advice Date. </w:t>
      </w:r>
    </w:p>
    <w:p w:rsidR="00F16E87" w:rsidRDefault="00F16E87" w:rsidP="00F16E87">
      <w:pPr>
        <w:pStyle w:val="ISOHeader2nonumbering"/>
      </w:pPr>
      <w:r>
        <w:lastRenderedPageBreak/>
        <w:t>Link listing Holidays</w:t>
      </w:r>
    </w:p>
    <w:p w:rsidR="00F16E87" w:rsidRDefault="00F16E87" w:rsidP="00F16E87">
      <w:pPr>
        <w:pStyle w:val="NoSpacing"/>
      </w:pPr>
    </w:p>
    <w:p w:rsidR="00F16E87" w:rsidRPr="00E12F6F" w:rsidRDefault="001147D0" w:rsidP="00F16E87">
      <w:pPr>
        <w:rPr>
          <w:sz w:val="24"/>
          <w:szCs w:val="24"/>
        </w:rPr>
      </w:pPr>
      <w:hyperlink r:id="rId8" w:history="1">
        <w:r w:rsidR="00F16E87" w:rsidRPr="00E12F6F">
          <w:rPr>
            <w:rStyle w:val="Hyperlink"/>
            <w:sz w:val="24"/>
            <w:szCs w:val="24"/>
          </w:rPr>
          <w:t>http://www.iso-ne.com/stlmnts/holidays/index.html</w:t>
        </w:r>
      </w:hyperlink>
    </w:p>
    <w:sectPr w:rsidR="00F16E87" w:rsidRPr="00E12F6F" w:rsidSect="00D61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80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03" w:rsidRDefault="00D27F03">
      <w:r>
        <w:separator/>
      </w:r>
    </w:p>
    <w:p w:rsidR="00D27F03" w:rsidRDefault="00D27F03"/>
  </w:endnote>
  <w:endnote w:type="continuationSeparator" w:id="0">
    <w:p w:rsidR="00D27F03" w:rsidRDefault="00D27F03">
      <w:r>
        <w:continuationSeparator/>
      </w:r>
    </w:p>
    <w:p w:rsidR="00D27F03" w:rsidRDefault="00D27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78" w:rsidRDefault="00694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CF" w:rsidRDefault="008A2DCF">
    <w:pPr>
      <w:pStyle w:val="Footer"/>
    </w:pPr>
  </w:p>
  <w:p w:rsidR="008A2DCF" w:rsidRDefault="008A2DCF">
    <w:pPr>
      <w:pStyle w:val="Footer"/>
    </w:pPr>
    <w:r>
      <w:t>Document: 20</w:t>
    </w:r>
    <w:r w:rsidR="001667C5">
      <w:t>20</w:t>
    </w:r>
    <w:r>
      <w:t xml:space="preserve"> Statement Issuance</w:t>
    </w:r>
    <w:r>
      <w:tab/>
    </w:r>
    <w:r>
      <w:rPr>
        <w:snapToGrid w:val="0"/>
      </w:rPr>
      <w:tab/>
      <w:t xml:space="preserve">Page </w:t>
    </w:r>
    <w:r w:rsidR="001147D0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147D0">
      <w:rPr>
        <w:snapToGrid w:val="0"/>
      </w:rPr>
      <w:fldChar w:fldCharType="separate"/>
    </w:r>
    <w:r w:rsidR="00694B78">
      <w:rPr>
        <w:noProof/>
        <w:snapToGrid w:val="0"/>
      </w:rPr>
      <w:t>1</w:t>
    </w:r>
    <w:r w:rsidR="001147D0">
      <w:rPr>
        <w:snapToGrid w:val="0"/>
      </w:rPr>
      <w:fldChar w:fldCharType="end"/>
    </w:r>
    <w:r>
      <w:rPr>
        <w:snapToGrid w:val="0"/>
      </w:rPr>
      <w:t xml:space="preserve"> of </w:t>
    </w:r>
    <w:r w:rsidR="001147D0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147D0">
      <w:rPr>
        <w:snapToGrid w:val="0"/>
      </w:rPr>
      <w:fldChar w:fldCharType="separate"/>
    </w:r>
    <w:r w:rsidR="00694B78">
      <w:rPr>
        <w:noProof/>
        <w:snapToGrid w:val="0"/>
      </w:rPr>
      <w:t>2</w:t>
    </w:r>
    <w:r w:rsidR="001147D0">
      <w:rPr>
        <w:snapToGrid w:val="0"/>
      </w:rPr>
      <w:fldChar w:fldCharType="end"/>
    </w:r>
    <w:r>
      <w:br/>
      <w:t>Date: 0</w:t>
    </w:r>
    <w:r w:rsidR="001667C5">
      <w:t>7</w:t>
    </w:r>
    <w:r>
      <w:t>/2</w:t>
    </w:r>
    <w:r w:rsidR="001667C5">
      <w:t>4</w:t>
    </w:r>
    <w:r>
      <w:t>/20</w:t>
    </w:r>
    <w:r w:rsidR="001667C5">
      <w:t>20</w:t>
    </w:r>
    <w:r>
      <w:tab/>
    </w:r>
    <w:r>
      <w:tab/>
    </w:r>
    <w:r>
      <w:sym w:font="Symbol" w:char="F0D3"/>
    </w:r>
    <w:r>
      <w:t>20</w:t>
    </w:r>
    <w:r w:rsidR="001667C5">
      <w:t>20</w:t>
    </w:r>
    <w:r>
      <w:t xml:space="preserve"> ISO New England Inc.</w:t>
    </w:r>
  </w:p>
  <w:p w:rsidR="008A2DCF" w:rsidRDefault="008A2D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78" w:rsidRDefault="00694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03" w:rsidRDefault="00D27F03">
      <w:r>
        <w:separator/>
      </w:r>
    </w:p>
  </w:footnote>
  <w:footnote w:type="continuationSeparator" w:id="0">
    <w:p w:rsidR="00D27F03" w:rsidRDefault="00D27F03">
      <w:r>
        <w:continuationSeparator/>
      </w:r>
    </w:p>
    <w:p w:rsidR="00D27F03" w:rsidRDefault="00D27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78" w:rsidRDefault="00694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78" w:rsidRDefault="00694B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78" w:rsidRDefault="00694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7A67"/>
    <w:multiLevelType w:val="hybridMultilevel"/>
    <w:tmpl w:val="9B16272A"/>
    <w:lvl w:ilvl="0" w:tplc="0CF0A0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205C1CA4"/>
    <w:multiLevelType w:val="hybridMultilevel"/>
    <w:tmpl w:val="E23CC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4D3F"/>
    <w:multiLevelType w:val="hybridMultilevel"/>
    <w:tmpl w:val="38903D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AF0917"/>
    <w:multiLevelType w:val="singleLevel"/>
    <w:tmpl w:val="7458DD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3EB4C05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46E17AD4"/>
    <w:multiLevelType w:val="hybridMultilevel"/>
    <w:tmpl w:val="12C43E54"/>
    <w:lvl w:ilvl="0" w:tplc="2E6663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E7D3E"/>
    <w:multiLevelType w:val="hybridMultilevel"/>
    <w:tmpl w:val="235492A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CD83B13"/>
    <w:multiLevelType w:val="hybridMultilevel"/>
    <w:tmpl w:val="2346B0F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56361A58"/>
    <w:multiLevelType w:val="hybridMultilevel"/>
    <w:tmpl w:val="A3C43818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9" w15:restartNumberingAfterBreak="0">
    <w:nsid w:val="5E261E67"/>
    <w:multiLevelType w:val="hybridMultilevel"/>
    <w:tmpl w:val="330470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A1D7A"/>
    <w:multiLevelType w:val="multilevel"/>
    <w:tmpl w:val="5CBCEC3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6C972A65"/>
    <w:multiLevelType w:val="hybridMultilevel"/>
    <w:tmpl w:val="2CA03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631F7"/>
    <w:multiLevelType w:val="hybridMultilevel"/>
    <w:tmpl w:val="FAE61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57C56"/>
    <w:multiLevelType w:val="hybridMultilevel"/>
    <w:tmpl w:val="6BF6471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9500C"/>
    <w:multiLevelType w:val="hybridMultilevel"/>
    <w:tmpl w:val="647E8C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4"/>
  </w:num>
  <w:num w:numId="16">
    <w:abstractNumId w:val="13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5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69"/>
    <w:rsid w:val="000020D3"/>
    <w:rsid w:val="00051DA7"/>
    <w:rsid w:val="00063715"/>
    <w:rsid w:val="00063D9C"/>
    <w:rsid w:val="000C73DB"/>
    <w:rsid w:val="000F5C25"/>
    <w:rsid w:val="00106360"/>
    <w:rsid w:val="001147D0"/>
    <w:rsid w:val="00132729"/>
    <w:rsid w:val="001479A5"/>
    <w:rsid w:val="001667C5"/>
    <w:rsid w:val="00172F1B"/>
    <w:rsid w:val="00196141"/>
    <w:rsid w:val="001B738D"/>
    <w:rsid w:val="001E7933"/>
    <w:rsid w:val="002728E9"/>
    <w:rsid w:val="002C2072"/>
    <w:rsid w:val="002E1449"/>
    <w:rsid w:val="003459EF"/>
    <w:rsid w:val="00470469"/>
    <w:rsid w:val="004A7082"/>
    <w:rsid w:val="0051105E"/>
    <w:rsid w:val="005C0F62"/>
    <w:rsid w:val="005E5A6F"/>
    <w:rsid w:val="00694B78"/>
    <w:rsid w:val="007A081E"/>
    <w:rsid w:val="007C101B"/>
    <w:rsid w:val="00876CEE"/>
    <w:rsid w:val="008A2DCF"/>
    <w:rsid w:val="008B7EA4"/>
    <w:rsid w:val="008F69FB"/>
    <w:rsid w:val="00945433"/>
    <w:rsid w:val="00960B6E"/>
    <w:rsid w:val="009721E3"/>
    <w:rsid w:val="00A21E3D"/>
    <w:rsid w:val="00A72A6C"/>
    <w:rsid w:val="00B11660"/>
    <w:rsid w:val="00BA6490"/>
    <w:rsid w:val="00C23DFB"/>
    <w:rsid w:val="00C642AE"/>
    <w:rsid w:val="00D11577"/>
    <w:rsid w:val="00D27F03"/>
    <w:rsid w:val="00D61369"/>
    <w:rsid w:val="00D84890"/>
    <w:rsid w:val="00DA2762"/>
    <w:rsid w:val="00E12F6F"/>
    <w:rsid w:val="00E727C4"/>
    <w:rsid w:val="00EA7E85"/>
    <w:rsid w:val="00F16E87"/>
    <w:rsid w:val="00F512C6"/>
    <w:rsid w:val="00F52B96"/>
    <w:rsid w:val="00F90FAD"/>
    <w:rsid w:val="00FE15E3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B96"/>
    <w:pPr>
      <w:widowControl w:val="0"/>
      <w:spacing w:line="260" w:lineRule="atLeast"/>
    </w:pPr>
    <w:rPr>
      <w:sz w:val="22"/>
    </w:rPr>
  </w:style>
  <w:style w:type="paragraph" w:styleId="Heading1">
    <w:name w:val="heading 1"/>
    <w:basedOn w:val="Normal"/>
    <w:next w:val="Title"/>
    <w:qFormat/>
    <w:rsid w:val="00F52B96"/>
    <w:pPr>
      <w:keepNext/>
      <w:numPr>
        <w:numId w:val="30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U&amp;lc Book,Small Cap,U&amp;lc Book1,Small Cap1,U&amp;lc Book2,Small Cap2,U&amp;lc Book11,Small Cap11,U&amp;lc Book3,Small Cap3,U&amp;lc Book12,Small Cap12,U&amp;lc Book4,Small Cap4,U&amp;lc Book13,Small Cap13,U&amp;lc Book5,Small Cap5,U&amp;lc Book14,Small Cap14,U&amp;lc Book6,H2,h2"/>
    <w:basedOn w:val="Heading1"/>
    <w:next w:val="Normal"/>
    <w:qFormat/>
    <w:rsid w:val="00F52B96"/>
    <w:pPr>
      <w:numPr>
        <w:ilvl w:val="1"/>
      </w:numPr>
      <w:pBdr>
        <w:bottom w:val="none" w:sz="0" w:space="0" w:color="auto"/>
      </w:pBdr>
      <w:spacing w:before="240"/>
      <w:outlineLvl w:val="1"/>
    </w:pPr>
    <w:rPr>
      <w:sz w:val="20"/>
    </w:rPr>
  </w:style>
  <w:style w:type="paragraph" w:styleId="Heading3">
    <w:name w:val="heading 3"/>
    <w:aliases w:val="Bold,Table Attribute Heading,h3,H3,sl3,heading 3,meta book,3,Bold1,Table Attribute Heading1,h31,H31,sl31,heading 31,meta book1,31,Bold2,Table Attribute Heading2,h32,H32,sl32,heading 32,meta book2,32,Bold11,Table Attribute Heading11,h311,H311"/>
    <w:basedOn w:val="Heading1"/>
    <w:next w:val="Normal"/>
    <w:qFormat/>
    <w:rsid w:val="00F52B96"/>
    <w:pPr>
      <w:numPr>
        <w:ilvl w:val="2"/>
      </w:numPr>
      <w:pBdr>
        <w:bottom w:val="none" w:sz="0" w:space="0" w:color="auto"/>
      </w:pBdr>
      <w:spacing w:before="240" w:line="240" w:lineRule="atLeast"/>
      <w:outlineLvl w:val="2"/>
    </w:pPr>
    <w:rPr>
      <w:b w:val="0"/>
      <w:i/>
      <w:sz w:val="20"/>
    </w:rPr>
  </w:style>
  <w:style w:type="paragraph" w:styleId="Heading4">
    <w:name w:val="heading 4"/>
    <w:aliases w:val="Italic,Heading 4 Bold,Italic1,Italic2,Italic11,Heading 4 Bold1,Italic3,Heading 4 Bold2,Italic12,Italic21,Italic111,Heading 4 Bold11,Italic4,Heading 4 Bold3,Italic13,Italic22,Italic112,Heading 4 Bold12,Italic5,Heading 4 Bold4,Italic14,Italic23"/>
    <w:basedOn w:val="Heading1"/>
    <w:next w:val="Normal"/>
    <w:qFormat/>
    <w:rsid w:val="00F52B96"/>
    <w:pPr>
      <w:numPr>
        <w:ilvl w:val="3"/>
      </w:numPr>
      <w:pBdr>
        <w:bottom w:val="none" w:sz="0" w:space="0" w:color="auto"/>
      </w:pBdr>
      <w:outlineLvl w:val="3"/>
    </w:pPr>
    <w:rPr>
      <w:b w:val="0"/>
      <w:sz w:val="20"/>
    </w:rPr>
  </w:style>
  <w:style w:type="paragraph" w:styleId="Heading5">
    <w:name w:val="heading 5"/>
    <w:aliases w:val="Heading 5 italic,Heading 5 italic1,Heading 5 italic2,Heading 5 italic3,Heading 5 italic4,Heading 5 italic5,Heading 5 italic6,Heading 5 italic7,Heading 5 italic8,Heading 5 italic9,Heading 5 italic10,Heading 5 italic11,Heading 5 italic12"/>
    <w:basedOn w:val="Normal"/>
    <w:next w:val="Normal"/>
    <w:qFormat/>
    <w:rsid w:val="00F52B96"/>
    <w:pPr>
      <w:numPr>
        <w:ilvl w:val="4"/>
        <w:numId w:val="30"/>
      </w:numPr>
      <w:spacing w:before="240" w:after="120"/>
      <w:outlineLvl w:val="4"/>
    </w:pPr>
  </w:style>
  <w:style w:type="paragraph" w:styleId="Heading6">
    <w:name w:val="heading 6"/>
    <w:basedOn w:val="Normal"/>
    <w:next w:val="Normal"/>
    <w:qFormat/>
    <w:rsid w:val="00F52B96"/>
    <w:pPr>
      <w:numPr>
        <w:ilvl w:val="5"/>
        <w:numId w:val="30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F52B96"/>
    <w:pPr>
      <w:numPr>
        <w:ilvl w:val="6"/>
        <w:numId w:val="3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96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F52B96"/>
    <w:pPr>
      <w:numPr>
        <w:ilvl w:val="8"/>
        <w:numId w:val="30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F52B96"/>
    <w:pPr>
      <w:spacing w:line="240" w:lineRule="auto"/>
    </w:pPr>
    <w:rPr>
      <w:rFonts w:ascii="Arial" w:hAnsi="Arial"/>
      <w:b/>
      <w:sz w:val="36"/>
    </w:rPr>
  </w:style>
  <w:style w:type="paragraph" w:customStyle="1" w:styleId="ISOBodyCopy">
    <w:name w:val="ISO Body Copy"/>
    <w:basedOn w:val="Normal"/>
    <w:rsid w:val="00F52B96"/>
    <w:pPr>
      <w:widowControl/>
    </w:pPr>
  </w:style>
  <w:style w:type="paragraph" w:styleId="Subtitle">
    <w:name w:val="Subtitle"/>
    <w:basedOn w:val="Normal"/>
    <w:qFormat/>
    <w:rsid w:val="00F52B96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TOC1">
    <w:name w:val="toc 1"/>
    <w:basedOn w:val="Normal"/>
    <w:next w:val="Normal"/>
    <w:semiHidden/>
    <w:rsid w:val="00F52B96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semiHidden/>
    <w:rsid w:val="00F52B96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rsid w:val="00F52B96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semiHidden/>
    <w:rsid w:val="00F52B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52B96"/>
    <w:pPr>
      <w:tabs>
        <w:tab w:val="center" w:pos="4320"/>
        <w:tab w:val="right" w:pos="9000"/>
      </w:tabs>
      <w:spacing w:line="200" w:lineRule="atLeast"/>
    </w:pPr>
    <w:rPr>
      <w:sz w:val="16"/>
    </w:rPr>
  </w:style>
  <w:style w:type="character" w:styleId="FootnoteReference">
    <w:name w:val="footnote reference"/>
    <w:semiHidden/>
    <w:rsid w:val="00F52B96"/>
    <w:rPr>
      <w:sz w:val="22"/>
      <w:vertAlign w:val="superscript"/>
    </w:rPr>
  </w:style>
  <w:style w:type="paragraph" w:styleId="FootnoteText">
    <w:name w:val="footnote text"/>
    <w:basedOn w:val="Normal"/>
    <w:semiHidden/>
    <w:rsid w:val="00F52B96"/>
    <w:pPr>
      <w:keepNext/>
      <w:keepLines/>
      <w:spacing w:after="120" w:line="240" w:lineRule="atLeast"/>
      <w:ind w:left="144" w:hanging="144"/>
    </w:pPr>
    <w:rPr>
      <w:sz w:val="16"/>
    </w:rPr>
  </w:style>
  <w:style w:type="paragraph" w:styleId="TOC4">
    <w:name w:val="toc 4"/>
    <w:basedOn w:val="Normal"/>
    <w:next w:val="Normal"/>
    <w:semiHidden/>
    <w:rsid w:val="00F52B96"/>
    <w:pPr>
      <w:ind w:left="600"/>
    </w:pPr>
  </w:style>
  <w:style w:type="paragraph" w:styleId="TOC5">
    <w:name w:val="toc 5"/>
    <w:basedOn w:val="Normal"/>
    <w:next w:val="Normal"/>
    <w:semiHidden/>
    <w:rsid w:val="00F52B96"/>
    <w:pPr>
      <w:ind w:left="800"/>
    </w:pPr>
  </w:style>
  <w:style w:type="paragraph" w:styleId="TOC6">
    <w:name w:val="toc 6"/>
    <w:basedOn w:val="Normal"/>
    <w:next w:val="Normal"/>
    <w:semiHidden/>
    <w:rsid w:val="00F52B96"/>
    <w:pPr>
      <w:ind w:left="1000"/>
    </w:pPr>
  </w:style>
  <w:style w:type="paragraph" w:styleId="TOC7">
    <w:name w:val="toc 7"/>
    <w:basedOn w:val="Normal"/>
    <w:next w:val="Normal"/>
    <w:semiHidden/>
    <w:rsid w:val="00F52B96"/>
    <w:pPr>
      <w:ind w:left="1200"/>
    </w:pPr>
  </w:style>
  <w:style w:type="paragraph" w:styleId="TOC8">
    <w:name w:val="toc 8"/>
    <w:basedOn w:val="Normal"/>
    <w:next w:val="Normal"/>
    <w:semiHidden/>
    <w:rsid w:val="00F52B96"/>
    <w:pPr>
      <w:ind w:left="1400"/>
    </w:pPr>
  </w:style>
  <w:style w:type="paragraph" w:styleId="TOC9">
    <w:name w:val="toc 9"/>
    <w:basedOn w:val="Normal"/>
    <w:next w:val="Normal"/>
    <w:semiHidden/>
    <w:rsid w:val="00F52B96"/>
    <w:pPr>
      <w:ind w:left="1600"/>
    </w:pPr>
  </w:style>
  <w:style w:type="paragraph" w:customStyle="1" w:styleId="ISOTableText">
    <w:name w:val="ISO Table Text"/>
    <w:basedOn w:val="TableText"/>
    <w:rsid w:val="00F52B96"/>
    <w:rPr>
      <w:bCs w:val="0"/>
    </w:rPr>
  </w:style>
  <w:style w:type="paragraph" w:customStyle="1" w:styleId="TableText">
    <w:name w:val="Table Text"/>
    <w:basedOn w:val="Normal"/>
    <w:autoRedefine/>
    <w:semiHidden/>
    <w:rsid w:val="00F52B96"/>
    <w:pPr>
      <w:widowControl/>
      <w:spacing w:before="60" w:after="60"/>
    </w:pPr>
    <w:rPr>
      <w:rFonts w:ascii="Arial" w:hAnsi="Arial" w:cs="Arial"/>
      <w:b/>
      <w:bCs/>
      <w:color w:val="000000"/>
      <w:sz w:val="18"/>
    </w:rPr>
  </w:style>
  <w:style w:type="character" w:styleId="Hyperlink">
    <w:name w:val="Hyperlink"/>
    <w:semiHidden/>
    <w:rsid w:val="00F52B96"/>
    <w:rPr>
      <w:color w:val="0000FF"/>
      <w:u w:val="single"/>
    </w:rPr>
  </w:style>
  <w:style w:type="character" w:customStyle="1" w:styleId="ISOFootnoteReference">
    <w:name w:val="ISO Footnote Reference"/>
    <w:rsid w:val="00F52B96"/>
    <w:rPr>
      <w:rFonts w:ascii="Times New Roman" w:hAnsi="Times New Roman"/>
      <w:sz w:val="22"/>
      <w:vertAlign w:val="superscript"/>
    </w:rPr>
  </w:style>
  <w:style w:type="character" w:styleId="FollowedHyperlink">
    <w:name w:val="FollowedHyperlink"/>
    <w:semiHidden/>
    <w:rsid w:val="00F52B96"/>
    <w:rPr>
      <w:color w:val="800080"/>
      <w:u w:val="single"/>
    </w:rPr>
  </w:style>
  <w:style w:type="paragraph" w:customStyle="1" w:styleId="ISOBulletList">
    <w:name w:val="ISO Bullet List"/>
    <w:basedOn w:val="Normal"/>
    <w:rsid w:val="00F52B96"/>
    <w:pPr>
      <w:spacing w:after="80" w:line="240" w:lineRule="auto"/>
    </w:pPr>
  </w:style>
  <w:style w:type="paragraph" w:customStyle="1" w:styleId="ISOHeader1">
    <w:name w:val="ISO Header 1"/>
    <w:basedOn w:val="Heading1"/>
    <w:rsid w:val="00F52B96"/>
    <w:pPr>
      <w:numPr>
        <w:numId w:val="0"/>
      </w:numPr>
    </w:pPr>
  </w:style>
  <w:style w:type="paragraph" w:customStyle="1" w:styleId="ISODocumentChapterTile">
    <w:name w:val="ISO Document/Chapter Tile"/>
    <w:basedOn w:val="Title"/>
    <w:rsid w:val="00F52B96"/>
    <w:pPr>
      <w:spacing w:before="80"/>
    </w:pPr>
  </w:style>
  <w:style w:type="paragraph" w:customStyle="1" w:styleId="ISOSubtitle">
    <w:name w:val="ISO Subtitle"/>
    <w:basedOn w:val="Subtitle"/>
    <w:rsid w:val="00F52B96"/>
    <w:pPr>
      <w:spacing w:before="60" w:after="0" w:line="240" w:lineRule="auto"/>
      <w:jc w:val="left"/>
    </w:pPr>
    <w:rPr>
      <w:sz w:val="32"/>
    </w:rPr>
  </w:style>
  <w:style w:type="paragraph" w:customStyle="1" w:styleId="ISOHeader1nonumbering">
    <w:name w:val="ISO Header 1 no numbering"/>
    <w:basedOn w:val="ISOHeader1"/>
    <w:rsid w:val="00F52B96"/>
  </w:style>
  <w:style w:type="paragraph" w:customStyle="1" w:styleId="ISOHeader2nonumbering">
    <w:name w:val="ISO Header 2 no numbering"/>
    <w:basedOn w:val="Heading2"/>
    <w:rsid w:val="00F52B96"/>
    <w:pPr>
      <w:numPr>
        <w:ilvl w:val="0"/>
        <w:numId w:val="0"/>
      </w:numPr>
    </w:pPr>
  </w:style>
  <w:style w:type="paragraph" w:customStyle="1" w:styleId="ISOHeader2">
    <w:name w:val="ISO Header 2"/>
    <w:basedOn w:val="Heading2"/>
    <w:rsid w:val="00F52B96"/>
    <w:pPr>
      <w:numPr>
        <w:ilvl w:val="0"/>
        <w:numId w:val="0"/>
      </w:numPr>
    </w:pPr>
  </w:style>
  <w:style w:type="paragraph" w:customStyle="1" w:styleId="ISOHeading3">
    <w:name w:val="ISO Heading 3"/>
    <w:basedOn w:val="Heading3"/>
    <w:rsid w:val="00F52B96"/>
    <w:pPr>
      <w:numPr>
        <w:ilvl w:val="0"/>
        <w:numId w:val="0"/>
      </w:numPr>
    </w:pPr>
  </w:style>
  <w:style w:type="paragraph" w:customStyle="1" w:styleId="ISOHeading4">
    <w:name w:val="ISO Heading 4"/>
    <w:basedOn w:val="Heading4"/>
    <w:rsid w:val="00F52B96"/>
    <w:pPr>
      <w:numPr>
        <w:ilvl w:val="0"/>
        <w:numId w:val="0"/>
      </w:numPr>
      <w:spacing w:before="240" w:line="240" w:lineRule="atLeast"/>
    </w:pPr>
  </w:style>
  <w:style w:type="paragraph" w:customStyle="1" w:styleId="ISOHeading4nonumbering">
    <w:name w:val="ISO Heading 4 no numbering"/>
    <w:basedOn w:val="ISOHeading4"/>
    <w:rsid w:val="00F52B96"/>
  </w:style>
  <w:style w:type="paragraph" w:customStyle="1" w:styleId="ISOHeading3nonumbering">
    <w:name w:val="ISO Heading 3 no numbering"/>
    <w:basedOn w:val="ISOHeading3"/>
    <w:rsid w:val="00F52B96"/>
  </w:style>
  <w:style w:type="paragraph" w:customStyle="1" w:styleId="footnote">
    <w:name w:val="footnote"/>
    <w:basedOn w:val="ISOBodyCopy"/>
    <w:semiHidden/>
    <w:rsid w:val="00F52B96"/>
    <w:pPr>
      <w:keepNext/>
      <w:spacing w:line="200" w:lineRule="atLeast"/>
    </w:pPr>
    <w:rPr>
      <w:sz w:val="16"/>
    </w:rPr>
  </w:style>
  <w:style w:type="paragraph" w:customStyle="1" w:styleId="ISOFootnoteText">
    <w:name w:val="ISO Footnote Text"/>
    <w:basedOn w:val="FootnoteText"/>
    <w:rsid w:val="00F52B96"/>
  </w:style>
  <w:style w:type="paragraph" w:styleId="NoSpacing">
    <w:name w:val="No Spacing"/>
    <w:uiPriority w:val="1"/>
    <w:qFormat/>
    <w:rsid w:val="00F16E8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459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5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-ne.com/stlmnts/holidays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Links>
    <vt:vector size="6" baseType="variant"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http://www.iso-ne.com/stlmnts/holidays/index.html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2020-07-28T16:24:00Z</dcterms:created>
  <dcterms:modified xsi:type="dcterms:W3CDTF">2020-07-28T16:24:00Z</dcterms:modified>
</cp:coreProperties>
</file>