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62266A" w14:textId="77777777" w:rsidR="00954CD5" w:rsidRDefault="00691BE6" w:rsidP="00C86E4B">
      <w:r>
        <w:rPr>
          <w:noProof/>
        </w:rPr>
        <mc:AlternateContent>
          <mc:Choice Requires="wpg">
            <w:drawing>
              <wp:anchor distT="0" distB="0" distL="114300" distR="114300" simplePos="0" relativeHeight="251666432" behindDoc="0" locked="0" layoutInCell="1" allowOverlap="1" wp14:anchorId="17223797" wp14:editId="49CAB512">
                <wp:simplePos x="0" y="0"/>
                <wp:positionH relativeFrom="column">
                  <wp:posOffset>-954157</wp:posOffset>
                </wp:positionH>
                <wp:positionV relativeFrom="paragraph">
                  <wp:posOffset>-894522</wp:posOffset>
                </wp:positionV>
                <wp:extent cx="7772400" cy="10058400"/>
                <wp:effectExtent l="0" t="0" r="0" b="0"/>
                <wp:wrapNone/>
                <wp:docPr id="24" name="Group 24"/>
                <wp:cNvGraphicFramePr/>
                <a:graphic xmlns:a="http://schemas.openxmlformats.org/drawingml/2006/main">
                  <a:graphicData uri="http://schemas.microsoft.com/office/word/2010/wordprocessingGroup">
                    <wpg:wgp>
                      <wpg:cNvGrpSpPr/>
                      <wpg:grpSpPr>
                        <a:xfrm>
                          <a:off x="0" y="0"/>
                          <a:ext cx="7772400" cy="10058400"/>
                          <a:chOff x="-217593" y="-483235"/>
                          <a:chExt cx="7772400" cy="10058400"/>
                        </a:xfrm>
                      </wpg:grpSpPr>
                      <pic:pic xmlns:pic="http://schemas.openxmlformats.org/drawingml/2006/picture">
                        <pic:nvPicPr>
                          <pic:cNvPr id="25"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217593" y="-483235"/>
                            <a:ext cx="7772400" cy="10058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arto="http://schemas.microsoft.com/office/word/2006/arto"/>
                            </a:ext>
                          </a:extLst>
                        </pic:spPr>
                      </pic:pic>
                      <pic:pic xmlns:pic="http://schemas.openxmlformats.org/drawingml/2006/picture">
                        <pic:nvPicPr>
                          <pic:cNvPr id="26" name="Picture 26"/>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5270575" y="310101"/>
                            <a:ext cx="1600200" cy="1600200"/>
                          </a:xfrm>
                          <a:prstGeom prst="rect">
                            <a:avLst/>
                          </a:prstGeom>
                        </pic:spPr>
                      </pic:pic>
                      <wps:wsp>
                        <wps:cNvPr id="28" name="Text Box 3"/>
                        <wps:cNvSpPr txBox="1">
                          <a:spLocks noChangeArrowheads="1"/>
                        </wps:cNvSpPr>
                        <wps:spPr bwMode="auto">
                          <a:xfrm>
                            <a:off x="876300" y="2320290"/>
                            <a:ext cx="6280785" cy="246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463AA" w14:textId="77777777" w:rsidR="00AA4AB3" w:rsidRDefault="00AA4AB3" w:rsidP="002166B7">
                              <w:pPr>
                                <w:pStyle w:val="body"/>
                                <w:spacing w:before="0" w:after="120" w:line="192" w:lineRule="auto"/>
                                <w:rPr>
                                  <w:rFonts w:ascii="Calibri" w:hAnsi="Calibri" w:cs="OpenSans-Bold"/>
                                  <w:b/>
                                  <w:bCs/>
                                  <w:color w:val="62777F"/>
                                  <w:sz w:val="80"/>
                                  <w:szCs w:val="80"/>
                                </w:rPr>
                              </w:pPr>
                              <w:r>
                                <w:rPr>
                                  <w:rFonts w:ascii="Calibri" w:hAnsi="Calibri" w:cs="OpenSans-Bold"/>
                                  <w:b/>
                                  <w:bCs/>
                                  <w:color w:val="62777F"/>
                                  <w:sz w:val="80"/>
                                  <w:szCs w:val="80"/>
                                </w:rPr>
                                <w:t>2019 Economic Study:</w:t>
                              </w:r>
                            </w:p>
                            <w:p w14:paraId="78304CD7" w14:textId="77777777" w:rsidR="00AA4AB3" w:rsidRPr="00716539" w:rsidRDefault="00AA4AB3" w:rsidP="002166B7">
                              <w:pPr>
                                <w:pStyle w:val="body"/>
                                <w:spacing w:before="0" w:after="120" w:line="192" w:lineRule="auto"/>
                                <w:rPr>
                                  <w:rFonts w:ascii="Calibri" w:hAnsi="Calibri" w:cs="OpenSans-Bold"/>
                                  <w:b/>
                                  <w:bCs/>
                                  <w:color w:val="62777F"/>
                                  <w:sz w:val="80"/>
                                  <w:szCs w:val="80"/>
                                </w:rPr>
                              </w:pPr>
                              <w:r>
                                <w:rPr>
                                  <w:rFonts w:ascii="Calibri" w:hAnsi="Calibri" w:cs="OpenSans-Bold"/>
                                  <w:b/>
                                  <w:bCs/>
                                  <w:color w:val="62777F"/>
                                  <w:sz w:val="80"/>
                                  <w:szCs w:val="80"/>
                                </w:rPr>
                                <w:t xml:space="preserve">Significant Offshore Wind Integration </w:t>
                              </w:r>
                            </w:p>
                            <w:p w14:paraId="7000DD5F" w14:textId="77777777" w:rsidR="00AA4AB3" w:rsidRPr="00582371" w:rsidRDefault="00AA4AB3" w:rsidP="002166B7">
                              <w:pPr>
                                <w:pStyle w:val="body"/>
                                <w:spacing w:before="240" w:line="192" w:lineRule="auto"/>
                                <w:ind w:left="86"/>
                                <w:rPr>
                                  <w:rFonts w:ascii="Calibri" w:hAnsi="Calibri" w:cs="OpenSans-Bold"/>
                                  <w:b/>
                                  <w:bCs/>
                                  <w:color w:val="62777F"/>
                                  <w:spacing w:val="-2"/>
                                  <w:sz w:val="32"/>
                                  <w:szCs w:val="32"/>
                                </w:rPr>
                              </w:pPr>
                              <w:r w:rsidRPr="00582371">
                                <w:rPr>
                                  <w:rFonts w:ascii="Calibri" w:hAnsi="Calibri" w:cs="OpenSans-Bold"/>
                                  <w:b/>
                                  <w:bCs/>
                                  <w:color w:val="62777F"/>
                                  <w:spacing w:val="-2"/>
                                  <w:sz w:val="32"/>
                                  <w:szCs w:val="32"/>
                                </w:rPr>
                                <w:t>© ISO New England Inc.</w:t>
                              </w:r>
                            </w:p>
                            <w:p w14:paraId="6C397CB8" w14:textId="5339398D" w:rsidR="00AA4AB3" w:rsidRPr="007A11B4" w:rsidRDefault="00AA4AB3" w:rsidP="007A11B4">
                              <w:pPr>
                                <w:pStyle w:val="body"/>
                                <w:spacing w:before="240" w:line="192" w:lineRule="auto"/>
                                <w:ind w:left="86"/>
                                <w:rPr>
                                  <w:rFonts w:ascii="Calibri" w:hAnsi="Calibri" w:cs="OpenSans-Bold"/>
                                  <w:b/>
                                  <w:bCs/>
                                  <w:color w:val="62777F"/>
                                  <w:spacing w:val="-2"/>
                                  <w:sz w:val="24"/>
                                  <w:szCs w:val="24"/>
                                </w:rPr>
                              </w:pPr>
                              <w:r w:rsidRPr="00582371">
                                <w:rPr>
                                  <w:rFonts w:ascii="Calibri" w:hAnsi="Calibri" w:cs="OpenSans-Bold"/>
                                  <w:b/>
                                  <w:bCs/>
                                  <w:color w:val="62777F"/>
                                  <w:spacing w:val="-2"/>
                                  <w:sz w:val="24"/>
                                  <w:szCs w:val="24"/>
                                </w:rPr>
                                <w:t xml:space="preserve">October </w:t>
                              </w:r>
                              <w:r>
                                <w:rPr>
                                  <w:rFonts w:ascii="Calibri" w:hAnsi="Calibri" w:cs="OpenSans-Bold"/>
                                  <w:b/>
                                  <w:bCs/>
                                  <w:color w:val="62777F"/>
                                  <w:spacing w:val="-2"/>
                                  <w:sz w:val="24"/>
                                  <w:szCs w:val="24"/>
                                </w:rPr>
                                <w:t>5</w:t>
                              </w:r>
                              <w:r w:rsidRPr="00582371">
                                <w:rPr>
                                  <w:rFonts w:ascii="Calibri" w:hAnsi="Calibri" w:cs="OpenSans-Bold"/>
                                  <w:b/>
                                  <w:bCs/>
                                  <w:color w:val="62777F"/>
                                  <w:spacing w:val="-2"/>
                                  <w:sz w:val="24"/>
                                  <w:szCs w:val="24"/>
                                </w:rPr>
                                <w:t>, 2020</w:t>
                              </w:r>
                            </w:p>
                          </w:txbxContent>
                        </wps:txbx>
                        <wps:bodyPr rot="0" vert="horz" wrap="square" lIns="91440" tIns="45720" rIns="91440" bIns="45720" anchor="t" anchorCtr="0" upright="1">
                          <a:spAutoFit/>
                        </wps:bodyPr>
                      </wps:wsp>
                    </wpg:wgp>
                  </a:graphicData>
                </a:graphic>
              </wp:anchor>
            </w:drawing>
          </mc:Choice>
          <mc:Fallback>
            <w:pict>
              <v:group w14:anchorId="17223797" id="Group 24" o:spid="_x0000_s1026" style="position:absolute;margin-left:-75.15pt;margin-top:-70.45pt;width:612pt;height:11in;z-index:251666432" coordorigin="-2175,-4832" coordsize="77724,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u0cXugQAAKkNAAAOAAAAZHJzL2Uyb0RvYy54bWzsV21v2zYQ/j5g/0HQ&#10;d8WULOsNcQrHsoIC3Rak3Q+gJdoiKokaScdOi/733ZGS4zjZErTAhgEzYJuvx7uH99wdL98d2sa5&#10;Z1Jx0c1d/4K4DutKUfFuO3d//1R4iesoTbuKNqJjc/eBKffd1c8/Xe77jAWiFk3FpANCOpXt+7lb&#10;a91nk4kqa9ZSdSF61sHkRsiWaujK7aSSdA/S22YSEBJN9kJWvRQlUwpGczvpXhn5mw0r9W+bjWLa&#10;aeYu6KbNrzS/a/ydXF3SbCtpX/NyUIN+hxYt5R0cehSVU02dneTPRLW8lEKJjb4oRTsRmw0vmbEB&#10;rPHJmTU3Uux6Y8s222/7I0wA7RlO3y22/PX+Vjq8mrtB6DodbeGOzLEO9AGcfb/NYM2N7D/2t3IY&#10;2Noe2nvYyBb/wRLnYGB9OMLKDtopYTCO4yAkgH4Jcz4hswR7BvmyhuvBjV7gx7N06jqwxAuTaTCd&#10;jStWr4mZjGpMUNujcj0vM/gOqEHrGWqvexfs0jvJ3EFI+yYZLZWfd70HF9xTzde84frBOCtcJSrV&#10;3d/y8lbazskFzMYLgGk81QkQAtyBi+wWiiZ9EOVn5XRiWdNuyxaqBzcHZHH15Oly031y3rrhfcGb&#10;Bi8N24NlQIkzl3oBHOuuuSh3Leu05Z9kDRgpOlXzXrmOzFi7ZuBO8n3lw40D9zW4VC95pw1BwCk+&#10;KI2no3sYinwNkgUhaXDtLWdk6YUkXnmLNIy9mKzikISJv/SX33C3H2Y7xcB82uQ9H1SH0WfKv8iH&#10;IXJYphnGOvfUxAUEzig0/hsVYQgRQl2VlkyXNTY3AN4dAG73HCcM0o/g4jUoYIyz3v8iKkCA7rQw&#10;AJwx5i8d/1X2HN0efEIqfcNE62ADsAf1zFn0Hgyxio5L0IROoAfAOM2a7skAyLQjL11TsVgEUT7N&#10;vTxJYy9cs8BLChJ614tw5i/juPDz+JtxQoOlxXAEYnBN6FqXhsZ/h5nRM2ZG59QE6NmGyTtDh3t2&#10;xxT/Atdu4ty/ysLgfxZK9PEz3s2CmMxiCLmQcKY+5F4TPm1UwqTlR4RAgTEkraFjqTRKGin1JtYZ&#10;H8CIcEqEfQ9VjxpjMPTeFsiw5nmpXvhY054B8VHsSV6BEswm9k8YU67FwZmi9w6rMK87+gDDmEIQ&#10;KdWfJRgpxb5mtAL1bJI52WrlvCnUJXE0RUQB8WAakCAdioAx0kVBQuIErgTrhCCMSBSYIuAfD3Qp&#10;SVfJKgm9MIhWkI/y3FsUy9CLCihSIAAul7k/5qOaVxXrMJ7+eDoy4IuGV2OCVnK7XjbSpqnCfIb4&#10;qh6XTTAtPqoxpjAUhsjaFJv6UIJdB6lXRAnE7iKceWlMEo/46XUakTAN8+KpSR94x37cJGc/d9MZ&#10;3OPf20bM57ltNGu5hgdCw9u5mxwX0QzdcdVVJodpyhvbPoEC1X+EAlxozGhQJCqTmq3n6sP6MJBh&#10;LaoH4IIUkELBTeFVA41ayC+us4cXwtxVf+woFoPN+w6okPphCMu06YSzOICOPJ1Zn87QrgRRc1e7&#10;jm0utX2G7KA22tZw0ki+BVQKBTdpG1W1WoEp2IFgYVrmPWDMG94u+OA47ZtVjy+sqz8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DpttE55AAAAA8BAAAPAAAAZHJz&#10;L2Rvd25yZXYueG1sTI/BTsMwDIbvSLxDZCRuWxLasVGaTtMEnCYkNiS0m9d6bbUmqZqs7d6e9AS3&#10;3/Kn35/T9agb1lPnamsUyLkARia3RW1KBd+H99kKmPNoCmysIQU3crDO7u9STAo7mC/q975kocS4&#10;BBVU3rcJ5y6vSKOb25ZM2J1tp9GHsSt50eEQynXDn4R45hprEy5U2NK2ovyyv2oFHwMOm0i+9bvL&#10;eXs7HhafPztJSj0+jJtXYJ5G/wfDpB/UIQtOJ3s1hWONgplciCiwU4rFC7CJEctoCewUUhxHEniW&#10;8v9/ZL8AAAD//wMAUEsDBAoAAAAAAAAAIQBtAEjP1H0AANR9AAAUAAAAZHJzL21lZGlhL2ltYWdl&#10;MS5wbmeJUE5HDQoaCgAAAA1JSERSAAAE+wAABnIIAgAAAMmmdlkAAAAJcEhZcwAAFxEAABcRAcom&#10;8z8AACAASURBVHja7N3Bj1TZdcBh/8m2MswYUDAIjDFxp7GAVa3ojdUrWkqCIFaQwYuRZjazGGkW&#10;s0Fss4kilRw5i+RojubocF/Vq6ruauhuvqNPFvW6uqiuHln6cd+77xf/Z4wxxhhjjDHGXMX5hY/A&#10;GGOMMcYYY4ziNcYYY4wxxhhjFK8xxhhjjDHGGKN4jTHGGGOMMcYYxWuMMcYYY4wxxiheY4wxxhhj&#10;jDGK1xhjjDHGGGOMUbzGGGOMMcYYY4ziNcYYY4wxxhhjFK8xxhhjjDHGGKN4jTHGGGOMMcYYxWuM&#10;McYYY4wxRvEaY4wxxhhjjDGK1xhjjDHGGGOMUbzGGGOMMcYYY4ziNcYYY4wxxhhjFK8xxhhjjDHG&#10;GKN4jTHGGGOMMcYoXmOMMcYYY4wxRvEaY4wxxhhjjDGK1xhjjDHGGGOMUbzGGGOMMcYYY4ziNcYY&#10;Y4wxxhhjFK8xxhhjjDHGGMVrjDHGGGOMMcYoXmOMMcYYY4wxRvEaY4wxxhhjjDGK1xhjjDHGGGOM&#10;UbzGGGOMMcYYY4ziNcYYY4wxxhijeI0xxhhjjDHGGMVrjDHGGGOMMcYoXmOMMcYYY4wxRvEaY4wx&#10;xhhjjDGK1xhjjDHGGGOMUbzGGGOMMcYYYxTvHud///63vy3/CwAAgM9N9OAVL96//89y+d//CQAA&#10;wOcmelDxAgAAoHgVLwAAAIpX8QIAAKB4FS8AAACKV/ECAACgeBUvAACA4lW8AAAAKF7FCwAAgOJV&#10;vAAAAChexQsAAIDiVbwAAAAoXr9mAAAAxat4AQAAULyKFwAAAMWreAEAAFC8ihcAAADFq3gBAABQ&#10;vAAAAChexQsAAIDiVbwAAAAoXsULAACA4lW8AAAAKF7FCwAAgOIFAABA8SpeAAAAFK/iBQAAQPEq&#10;XgAAABSv4gUAAEDxKl4AAAAULwAAAIpX8QIAAKB4FS8AAACKV/ECAACgeBUvAAAAilfxAgAAoHgB&#10;AABQvIoXAAAAxat4AQAAULyKFwAAAMWreAEAAFC8ihcAAEDxKl4AAAAUr+IFAABA8SpeAAAAFK/i&#10;BQAAQPEqXgAAABSv4gUAAFC8ihcAAADFq3gBAABQvIoXAAAAxat4AQAAULyKFwAAAMWreAEAABSv&#10;4gUAAEDxKl4AAAAUr+LlQjo5eX58fPz+3Y/58O2b18+OjuJgPozj8XCxWHz7zdc+KwAAULyKl0sj&#10;UvaXX3wZ7ty9Fw9/+P67fBgidOPI/QcP8+G16zfjqz4xAABQvIqXy6GCNnz7zddRufUwvhRPqIfh&#10;7ZvXPjEAAFC8ipfL4eDwUS3hxsNXL19U3z5+8jSOxPGexD4xAABQvIqXy+H9ux+jbKN7q2afHR3d&#10;f/AwDuaVvXH8xq3b0b3Hx8c+LgAAULyKFwAAAMWrePm4Xr18cXD4qBZs37/7MR7ef/AwjueRxWIR&#10;D+NgrvG+ffM613hzI6s4mJf+xkEnOQMAgOJVvFwUfSvmjN5+HW/U7MbreGtv59reGQAAULyKl0/v&#10;7ZvX624+tOVezf35wUcKAACKV/FyUdy5e6/faqgSd8v78Z6cPB8WgQEAAMWreLkQ3r/7MVo32rWO&#10;vHr5Ijo2r9rN6I3WjSP1/HgY6qrd+FJkcBypbwEAABSv4uXSnPzcazZaNxeEK4njoW2rAABA8Spe&#10;PqVXL19cu34z1Jptbj115+69bNp8QhyJ47mim6c9x8Fs2tqqKk97joO1l1W9JgAAoHgVLx9bvwo3&#10;e3Vm56ofvv/u+Pi4Hh4cPlpOdq56/ORpPczXBAAAFK/i5aoV741bt33CAACgeBUvn0YkbnTp9Kzm&#10;CF1nNQMAgOJVvHyOnWznKgAAULyKl0uQr71XN96dKJ4/f3ei4+Pj+w8eLhaL/JY4Hg9DvI5PGwAA&#10;FK/i5SOJUs0zkPOk5ZAnLedFuf0JedJylPC6C32vXb8ZX40Sric8fvI0ordOcq7XBAAAFK/i5dz1&#10;jamWP91od2bnqlzdrYfxpeVk56r+/DzSH+ZrAgAAilfxcu4ODh/1fO1LuMfHx/0J167ffP/ux1cv&#10;X/Ql3HhCX8KNJK6NrHJZuG/+bC8rAABQvIqXjyciNho12rUu3M07DGXu5hPiYfRwnZD87OgoHkYJ&#10;52W6cTx3e8712ziYy7xxcNjMOaMaAABQvIqXK9XVfSusXEzuD4fdswAAAMWreNlDix7/NNtvxfzq&#10;5Yv7Dx7mrlT5/IPDR3EkvyXXhHNFN78ljvc7+uYdgPM06fyWuvT3zt17/aZHAACA4lW8nF7WaZ1y&#10;3LdWzhytJ8Tx5YdbW+V1vJmv6Yfvv4t47ltb9QuD8zXrwuCK3v6E2jIaAABQvIqXM9lpr+b46tn3&#10;au4Pp0dc6wsAAIpX8bIfta1ULtj2Nd5XL1/0J9y4dXtlEs+s8R4cPhrWeOM1+xpvfO+wxuv2RQAA&#10;oHgVL3sTzdlvGpTV2veRiocRorXXVFRrPKzNnON41HJ0bBZyRnLfzDmO982c4/kzmzm7jhcAABSv&#10;4uUCGbZijocRzP1IPAxVs3l2dBVyPDMeRvfW5lgAAIDiVbycVUTm/QcPa1/lXNHtK7S5tXLtq7z8&#10;+creWqGt05LzvOg4OOx9VVf2xrfEa/bTmKNy+3nUQfQCAIDiVbzsR8/RXG6t+MzzlvtOVPHV3qtR&#10;xcvJzlW1t3NVcX9CvOadu/eGI/1hZjMAAKB4FS97K97pzYemezVPbz40Ld7h5kPTvZr7TlfTvZqz&#10;ogEAAMWreDmrWrOtk5ZzkTa6NC/EHU5anm7mXIu6d+7ei6/GweHmusNmzrVP1cob9tbFvQAAgOJV&#10;vJy7iNJ+ee10Y6rI1AjjYWOqSug4Hg/DcKlwXsSb357XEvctowEAAMWreNm/SNN+l6B42G9WlFfz&#10;9gaOhzO3L4pn5u2L8kUygKNv42AV752794Kb8QIAgOJVvOzTYrHIE5LzYe4sde36zWEr5rxqN7J2&#10;OKu5Xwk8Pat52Io5onc4q3m40NcyLwAAKF7Fy35UoEboLjftXBUN3DeaOo+dq/I1AQAAxat42cMJ&#10;zLkGm4ur07sT9YId7qab+yoPd9N1dyIAAFC8ipcLFL39XOLcR6ouso2vRtn2baXytOTcZjlPe87o&#10;zZ2Z42Cu4sbBbTZzjiPVwHUqNQAAoHgVLxfU2zev5/e+iocVt/HM4+PjvvcVAACgeBUvexDB2VdW&#10;IzuHewtljtZzchE4jgyLwLmiGwdzUTcO1t5XfRE4DtYisH2qAABA8SpezjF379y9V6cT962VM0fr&#10;nOQ4vvxwa6ss2L4TVdRyvy43z3wetmIetrbyKwAAAMWreDkXFagRrstNezXHVzfu1dyfn0dmdmYO&#10;fgUAAKB4FS/n5eDw0co13mHfqXVJPLPGG69sjRcAABSv4uVTntjct4zKau0bTQ3bSkUJRwbnvYuW&#10;k+t4lz9t5hwP42Be6BuVG1UccVubOec6cN67yOcPAACKV/FymUTK9r2ac3NmHwsAAChexcv5Ojl5&#10;3hdXI03z/OSK1X4/3vjfXMKt5ywWi2vXb9YKbfxvngidl/XG8+tS3tz7ql8q7P5DAACgeBUv55i7&#10;eQFtXbh75+69OBKJm0+o63jzSF3HG+JbQj2Mb4wn5LdX4vbrePMy3X4db/0tAACA4lW87FkFal5V&#10;++rli6rTXIAdtmIe9mruO1dl0FYh515Ww27Mw85VB4eP/AoAAEDxKl7ORS7q9rXWk5PnteTbF3Vz&#10;J6pK4viu+N5QmzNnM8f/9r7tSZzN3BeBa3crAABA8SpePoGo32H35ujY2okq/hCR3Ns1HvbNnPO2&#10;vcfHx3UlcFR01G9e1gsAAChexcvFFU3bkzgKuSdxfCmK1+bMAACgeBUvZ12PzbOLSzzsWzEPT8i9&#10;lPsTTk6e95Oc86zm2le5zmrO59ROV3WKcp3VnBtZ9bOa+xbQAACA4lW87Ja7uXFUJWv2al2XW0+o&#10;6M1erScMQdu3Ys5e7TtXRQP3rZjzMt2+MVXkbt/bObe2AgAAFK/iZWe14lqXyGaR3rh1O88xjkbN&#10;4q0nrEviUxRvbrw8U7zxNvyOAABA8SpeTh+9wwbI07Oahy2j5k97jj9HA0foZjNXEmcAV2NXM9ft&#10;iPKs5np+z2wAAEDxKl4upR++/64ndO7t3I8AAACKV/HykQJ15sj7dz8OvXpy8rxuNbT8+eZDtX4b&#10;xxeLxeMnT+tb4qv3HzyMI/UtAACA4lW87Cxa9M7de/1mufGwn04cf+5PyLOOh82Z6xTleNqNW7fr&#10;otzlZCvmaOPhQt/aujleZOWFvgAAgOJVvOysbgWU2yYv20ZT2av1hIrPusg20nT5805XM/cW6jtX&#10;5eru/F7N/fnB7wgAABSv4uWU+grtxiXcXPLNvs1V39qJKre/iofDvlORyv1WQz2J82+p54fcBKse&#10;ZkUDAACKV/FySsN1ufOX6S5/ugdvv8J22O05qnW4TDfKNrp33WW6cTzK9sat2/ktcTCXeeOIzasA&#10;AEDxKt4rcoJxJF/U4OD4+Di+NK3QneRuUvFSK1/cBlEAAIDiVbwrfPvN1/cfPNxo3bdH5dZ5v/Py&#10;ZOO8vHb7xdvcmGrji9+4dXuxWGRXT5dwh790eEJ8V1/jjT/Hz5sX8ea3xw8YR+o58RfFW4qD+SJx&#10;PE9s7jf1BQAAFK/ivRBrs9v06vQbo/RqW+OdRD1uPN03zyU+xYv/4eCw71OVl+lucx1vnpPct2LO&#10;ra36dbzx5Pz2met4/Z/FHuVKft9525sBAEDxKt5zL96+P9Mp9ARd2dI9I08n13Xjpdbt1Zxrtjvt&#10;1ZyX+M7v1ez/LPZo2IjbmwEAQPEq3nMv3n7L2bNE78qLe/si6lnUWtzK+/H2lbrHT572J9RJ1Jmv&#10;lbh1P97h/kaVxLkI7P8sFC8AAIpX8V7W4u337zmjfg+hnd7MrtE7PWV6/siw1VZEct8fK74UGVzL&#10;uXE8t9Q64+5cKF4AABSv4v3ExbtxgTd6eLFYRAFuc5XvkJ37aun5ZeS9fGiWcxUvAACKV/FeteLt&#10;17XOXECbNm7j3J/cL5Gd79h4D1u28eMnT7/95uu+i3LeL7dfRXxy8ryvNuclypHrtfNz/l35nNrp&#10;Kg6e+qrdeJGd9rj6hBtixYew078a7PSjxZPnX3xjZE434t7j2xt+dsULAKB4Fa/i/bJHwsYX7yce&#10;bxOxEaLDHsubC/nXN/qtg6pXs3xqa6sM2jg4s3NV3i1p2Llqm17NOzzFH4YNruPN9BsjDW02rJPn&#10;7Z36x5s3Ugp5RXEXR/JL01O740i9n5n/KoZ/rYi3OvNS+Tf2dxsH17Vo/L39xfPnip83fkfxXf2f&#10;J9Z9ztO3ly8y/ETDJ9//g1n549QnHy/V/2vMt6d4AQAUr+JVvB9UXF7yOqOiqMpz+0Le8lv+4avr&#10;/RvzpkdVvLmR1emKt/Z/3vITXne/pen1zPEXrev5eLf94+27anX17dNCy58oXmfdG565L9TwVmtZ&#10;ft23rIzkdf+WkcHc3/DKH2H+tlX9XxBO8cnXfw/T/6oVLwCA4lW8iveDc4+jiKJAtjktdsvbHQ0v&#10;tc23/O734zpn/F19MTDeYV9XjD/nm8/F5EqgDOB+VvOW58cOn3B+LMP67bDSW30Vz4nGjlfI1dTp&#10;9cn1zH5dcS1Irryz1LrYq8XhHoTxxkIvxv5ZDSeix9OmP1r/lPo/KOT6c/xow69+vniH+yHHe4tX&#10;6MvLfcfsXT/5+Mb6Uvyh3l5vYMULAKB4Fe9VLt7T3Yk3muHg8FEkxLoNn7YM6XUrmfN/9Xlc3Xq6&#10;T3g4/bhOze2LtP0WwcPHVeVZy8v16+jlNqx+97OL60srz6bum4cN/0zQFz/rx+/F25/fzznvaV2/&#10;5aG3hxKeKd562eHt9b+xvrSvT77/7IoXAEDxKt6rXLxnv4FQXhU5vI0tL+LdSydPe7Ufyc2Q+pEo&#10;qGihvnIYpbfuKtCZT3j6/vtibB2sZcaVXV1fzffTT9wd/lWinjmsYE/XhKcrqCtXgKtv6wXryPQE&#10;73pjlZR1Dvb0c+gvNV+8687i7jGfq/H7/eRXvj0AABSv4r1qxbvxQsotl3yHNcZtvmvdJakb9SW7&#10;XK/rRZfbFE3PE86l0UrErKzKtl5WW37CvTyni5ZDFq4rq+mibv5jQY+6fM34ufIPvQ8z6tZdgVwr&#10;nytje7p7U3Xgyo9i+I+ncnrl57DyB1/5Uazb4bk+52nxrgz4+o9nuemi6G1+LwAAKF7Fe0WKN2/w&#10;c/b75fZl0nMt3t54w1m7/UTW4dOY7lwVtdzP490yfqYlNtNd9eS66HRQ/9xQrzbN1PoBhxXdyrbp&#10;3s5Dfq/baWz472Gn4q0nr9ueOn81G4u3f7Dxg+QOz/0cgWnx7vTJrwzy+scCxQsAoHgV7xUv3rro&#10;ccub4m6zE9W5Fm/fZSpXGmvVt67/zACO9zMkcfVkXg/cL5Fdt/nTXop3o3q1WjvNN1yvED/LcNVu&#10;5f2665C3/8WdpXjX3bUoP4qNxRu/yvmzDM5YvOuW7qdvDwAAxat4r2zxZi5GZQ13Rt31mt7hEsqd&#10;9qDasniHwIv8G3Y2Hm5pE81Tq6B5d9b4GauZ46vx9668GnmPxRsfSN5Ldp1aIa+TjfPDzLDMk5zr&#10;S7lumb+plWftDo06/1ef7qzmvRTv9OZGubH24qdRvAAAKF7Fu7finZ5iWteO7rpaeLo9qLbp5JX7&#10;JH2ST3gv59bOnI2c/yKQL1j/lNAv5d34ysNFxRudrnjXnVO98TrefhF1vNWo3/5vGTPX8e7lk88P&#10;R/ECAChexXtlizf3MZ5XL7vlfYxy7XSnJw9rm/P+6eCfhxvnzq/xxp8PDh/1Nd54GJ1Tz8kLR+Pg&#10;eazxzu+flOf0xgsOP1HFZN3mp1aA64Ot1dGZ2wjXm1n3nLxFbf3gOxVvnWK98mzweuczxVtnZa/M&#10;zvoBT1e883tTTXftAgBA8Sreq1a82zx5aMuNz89I3vJt9HSZnuC60s1//M1O1/EOd3Dt1/FmG5/r&#10;dbzLTXcnqvfTV0orF6e7WNUbzh9zfsW7knLlOuf0hkM7FW//F4rpj1bvfKZ45/+6+iRPV7zzn3z9&#10;x6Z4AQAUr+K9ymu8e1+GrQXDLS/lrULeZt+sL766vm6v5mEzpwuyV3Pvun5TpaG7Mr/7l/qn0bN2&#10;+BXMV3o8uV5nWOaNL9UvqBaQdyreZbuv1fCj1W9hy+Kd/hT9nz9OXbzrbrqbd7RSvAAAilfxXv3r&#10;eDd2ZiRBxczGc5X7ZlRbrtnuJBomXnZ6P95+Y6S89rieMNyPt/fn8sPNnHe9H++W3dXbMv6QJxLn&#10;udYrb+w0xOQ0CPuV1evuDDStvlzpzTPV42D91P10612Ltxd1/CF+ovgrhn/pmCneWsrOnzHPr47/&#10;HbZuruef5ZPP64Tz6vT+37ziBQBQvIr3Khfv/I1h+va526zZzrTZ2cUbWHmp7fSc1eGy3vhMhi2R&#10;In7qOfGlDOldP+EtuyvTbubTW/lX99Othyf0f3fY5g3P/IqHtdldizd/tJW/5fpL5/dqnnlv8aX8&#10;0GqJ+3Sf/Mp/04mD7scLAKB4Fe/VL95+pevZDfG5rjdOZ2aLprN/aFtuW5U/1HA/oSFH+/1+enj3&#10;ldU6N3vdrX3i+XXroOFTjW/J49vv/xz9PHRp9N50j+X4iWZ+tOFWRsM35n5geZ+n/KGmfbvybcfH&#10;Ml0WzrXrvHFUfQKn++Tje4eujrcaB/P5O+2hDQCA4lW8l6x4hxNfz2Jlh+wler/49Y168XjBXim5&#10;93KP4XhmX2rOFdFazIyUyveTL1I7XdUVxectWmu6OfPH/M9jp7xfzl4kPPM69S8pdcX1xlfre4Of&#10;38/u//0BABSv4v28ine59c2EZk57njkrOOLnjKc3R/HWKl/v1TqXtXZvHm6Z068Une5cFa/Z91ja&#10;ss2oRp3ZPWv+BGkAAFC8ivfjFW+24jZX6q683nLlfXemJ77u+vrRsXfv/64HbRVvBXaesNqfoHg/&#10;mvqFDkvWfWF/m/82AABA8SrebU+ajbTbaCaYF4vFxiXZ3Jg3cnHXnomu3vj60VHRq7ULcTy/B9U2&#10;ZzX3J+Tyde04PXNW86c60/jy6ndXis8zHuYp5X13aJ8SAACKV/FeRFGAeenj4Fxf/1P9pH7dpzOz&#10;2XK/rxUAAChexcspl7VnjkzvTvTq5Yt+d6LI3Z3uTpRrm/0VPnPDvYXz/PCdPk8AAFC8ivdzlGcd&#10;93yKP/e7yOYlo/3s2cdPnvYn1BnUuYBce3TF8eWHN2faco+l4RUAAADFq3g5jdpoKnu19uWqXaZq&#10;h6S87rd2osoc7ft4TXeuytXdfhbuNm+pL2a62w0AAChexcsp5RJuv/9N/LnvMpWbJ9Wibu1ElcvC&#10;fQk3YjiO1Pm38SLx5Lqb0bq77Ez1HadtRAwAAIpX8XKm6B3Ocx46M6q1X1KbHVsP3755/ezoKHM3&#10;vxple//Bw1qeja/GwyjhLa/LjfcT0Tt/C2IAAEDxKl4AAAAUr+L9XM1vxZyruMMi8HD/3r4Vc3w1&#10;70jcz4u+/+Dh4ydPc403jh8cPooj+S25JpxX+ea3vHr5Itd4t9zpCgAAULyKl9WnEG9zHW89Ia/j&#10;rSfEw9raKgu27h8bx5cfbm2VL9Iv040Xqa2w6gaz9YJ2rgIAAMWreDm9Ya/m2mhquldzBm0FaoTr&#10;ctNezXmJ77BX87AVc39+HukPLfMCAIDiVbyc/pTm+dvtzi8C9yXZ3M6q7qa7LomHrZj7Gm9mdl/j&#10;HXbVAgAAFK/iZbfoHY4MmyrPX+ib1drTNB5G3NZzhs2c43g0c8TtsJlzv9A3HtaFvgAAgOJVvAAA&#10;AChexct6w+1280TlYXPmfhb0dCvm4W66B4eP8iTnfJE4nuct9xcBAAAUr+Ll3HP3zt17tU/V8ue9&#10;l6NRK2izV/Ms5R++/66uuc0jfSeq+Jbc6rlfpts3pnKZLgAAKF7Fy0dSQVsLsBnAtTFVbeYcx5eb&#10;9moeNqZauVezzxwAABSv4uXjRW8/3zhXffsmUvHnvplznrQcnZxbVdWibm7vnHtB92auJK51YwAA&#10;QPEqXi6HqNx+unJk7ds3r+tIPMzNnOUuAAAoXsXL5S5eAABA8SpeLoSTk+d5QvKWZzXnWcrXrt+s&#10;rZj7Wc0AAIDiVbxcCLUT1V52rrLSCwAAilfxclGsuztRLerWZs75hI13J/KRAgCA4lW8XKDozeXc&#10;slgsch/mFNE7nOQclRthXEkceRxV3J8DAAAoXsULAACA4lW8nJu3b173h8PluO/f/diXfOPJz46O&#10;hmVhAABA8SpeLpzf/u73v/ziyz//+6sK2r7xcl7oWzsz9+t4RS8AAChexcvF9ac//Snz9Ytf38gj&#10;N27dziN5Xe7x8XE+jOPx8NnR0bBXMwAAoHgVLxd3jfdX177669u/5MO8v+66Nd743ypeW1UBAIDi&#10;VbxcdP0y3eWm63hfvXzx7Ogob00EAAAoXsULAACA4lW8fFx/ffuXPz5+0o+cnDwflnkBAADFq3i5&#10;fLn7q2tf/fKLL/9wcFi5Gw/rwl0AAADFy6X0H39+ldtQ/ebO3Txy5+49G1MBAACKl6vg3/71X+7c&#10;+209zM2Za69mAAAAxQsAAIDiVbxcMMPdiQAAABQvV0FuVeWqXQAAQPFy1VZ3c5+qYKUXAABQvFwp&#10;i8XCGi8AAKB4/aavprdvXvsQAAAAxQsAAIDiVbwAAAAoXsULAACA4lW8AAAAKF7FCwAAgOJVvAAA&#10;ACheAAAAFK/iBQAAQPEqXgAAABSv4gUAAEDxKl4AAAAUr+IFAABA8QIAAKB4FS8AAACKV/ECAACg&#10;eBUvAAAAilfxAgAAoHgVLwAAAIoXAAAAxat4AQAAULyKFwAAAMWreAEAAFC8ihcAAADFq3gBAABQ&#10;vAAAAChexQsAAIDiVbwAAAAoXsULAACA4lW8AAAAKF7FCwAAoHgVLwAAAIpX8QIAAKB4FS8AAACK&#10;V/ECAACgeBUvAAAAilfxAgAAKF7FCwAAgOJVvAAAAChexQsAAIDiVbwAAAAoXsULAACA4gUAAEDx&#10;Kl4AAAAUr+IFAABA8SpeAAAAFK/iBQAAQPEqXgAAABQvAAAAilfxAgAAoHgVLwAAAIpX8QIAAKB4&#10;FS8AAACKV/ECAACgeAEAAFC8ihcAAADFq3gBAABQvIoXAAAAxat4AQAAULyKFwAAAMULAACA4lW8&#10;AAAAKF7FCwAAgOJVvAAAAChexQsAAIDiVbwAAAAoXgAAABSv4gUAAEDxKl4AAAAUr+IFAABA8Spe&#10;AAAAFK/iBQAAULyKFwAAAMWreAEAAFC8ihcAAADFq3gBAABQvIoXAAAAxat4AQAAFK/iBQAAQPEq&#10;XgAAABSv4gUAAEDxKl4AAAAUr+IFAABA8fpNAwAAKF7FCwAAgOJVvAAAAChexQsAAIDiVbwAAAAo&#10;XsULAACA4gUAAEDxKl4AAAAUr+IFAABA8SpeAAAAFK/iBQAAQPEqXgAAABQvAAAAilfxAgAAoHgV&#10;LwAAAIpX8QIAAKB4FS8AAACKV/ECAACgeAEAAFC8ihcAAADFq3gBAABQvIoXAAAAxat4AQAAULyK&#10;FwAAAMULAACA4lW8AAAAKF7FCwAAgOJVvAAAAChexQsAAIDiVbwAAACKV/ECAACgeBUvAAAAilfx&#10;AgAAoHgVLwAAAIpX8QIAAKB4FS8AAIDiVbwAAAAoXsULAACA4lW8AAAAKF7FCwAAgOJVvAAAAChe&#10;xQsAAKB4FS8AAACKV/ECAACgeBUvAAAAilfxAgAAoHgVLwAAAIoXAAAAxat4AQAAULyKFwAAAMWr&#10;eAEAAFC8ihcAAADFq3gBAABQvAAAAChexQsAAIDiVbwAAAAoXsULAACA4lW8AAAAKF7FCwAAgOIF&#10;AABA8SpeAAAAFK/iBQAAQPEqXgAAABSv4gUAAEDxKl4AAAAULwAAAIpX8QIAAKB4FS8AG5OvbwAA&#10;IABJREFUAACKV/ECAACgeBUvAAAAilfxAgAAoHgBAABQvIoXAAAAxat4AQAAULyKFwAAAMWreAEA&#10;AFC8ihcAAEDxKl4AAAAUr+IFAABA8SpeAAAAFK/iBQAAQPEqXgAAABSv4gUAAFC8ihcAAADFq3gB&#10;AABQvIoXAAAAxat4AQAAULyKFwAAAMULAACA4lW8AAAAKF7FCwAAgOJVvAAAAChexQsAAIDiVbwA&#10;AAAoXgAAABSv4gUAAEDxKl4AAAAUr+IFAABA8SpeAAAAFK/iBQAAQPECAACgeBUvAAAAilfxAgAA&#10;oHgVLwAAAIpX8QIAAKB4FS8AAACKFwAAAMWreAEAAFC8ihcAAADFq3gBAABQvIoXAAAAxat4AQAA&#10;ULwAAAAoXsULAACA4lW8AAAAKF7FCwAAgOJVvAAAAChexQsAAKB4FS8AAACKV/ECAACgeBUvAAAA&#10;ilfxAgAAoHgVLwAAAIpX8QIAAChexQsAAIDiVbwAAAAoXsULAACA4lW8AAAAKF7FCwAAgOL1mwYA&#10;AFC8ihcAAADFq3gBAABQvIoXAAAAxat4AQAAULyKFwAAAMULAACA4lW8AAAAKF7FCwAAgOJVvAAA&#10;AChexQsAAIDiVbwAAAAoXgAAABSv4gUAAEDxKl4AAAAUr+IFAABA8SpeAAAAFK/iBQAAQPECAACg&#10;eBUvAAAAilfxAgAAoHgVLwAAAIpX8QIAAKB4FS8AAACKFwAAAMWreAEAAFC8ihcAAADFq3gBAABQ&#10;vIoXAAAAxat4AQAAFK/iBQAAQPEqXgAAABSv4gUAAEDxKl4AAAAUr+IFAABA8SpeAAAAxat4AQAA&#10;ULyKFwAAAMWreAEAAFC8ihcAAADFq3gBAABQvIoXAABA8SpeAAAAFK/iBQAAQPEqXgAAABSv4gUA&#10;AEDxKl4AAAAULwAAAIpX8QIAAKB4FS8AAACKV/ECAACgeBUvAAAAilfxAgAAoHgBAABQvIoXAAAA&#10;xat4AQAAULyKFwAAAMWreAEAAFC8ihcAAADFCwAAgOJVvAAAAChexQsAAIDiVbwAAAAoXsULAACA&#10;4lW8AAAAKF4AAAAUr+IFAABA8SpeAAAAFK/iBQAAQPEqXgAAABSv4gUAAEDxAgAAoHgVLwAAAIpX&#10;8QIAAKB4FS8AAACKV/ECAACgeBUvAACA4lW8AAAAKF7FCwAAgOJVvAAAAChexQsAAIDiVbwAAAAo&#10;XsULAACgeBUvAAAAilfxAgAAoHgVLwAAAIpX8QIAAKB4FS8AAACKFwAAAMWreAEAAFC8ihcAAADF&#10;q3gBAABQvIoXAAAAxat4AQAAULwAAAAoXsULAACA4lW8AAAAKF7FCwAAgOJVvAAAAChexQsAAIDi&#10;BQAAQPEqXgAAABSv4gUAAEDxKl4AAAAUr+IFAABA8SpeAAAAFC8AAACKV/ECAACgeBUvAAAAilfx&#10;AgAAoHgVLwAAAIpX8QIAAKB4AQAAULyKFwAAAMWreAEAAFC8ihcAAADFq3gBAABQvIoXAABA8Spe&#10;AAAAFK/iBQAAQPEqXgAAABSv4gUAAEDxKl4AAAAUr+IFAABQvIoXAAAAxat4AQAAULyKFwAAAMWr&#10;eAEAAFC8ihcAAADF6zcNAACgeBUvAAAAilfxAgAAoHgVLwAAAIpX8QIAAKB4FS8AAACKFwAAAMWr&#10;eAEAAFC8ihcAAADFq3gBAABQvIoXAAAAxat4AQAAULwAAAAoXsULAACA4lW8AAAAKF7FCwAAgOJV&#10;vAAAAChexQsAAIDiBQAAQPEqXgAAABSv4gUAAEDxKl4AAAAUr+IFAABA8SpeAAAAFC8AAACKV/EC&#10;AACgeBUvAAAAilfxAgAAoHgVLwAAAIpX8QIAAChexQsAAIDiVbwAAAAoXsULAACA4lW8AAAAKF7F&#10;CwAAgOJVvAAAAIpX8QIAAKB4FS8AAACKV/ECAACgeBUvAAAAilfxAgAAoHgVLwAAgOJVvAAAAChe&#10;xQsAAIDiVbwAAAAoXsULAACA4lW8AAAAKF4AAAAUr+IFAABA8SpeAAAAFK/iBQAAQPEqXgAAABSv&#10;4gUAAEDxAgAAoHgVLwAAAIpX8QIAAKB4FS8AAACKV/ECAACgeBUvAAAAihcAAADFq3gBAABQvIoX&#10;AAAAxat4AQAAULyKFwAAAMWreAEAAFC8AAAAKF7FCwAAgOJVvAAAAChexQsAAIDiVbwAAAAoXsUL&#10;AACA4gUAAEDxKl4AAAAUr+IFAABA8SpeAAAAFK/iBQAAQPEqXgAAAMWreAEAAFC8ihcAAADFq3gB&#10;AABQvIoXAAAAxat4AQAAULyKFwAAQPEqXgAAABSv4gUAAEDxKl4AAAAUr+IFAABA8SpeAAAAFC8A&#10;AACKV/ECAACgeBUvAAAAilfxAgAAoHgVLwAAAIpX8QIAAKB4AQAAULyKFwAAAMWreAEAAFC8ihcA&#10;AADFq3gBAABQvIoXAAAAxQsAAIDiVbwAAAAoXsULAACA4lW8AAAAKF7FCwAAgOJVvAAAACheAAAA&#10;FK/iBQAAQPEqXgAAABSv4gUAAEDxKl4AAAAUr+IFAABA8QIAAKB4FS8AAACKV/ECAACgeBUvAAAA&#10;ilfxAgAAoHgVLwAAgOJVvAAAAChexQsAAIDiVbwAAAAoXsULAACA4lW8AAAAKF7FCwAAoHgVLwAA&#10;AIpX8QIAAKB4FS8AAACKV/ECAACgeBUvAAAAitdvGgAAQPEqXgAAABSv4gUAAEDxKl4AAAAUr+IF&#10;AABA8SpeAAAAFC8AAACKV/ECAACgeBUvAAAAilfxAgAAoHgVLwAAAIpX8QIAAKB4AQAAULyKFwAA&#10;AMWreAEAAFC8ihcAAADFq3gBAABQvIoXAAAAxQsAAIDiVbwAAAAoXsULAACA4lW8AAAAKF7FCwAA&#10;gOJVvAAAACheAAAAFK/iBQAAQPEqXgAAABSv4gUAAEDxKl4AAAAUr+IFAABQvIoXAAAAxat4AQAA&#10;ULyKFwAAAMWreAEAAFC8ihcAAADFq3gBAAAUr+IFAABA8SpeAAAAFK/iBQAAQPEqXgAAABSv4gUA&#10;AEDxKl4AAADFq3gBAABQvIoXAAAAxat4AQAAULyKFwAAAMWreAEAAFC8AAAAKF7FCwAAgOJVvAAA&#10;AChexQsAAIDiVbwAAAAoXsULAACA4gUAAEDxKl4AAAAUr+IFAABA8SpeAAAAFK/iBQAAQPEqXgAA&#10;ABQvAAAAilfxAgAAoHgVLwAAAIpX8QIAAKB4FS8AAACKV/ECAACgeAEAAFC8ihcAAADFq3gBAABQ&#10;vIoXAAAAxat4AQAAULyKFwAAAMULAACA4lW8AAAAKF7FCwAAgOJVvAAAAChexQsAAIDiVbwAAACK&#10;V/ECAACgeBUvAAAAilfxAgAAoHgVLwAAAIpX8QIAAKB4FS8AAIDiVbwAAAAoXsULAACA4lW8AAAA&#10;KF7FCwAAgOJVvAAAACheAAAAFK/iBQAAQPEqXgAAABSv4gUAAEDxKl4AAAAUr+IFAABA8QIAAKB4&#10;FS8AAACKV/ECAACgeBUvAAAAilfxAgAAoHgVLwAAAIoXAAAAxat4AQAAULyKFwAAAMWreAEAAFC8&#10;ihcAAADFq3gBAABQvAAAAChexQsAAIDiVbwAAAAoXsULAACA4lW8AAAAKF7FCwAAgOIFAABA8Spe&#10;AAAAFK/iBQAAQPEqXgAAABSv4gUAAEDxKl4AAADFq3gBAABQvIoXAAAAxat4AQAAULyKFwAAAMWr&#10;eAEAAFC8ihcAAEDxKl4AAAAUr+IFAABA8SpeAAAAFK/iBQAAQPEqXgAAABSv3zQAAIDiVbwAAAAo&#10;XsULAACA4lW8AAAAKF7FCwAAgOJVvAAAACheAAAAFK/iBQAAQPEqXgAAABSv4gUAAEDxKl4AAAAU&#10;r+IFAABA8QIAAKB4FS8AAACKV/ECAACgeBUvAAAAilfxAgAAoHgVLwAAAIoXAAAAxat4AQAAULyK&#10;FwAAAMWreAEAAFC8ihcAAADFq3gBAABQvAAAAChexQsAAIDiVbwAAAAoXsULAACA4lW8AAAAKF7F&#10;CwAAoHgVLwAAAIpX8QIAAKB4FS8AAACKV/ECAACgeBUvAAAAilfxAgAAKF7FCwAAgOJVvAAAAChe&#10;xQsAAIDiVbwAAAAoXsULAACA4lW8AAAAilfxAgAAoHgVLwAAAIpX8QIAAKB4FS8AAACKV/ECAACg&#10;eAEAAFC8ihcAAADFq3gBAABQvIoXAAAAxat4AQAAULyKFwAAAMULAACA4lW8AAAAKF7FCwAAgOJV&#10;vAAAAChexQsAAIDiVbwAAAAoXgAAABSv4gUAAEDxKl4AAAAUr+IFAABA8SpeAAAAFK/iBQAAQPEC&#10;AACgeBUvAAAAilfxAgAAoHgVLwAAAIpX8QIAAKB4FS8AAACKFwAAAMWreAEAAFC8ihcAAADFq3gB&#10;AABQvIoXAAAAxat4AQAAFK/iBQAAQPEqXgAAABSv4gUAAEDxKl4AAAAUr+IFAABA8SpeAAAAxat4&#10;AQAAULyKFwAAAMWreAEAAFC8ihcAAADFq3gBAABQvAAAAChexQsAAIDiVbwAAAAoXsULAACA4lW8&#10;AAAAKF7FCwAAgOIFAABA8SpeAAAAFK/iBQAAQPEqXgAAABSv4gUAAEDxKl4AAAAULwAAAIpX8QIA&#10;AKB4FS8AAACKV/ECAACgeBUvAAAAilfxAgAAoHgBAABQvIoXAAAAxat4AQAAULyKFwAAAMWreAEA&#10;AFC8ihcAAADFCwAAgOJVvAAAAChexQsAAIDiVbwAAAAoXsULAACA4lW8AAAAilfxAgAAoHgVLwAA&#10;AIpX8QIAAKB4FS8AAACKV/ECAACgeBUvAADw/+3d/3Pd9X3g+9/2D9g/gdzt5g73Muts6YTWt+ys&#10;lwHKnbr3smmWZS9LQ2ZJmKHecFO3dcfJmMZToEDLlzS7JpNc1uuNt7YD2LHBEAWtDbYMcqwY7Frx&#10;NwlZErItBQyS9dV738fHEfLnc87R55zzOV8+n/N4zWMyQMyx/NJRoqc+31C8ihcAAADFq3gBAABQ&#10;vIoXAAAAxat4AQAAULyKFwAAAMXrMw0AAKB4FS8AAACKV/ECAACgeBUvAAAAilfxAgAAoHgVLwAA&#10;AIoXAAAAxat4AQAAULyKFwAAAMWreAEAAFC8ihcAAADFq3gBAABQvAAAAChexQsAAIDiVbwAAAAo&#10;XsULAACA4lW8AAAAKF7FCwAAgOIFAABA8SpeAAAAFK/iBQAAQPEqXgAAABSv4gUAAEDxKl4AAAAU&#10;LwAAAIpX8QIAAKB4FS8AAACKV/ECAACgeBUvAAAAilfxAgAAKF7FCwAAgOJVvAAAAChexQsAAIDi&#10;VbwAAAAoXsULAACA4lW8AAAAilfxAgAAoHgVLwAAAIpX8QIAAKB4FS8AAACKV/ECAACgeBUvAACA&#10;4lW8AAAAKF7FCwAAgOJVvAAAAChexQsAAIDiVbwAAAAoXgAAABSv4gUAAEDxKl4AAAAUr+IFAABA&#10;8SpeAAAAFK/iBQAAQPECAACgeBUvAAAAilfxAgAAoHgVLwAAAIpX8QIAAKB4FS8AAACKFwAAAMWr&#10;eAEAAFC8ihcAAADFq3gBAABQvIoXAAAAxat4AQAAULwAAAAoXsULAACA4lW8AAAAKF7FCwAAgOJV&#10;vAAAAChexQsAAIDiBQAAQPEqXgAAABSv4gUAAEDxKl4AAAAUr+IFAABA8SpeAAAAxat4AQAAULyK&#10;FwAAAMWreAEAAFC8ihcAAADFq3gBAABQvIoXAABA8SpeAAAAFK/iBQAAQPEqXgAAABSv4gUAAEDx&#10;Kl4AAAAULwAAAIpX8QIAAKB4FS8AAACKV/ECAACgeBUvAAAAilfxAgAAoHgBAABQvIoXAAAAxat4&#10;AQAAULyKFwAAAMWreAEAAFC8ihcAAADFCwAAgOJVvAAAAChexQsAAIDiVbwAAAAoXsULAACA4lW8&#10;AAAAKF4AAAAUr+IFAABA8SpeAAAAFK/iBQAAQPEqXgAAABSv4gUAAEDxAgAAoHgVLwAAAIpX8QIA&#10;AKB4FS8AAACKV/ECAACgeBUvAACA4lW8AAAAKF7FCwAAgOJVvAAAAChexQsAAIDiVbwAAAAoXsUL&#10;AACgeBUvAAAAilfxAgAAoHgVLwAAAIpX8QIAAKB4FS8AAACK12caAABA8SpeAAAAFK/iBQAAQPEq&#10;XgAAABSv4gUAAEDxKl4AAAAULwAAAIpX8QIAAKB4FS8AAACKV/ECAACgeBUvAAAAilfxAgAAoHgB&#10;AABQvIoXAAAAxat4AQAAULyKFwAAAMWreAEAAFC8ihcAAADFCwAAgOJVvAAAAChexQsAAIDiVbwA&#10;AAAoXsULAACA4lW8AAAAKF4AAAAUr+IFAABA8SpeAAAAFK/iBQAAQPEqXgAAABSv4gUAAFC8ihcA&#10;AADFq3gBAABQvIoXAAAAxat4AQAAULyKFwAAAMWreAEAABSv4gUAAEDxKl4AAAAUr+IFAABA8Spe&#10;AAAAFK/iBQAAQPEqXgAAAMWreAEAAFC8ihcAAADFq3gBAABQvIoXAAAAxat4AQAAULwAAAAoXsUL&#10;AACA4lW8AAAAKF7FCwAAgOJVvAAAAChexQsAAIDiBQAAQPEqXgAAABSv4gUAAEDxKl4AAAAUr+IF&#10;AABA8SpeAAAAFC8AAACKV/ECAACgeBUvAAAAilfxAgAAoHgVLwAAAIpX8QIAAKB4AQAAULyKFwAA&#10;AMWreAEAAFC8ihcAAADFq3gBAABQvIoXAAAAxQsAAIDiVbwAAAAoXsULAACA4lW8AAAAKF7FCwAA&#10;gOJVvAAAAIpX8QIAAKB4FS8AAACKV/ECAACgeBUvAAAAilfxAgAAoHgVLwAAgOJVvAAAAChexQsA&#10;AIDiVbwAAAAoXsULAACA4lW8AAAAKF4AAAAUr+IFAABA8SpeAAAAFK/iBQAAQPEqXgAAABSv4gUA&#10;AEDxAgAAoHgVLwAAAIpX8QIAAKB4FS8AAACKV/ECAACgeBUvAAAAihcAAADFq3gBAABQvIoXAAAA&#10;xat4AQAAULyKFwAAAMWreAEAAFC8AAAAKF7FCwAAgOJVvAAAAChexQsAAIDiVbwAAAAoXsULAACA&#10;4gUAAEDxKl4AAAAUr+IFAABA8SpeAAAAFK/iBQAAQPEqXgAAAMWreAEAAFC8ihcAAADFq3gBAABQ&#10;vIoXAAAAxat4AQAAULyKFwAAQPEqXgAAABSv4gUAAEDxKl4AAAAUr+IFAABA8SpeAAAAFK/PNAAA&#10;gOJVvAAAAChexQsAAIDiVbwAAAAoXsULAACA4lW8AAAAKF4AAAAUr+IFAABA8SpeAAAAFK/iBQAA&#10;QPEqXgAAABSv4gUAAKDzitcYY4wxxhhjjFG8xhhjjDHGGGOM4jXGGGOMMcYYYxSvMcYYY4wxxhjF&#10;a4wxxhhjjDHGKF5jjDHGGGOMMUbxGmOMMcYYY4wxitcYY4wxxhhjjFG8xhhjjDHGGGOM4jXGGGOM&#10;McYYo3iNMcYYY4wxxhjFa4wxxhhjjDHGKF5jjDHGGGOMMSY/xTv/8f6ZD/4qLXOjz80OP5XiCy6a&#10;HXqi8OJDTzTkxYefCi/eiFcuvPjI3wYNenELt/D8LXxhejDh/3y9c2YDqTh4cv3IxIFy+oe3WlEn&#10;q/DeCOxnqYT/2zU+Pb/33KcAbeLUxzM5L965iy9d7v/3aZn94P+dOfNQii+4aPrkV8OLh/9sxIuH&#10;jzm8eCNeufDiA2uCBr24hVt4/ha+MPkPCf/na+97/4ZUhOKtsOdQNVbUyXwZprWrxflwau6/nPwI&#10;oE30jV9WvHpAgFm4hStexYuK82WoeAHFq3j1gACzcAtXvIoXxWtXihdQvIpXD1i4hVu44lW8KF7F&#10;C6B4Fa8esHALV7y+1Va8KF7FC6B4Fa8As3ALV7woXhSv4gVQvIpXgFm4hSteFC+KV/ECilfx6gEB&#10;ZuEWrngVLyrOl6HiBRSv4tUDAszCLVzxKl4Ur10pXkDxKl49YOEWbuGKV/GieBUvgOJVvHrAwi1c&#10;8fpWW/GieBUvgOJVvALMwi1c8aJ4UbyKF0Dx6gEBZuEWrngVr+JF8SpeQPEqXj0gwCzcwhWv4kXF&#10;+TJUvIDiVbx6QIBZuIUrXsWL4rUrxQsoXsWrByzcwi1c8SpeFK/iBVC8ileAWbiFK17faiteFK/i&#10;BVC8ileAWbiFK14UL4pX8QJ0bPHOj+8qfsOaivBddSEJ0nvByCs39MUb8crZfXELt/BWvfjCVL/i&#10;VbwoXsULoHgVrwCzcAtXvCheFK/iBVC8zmp2kq2FW7izmlG8KF7FC6B49YAAs3ALV7yKV/GieBUv&#10;oHgVrx4QYBZu4YpX8aJ4UbyA4lW8ekCAWbiFK17Fi+JVvIoXULyKVw9YuIUrXsWreFG8ihdA8Spe&#10;AWbhFq54UbwoXsULoHgVrwCzcAtXvCheFK/iBVC8ekCAWbiFK17Fq3jxZah4AcWrePWAALNwC1e8&#10;ihfFa1eKF1C8ilcPCDALt3DFq3hRvIoXQPEqXj1g4RaueH2rrXhRvIoXQPEqXgFm4RaueFG8KF7F&#10;C6B4Fa8As3ALV7woXhSv4gVQvHpAgFm4hStexWtFKs6XoeIFFK/i1QMCzMItXPEqXhSvXSleQPEq&#10;Xj1g4RZu4YpX8aJ4FS+A4lW8esDCLVzx+lZb8aJ4FS+A4lW8AszCLVzxonhRvIoXQPEqXgFm4Rau&#10;eFG8KF7FCyhexasHBJiFW7jiVbyoOF+GihdQvIpXDwgwC7dwxat4Ubx2pXgBxat49YCFW7iFK17F&#10;i+JVvJApT/aObewZXcpOFK/i1QMCzMItXPEqXhSv4lW8ZN7zfedv2NL/jzafWMpaFK/i1QMCzMIt&#10;XPEqXhSv4lW8ZN7ql09HclfxKl7FqwcEmIVbuOJVvChexat4ybyNPaPx3FW8ilfx6gEBZuEWrngV&#10;L4pX8SpeMm/ltlOKV/EqXj0gwCzcwhWv4kXx2pXiJW/WdA2VzF3Fq3gVrx4QYBZu4YpX8aJ4Fa/i&#10;JcNeODYev2FV6sX7ZO/Y2u5z9+8ZCH9h54pX8QowC7dwxes7bMWL4lW80Az37DpbLnfrKd7FxL19&#10;x3XnS4e6Fr2KN7WZH99V/IY1FeG76kISpPeCkVdu6Is34pWz++IWbuGtevGFqX7Fq3hRvIoX2uoB&#10;vBVyt6riLZe4caJX8SpejWThFq54fYeteFG8ihcabtk6TSVxRa/idVazcz4t3MKd1exbbcWL4lW8&#10;0FShV5dN07QSV/QqXsWrByzcwhWvb7UVL4pX8ULzbli1YuvJZbs0xcQVvYpX8eoBC7dwxetbbcWL&#10;4lW80AwP7h1sRMSKXsWrePWAhVu44lW8ihfFq3ihlZ7vO98OuSt6Fa/iFWAWbuGKF8WL4lW8kLLV&#10;L59un+ItRu8Lx8Z9XhSv4hVgFm7hihfFi+JVvFCXjT2jbZW7RSu3nRK9ilfxCjALt3DFi+JF8Spe&#10;qEuSG1aJXsWrePWAALNwC1e8ihfFa1eKFzesEr2KV/HqAQu3cAtXvIoXxat4oQ2eSHTDlv52Lt5g&#10;Y8+oz5TiVbwCzMItXPGieFG8iheqc8+us22eu4pX8SpeAWbhFq54UbwoXsULOblhleJVvIpXgFm4&#10;hSteFC+KV/FCvW7fcUrxKl7FqwcEmIVbuOJVvKg4X4aKl7xZ230uE7mreBWv4hVgFm7hihfFi+JV&#10;vJC3G1YpXsWreAWYhVu44kXxongVL+TtiUSKV/EqXgFm4RaueFG8KF7FC7V4vu98hnJX8SpexSvA&#10;LNzCFS+KF8WreCFvN6xSvIpX8QowC7dwxYviRfEqXqjC+rdGspW7ilfxKl4BZuEWrnhRvChexQuJ&#10;rNh6UvEqXsWrBwSYhVu44lW8qDhfhooXN6xSvIpX8eoBAWbhFq54FS+K164UL1m4YVWGnkikeBWv&#10;4hVgFm7hihfFi+JVvJDUPbvOZjF3Fa/iVbwCzMItXPGieGlqxZnko3hpEyEaM5q7ilfxKl4BZuEW&#10;rnhRvChexQuVrNx2SvGiePWAALNwC1e8ilfxKl6jeMmbtd3nspu7ilfxKl4BZuEWrnhRvChexQul&#10;vXBsPKM3rFK8ilfxCjALt3DF2wz7T3wzVGJuHB38uwp7Pv/xL3LwZ+w+/pB2VbyKF4ru3zOQ6dxV&#10;vIpX8QowC7dwxdtYIxMHfNeerTk29EPtqngVLwRP9o5lPXcVr+JVvALMwi1c8Speo3gVr+KFEm7f&#10;cUrx0lnFOz+xO3wrDNAmFqZOKF6jeBWv4oVGWP/WSA5yV/Eq3iqLd3znzJmH0lL8hjXFF/zMwJrC&#10;Kw+sacSLN/DDzu6LW7iFt+jFFa9RvIpX8UKDbli1YutJxYuzmp3z6SRbC7dwZzUrXsWL4lW85M2D&#10;ewfzkbuKV/EqXgFm4RaueBWvUbzNKF77qeGnA4qXlni+73zWn0ikeBWv4hVgFm7hilfxGsWreBUv&#10;lLD65dO5yV3Fq3gVrwCzcAtXvIrXKF7Fq3jhmtCHecpdxat4Fa8As3ALV7yK1yhexat4IYdX8Cpe&#10;xat4BZiFW7jiVbxG8SpexQuKF8WreAWYhVu44lW8ihfFq3hRvIpX8SpePSDALNzCFa/iVbwqTvEq&#10;XhSv4lW8ilcPCDALt3DFaxSv4rUrxYviVbyKV/HqAQu3cAtXvEbxKl7FC4pX8SpexasHLNzCFa/i&#10;NYpX8SpeULyKV/EqXgFm4RaueBWvUbyKV/GC4kXxKl4BZuEWrngVr+JF8SpeFK/iVbyKVw8IMAu3&#10;cMWreBWvilO8ihfFq3gVr+LVAwLMwi1c8RrFq3jtSvGieBWv4lW8esDCLdzCFa9p5Pyk9+kNr9yW&#10;V9/v/n3Fq3hB8aJ4Fa8As3ALV7yKt0Nn28En/uPf/8u8eu6N31O8ihcUL4pX8QowC7dwxat4Fa/i&#10;VbyKF8WreFG8ekCAWbiFt33xhuxslcmZCxpS8Spexat4UbyKV/EqXj0gwCzcwhtIjhZEAAAgAElE&#10;QVRVvMYkn57+/7Tl7T/Ik79+9Q7Fq3hB8aJ4Fa8As3ALV7zG5PBezaFyFa/iBcWL4lW8AszCLVzx&#10;GqN4Fa/iRfEqXhSvHhBgFm7hitcoXsWreBUvilfxKl7FqwcEmIVbuOI1ilfxqlzFi+JVvIpX8eoB&#10;AWbhFq54jeJVvIpX8aJ4Fa/iVbx6wMItXPEqXqN4Fa/iBcWreBWv4hVgFm7hitcYxat4FS8oXhSv&#10;4hVgFm7hitcoXsWreBUvilfx0onF+0r4JjsthR4YWJPiCy4qfsse/rMhLz6wphgbjRBeuaEvbuEW&#10;nrOFL0yeSPg/XwdPrm+VCx8f1ZDZmp8dfS5kYeZ8v/v3Fa/ihTq9cGx85bZTipfOLd75id3Fb1gB&#10;2sHCVNLibeH3tSMTBzRktmbbwScW+zBDNrxym+JVvCB3Fa/idYzXIUcLt/BOPMareI3iVbyKFzow&#10;dxWv4nUdr8tKLdzCO+I6XsVrFK/iVbzQgbmreBWv4hVgFm7hilfxmqxex/vXr96heBUvyF3Fq3gV&#10;rwCzcAtXvIrXJJ0M3at5y9t/oHgVL8hdxat4Fa8As3ALV7yK1yhexat4oeNyV/EqXsUrwCzcwhWv&#10;4jWKV/EqXjrRPbvO5j53Fa/iVbwCzMItXPEqXqN4Fa/iRe4qXhSv4hVgFm7hilfxKl7Fq3gVL3JX&#10;8SpexasHBJiFW7jiVbyKV/EqXsWL3FW8ilfx6gEBZuEWrniN4lW8ilfxIncVr+JVvHrAwi3cwhWv&#10;UbyKV/GC3E0s/KlfODbus694Fa8As3ALV7yK1yhexat4kbs5tHLbKdGreBWvALNwC1e8itcoXsWr&#10;eMmnNV1DHZu7olfxKl4BZuEWrngVr1G8ilfxkltru891eO6KXsWreAWYhVu44lW8RvEqXsWL3M1/&#10;9D7fd967QvEqXgFm4RaueBWv4lW8ilfxIndz6IYt/U/2jnlvKF7FW+qb9cEn5sa2z1/qvfLJkfmP&#10;Ds2Obp4+s06ACTALV7yKV/EqXsWreJG7olfxKt4M90Bo3YXJMyV3EtI3xe4VYIrXwhWvUbyKV/Eq&#10;XuSu6FW8ird5PTA3tn3ZzcwMPSfABJiFK17Fq3gVr+JVvMjdDEXvxp5R7xbF2+nFOzu8KeFyZgaf&#10;EGACzMIVr+JVvIpX8SpeWuvJ3jE1m9za7nPeM4q3c4t3+vQjyZdzZebC9MmvCzDFa+GKN+LnZ58K&#10;BUWGHDy5XvEqXsVLdnP3hi39Olb0Kl7Fm+wjvLC7qv3Mjm4WYIrXwhUvKF5fhoqXVrl9xykFK3oV&#10;r+JNqtr9LEyeEWCK18IVLyheX4aKF8WbOWu6hrx/FG9nFe/0wKM1rEiAKV4LV7ygeH0ZKl4a7Qf9&#10;E5tOTCjedN2z66y3luJVvMtM+LcEmOK1cMULiteXoeKlEZX71NHz63pHv3bg3L/d98G3D3+oeEWv&#10;4lW8ileAWbji9a02ilfxKl4y7LG+sbXvjDzw1lCo3KUUr+hVvIq3FcVb3+2aBZjitXDFC4pX8Sre&#10;Om3qG9uw93QWxf8s3z12MRK6irc50fvCsXFfSoo378V78uvuXCXALFzxguJVvIo3c0I6/uP1b2TO&#10;TRu743+Wte+MKN6WeHDvoC8lxZv/Hpgbf9PTiQSYhSteULyKV/Eq3iZ4ZPvx+IW75XJX8SpexduQ&#10;mR/fGb4bTkv4rrqYBOkbWFN45fC9db0fYRUnNl+Z/dXM2UfadydZWHiudmLhTXnxhakTihfFq3gV&#10;Lzko3s9t6Ir/QULTKl7Fq3ibW7wTu4vfsHaI+Ys7qijey4MdtRxoB4oXxat4FS8lr+PNXPE+8GJf&#10;/A8Sv1uV4lW8itdZzeldx3v6kSszF6o7q3l4k5NsndU8ffLr4Z0we2H3lU+OzF/qnRt/M/xteDtZ&#10;uLOaQfGieJsmc8UbKj1+i+YKuat4Fa/iVbz19sD8R4euvy3V7PKHeWcuuFdzJwdYoXVHN5f98hnb&#10;Xufbw8IVLyhexUsui/fu770b/yM83DOseBWv4lW8jeqB2eFNkT/7zOATweyF3fOXegvH7j46FAJm&#10;ZvCxyHHg8AsUb2cGWKjZ+UvvLXNdwKX3UoleC1e8oHgVL3kq3mcODid/KJHiVbyKV/HW2wPx85lD&#10;35brgXgbTw88qng7LcCS5G6K0WvhihcUr+IlN8W76um3q3ookeJVvIpX8dbbA5HzmQvnKi+5CDPe&#10;A5HUCX+reDstwCqczFzieu/6TgSwcMULilfxkqfi3bD3dFUPJVK8ilfxKt66eiB+zDZyP6p4D0wP&#10;PJrWLawUbxYDbPrk16u9yVmdN7JSvIoXFK/iJR/Fe8vj++If/HeOjClexat4FW9DeqDy+cwVemD2&#10;wu5UbmGleLMYYDNDz1X7pVTnbb0Vr+IFxat4yUfxPrL9eLUPJVK8ilfxKt7ae6Dy+cwVeiB+lG9u&#10;/E3F2yEBFvl5R6KreWM/SbFwxQuKV/Eq3k4r3ps2dsc/8qeOnk+Su4pX8SpexVt1D8SP1JU8EFeu&#10;B1K5hZXizWKARR9kpXgVLyheX4aKV/Em8MCLfTU8lEjxKl7Fq3hr6YH4QdpyTVKhByLlszB5RvEq&#10;XsWreEHx+jJUvIo37nMbujb1jUU+7E0nJhLmruJVvIpX8VbXA3Pjby57PvOyPTB9Zl30KPHoZsXr&#10;rGbFq3hB8foyVLyKN+Lu771b20OJFK/iVbyKt+oemBl8IvmNhSr3wNzY9oTlrHjducrCFS8oXsWr&#10;eDu2eJ85OBx/KNF9+z9QvIpX8SrelHugxPnMFR+oW7kH6ryFleLN6NOJqv1S8nQixQuKV/Eq3k4u&#10;3rue7an5oUSKV/EqXsVbXQ9Ezmcu1MiZdfX0QPyIX/JbWCnejAbY7OjmKg7wXtht4YoXFK/iVbyd&#10;XLwb9p6u+aFEilfxKl7FW0UPlDifebkrb5P0QM23sFK8GQ2w6VPf+J8L00m+iMKbobZnNVu44gXF&#10;q3jJR/He8vi+eh5KpHib4J5dZ5/vO+/rSPFmPsCqPZ85eQ/UfAsrxZvRAEt+u+bZ4RcsXPGC4kXx&#10;dnLx1vlQIsXbUGGBG3tGfQUp3pwEWPwWu5XPZ66qB2q7hZXizeS9mqs5pbnwTnCMV/GC4lW8ilfx&#10;1vpQIsXbICu2nlzbfc7XjuLNT/FODzxa42HYZD1Q2y2sFG/mAix+PH/+k3+YHd4UPt1XPjkyf6l3&#10;/qOe6NdRNTczs3DFC4pX8ZL74q3qoUSKN3U3bOl/cO/gC8fGfeEo3vwUb8jRhckz1Z7PXG0P1HAL&#10;K8WbrQCLv5GWHsxfXHj8IPDM4BMWrnhB8Spexat4az6lWfGmeMmu1lW8OSzeyCnHCc9nnjr65ckD&#10;d0ztu+3y/jun9q+6fOTuai/vXPYWVoo3WwEWv9H30pRduvD5S++leG6z4lW8oHgVL4pX8dZ/ye6T&#10;vWO+WBRvDos3fj5zCOBlWrd39eTuL3z69/9L1Es3Th26K8VbWCneDAXY7PCmyo8dWrrw+DuhnnOb&#10;Fa/iBcWreFG8ireeS3bXvzXiy0Tx5rN446ehLvu0mMmulSVad4nJ1784dfzeKo4nl7+FleLNSoCF&#10;go3f6DvyRoosPMVzmxWv4gXFq3ip7JbH9yleyl2y6wtE8ea5eEv0Z8Vra0PNVs7da9H72s1VXDP8&#10;0SHFm+kAC5/TEmcpx06Mjy88rXObFa/iBcWreKls1dNvK15csqt4O654qz2feerQXUly91r0dt9a&#10;9rv8wScSHtxTvJkIsPjPTWaHNyVZeFrnNitexQuKV/GieBWvS3YVr+L9auyb4+rOZ/70pRuTF++n&#10;2/9phXOb47ewKvlbK972D7D4zy/KVWvJhadybrPiVbygeBUvilfxumRX8Srer1YujcrnM1d1gPfa&#10;Yd4Dd5T9kE4/kuQWVoq3zQMsfB4jl+9W+LlJuYXXf26z4lW8oHgVL4pX8bpkV/Eq3q9WOpt0ufsz&#10;T3bfWnXxlr+at3Ryx25hpXjbPMAisVr5uVblFl7/uc2KV/GC4lW8ZLd4N+w9rXhdsqt4FW/KARYJ&#10;lWXPZy4Ub8nHEVUu3t1fqHy7o2VvYaV42znA4j+zqPysqQoLr/PcZsWreEHxKl4yWrzxA7yK1yW7&#10;ilfx1htgtdXF5K5/Vm3xfvry/zZ19MtVXQIa+UgUb9sGWPy2ZxXuuZ1k4fWc26x4ayjeDp+DJ9cL&#10;DMWreBVv59jUN3bTxu52a91bHt/3WHfpk2wVr0t2FW+7FO/8+K7iN6ypCN9VF5IgvReMvHLxxWeH&#10;NsZC5e3K//rld/6vyb2/XXXuLh7p3fvb4RVmTj5U8sXnLx2+rnMuD84M/mkTdtK0hWfow67ixQf/&#10;9Mrs+HWfuNnxpZ+4Gl68hndmBy08sYWpfjWreBWv4lW8RNz1bE8mDu0W/aB/4oG3hhSvS3YVr+Kt&#10;McAih4AqhMr0+/dPvblqcsfna27dePpOH/7D2Mf2reiR8wvbFG+bB1jk5xSFz9rwk/W/ePjUR0+T&#10;HnnewhWv4kXxKl7FW49Hth/PyqHd4Jn3L9aWu4rXJbuK11nNhXM+k5zPPHX83skDd3y686a0Qjf+&#10;1KLJ1784deiuJLewclZzG55kOzu8qarbnoW30+RrN4fP+9JbmpW7j3eJc5tj9zNzVrOzmhUvilfx&#10;ktAzB4c/t6ErE4d2g3W9o7W1ruJ1ya7iVbxfvXoc6VuV74g71bs6tGijQjfupRsnu1ZePnJ3hVtY&#10;Kd52C7D4fZVDo5b99UfurvSjk5duDL9g2ccdLXt5sOJVvIoXxat4KeeWx/dl4tDud49d/NqBc/Xk&#10;bocXr0t2Fa/iLfTA/MfvlLwz0NTRLxeePPTSjcuflrznn3+67TcSHsid2r8qaT+/dOP0L/6s5MFn&#10;xdtWARb/2USlY7Ahd5cc103+0Ob4MeTwTxSv4lW8KF7Fq3irtWHv6Uwc2v3OkbE6W7eTi9clu4pX&#10;8V7rgfkL/y2elNdON01QpCFfp47fW0PGFM+RTvK7zA/8JB7kiretAmxu/M2Ed/meOvrlJO+T4g9H&#10;4kd65z86VNW5zYpX8SpeFK/ipT2Lt/Kh3U0nJmq7LbPiLbp/z4BLdhWv4r36XfXZP4ncWXfug1eW&#10;D5KrF9zGa6SGU1WL6RuyucK/OLVz5ZVLQ9cd2Rv974q3fQJsZui56KHXC7tTeXpz/LnN1Z7brHgV&#10;r+JF8Spe2rB4Kx/afero+fv2f5BW7nZa8YY/1/N9573JFa/i/fURs8j5zJeGJn+8onKBTB6449pB&#10;3TRuRxQ5+lfuJOrZd/8ysuHLb//76cN/qHhbHmDTZ9ZFE/TSe+Wel1s4wFvlRd3xn5JUdW6z4lW8&#10;ihfFq3hpq+K9aWN3+N0rPH/oGz0jKbZuRxXviq0nN/aMensrXsVbqRxmDv5ZhVtJhVxpUg8cuTv8&#10;dpH0vXLx6HVZNfCTSkebFW9TAiyUbeQWyoX7aZ9ZV/aHGvtXVf3kqq6VJX5Sk/jcZsX7WfF++p6a&#10;VbyKV/EqXlpbvHc927Opb6wRzx/q8OK9YUv/mq4hb2zFq3ivO9R2+cAfXvnkXImGjPTGazcvfVxQ&#10;k3sg/NaFe1xdPVx8+fUvRctq38Px2zsr3mYG2NzY9qpuJZXo4vDlTmyu6txmxbt45vn8J79Qs4pX&#10;8SpexUtri/eR7ccb9PyhTi5el+wqXsVb6pTj+O2gLg1N7VxZ+pZUbdADxQ97/pc/Wv4c7J03FT7y&#10;Kg9HK94aAmxm8Ino2/76h1rVeRFvheJNfm6z4l38TClexat4Fa/ipeXFW/JWVak8f6gzi9clu4pX&#10;8V5/nvCvD5YGMwf/rPT5zKmeJNyAHvjjK1Oj10VO39P1XHKseGsOsPhR1oXJM+Uu3/3sIt4f/69V&#10;F+9PVpS9Cj3Buc2Kd/FCa8WreMs5NvRDxat4FW+neeDFvpYUb+OeP9RpxeuSXcWreCvdBnnyxysi&#10;tz6eH/hJsQ/bvwdmRzdHVj21585lkinhfbMWn5Z09frhyR2fDzup/3BxXgOsxOW7A4+W3W3v6hqO&#10;7n72GXz9iyU/C0nObe7w4l26IsWreCvkxIWPj+4/8U3Fq3gVr+JtqFVPvx2/T1UTcjdnxeuSXcWb&#10;q+IN3+WH4ipcSfvqb03u+c3CvaMSX1J77QrYko+3jZwbPPXh9Ik/zlAPLEyeuW7VI10lb+9c8olK&#10;5RYY/nmFZzJNdt+qeJcGWPznDuGflPshQqLPTpLuDV8IvaurPbe5k4s3cl8xxat4l82JfB/sVbyK&#10;l5YX773fPxy/VZXidcmu4u3Q4i08p6dMrxZu0VT+iGWFB/wUTf/sK5EPdf7Cf8tWD0wPPBo9JXvo&#10;uchp28uk7/X3uEpyA+FyV5N2YPHG9x8/snrtfZjk01H9Zb2R93/lc5s7uXgjx+EVr+JNkhM5Ptir&#10;eBUvLS/e+G2rmnNKcz6K1yW7irftinf23KZ6rrldNhUKV9vG7+203ImjhfOZPx2+7pvgj9/JYg/M&#10;jb8ZjZxfX0G69PbOy3jpxlBlk/9jVfJzaxVv2HPkROKly//sivG0Q7fkz32KF2lXPre5Y4t39sLu&#10;yP8oLXx6VM0q3oQ5kcuDvYpX8dLy4o3ftmrtOyOK1yW7ijerxVs4wHX1vsGFi0i7bw0ZlvRy0AS5&#10;e12AJTy2efWc3rmx16NHRwe+lcUeKETO7Ph1B9XHtpe+KDfV0IqfVdtpxRs5oFp4Cw0+UcXPXF7/&#10;YuGa3mRJPPmTFZFL0Eu8q8MX1/F7K5zb3JnFG39q1Pyl9xYm/0HNKt7kOZG/g72KV/HS2uL93Iau&#10;+IfR6Fs0Z714XbKreLNQvCXPyXz9i4Vv03tXl7yN8DLf4ke8fGPys0Djz5KZHd2c3R6Yu7Ateuek&#10;M+sS3rurnlNqO7l458ail++Gsrq24coX6149k3zpD33C3yY8op7krlfhF8+PHyh5bnMHFu/M0HOR&#10;T1NxG4pX8daQE/3DW7uO/ZHiVbyKV/E24rZVQXNyN6PF65JdxZvV4i1RAqFIQwzsX1Vo4EN3pXna&#10;Z+jqXzdG/GTU+UvvZb0HrlwejP+JKt8GrP67KNV56+bsLnx2aGPs8t2+QrhWPr+g/IOdy6bszpvi&#10;NxirdGV78fOyc+WVT0fi5zZ3WvHGf7BVyN2rPwxSvIq3tpz41aenU9nJ7r4v/aef/Z9/tfv2UJtF&#10;4W9f6r1b8SpexdshxRt+x1bdtipzxeuSXcWbr+JtgJJ3JI5c+Lp4RDTbhxyHn6x8n96yjyYOnVZr&#10;+tZ5YnNGF174icn1P18IeRkis/Lx8CS3Fi+k7IE7Lu+/c2rfbYW/qPgs6Mo3xIo/ZTq8HzqqeBcf&#10;vVvytHPFq3jryYk6D/aGuP3mtlWLJbnU3+y9U/EqXsXbCcX75zv7W3XbqgwVr0t2FW+Wivfyz7+S&#10;1pm0Se28qdzBtPjNdRefJZP1Hojcnid6F6XKrfX27bX8QOGnv92BxVviJyb7Hq50QnLFcK3zidMV&#10;zqOeH/jJ9e+H8zNn/6RDijd+B69rtzH/7LFeilfx1pUTNR/s/etX7yjZuou+9fK/2t33JcWreBVv&#10;vov3mYPDkY9hXe+o4l16ye7a7nPemYo3S8W7+HSiwqmbB+4o3BN49xfSejDpdbb9k8qBEQow8gDb&#10;pWf/5u/WwaGBkz8CqsadX70NWOFewdWf4ZzFhcevC507tqnCfaRqOWW6muJden/yyM+VCuc2Xxq6&#10;7kMdfXP29B/nvngjj94teTs3xZtwzn/8i5GJAx2lqv1Ue7B3aUBW8Fe7b6/8Oj8/+1Sdf8yzH+47&#10;fPLVoqNnXy/3y/rPvbn4y8Jft2rtKlfx5qx4S9626uGeYcVb9ODeQZfsKt4MF2+Jw1O9q6f2r5rs&#10;Wllo4LofWBoao9q7ti69w1MOzvmM36d3euDRhC+SzvXSXSsL9+JOVnqZW/j0iW9embz++tjh/ZM/&#10;XpH8GdGNK96S1wPHz20O/2Tqjd+u8wLsNi/eeO7Gf/SjeE1ak/xg70u9dyfJ3aItb/9BhZc6NvTD&#10;jlqyylW8OSve1t62qp2Ld/XLp12yq3jzVryl76gUvmXvvrVwY55t/6Tqy0r3r6qUK+XPZ87Ts1si&#10;3+5XvoXVdQcJl7sJcLUnlhfvwp2P4i082fi13w19G3kLTe2587MfuLx2c/1PbKqzeOO3toqe23xp&#10;qHjJcVofbbsVb/zRuyW/BBSvSXeSHOxNeIA3yWFexat4FW+mizd+26rvHrvY4cW7ctspl+wq3k4p&#10;3usCrPrnx1Z1PnP428hlrvko3hJhn+QWVsXTYht0/7AQV/tXxT877b/w4qOMi2fgz/Y9HT9eunhe&#10;d4pHTesv3qW3tpradWvk3ObQ7fHndeWjeEs+erfk1eyK1zT/YO+GV25LXryB4lW8ijevxbth7+nI&#10;B/BY31jHFq9LdhVvZxdvtQH20o3Vnc8cO903N3eyrfkWVlXcYGz7b0y+fkvVNyS7/qLfdl545E7I&#10;0z/7SjSlfvmja0+9quli3SYU72K0Tx/9i+gPQd79y/iZ2HX+QVpevOUevVvyFyte06A5Pbaz3MHe&#10;qnI3qPCwIsWreBVvpot3U99YC29b1VbF65JdxdvpxVsIsGrublXh6S/xw56R29jkrHhrv4XVkbsT&#10;Xk29eGCwcDH2obsK59BWeyuyl26c+tnvTh++5/KJ+9tq4YXz6q9/2m38FlBXJo5N997boM9musVb&#10;7v7SS8/Hrv9uWy0v3tK5u+QqfcVrmjOTMxfeOb0xleKtcCmv4lW8ije7xXvTxu7W3raqTYrXJbuK&#10;V/FWH2Cvf7Ge85lzVrx13cIqwc7LnQdbfJxs4XT0am9CluCi3+SnBhR69dcHnwtn7XatTHjKceHf&#10;LXUxc/zy3bnhJ6t9PGxrizf+Q5Cl5zaXeIp19Sdpt7B4Kz96V/Gaps3IxIHu4w+VC5U/37HKWc2K&#10;V/Eq3rue7WntbataXrwu2VW8irfUuc3LBthrN1c4MJXkfOb8FW89t7AqXLx6/UHOpZd9Jn267JG7&#10;C3fhrv5uWOUu+k3U6uWPMxcqrsybpPDn7b613L87++5fRk8JHt1c7eNhW168hTfJ4BPLnNsc/0RU&#10;8zOIVhVv6dxd8uhdxWuac2j36ODfVQ6Vv9p9e/LcDXmseBWv4s1l8cZvW7XpxESHFK9LdhWv4q1U&#10;MmXD6ep5mJUObZ1Zl+R85lwWb823sFp606bCevffObXvthordPE84a6VdV70m8JV3ztvikTvtXsa&#10;l/+RyuXXvxTZ4fxHh6p9WE6bFG/hpz8T/yPyx7l86I8q/0Qp+a2tWlK8SR69q3hNaw/tLnpx3+8n&#10;L97n3vg9xat4FW8uizd+26qnjp7vhOJ1ya7iVbzJuvfqY3unXv2tyT2/OfnazUnutRP5brjc+cy5&#10;LN7St7AqcyOf5gRYPRf9VnrS75G7k58+/VmEL3cz8MnXfvfK5bHoAq++fzJavNOnHr4yOx458r/0&#10;ftSV9l/my+3aZc+LP87YeVPhcHqqzz0q+zOdUrmb8JJ1xWuadmi3hts1f3Pbqt19X1K8ilfx5rJ4&#10;47etCv2Z7+J1yS4dUbzzE7vDN/HNN39xR7S9R/62JR9Jywz9RbRwPj7QJh/bTP/Xp9/511Ov/87k&#10;js9Xd9rzri9c3n/n9C/uW3ypyZf/9yr+9b2/s+yvv9z1L8KHd+WTI9F38offy/pbIvwRon+oizuK&#10;/1Xh0/Hqb1Va3Y7Ph83Pnv7jxc9ghV8f/qvwCxr6Z1n4VVfkz7IweSLpvzt1Qq0lmZBzB0+u7yip&#10;H9pd6qXeu0PN1nPPqqLw+9b5x9zz828+tecrRf+568Fyv+xHB9Ys/rLw161au8pVvLkp3na4bVUz&#10;i/eGLf0u2aVjind858yZh9Jy7bvt5X/Zo7Hwfn2Zf2tgTeGVB9ak+NFW+2Gn/uJzH/5/0ew/93i7&#10;fOS/Xvj0e//u8tt3Tu75zeov+v3i1Bu/k9pzg3d8fmrfbTO//A8l9zZ/4ZWWfzZTWfj8R29Hj4t+&#10;8Ojir7l85N+ErS5zX/Q3Vl4+/K+X/VFF+AXhM9ugnYQv52jufnp85uwjCV9Q8Sacyg+Y7dicqPbQ&#10;7lL/vef/rnALq9DDL+77/Sb8MUNUL/6mG165rdwve+6N30t4onVD165yFW9uivfu770b/93v2/9B&#10;Lot35bZTTmPGWc2NPeczcrpjkmfS5u+s5mur+OhQ5NTudjnJttTCa7zot047b1p6tWr88u/Ifb+y&#10;elZzceGnHo7etzl2V7NrVzjXv9jt/zSV5xVHFl7Vo3ed1ax4082JDy7+tNwTdxPa3felUI+R7g2t&#10;+9ev3lH5ZGbFi+JtkBCizSneh370XstvW9Wc4r1n11nvKxRvY3tgdnRz5GOo/KiSfBdvvN/Cftq2&#10;eFO46LfaW0Nff9Fp/HFW8ZrKdvGe/GqJ+zaXektcu4t1tc+aSvzksNre4dU+elfxKt60cqLCs3Zr&#10;Pt4byjMIf9HkP6biVbwsterpt1t126pn3r+Yv+Jd0zXkTYXibWwPlLg/8/ib9QdYdos3/oimqg6I&#10;tap403nSb8UbQZe8C3R4t0R/XBJ71E3Wi7fkH7NcNCa6tVXls6Crf7pvuYXX8Ohdxat4U8mJ+g/t&#10;thXFq3hZ6q5ne5pTvPHfuvm3rWpo8bpwF8XbpB6o4Xzm3Bdv2ECkExL+FKBNijeVJ/1+dtRxzz8v&#10;d6pt/PhhyXv/5qB442+JZZ/YXPihQ01rLzzaKo13eG2P3lW8irfOnEj90K7iVbyKtw09c3D4ke3H&#10;G5q+tzy+L/77fqNnJDfFu3LbKfdkRvE2owdmhzfVfPwnx8VbsuWmBx7NZPFGLvr98efTCrB4UIUI&#10;LPnjkhwUb+FPkezc5ogaLrGe/MmKOp9XVFj44J/W9uhdxat468mJnB3aVbyKl8o27D3d5NtWPfDW&#10;UD6K955dZ92nCsXbjB6YPv1IzUcyc1+8Nd/Cqp2Lt3DgsWtltQF2+cjdJfGXzlgAAB1iSURBVA+D&#10;x4Oq3Im++Sjeqs5t/mzhdRxdv3aTsN1fmHz9i5Pdt07tX1Uo4VKfjujCB/803qgJH72reBVvbTmR&#10;y0O7ilfx0sLijd+26gf9LbhtVSOK14W7KN7mFW+k6JKfz9whxVvbLazavHhDL1VXXC/dmORS58Jy&#10;hjfVufD2L95azm2us3grHAoOJRx0rQwxPHngjqUxPD/x08p3z1a8ijfdnMjroV3Fq3hpYfE+1j3Y&#10;DretSrd4XbiL4m1q8ZY4n7nKC/xyX7y13cKq3Ys3NNhrN1dxSnOp02vj5/dWPjsgN8Vbw7nNVW07&#10;FXPHol/aC786cvkX/4/iVbyNkO9Du4pX8dLC4m2T21alWLwrt516snfM2wbF26TijZ/PPP/RoVYF&#10;WDsXbw23sGr/4p06fm/Ci0snu1YmORl+YfJM5bMD8lS81Z7bPLV/VTNzd3rfw5GP7cqloamdK6NH&#10;hrtvLZwmfeiuqd7VSW4NrXgVbzn5PrSreBUvrSreVU+/3Sa3rUqreFe/fNqFuyjephZvifOZEz99&#10;p6OKt4ZbWLV/8SaM3pK5G3/zJLmnV86Kt6pzmwurruoZUdt+Y/LN/6Nw4e7uL1R716vSubvnzqQP&#10;oCofw4pX8XY4xat4aXLx3vv9w/Hf7msHzmW0eB/cO+jdguJtavHGz2eucAWm4i15C6sKhzQzUbzX&#10;HhvbfWvpGHvpxhA8pf90o5truLY5Z8Vb7bnNhT3Xd2fsQnwG+1cVcvS1mwsxHHvebyjb0LfRH0b8&#10;7CupPI15bniHmlW8ilfxKl6aVryPbD8e/+1akrt1Fu8NW/rXvzXirYLibWrxpnI+c6cVb1W3sMpK&#10;8S52b4jbwjG9fbdd3n9n+IsKtwKeHng0ej+kZG+e/BVvtec2Jz2N/LWbq/70XY3hy4f+6MrUaPTj&#10;2fdwWidLz579oZpVvIpX8Spemla87XPbqnqK14W7KN7WFG/k2/TazmfutOIteWvicnvLVvEmX3j8&#10;VN7kN/fOZfFWe27zsjdtDrkbfllNH2eJJ0XNfbi1GMPFs5SvHRmu6vxqxat4UbyKlxYVb/z3+s6R&#10;sWwVrwt3UbytKd4Sp2LWdD5zBxZviIqFyTNJDm/mtXjjhzTD26lxC2//4i19z+qx7ZUOye5fFT8b&#10;uXga+eSBO2r9IEvk7vzETyssfOrolwsxfPXYfsHVy3crx7DiVbyKV/EqXppWvCVvW7X2nZEMFe/9&#10;ewa8PVC8LSjeEoekaj2fuQOLt2TelEy+XBZv/NrvymnXIcVb+uD/cvfxKh53XTyNvOTzn6r441/Y&#10;HT/VvOaFl4thxat4Fa/iVbw0rXgfeLGvfW5bVW3x3rClf233Oe8NFO9yxfvhltnRzct+31xtD5S4&#10;7LDW85k7s3gT3sIqf8Ubv4y5wum7nVa88YP/yz6rKcV3eIncvfRe+N1TX7h7NStexat4FS9NK94/&#10;39nfPretKle8q18+Hc/dFVtPunAXxZtolt4ONyRW+NuZwScSXjC59CZDc2Pbw79+5ZMj85d65z/+&#10;eQ232FW88UfRLrvGnBVvvOhquPY7x8Vb8oZeSQ6A1/8Ojz83a/HKasWreFG8KN7sFu8zB4cjv9F3&#10;j11st+J94dh4JHpv33HKhbso3lqKN3L0JnwnvWz9Tp9ZF39iap3H6BRvhcfzRPIvZ8UbP4oYQquZ&#10;C2//4q3t3OY63+Glc/fXN4tWvIoXxYvizWjxfm5DV/w3eqxvrN2Kt+ieXWdduIviTbN4I2dOhhQJ&#10;3/VGciv8k8jFuiVn+uwGxVvzjYIq38IqT8Ubz6rwrmvywjNRvDWc21zPOzyUbfzLfGljK17Fi+JF&#10;8Wa0eEvetmpd72gLi/drB879oH+i3BJC67pwF8XbkOItWb8zHzyd9FLh8TcVb+3/esVbWOWmeONZ&#10;lfAK1Q4s3hrOba75HV4ydyMH3hWv4kXxongzWrwlb1v1cM9wC4t32egFxVv9nasu7Jgd3hSiNMnR&#10;2pqnhnNTFW+SW1jlpnjjz7xZPGlW8dZ/bnNt7/CSzyKKX0zewuI9NvTDTtZ9/CGBoXgVr+JVvHm6&#10;bZXoRfE2pniXPJ0oNEao39kLuyPnTNY/4QUVb+1/9vK3sMpH8cbjrZ5HN3dI8VZ1bnMN7/DSuVvq&#10;PPMWFq9vr1G8ilfxKt56bOoba6vbVi31wFtD4YPxeUfxply8kcqaGXouxfqt+ZCd4i15C6vZ0f8a&#10;PjuFm2NPvF54vlR9623awsP7qnBOwfmt8xd3FG4MXjg9/m/SPQ2+Q4q3qnOba3iHl3z0bnMWrnhR&#10;vIpX8dKE4r1pY3e73bYq4r79H4heFG8DizdytGdm8InC84dix3yquGC4jqN2ijd+QK/EPbE/OpTW&#10;c5UbsfAkt/Ve+swbxZviuc3VvsPLPXpX8YLi9WWoeHNTvHc92xP/Xb59+MP2Kd5i9G464fRmFG/j&#10;izdev7XdIkvx1vU6ydZe/yXTjVh4/D7MZc8FqDvaO6p4E57bXNU7vMKjdxUvKF5fhoo3N8Xbnret&#10;invmfYd5UbzNLd4ixdu2xZtW9Ka48OS5O3v+5fZZeCaKN+G5zcnf4ZUfvat4QfH6MlS8uSne8ILx&#10;3+W+/R+02zFen3oUb2uKt4YbO9eZYc5qTr7zQqJc/+TkFi48fCTJP/L5S+8p3hr+3WXPbU74Dl/2&#10;0buKFxSvL0PFm5vijd+2atOJiXY7wPuNnhGfehRva4p3bvxNd65q7Z2rljlYWuqeui1ZePyK0EYf&#10;oO7A4l323OYk7/Akj95VvKB4fRkq3nwUb8nbVj119Hy7Fe93joz51KN46y/eV8I32dWaGXqquqcT&#10;ffJ+Db/Ldb/j1W/Zw3/W+TqlX3xgTTE2GiG8cv0vvjB5tuqD6oMb6zF37vG5kb8N/1nn61T7Yc9/&#10;/E47LLzCi4d3S0PehPW9w+Ornjv/4yre4aceDl+k0Vf4cEtLFr4weULxongVr+KlocWbidtWBW5b&#10;heJNYeYndhe/Ya3WlU+OVNHVI39b2+9CMHfu0f/ZSeMzXpv58d01ft0N/UU8Mhd+1dWqP8jClOJF&#10;8SpexUtji/ehH73X/reteuCtIZ93FG/LjvFePWr0rYTXZy491uQYbyqH7/I9M2f/xDHeWpx6OHIu&#10;QPjb8A+XfYfPXXy1niPtjvGC4kXxZq54S962KhRmWxXv2ndcxIvibd11vBUu/Ev9glLX8cZvxpvv&#10;qfOS7w68jnfZ+zZXeIdX9ehd1/GC4vVlqHjzUbzx1/9Bf9vdtuqpo+d93lG8LS7e4i1zyt2aaGHy&#10;zMzgE23VA4o3E+POVfUoed/mcu/wah+9q3hB8foyVLw5KN5bHt8Xf/1n3r/YbsUbItznHcXb+uJd&#10;fALN7PCmkL5XPjkyf6l3dnRziq2reGt7AHIon/CJqNnch1vmL+4I/1nXi8Tqa/mbnE2eUbx1/hAq&#10;ct/mK7OXFnc7N/7m4u2Xa3j0ruIFxevLUPHm9Rhvuz2a6GsHzvmko3jbqHgz1AMZLd5qHwdV/4Nt&#10;01p4+Eiqu23V6GbFW+9LLXdSQEjf2XPP1/DoXcULiteXoeLNa/EG9+1vl9wNH4lTmlG8irezirfa&#10;E5vrP8ae1sLDR5L8w67hlFrFW/Iw75XLI1XfMKzWJyErXlC8KN7MFe9j3YNte6/mb/SMeCgRilfx&#10;dlzxlrw+s+zndPzNtlp4uSu9U4wuxXvdcfWPDlX9RKg6Dq0rXlC8KN583Ku55c/jfeCtoWfev+hz&#10;jeJVvB1avAnTsdob7TbnkGOSBiveVVjx1vvHj12du3zu1ndDdcULihfFm7nifWT78fhv8dTR8y08&#10;jTn0ts8yilfxdnrxFjY8urkJ0diIhVf4yK/MXEjxVmcdXryR21Ytf6uwT0+028IVL4pX8SpeGl28&#10;D7zY1z43r3IaM4pX8Sre2J2xRzcvvSNU+OvQuuGft/nCi/f0XjzeG0K3eOvgVA5KK97iI7Kr/V+A&#10;+Y/eVbygeBWv4u204r33+4fb4eZVTmNG8SpexWvhFl7Nhze8KQcPQFa8KF7Fq3hh0ZO9Yyu3ndrY&#10;M2oVKF7FK8AsvOOLt+JJ74oXFK/iVbxkyAvHxu/fM/CPNp8IVmw9Gf7WTlC8ileAWbjiVbzQbCMT&#10;B1J09sN9h0++WnT07Ovlfln/uTcXf1n463Q/hqUqfxk27vdtqP0nvql4aXPr3xoJlVvM3aJQv9aC&#10;4lW8AszCO3rhNdyoeWHyjOKF5nSOaZ85eHK94qWdD+2ufvn00tZdFDLYflC8ileAWXgH37nq9CNN&#10;fjSR4gXFq3gVLyla0zV0w5b+krkbhP/Kuc0oXsUrwCy8oxee5NHHS2d64FHFC4pX8Spe2uEOVbfv&#10;OFWudRetfvm0XaF4Fa8As/DOXXgo2GoeTXSoDReueFG8RvFS8rrWB/cO5tXiHaqScG4zilfxCjAL&#10;7+iFJ7x/1ZWZC6k8CVnxgoBUvIq3CZIc/+wQzm1G8SpeAWbhnb7wZaN3YfLM9Jl17blwxYviNYqX&#10;OKG7VOh/bwkUr+IVYBbe0QufHni05DW9V2YuzI1tT+XoruIFxat4FW9zbOwZVbkRa7qGvDFQvIpX&#10;gFl4py98+sy62eFNc+e3zl/cMTu6eWbwiRRbV/GC4lW8irc5Htw7KHHj5zY/33feewPFq3gFmIVb&#10;eMYWrnhRvEbx4iJe5zajeBWvALNwC1e8WgvFaxSvi3g72truc94eKF7FK8As3MIVLyheo3hdxJs3&#10;9+w666bNKF7FK8As3MIVLyheo3gzbE3XkLiNX8TrqbwoXsUrwCzcwhUvKF6jeDNv9cunJW7k8l33&#10;rELxKl4BZuEWrnhB8RrFmwc3bOlXuR5KhOJVvALMwi1c8YLiNYo3b57sHVO5RSu3nQrb8JZA8Spe&#10;AWbhFq54QfEaxesi3ly5f8+Am1SheGuc+fGd4bvhtITvqotJkL6BNYVXDt9bN+DFG/hhZ/fFLdzC&#10;W/TiC1MnFC+K1yheiu7ZddZNqtykCsVbX/FO7C5+wwrQDhQvitcoXhat2Hqyk3N39cunHdpF8Tqr&#10;2Um2Fm7hzmoGxWsUbw4933e+ww/weg+geBWvALNwC1e8oHiN4s2ntd3nFC8oXsUrwCzcwhUvKF6j&#10;eF3Eq3hB8SpeAWbhFp6j4g3fs0I7EJCKV/E2yMptpxQvKF7FK8As3MI7tHiNMUbx5tgLx8Y9lMjb&#10;AMWreAWYhVu44jXGGMWbQ+vfGlG83gYoXsUrwCzcwhWvMcYo3hy6f8+A4vU2QPEqXgFm4RaueI0x&#10;RvG6iFfxguJVvALMwi1c8RpjjOJ1EW/2rX9rxJsExat4BZiFW7jiNcYYxZtJG3tGZW0Ft+845U2C&#10;4lW8AszCLVzxGmOM4s2kB/cOytrKNvaMep+geBWvALNwC1e8xhijeLPn9h0u4nWYF8WreAWYhVu4&#10;4jXGGMWbR4I2ief7znuroHgVrwCzcAvPbfGOTBwgFRc+Plphz5MzF6yoMgGpeBWvi3hb4p5dZ71b&#10;ULyKV4BZuIXntngb8Q1rZwrf/Vf+yYIVpdI5RvEqXhfxOsyL4lW8esDCLVzxKl7Fq3iN4u1oq18+&#10;LWUd5kXxKl4BZuEWrni1luJVvEbx5tANW/qlbEJhVy8cG/eeQfEqXgFm4RaueFG8itco3gx4sndM&#10;x1blwb2D3jYoXsUrwCzcwhUvilfxGsWbAWu6hkRsQw/zbuwZDZFctLb7nLccilcPCDALt3DFq3ht&#10;SfEqXsXbJM/3nQ9Jlnv37xlIMXrXdA3VdmMwD/VF8eoBAWbhFq54Fa/iVbyKV/GSftinWLwrtp5U&#10;vChexSvALNzCFS+KV/EaxUu7uGfX2RSjN/n5yYoXxasHBJiFW7jiVbyKV/EqXsVLPg/zKl4Urx4Q&#10;YBZu4YpX8Spexat4FS8NF4Izxehd/9aI4kXxKl4BZuEWrnhRvIpX8Spe2sLGntEUizdhvipeFK8e&#10;EGAWbuGKV/EqXsWreBVvC2w6MfHM+xfb33ePXYx/8I91D27Ye7qCZw4Ox/+tldvSPMwbElrxongV&#10;rwCzcAtXvChexat4FW87+vbhD//tvg/a38M9Jdp11dNv/+P1b1Rw08bu+L+1tvtckw/zKl4Urx4Q&#10;YBZu4YpX8Spexat4Fa/iTbl4gw17T8f/xRVbT6YYvc/3nVe8KF7FK8As3MIVL4pX8Spexat4m128&#10;dz3bE/8X13QNpVi89+w6q3hRvNfN/Piu4jesqQjfVReSIL0XjLxyQ1+8Ea+c3Re3cAtv1YsvTPUr&#10;XsWreI3i7UzrekfzXbxB/GreF46N37ClvzmHeTf2jC69QbTiRfHqAQFm4RaueBWv4lW8ilfxNkko&#10;ydwX773fP1z5uGu6h3mf7B1b233u/j0DJW+RpXhxVrNzPp1ka+EW7qxmxat4Fa/iVbyKN7Xi/dyG&#10;rk19Y5F/9/m+8ykW7w1b+kNCh5pd9tCx4kXx6gEBZuEWrngVr+JVvIpX8Sre1Io3eGT78fi/fs+u&#10;sylGb7qP8EXxKl49IMAs3MIVr+JVvEbxKl7Fm6h4Sz6mKN3DvAkPBd+/Z8C7DsWrBwSYhVu44lW8&#10;tqR4Fa/iVbx1FW/4b0PoVn5M0dJ7SjXIiq0n79l1dk3X0JO9Y95vKF49IMAs3MIVr+JVvIpX8Sre&#10;5slE7tZcvI9sP175MUUbe0YbUbkrt50Klbu2+9yyj+pF8SpePSDALNzCFa/ipbG2vP0H//Hv/2XR&#10;hlduK/fLnnvj9xZ/Wfhre8vQzz4Ub8cWb/g1Sw/zxh9TFJS8o3JtF+jev2dg/VsjLxwb975C8Spe&#10;AWbhFq54Fa/iVbwoXsXbwOK95fF94dc89KP3Fv/J3d97N/4ia7vP1VO5D+4d3Ngz6o2E4lW8AszC&#10;LVzxongVL4pX8Tb1zlXh12zqG/vchq4KjykKVmw9mfzWU6tfPu2iXBSv4hVgFm7hihfFq3hRvIq3&#10;9cUbPPBi3+I/eehH78VfJxTssreeclEuilfxCjALt3DFi+JVvCjeLPnusYudULxLD/OWfEzRC8fG&#10;b9jSH7n1VPGiXJWL4lW8AszCLVzxongVL4o3k555vyOKN7j7e+8u/sM/39kff6kH9w4WL8p16ykU&#10;r+IVYBZu4YoXxat4Fa/iVbxZKt5nDg5H7uEMilfx6gELt3DFq3hbU7xjHx2xIsWL4lW8KRbv4mHe&#10;mzZ2l3wwLyhexSvALNzCFa/iTU3fwN9U2PPU7IQVKV4Ur+JNt3g39Y2VfB4vKF7Fqwcs3MIVr+JN&#10;2cQnv6y86mNDP7QlxYvibbSnjp7Pa/He8vi+e79/2KcYxat49YCFW7iFK95mCzWbZNv7T3zTrhQv&#10;irehvn34wzwVb/jbB17s27D3tM8silfx6gELt3ALV7ytETo24bYvfHzUuhQvilfxVijeu57tCR76&#10;0XsqF8WrePWAhVu4hSvethA6Nvn/Xzi3WfGieBVvheIFxat49YAAs3ALV7zZO5/Zuc2KF8WreJf6&#10;2oFz3zky5vOF4lW8ekCAWbiFK948nM/s3GbFi+JVvA/3DIcP76mj53/QP+EzheJVvHpAgFm4hSve&#10;XJ3P7NxmxYvibYJQle2TuPftv1a5z7x/0acGxat49YAAs3ALV7w5P5/Zuc2KF8Wb++INlfuNnpHv&#10;HBn77jGVi+JVvHpAgFm4hSveTjqf2bnNihfFm8vifeCtobXvjDzWN7bphNOVUbyKVw8IMAu3cMXb&#10;weczL52jg39nk4oXxZuu7x672LRbT63rHX3q6HmVC4pXDwgwC7dwxet85hIzOXOh+/hD9ql4Ubzp&#10;+s6RMbeeAsWreAWYhVu44lW8tQiNGko1rf/7GJk4YKWKF8WburXvjLj1FChexSvALNzCFa/irVpo&#10;1HT/H8S5zYoXxdtWxevWU6B4Fa8As3ALV7wdKtRp6v8P4txmxYvibflZzYu3nlK5oHgVrwCzcAtX&#10;vB2q69gffXDxpyMTB0qqfC+rkLXl/sXA43kVL4o3LaFakx/LXdc76gbLoHgTzfzE7vCtMECbWJg6&#10;oXib7ODJ9a7XVbwo3qzk7rcPf+juU6B4qyne8Z0zZx5KS/Eb1hRf8DMDawqvPLCmES/ewA87uy9u&#10;4RbeohdXvIpX8SpexSt3S/pGz4iDuqB4ndXsJFsLt3BnNaN4FS+KN0vu27/8s4XcchkUr+IVYBZu&#10;4YoXxat4Uby5uj/zA28NPdY3ZkWgeBWvALNwC1e8KF7Fi+LNpE0nJkrensolu6B4Fa8As3ALV7wo&#10;XsWreBVv3g7zhr/VuqB4Fa8As3ALV7woXsWreBVvrg7zPtwz7PZUoHgVrwCzcAtXvIpX8Spexat4&#10;c+Xbhz90eypQvIpXD1i4hStexat4Fa/iVbwAilfxCjALt3DFi+JVvCheAMWrBwSYhVu44lW8ilfx&#10;ongBxat49YAAs3ALV7yKF8WL4gUUr+LVAwLMwi1c8SpeFK/iVbyA4lW8esDCLdzCFa/iRfEqXgDF&#10;q3gFmIVbuOJVvIpX8SpexQugeBWvALNwC1e8KF7Fi+IFULx6QIBZuIUrXsWreBUvihdQvIpXDwgw&#10;C7dwxat4UbwoXkDxKl49IMAs3MIVr+JF8SpexQsoXsWrByzcwhWv4lW8ilfxKl4Axat4BZiFW7ji&#10;RfEqXsWreAEUr+IVYBZu4YoXxat4UbwAilcPCDALt3DFq3gVr+JF8QKKV/HqAQFm4RaueBUvihfF&#10;CyhexasHBJiFW7jiVbwoXsWreAHFq3j1gIVbuOJVvIpX8SpexQugeBWvALNwC1e8KF7Fa3WKF0Dx&#10;Kl4BZuEWrnhRvIoXxQugePWAALNwC1e8ilfxKl4UL6B4Fa8eEGAWbuGKV/GieBWv4gUUbzsW7yvh&#10;m+y0FHpgYE2KL7io+C17+M+GvPjAmmJsNEJ45Ya+uIVbeM4WvjB5QvEqXsWreBUvgOJNZ+Yndhe/&#10;YQVoBwtTilfxKl7Fq3gBFK9jvA45WriFO8aL4lW8ilfxAihe1/G6rNTCLdx1vChexYviBVC8ekCA&#10;WbiFK17Fq3gVL4oXULyKVw8IMAu3cMWreFG8KF5A8SpePSDALNzCFa/iRfEqXsULKF7Fqwcs3MIV&#10;r+JVvIpX8SpeAMWreAWYhVu44kXxKl6rU7wAilfxCjALt3DFi+JVvCheAMWrBwSYhVu44lW8ilfx&#10;ongBxat49YAAs3ALV7yKF8WreBUvoHgVrx4QYBZu4YpX8aJ4FS+A4lW8esDCLVzxKl7Fq3gVr+IF&#10;ULyKV4BZuIUrXhSv4kXxAihexSvALNzCFS+KV/GieAEUrx4QYBZu4YpX8SpexYviBRSv4tUDAszC&#10;LVzxKl4Ur+JVvIDiVbx6wMIt3MIVr+JF8SpeAMWrePWAhVu44lW8ilfxKl7FC6B4Fa8As3ALV7wo&#10;XsWL4gVQvIsTvrkM0ZuW+Ynd8+M7U3zBJV4JLx7+sxEvHj7mqy/+UmNefFfQqBe3cAvP3cKvzF5I&#10;+D9fp8a2kYpfjm49NvTDcv5h+EUraqZDp54NBVu05cBXyv2yV3+xbvGXhb+2t3aQ8H+7PpldCN9f&#10;ArSJD6fmcl68xhhjjDHGGGOM4jXGGGOMMcYYYxSvMcYYY4wxxhijeI0xxhhjjDHGKF5jjDHGGGOM&#10;MUbxGmOMMcYYY4wxitcYY4wxxhhjjFG8xhhjjDHGGGOM4jXGGGOMMcYYYxSvMcYYY4wxxhjFa4wx&#10;xhhjjDHGKF5jjDHGGGOMMUbxGmOMMcYYY4wxitcYY4wxxhhjjFG8xhhjjDHGGGOM4jXGGGOMMcYY&#10;o3iNMcYYY4wxxhjFa4wxxhhjjDHGKF5jjDHGGGOMMUbxGmOMMcYYY4wxitcYY4wxxhhjjOI1xhhj&#10;jDHGGGMUrzHGGGOMMcYYo3iNMcYYY4wxxhjFa4wxxhhjjDHGKF5jjDHGGGOMMUbxGmOMMcYYY4xR&#10;vMYYY4wxxhhjjOI1xhhjjDHGGGMUrzHGGGOMMcYYo3iNMcYYY4wxxhjFa4wxxhhjjDHGKF5jjDHG&#10;GGOMMYrXGGOMMcYYY4xRvMYYY4wxxhhjjOI1xhhjjDHGGGMUrzHGGGOMMcYYU//8///K1NjD3nSV&#10;AAAAAElFTkSuQmCCUEsDBAoAAAAAAAAAIQDFm8go6H4AAOh+AAAUAAAAZHJzL21lZGlhL2ltYWdl&#10;Mi5wbmeJUE5HDQoaCgAAAA1JSERSAAABgQAAAYEIBgAAAfdePbIAAAABc1JHQgCuzhzpAAAABGdB&#10;TUEAALGPC/xhBQAAAAlwSFlzAAAh1QAAIdUBBJy0nQAAfn1JREFUeF7tvQe4HcWV73vwmHnP9ow9&#10;77tjz5uX7r2+vvfO9cwA0iEIISShLB1lMhxAJCEkkhAZpIMCICFhMugE5XyUs45yRBEFgslggkEJ&#10;UABhM8b9anXX6q6uXp12d+/u3rvW9/0+zxDE7ur/+lV17e7eFaqEmrq/489m7OijTd/RW5u6vbc2&#10;5ZVe2mTGxG09tQlbe2r1W3podYzxm7trL2/qro1t6vgz499MuaZs7/a/Zu/qo83c2UcLcwAvbqrS&#10;XthYpT23oZv2zPpu2tOrO/wv408sYjXu7qvN2dVXi+UA1nXVnmKMW9tFe3JNF834LyRcSR7A6NWd&#10;tSeaOid3IHN3X6wV4wAea+qkjVzVSRuxsmO8BxPnATzrcwCj+AE8uqKjVrO8QzwHUswzIB/AUMbD&#10;y9pHO5A0IgQHMEw4gIeWttceWNKusAPJwhnAA7hv8UXaPQzjkwWstM6A1wEMWdRWG7ywbfADSauJ&#10;qQO4VziAuxa0CXYQWT0Dd7IDuGN+G+22+a29DyQrTex1AIPmtdZunXuh+4FkqYnFCMkHcEujy0HM&#10;29P3X/JwBuAA+s9ppV034/x/MT65UF4H8O2fv5L40sY3Mn8yOOnCCZnvjuocJ6AO4CbGjbMvcJ4N&#10;rzMgH0CSTSwfxLuH95EHcP0s6SBq91T+1CtC8hkQDyBujYoHcIzxzuG95AFcN7Ol1uaF3/6dcQSs&#10;/HrA7QD8zoAYoTBNjAeAB0EdwLUzWmrVM863zoZfE4eNEH7wmbsf0s+AmP8wTawfxKG9+gHcQBzA&#10;1dOFg/A6ALBQmDOAB4ARevPzreYZgIMYvrKX6xmQmxgO4m12ENQZgAO4cloL6yC8DgDOABxEmAjh&#10;AXzzp+M6YoTAQkE1igfhdgBXiAfhdQBwBuAggjQxHMDeT1aaTYwH8N6hA2aEIO9+ZwB74Nipo9pb&#10;7CDcDuCyqedZB+F1AHAGwP1+ZwAsBAchWwgOROwBOAi/M4BNjAfhdgCXThEOwusA4AzAQXgdAM4D&#10;cBCQe/kA4H8xQnAQfgeATfw1HMTBva4HcPHkc62D8DoAOANwEF5nQJwH4CDEHhAPAM4AHITfGcAe&#10;gIP4/cFXXQ+gr3gQXgcAZwAOwusMiBFClYoRKuQAIEJ4EG4H0GfSOdZBUAcgNrG+DmIfwOsMiBPZ&#10;9F2PkmuhsAcAvMkOwu0Aek0UDsLtDGCExMWc2xkQIxRkInOP0BHzAOD/hoNwO4CeE8+2DqJmSeVP&#10;3Q4AIoQHgOABRF1Oi00snwHjYIyDcDuANi/80lo7QbkdAERIPggAs2/C4uK2nAZwLWSDfVjA+uD2&#10;A/iK8cYXr5IH0GOCcBaw3A6AauIkzoCbRuEgqAOoaiAOArbX3Q4g7HLabyaWm9hrHnA7gI51Z/xX&#10;/tHt5XcGJu0Yok1kNGy/W6t/5W6tbttgbTzjZcZLW+/SXtxyl/b85ju15xjPbr5De2bTHdrTG+/Q&#10;ntpwhzZuw+3aWMaT62/Txqy7TXti7SDtccZjjFFrBmkjVw/URjAebbpVZ9iqAdpQYOUA7eEVA2wH&#10;0K2h0nkWsPJwBuAAutZ7HARUmAMQeyAzB4CVVhPHdgBQWT0DXeqbBz8IqLhn4qIfAFZWmrjgA8DK&#10;7RmQK60mju0AoHIZIbHSiBD/T8dT1BmAv567A8AzwP+yra6Zdc7/iOMAurx81m/5HxlPDVnY9j/w&#10;APhfClQ9G/7n34c5APjn+b+qSpVY8AUN7KxP2w6768a+7qRtvbQJ23pqDVt76ntatZt7aC9v7q69&#10;tKl7vM1baM3e1VebxT6434eHTTnxw8NmxPMbqrRn+fU8/+OKV436N6vBPrw88vKH/51+GdxVG8su&#10;wvgfn1zN3d1XC/PhceRhM87twz/FP/wYfhX5OLsI4/+5eCvshw8z8uKHh6vHkezahf9no9ecrb3P&#10;L9bI44cfzqhZwa5bVrY/n3+Mwmrenou1Qj98oSOPHx4ufR/h1yz844Srebv6/LnYsaE+/INL22n3&#10;Lmn7Z/6xglcSsSnkw9/PLrjgapF/rGCVlZHHD3/Poou0u4Ou0dJqWL8PfxdfJfOPSde8XX0vz+LI&#10;44e/nV2fDJzb6kr+cZ1l3LuU3Q8PV4cD2cUV/7j2mr2jz1/DxiaNDz+A0X92q7/yj21VHkYePvwt&#10;ja20m9llLf/YVrl9+FPmbT4iMd5w9Sf3b4jcPjxc0vKPbZTXyMsfPsmRlw/A7cPfwK7H+81qaR2E&#10;V2zsB/Cl64ePS5X44eG7OPjwS9+coI1afYPjw8OGAv/4xj1KbpkXP/zRkx8GHvmDJz40YxMm8/jh&#10;ARj5JW9M0EayA5A//DUzhPuTvBrWb+SdH976ihdHHvMepmHhAPqz2CxmBzC86XrHh4ddEM8Pj6rE&#10;Zg068vDB3WIDDRvUNnAAEJtFrzdoj6663vbhq9mHv2p6C30bp8Jt5FGVeACFfHi4iQTAkQfbLDjw&#10;tO+Hh4aFA4DYwAHUrOrn+PCw/3T51PM0/aYqauRxbQMfHvQYpGHF2MAHh5GHm6rE2EDG/T48jDx8&#10;kQ6xWcgOYNjKfo6Rhw9/2RR2AG4jj5lHv3uNPNoGDkCMDZ4BMTZwAH4fHkYeDgBis+C1Bu2RFdeR&#10;H/6SKedqFV4fHmKDB+D34WHkoVHFDw8jD/8rZh4OgPrw0LCiKuHWBYjN/NfqtYeXX2eLDX542Lqs&#10;EGNDTVJ4AH4fnrJN0A9PTVJwABCb+QfqtQeXX+sYefjwfSaxA/Bb2+gHwD6U34fHkYcD+ODoPodt&#10;4MMDQT48jDwcAKhyHhzAsmvJD997Er8HyetiBNc2QT68aBv8wCJBP/yUXeP0A4DYzGUHcP/Sa9w/&#10;PJTbh4fYyAszvw8f1PNeI29wRM984/467T52APKHh+16/vErKtw+PMRG/PBAHB9ebljqwwMQGziA&#10;e5dWOz48fFHCP35FhduHh9jIBwBgs1rEf9MUALGZww7gniXVjg/fXTwAKOrDB8181JHHtQ2lytn7&#10;6rQhi6u9PzxU0h/eLfNuMyxmftbeOu1udgDih69qIL4cfGpt5x+8PjzeKDWB3yhV/8pgrRZvlto6&#10;WL9R6gXzZinrRqnf6TdL3a7fLIU3So1eN8i6WQpulFpj3Cg1vMm4UaqmaYBxs9TKAdojjMGLqm0f&#10;vmtdpfOaGCpLI09lHj48fD3LP66zHmvqeEWWP3xXRqfxZ13FPy5daTas34fvEvSL8SyOfOAPj5XE&#10;h0985MV6aOlFf87KyHeqO+t7/rHCVdwfvpCR71wX8Xacu+a1uiCthu304r+25B+j8MpFw3pVGiPP&#10;/9PRS/7w/C9XJDXy/I+Pp8QPz/+So+JqWP7HxVOYef7/Bq6wI8//NVW5qCnbu7cy9nCNfVx8zhR3&#10;FfWnHYGt1u6ivtuyoXsr/keo8qtZO3t9h18UAfhsuPXVRfDBN08A3+IF4Mk12HzBp9dwH+OZdV2/&#10;4x+hvAq+1MVvpeGdDnENPgy8OPiw3+g2+PozkHwvBoDnwGBnAB6lGru6C33Rmueas6PHlfgulqIP&#10;Ph/4IIMPWzPwKBjscMDTVLhR8MSq9t7Xslmtxl19vtPvgOF3wSQx+LJ2Ck2+2+DrJ6DJ2K3Bp8JG&#10;reiYfX3BS6ySHvy4tBNm8OGpNti4gQfDYP8DHg7jh5yNmrurz/fFGHw5+foJSDr5xODDBhQ83Ab7&#10;OPoDbkvaFbYFEUcZN5qWT/LlwYeNNHxAD/ek+NAkX41szZ7V5MNbH+TBh7sN4kw+NfjwkCHsq8GD&#10;hncvaZPstUkag1+UCTeGwdc3NvnmJjxnxYcsvpq7u8+pctIODHyhgw/7Pfqjhow7FrQ5xYcwWpXr&#10;hBtl8OFZT9gxhMclxS3PgkpNuOEGHwZeHHx8YhjgQxqu1ITrHHz9BARIvjj48I0FPPUMG/98aIOV&#10;Sn705IuDD4+dwzcv8Og5H2LvKurg84Ev1uDDwBd78OE7Oxh8+OoLn/3nQ03XzF29ThUy+NYd8W5Y&#10;D1jI4G2grvzJDnXHmRfOu9FkjLvTEOoONTdg8OEFtF7JFwff/ApvRkv3VVOhyacHHjAGOi3tRE0+&#10;NfAI3CoIg//u4b36cx1eycfBh5dH9OPfofIht1cU7bgNPhB28LM24VKDj0Dy4QXA8GwKJB+eT/Eb&#10;fADe4AHfBfOht6qQwUfnxzH4QZJP6QYRFZOE87/89qDtBACQfDwJMPgj+ENCfoNfzb+M50NvVCHf&#10;4YpLzaCDX+hSUxxsv+SLJwOSGzb5QSZcPAmgHXh3MTzkBAOPDzr5DT7eRHPplEprn6nQwcfVjngS&#10;kkq+2+DDMxpU8me9OtKcbP2SH3TwccLFkwDagZMAzznB4IsPa3kN/pXTDOB+Gn4KrLdkew2+11JT&#10;PAlxTbjHvztsngB58GHggZGreumDj/+/UzvtTJcH1Y7b4IsTrn4STh3V31YGJwGe1YLBh+e15MGH&#10;gRcHHwbevJmJwU+B8ZbvoMnXTwAffNQODD4uKaMOPk64eAIo7Qxf2c0c+IPHP/F0Pp6EKMmXVzv4&#10;AAVoB17gDc+bweAPXcEfmvNIPg4+3JAFb6Lip4C/pTxE8mXni+v6KIMvLjXxJARZ7eAJobSDJyFs&#10;8r3W+fgECww8ngQY/IdXXOebfBx8vCOOn4IK/S3rYZIvO188CWEmXL+lpttqBwdd5LOvP3RMuHgC&#10;gDgGHydcfHQItAPvHocHFyH5D/GHF72Sj4MPwLvY+Cmw3hIfNPmy88WTUGjy/VY7j63qS2pn+4cr&#10;yAlXPAFxDT5OuHgSQDtwEuDZRRh8eH7RL/k4+HBPKLwMj5+CioqXN3e9gBx8PvBug4/a0U8AGygg&#10;yuDDwFPaMU6EtbXw0NLO5GpHHPigg09d4cKE67XUxJMA2oGTAM9fwsA/gA+RBhh8uCm3+4Qz7F+F&#10;hkm+7Hy3vZ2g2vFzvpj8dw+96hhskTi1g4P/6dcfmANvcURXDry7Hk4CDD48Rxpk8OGOaIAPvVWF&#10;DD5qRx58maT2dqIuNf0GH5JPDT4C6YeT0Li/Th988WFer8HHl4nyobdXkMGnJlxq4EWiJB8GX55w&#10;41pqeg2+qB158BHQzptfvKo/ywuDD8/zBhl8z+cC4C7lIMmXnU8NvAxOsO5Yzgco1XiBV7G+sAEV&#10;sQ80hXPw4dcnANAO/IADPI8Mgz+EP1TtNfjwREm3uubet1MGST414f7hywOc/TofiRw1+JDgA5Ej&#10;+7T3Cd6TObxP38e3s1ffTLPB1vBwRSsDa3sbB/fqE6wMqMYBG3QYeBE4CTD44oPh1ODDu4wDP9Lj&#10;l/wkJlwv5yetHVhqBr3C9XI+PBvuNfiej1tTFWTwsz7h+i01YfDDXuEGdb48+AU/jaeSH8/gR34X&#10;fJDkxzX4YZJf6OAXM/nGTyHE9FgnG/RTcQy+fgLKJPn6w+/jz4r/oZI8Jl8e/GIkP9YfAqGqZkmH&#10;VmrCdR/8DrXSflCSVcjgl6p2YPAjv3cjSrGB/z4L2kkr+Z3qzkzvcSmxhixq99tySz4/9GzUkAVt&#10;jpfLhNu5NoHVTtQq5eTrJ0Af/DOr+eFmq/wGn/9jZN0854IfMq0dt3cBZqHcJlz+tyNVv5nnf5fG&#10;hOu7pZxm3bu4zZu42qnQKk7jfzm1unzauRcWlvzmF/I/QpWqnNfkV3r8BW9Whts18ZZNvGNQv3GN&#10;3zeF9069vLnbX4x/W1WowucjZgi36IcdfP2+KfHeKX73CGD8V1TZCh7Lwkezgg7+pAIGH++dep7x&#10;3Iaq8j4Z+ERoIYNfSPLlwdfvIMEbGBjGpyqDgoE3Bt8Y+CwMvnkTw9qupXsi4C0AWRx8GHgcfLiJ&#10;Yexa4zt041OXQOmvX8jZ4Os3MfDv0I2jyGHN3dXnpHPwC3N+HBOul3bcBv8JBnyH/vjKjieNo8pJ&#10;mW99iWHwk0h+qMFv6qQ9xu8eMY4uwzVnR+/b6MHPjnYKHXy4gwRuYKhZ3u4242gzVvPEN31ldPCD&#10;ON9r8OHukeErjDtIjKPOSBmDfzEx+Dlx/ppwg493DRpHn3LlfvBDJh8HH+8eMUYhpcqDdpIcfLx9&#10;xxiNIpcafOveKbh1xxiVIlW5Tbh+g4/3TRmjk3CV64TrN/h445oxSglVuU+4foOvf5W7KKGToJwf&#10;bPD1GxgYxqjFWGrwgw8+3EFijFpMpSbccIOv374T0607bPDVhFvI4Os3rcVxEnI7+CkmHwf/9vkR&#10;T4Bz8LOjnTwMvn6/7Dzv2zZda/bu3n/J6uBn1fnU4Os3Ks9rFf4eJTX4BQy+PvDS4M9trd8lboxq&#10;wMql8zMw4TqTbwy+fpt+Y4iTEHXwk0h+npxPDT48I2GMrk/N3t57d9a0UwqDD0+E3jTngt3GKHtU&#10;1gY/084PNPit9MHHh1OMUfYoNfjRJ1y3wb9pts/vFxTq/FO2N7a7Yb3FV0R8kyPJn5xQL5Xygn7J&#10;FGJ/2VSYF04F0Q4Mvn4C8LEsr5NQaPLpARcpvcEHDny2xXfwMfk4+PBMnDHaRBWqHXrQEevHI4Jo&#10;J0sTLjXoInACwg7+9bNcfjii0MEH59MDDxhJz6vzqUFH4B12+9kJgIFf8kaDq/Plwe/HH0g0Rl2o&#10;MIMvX2TFMfhZvMiiBh7AlwiKJ2Ds+kGuzpcH/1rqBBQ6+PQJsDyfN+2Iq527FjhPgvkGRwacAEj+&#10;YnYCnlw/MPDgw6O4xqjzatja8u/DakdcahZ78KnJduGBsfEvNRmHT3xCDj6eAHA+nIAx6wb6agcH&#10;H+jZ0PLvjdFnFWXwYZ0vD/6xU5/HPvgr3nyGHHhEXN3ENfjiOl8efDwBoB34tQ79BAQc/GoGPIRu&#10;jD6rKIMPF1k4+EldZFEDLmpn76erbCcAiDT41EUWX+2IJ2DfZ5t15cAJGL3u1lCDD28AMEafldfg&#10;B9nVFJUTOfnShCsO+o6PFvg6XzwJcSRfXufbTsCneALq9RMQZvCvmiadgEIHH7YXxBMQp3bEwacm&#10;3Dc/30o63zgBxoVVnIMPE658AkA7C9kJeIKdgDCDD69fMEafVSHaEfd28ATEPeF6DT4kH36Vw23C&#10;xSvbT79+O7bBhwnXfgI26dqBE/D4WjgBwQcf3n1hjD6rKIMPqccTkMTgA/Lgyz+NAlDOx5MQ1+DD&#10;hGuegFNH2dyzSdfOgtfgBAwINfjw4hE+/NbPZRUy+OIJiGPClZeabskHIPX4f1MTLgw+LB9DT7ge&#10;u5o4+MCr7ASAduAEPLZmQKjBN09Aw7qL/nNY58urHRh82DyLOuGKF1l4AqgJVzwB7x86oL3HeGhp&#10;B8eEi+t30FDU5ONFFg6+dQJamicgzODDa3c6Tzrzv1RM3NK9R5TBB+3g7mVU7YhXuOYJkAYfnI8n&#10;wC356PwpO2vMkxDH4MOEK58A0A78QtModgLCDL7+vqPJZ/esYIN/TSHaESdcPAFxDT5oB0+APPg4&#10;4Z747mvbiZAHH7QzdHlP8wREGXzxClc+AaAdOAEjVxsnIOjgAxdPOee6inrWAVEGH7SDJyCK8+W9&#10;HTwB1OCLE654AuTVzlffHjJPQLjBd9/VxMGHX+jYw04AaGfegTr9BAROPn/bVx/ogJc3dP4vUQYf&#10;tIMnIK7BB+3A4MN6Xh78L479wRx00A7+39RS0zH4+sBLgx/ga0TxChcHH08ApB5OwAh2AsIMPrxm&#10;rfPLbA7QJ+IIgw/aMU+A1+CH3FLGq9ljpw47ko+DLkItNfEERHG+vL1g/T7NUW33J8IJaBoQSDs4&#10;+PCOO33woaIMPmgHT0AcyUfnP9bUyzwJsnYg+eO3DtYHvvHVcZ6DD0Rxvry9IJ8A0M5cdgKGN90S&#10;avBtJyDK4IN28ATENfioHTwBALXacUv+x1+9lcjgw4QrnwDQDp6AMIMPb3fkw19REWXwIfX6CWCD&#10;FOfgo3ask3CUXGp6JX/wwvYBBj/414gw4conALQzd3+d9ig7AX7OFwcfXq3Jh7+iIsrg6yeADRAQ&#10;9+CjduS7F6jB3/rBQtvgL3p9vHPwQ0648uCD7+0nYKOunUZ2AmrYCQgz+PYTUMDgixMungBgxetP&#10;xTr4qB3xBIgDTRHXhCsP/lffwo/B4Qk4op8A0A6cgGGrjBPgpx0cfHijLx/+iooogw/aEU8Art8/&#10;P/ZObIMvaocacOTBpd1jd76sHRx8YBc7AaCdOfvgBPQPNfg9xRMwZmvLvy908EE78uAjx787Euvg&#10;U86P6wo37ODjCYDUz9lXq5+AMIPfsuF/Wt8JQwUZfHS+vNqhBh/J1uAXPuHKgy+fgKEr+/s6Hwcf&#10;XibOh92qQgcfoAZeJPHB1wdeGvyYJ1x58PEEgHZmmycg2ODDW9z5sFsVVjviaocadJEsaUc/AQEG&#10;334CnIMPwAkA5cAJeGTlzYEHH16hz4fdXoUMPqx2qEGnEC+snNiXmkFWOzLmt1VesAGVsSddhh58&#10;+EncnR9bJ+DhFTdHG3yoQgYflprUYMvQg47kb/DxBIB2Zu21ToDf4HuegKDOT2KdH9n5Du2Edz5Q&#10;zQi6qwknALSDJyDI4MPPpvDhpss3+S67muIPQtt+DJr/ILTvj0EDR4L9ILTzx6D3OX8MmhHox6AZ&#10;1I9BA9QPQss/Bg2phxPwEDsB/oPvkX6soNpJJfkJTrhBk0+t82fuHa89yE+A1+DDDwbxYXavp9Z2&#10;2lUKg5+EdqjBR+3ACfAb/C4NzffwYfauqIM/accQbSJnwva7dRoY9a8Ag7W6bYO1Ws54zstbB2sv&#10;bb1LexHYYvDC5ju15xnPmdyhPbvpDu0ZxtPARoPfbbhDe4oxbsPtOmOB9bdpTzLGAOuAQdrotYO0&#10;JxiPCzzGGLVmkDZyzUBt5GqDEYzhTbfqPCpQ0zSAXfEO0IYiKwew5afBwysGuAy+9TtlfHj9K/MT&#10;bgwXWWGSH+YK123w4Ufi+PAGK33wU3oyJevODzb4hnYKGnyoJ9Z0/Isa/HgGv3N95Q98WMOVmnCj&#10;D35B6Rcrm4OfD+dHHnwoNeEWPvjws7h8GKOVcr7f4Du1E9vgYynnpzj4UGrwgw9+56R+Cl1NuOLg&#10;085PbPCx1ISb4uBjFVs7+gmIefBzox23Us5PcfCx1OCnOPhY8Q6+cn5BpSbclEtNuCnWXXMv+Ndy&#10;cn6nhjNu54eejSrNwae1ww85OxXK+Y7Bz4/zO9c2/4YfcnbqroWtR5aD8/nhZq+CDD7/R/XK2+Dz&#10;j529urOx5Vl+g8//UbKyPuHyj5nN8p5wWzfwfyxQZW3C5R8ru+U2+PxvR6q0Jlz+n892yRdZbIVz&#10;Pf9biVTSyef/mWwX7u0Mnn/hLfwvpVpXTDn3P8IOfo+GyvC/XKRKlaqEa8qW7v/fpC09WkzZ3qvb&#10;pK3dL9ZfmLW11+UTt1d1q4O/zv4+/0dVqcpmNWzt+ffTt/c+ga/cRvAFxPgeXAPjjaDim0ER41V9&#10;1osq9ReX8ZeXie/QwrcJ4UttEHzFB75pAnhpY9cTY9jn4x9VlarCa8b23t/i74ogxq8sWL+0EDX8&#10;+K7KIOEXG4AKP77xQ3zrh/7+g01VGj6GDzy3oeu3/BBVqTJq9o6+78NveIk/olaK4cfXITyvP5Fv&#10;PJWvPxzOHxB/en239/mQqCrlmrOj7y7xB0sh+MUMPwY/jvC/HFP44QF9BJ8Vx0eWx63t7P8bmKqy&#10;Xfqvs/PQ5yX8GPw0w68/sw/wR8cNuuhPMfOhVZXVatzZ+3s9+Cr8ocKPwfcK/1j+FLn5NDnjidWd&#10;vudDryrNmouh9wy/0QDFCn8W1/xiA3iZ32oA9/DjE/0IPN/8RFNnNUsUs+buvlhT4Q8Wfsr8QZY9&#10;ZPiF4IvhNx7w5w/582fN+alSFWdh8IOFXy170go/POuPwGPnI1d2VA0RpebpwVfhT2vNX0j49eDz&#10;8MN7F8x3LwArVEMEKk2rOM0r/GLwVfjzE354BQO+hgGoYOeZn3JVWCzgn1rhNxpADL9a89PhFxsg&#10;qQter/CbDRAw/DXLjddh4Csxhi7r8BmPQPnWvD0Xa+UU/lJc8xcUfga+lgTfjsEjUT5lD79a8+cl&#10;/GGXPUHCj6+HQXhESrdU+OMLPwa/VMIPr+nBV/UAPDKlUyzQwpq/jC94WdBLOfwY/Cjhx9clAfcu&#10;bF0S1wzCbo/RAGL41QUvHX6xASJf8BYQfrMBAoY/DvOL4YfHGvHRRgByZMQpZ5X18Icxv1/41QVv&#10;MuG/B1hkvUKMRyv71birz0C3ZY9a82cz/GGXPcUOv/iGgbvmXziIRy2bpcKv1vxJhR/fb6K/44TB&#10;I5etosIvBr+kw8+CntXw68EvofDjS37ietFPLDV3Z++TwcxvNECxwp/nuzqtBojX/GYDBAx/0sse&#10;vQFChF9sAHjNmPF6yVYneRTTqSyGP4z5/cKvLnizYX46/MZLDvW3TPq87DCx8g+/WvOnHf6wy56s&#10;hR+D7xV+fMctwKNZnFLhDx9+DH4Ww4/Bz2T4Wej9wo8veh4498LiNIJ7+I0GKFb41V2dzvCbDRAw&#10;/PlY8wcLP77pHOBRTaZU+IObv5jLHhV+gwEAf+M8j2y85Qx/dpc9fuFXF7zJhD+JC96w4TcwfnCE&#10;Rzeeykv4MfilHv6wa/68X/CGDX9//psjAI9wtFLh9w4/Bj+L4cfgZzL8LPSBwj/XL/w8+FL49d9+&#10;AWZfEK0RWKjVuzpZ2MUGUBe8vAFChD/pZY8YfrMB+O/v6L/BM6NF4e9aLWb4T/35K+3byHwZmm+i&#10;8id/TibMiUgcNfjOneMJUIzw449Q3TCrwNmgWOFH69OhDgodcC/IQIeBBcgPKrBxQoc6KCzgKYQf&#10;gfAf+GyL9u7hfZHCLy57qPAbv8Jm/BIbj3awKsb7+TH8uOyhw+2HFeqk1vzqgpde9lDBDsoxBgQf&#10;mwDCv/TNCdqSNxqI8LeKHP5+/Nfwrp3e8hSPuH8VM/y45qdD7oZkdWa0uMOPwc9i+DH4aYQf1/zH&#10;vjtCBtwLCD8CF7z7WRO8c3ivHnxsgjAXvLbge4QffgoS4RH3rqTC73fBS4ddxh5+pNDwqwveaBe8&#10;VNApxPAjEHxsAjD/0jcmaItZE0ADjF0/UBu5+oZQa36/8MPvoV47w/hNVB519yp2+HG3hw49Qof/&#10;3UObYzN/MZc9WQt/lC+53j60hww+QIUfEZsAgr+ENwGY/8l1RhO4mb/Q8CM86nSl+YN0YcK//PUR&#10;uQj/7o8XkRe0fogXsFkKPwaf2uqcvvvxQOFHYNljNUErowleb9CDP4Y3Qdzhr+ZcNf28Ezzyzkoj&#10;/AgV/q++/UR764s1ufqSiwp1UMTwU2x+b1bmwu+11bnjD6u0L058TDYBBH//Z5v1JoBlz2LWBItY&#10;E0DwR7MmGNF0fezhh18lR3jknZVG+PFLLsr8jvCzoGcx/E+u6UGGGnlpy42Blj1ofeCPx94lGwEp&#10;evhZ6Av9hpdqAlj27Pt0M1tO7dXtbzYBC/vodbdqw1kT6MGPOfz6T/MzeOTtNeWVnn8pJPxxfcMr&#10;NwBQqPnFBkj6gpcKPRDnmv+JNZcSjQBhOhQo/HoDhAi/2ABxfMNLNQEEH5sA7A9LoYWv1+vWhyZ4&#10;FJogYvirifBfNa2FdiXjiinn/oVH36okze8Vfv3WBpcmyPKaf93bdZHD/82fjuu4hV9e9jy8tKMe&#10;fvlLrrjMH3f4ja1Ougkg+NgEEHyYBaAJwPxPrGVNsOr6RMKPXMHg0beqWMseOfz4JRfVBFkMP1zw&#10;vvH5ekf4f//FlkDhH7f2KjP8ItN3DXMNv7zsERsAiW3ZE2P4ca+fbAIW9r2fbrI3wWv1evAf15ug&#10;X+zhh+Ajl089z9kEaYUflzxuTZCVC15xq1NugFVvPu8b/re/2EOGX+b4KWu9L4dfXPaIDYC7MtkI&#10;v/MbXlsDnDKA4GMTwLJnIWuCBXoTtNQeWztAq1nZL3D4MfhBw4/w6FuVVvj1NT8LutwAcH9O1sIP&#10;+/tyAwB+yx5Y7shhF5c98t/zCr+47MHwI6OaLgsffhb6QOGPcEuzGH4Elj2vsiZ4izUB2B+bAMz/&#10;2JoB2jDeBEmE/zIOj75REzd1aymHv9i3NIvhR4KEn1r2WA0QX/gRuQG8wi9e8MpBP/nd177LHrfw&#10;47LnyMnPHI2QxppfNr/YALDskRsAgOBjE/Rj9l/4WoM2nzUBBB+aYChrgqhrfrfwXzblPO1SRo/6&#10;ygt4C1RUsMBfUYj5/cIf5mEWMfxIWmt+r294HU3gE37xgrdh2xBHMyBHTnweOPy47Ll3UTtnE6Qc&#10;fj34PPyw5AHoJmhpNgEEfwFvAjD/qNUDtEdWXJdY+JG+U865ircAa4LNPa8IE34MfhzhxzU/1QRp&#10;h18PPg8/rvnlJggSfkQ2/54/rCEbwi/8uObf/P5cRxO4LntSCD8Ayx65Ab5mwLJnj9wEB+r10I/k&#10;TRA0/Bj8oOG/ZMq5On0nCk0wcVu3lmmFH9f8bk1Q7DW/W/hx2SM2AOzXHzzxBzP4buGXQy4ve+S/&#10;7xd+XPPLDbDh3TnO8LPQxxN+HvwQ4cd9fjH8CAQfmwCWPTALzDtQpzfBCNYED7MmwODHEf5LhPBf&#10;PNnAthyC8gq/2ACFrvndwo9rfqoJ3MwfaM2f0F2duz5ewr+ssghifjnosAsEDfDVyUOOv4fh1xuA&#10;CD8seabsrHE0QVprfrfwG7S0hR+BZc+eTzZpvz/4qh58bAIw/4imAdpDy40moMIvNoBf+EXzY/iB&#10;vgwefavSCj+u+akmKJb5g4RfXPbITQC4hR8B63/9zWFH4EUOn/jMN/zAyKYrHQ0weGG7zIW/H8DC&#10;TjUBBH83bwIIPjYBBB+a4MHl1yYWfoRH36ow4Y+y7JHDj1BNkLXwi2t+qhHWvj2ZDL/bBS8Ef/uH&#10;K6zg+4Qf1vty+IGHlvVMdc3vd3uDbxOw4M9j1wNzWRNA8Ic33aI9uOzaxMLfZxJwjrMJxOAXM/y4&#10;5nc0AQtVUuHXg19g+MVlz+fH3iObYezaas/wB13zi+H/5Ot3yAbIcvgBWPZQTVAtNAHY32wCFvRH&#10;eRNg8OMOP9CbaoLxm6v+kkb4cckjhh9JO/wYfDn88rLH3gRHDVhAgQeWtC84/OPW30wGH1j42ovB&#10;wh/De3tswQ8Rftznp5oAgo9NAPaHJmjcX6dbH5rgAd4EfuGnLnj9wg/0nFDpvIEOSg6/3gAxhF9s&#10;ALetTjH8SDEveIOYXw6/vOyRb2yTwQB/feqQ9sHRA1rj3nHagv3PaodOfGwLuBd3L+qQuTW/W/gR&#10;qgkg+Ls/2ag3AQR/Lm8CCH4Na4L7l14bu/mRXhOJWQAr7vBj8L3Cj2t+qgkQcVsyi+Gnlj1U+Atl&#10;5KorM3nBS4WfCrydIzqw7NnFmuBNqQkg9MNW9WdNcE0i4Ud45J318saq48UOP675/cJPkcXwey17&#10;pu0eQYYceefQq5n4hjds+OmwyxjhRyD42ARg/0bWAHP21ZpNcB80QQLh78momtjc/fFKqGKHH9f8&#10;YcIv8uyGK+zBz2D4vS54k/+GN7739sjhv3/plSzQVOBF7OFHIPjYBBD8Rt4EYP5hK40mMIIfX/h7&#10;Tjxbh0fdveIKPwbfL/y43g8bfpEnmqpChR+Dn8nws9AHCn/KF7y3zuvCwkyFHqHDj0DwsQkg+I28&#10;CSD4Q3kTxB3+HhMMeNS9K2j4xQbwMr/VAM7w4wUvFe4wZMH8egOECH8xlz1mAwjhD2t+8YKXDj5A&#10;h17G1gQs+HNYE8zmTfDIypu1e5dWxx7+wA0A9dyGrt8mteyRw49bnVSwo2LfugwLu6gNuNuTFLaH&#10;UaLCAuoHHeqg0GGn+IoB9t/18UbtjS9e1YOPTQDmf3jFzdo9S4wmiCv83Rnd6psHfw0jVLHCj1Ah&#10;LhQ61EFhAVfhDwEddAoIPwLB38mbAIIPTTBrb60efGiCIawJ4go/wqMdruJc87uFH7c6qTCHhQ51&#10;UFjAVfhDQAedQgw/Ahe82AQQ/Nn7jCaA0GMTxBX+qoYCGwDq6bVdP0w6/F77/GF3e9QFb/QLXvFL&#10;rmoOfLuL6De1STe2wU4PAmt9hNrnF3d73JrgIWiCxdAE0cNf1VDJlkFnFf4jHVBRL3jVL7Pk64JX&#10;DH/cT3Jh+CH0CC55oAlmsiaA4EMT3M2aIFr4eQMweJSjVbHML4d/03tTtY0EG5B3LdabTDFZh7xj&#10;sVZijcjbk3VWEzSJvGWwysYknZUiv5+krSBYLvPmRG0ZwVKZNyZqSxzAi2wlXoe3uTlZKPPaBP2J&#10;Lor5MgcatHkE8E2vg/3w7a+TOS7M3gdAE4zXQ/8gb4Ko4Y+tAbCytOwpjy+5aPNTy55imT/MssfP&#10;/IDbmv+B5TdrgxcZTVBo+GNvACy15i9G+JP7hrfYa/6w4S/M/JWO8Hdl8MgmUyr8UvhZ6NUFb3bC&#10;37U+4QbAimvN7xd+dcGbjPmLecEbf/iNBqDCX7QGwMpz+MOav5jhT3LZU8rhL3oDYKkL3tIIPwY/&#10;m+F3X/YgXdJqAKzHVnU4ri54g4SfB7+I4cfgxxH+LK35xfB3rmt+kkcx/bI1QMDw52HNbzSAWvMX&#10;L/xGA4jh1xtACn/q9ncrdcGrwh9n+CnzGzTPZgNgDV/V4ba0wq8ueEs//B1qm93Go5b9ynL4Mfil&#10;Hn4MfjbDH2zNj+HvnHX7u5ZWcVpmw89CH0/4efADhF8Pfgzhx+DHEf6sXvBK4T/NCFSO66El7T+N&#10;M/x6A4QIfzGXPWYDCOEvlvnFBvALf/HNbzSAGH69ATzC36m22Wc8QqVTxTa/Cn82w+9n/s51eV36&#10;hKhSCj+17FHhV+EPXHGHH4Nf6uHH4AcJfx7W/GUZfrnuXdj6s9jCz0IfKPzqrs70wz+++R95BFRh&#10;6Q0QIvzFXPaYDSCEv1jmFxvAL/xGA2T7ghd2DfkpVyWWCn/+wx9gq1OVWxW07Ek4/NSyR4U/fPj5&#10;KVblVemFXz3GGC78wdf8/NSq8qvQ4WehDxR+dcGbSvj5aVUVpG6f0+qXfuEPs+bnf2zFgHmtf1Br&#10;/jjDbzSAW/i71Df7ng+9qsClVZwWR/hraip+xP9Ez1Jr/vjDz4dWVdi6e0Hb3YWu+W+b2/qv/I+J&#10;XCzsu9MOPwY/D+FnF7V7+NCpKqRwyRM2/PxfL1rdMOOC99Wan1m+rtkHfEhURakhi9r8JchW5x3z&#10;W//A/5XM1jUzW3xXiuGvqm/+HT9EVVHr7kUXXm3e4kB8yTVk3vn/mf+jJVc9G1r+ffWUFse9wi82&#10;gF/4jQaIJ/xVE5ud6PLsb37OP6qqQgqWMfctbP3vDyxo9T9uf/Y3/xv/y6pirL4Nzf7zxRPPbtl3&#10;4tk9Lp5ceeXFU865rveEyivh/+/F/no39vf5P6pKlSpVqkqqnt3R5ecTX+n67xNe6dlh0rbuvSdu&#10;7XX55K09qidu79F3wpaqDuPZ34N/hv/jqlTloybs7fLLKdt71E/b3ltDpnKmbO+lTXnFYLLApG0W&#10;E7f1NJmw1aBBoH5rD61+i0Ed4+XNVfUTNnf5pfFfV6WqiDVtR8+qGTv6aDN29NamCxQr/EjtZoPx&#10;m7tbbOpWZXxKVapiquk7er4/c2cfbaYeeiR74X8Z2NRdgx9fR17Y1O194yhUqQpYtXu6/+MsFnhA&#10;Dz4nTPinuoUfiC38VgNg+MUGeBHYWKWDP8I+bkObf+SHqUqVVbN29r51Ng99YuFP2Px+4ccfYTd/&#10;iH19l4H88FWVY9Xuqfzp7F19tdm7+miu4TeDX2Lhxx9h579FXbOk8qd8WFSVes3a1ftLI/gq/M4f&#10;Yu/6JR8mVaVUGza0+fEcFnggifCndcEbV/j136Feb/8d6v61lacbo6cqtzVrd6+2GHwV/uDhF3+L&#10;euyazm2N0VSVm5qzq2fPxt1W8OXwi8HPY/gx+EmHX/wd6jGrO/c0RldVZmvmzh7/CsFX4cfwd4sl&#10;/OJvUY9ed9G/GqOtKjMFa3wMvgp/cuE3f4eaoa4RMlJzheAHDb8ZfCCX4TeCH1f49eCHCL/4W9TG&#10;WVBV9Jq7s8/7QcNfdl9yuYTfaAB/85sN4BN+/XeoGaNWdlKPWBazIPgq/NkIv/Vb1J3UbJB0Met/&#10;H0v4zeCr8McVfv13qBkjV3ZU7xJKoubuvlgPvgp/dsMv/hA7O2XqjdFxFAv0vrTCX+pfcoW94A0a&#10;fv1H2BnDV7TbZ5xFVQWVEfxw4ReDn8fwY/DzHn78EXbAOJuqAlftnu4/VeEvjfDrP8LOUHecBqz5&#10;r/aeocLvF/5kv+SKO/zwA+zAsOXtZxlnWRVZ8/Zg8AsPvxl8IJfhN4JfauF/dEUHrYZjnG1VtoLw&#10;zysg/Inv8wOxhd9qgLgveI0G8A+/2QAphX/YcgN+2lVBZTb8CZu/XMM/lMNPf3lX7OE3g6/Cn+Xw&#10;A48sa1++TQA/gFHoml+FvzTCDzwMTRDwx1BKpua80uInKvwq/BB+ZPCcFj/h8Sjtmrq/48/SDr/6&#10;hjdb4X9oqcGQpjN+ZqSkRKt2T+XphYZfDH4ew4/BV+Gnw//g0nY6lzb+9m+NtJRgqfAHCX/+9/kD&#10;hZ8HXwz/A0sMjLSUWKnwq/AHCT9wf6k1QRzhN4MP5DL8RvBV+P3DD9y3+KLSaAIIf+l/w+sMv9gA&#10;arfHwhF+oQHE8CM8RvmszIY/YfOr8McTfvxBRh6nfFXjnr4nCln2qH3+Mgk/D75f+OGXSO9e0PYE&#10;j1U+avbuHheo8KvwxxF+46d4L9LuWHBBKx6v7Fea4S+XL7nKKfz4W9RGujJe5Rh+DH6xwq8Hv8zC&#10;f/dCAyNlGa1Cwi8GX4Vfhd8r/IM5RtoyVnN39e6qwu8VfrXPH0f4gTvmte5mpC5DVd7hN4Kvwp98&#10;+O9a0EbHSF1GKkr4zeADKvxG8Msg/Bj8QsJ/J8dIX8rFQj06TPjVl1xiA/ib32yALIef4Qi/0ABx&#10;mh/Dfwfj9vkXjuExTK9U+FX40wj/HfMNeAzTqVjCbwZfhb8kws+DX4zw367TOp0mgGd6VfhV+NMO&#10;/23QAGk8U1zs8Kd1wRtX+NU+fzLhv22egZHKItXcXX32BAm/GPw8hh+Dr8Kf7fAPYgycd+EeI51F&#10;KBV+Ofxlss+f0fAbDVCkWUCFv0zDz4Of1fAPnHuhjpHSBCtM+M3gA7kMvxF8Ff58hP/WpBvAL/yJ&#10;7/MDsYXfaoC4L3iNBvAPv9kAWQ4/wxF+oQGyFH5gQJJNkGr4Eza/Cn9phH9AY0INUFD4zeCr8Kvw&#10;Fyf8wC1JNIEKf5mHnwc/D+G/pbFVvA0wa2evkyr87uEPesGrwl+c8Pdn3DTr/JM8vtEryfCrb3hV&#10;+KOG3wi+Ff7+c1ppNzOM9Eas2Tt7j5XDLwY/j+HH4Kvwl274dWaf/5SR4ghV3uFX+/y5DT/jJoaR&#10;4gilwq/Cn9fw3zQ7YgO4hd8MPpDL8BvBjyv8evBV+DMX/htnX6BjpLmAwvAn/iUXkGD4xQaIsuY3&#10;GsDf/GYDZDn8DEf4hQbIavitBvAO/008/AU3ADN7u6KEnwf/1J+/0r6NzJeh+SYO/uTNySJwomCO&#10;WnznzvEYKWb4b2BcO/3ci3isg5dn+M3gxxN+gA50GOiAe0GGOSwsRF5QYY0bOthBYOH2CT5AhTgK&#10;xQz/DbMMeKyDV7G/5KJDHRQ64F6QYQ4LC5EXVFjjhg52EFi4Uwg/gOF/9/C+ooT/+rANMHt7zyvi&#10;CH+YC1462EGgA+4FGeawsBB5QYU1buhgB4GFO6XwA2h+bICkw3/9rJbadTPOu8JId4AqdvgLbwAj&#10;0EdPfqi+5Ap7wcsvdgu54D36zedksIOCyx5oAK/wG8H3Dz8G3y38/ThGugNUscMPOz10wL2wjP7R&#10;ke0q/EUKP+z0fHT0dTLYQcFlj94APPzL3pyYaPj7zQzZAMUMf/gGsMIPTNp2Vcjwqy+5Cg0/MHpt&#10;PzLYQTjGwGXPu4f3muaHBkgy/NcZDXCaHnCvMoNfxPDD/j4ddAp7+AF7+I3gq/AnE37c46fC7QeE&#10;H8BlDzQALnv0Bkgw/MC1RhN4l9gAYcIf9UsuOuwU7g1QTl9yiQ3gCD/DEX6hAaKGv5AGwPDrDcAC&#10;D7zDGwDMLzbAUxtuN8MvNkCwC94LXMMfqgFiCX8A8wdvAGfwgdrNfcou/J7mL0L44dvdB5dUkUGn&#10;EMOPDQDBhwbAZQ80AJp/HDSAEPy4wn/tDJ8GmLGh+z+GXfbEEX64vYEOPUKHH1DhL3748fYGKuwy&#10;cvgBXPboDcBCDyzVG8BY9kADxB/+87VrGH2mnvErHndnpRV+uK+HDj5ABx9Q4fcJPw9+EuHHe3uo&#10;0CNU+AFc9mADgPmhAXDZIzZAsPDz4PuEH+Fxd1Za4XdvADr4QJ7Cv3D/4+QXWRRHTn6cm/DjjW1h&#10;wg/gsgcaAJc9egPw0GMDJBH+av8G8A9/lN0eKvxwN2cxw1+s3R4q4EHAb2x3/mFJ5sOPN7YFDT+A&#10;1jcawFj2LH1joml9aIC4ww/B15nu2QDphN/ZAHTwa7f0zUX4qVAHxX7LgsHKN1/OdPjx3p77l/Qg&#10;Ay9jWN9oAFz2LBEaYCw0AAs/Bj/O8F/t1gAztvdulVb47Q1ghP3Edwe1L469qc3ePVAPPeIf/vT2&#10;+de9U0+GOihU+EWyHH68vQG/5Hp8zY3aB0df145+84VLA7QyGoCHHhsAzD92/e2JhR+4bPI5rY3U&#10;C5Vm+OFBFtn8eXuMkQq0zOfH3nW94B2+orP21bdfkMEXGba8c+6e5HI2gLHseefQXtP60AC47Hly&#10;/W2JhR+4anoL5yyQZviNBrDCrzeAI/xG8PMW/hPfHSlot4cKP1KzvCo34YcLXrkBcNnzttwAfNmD&#10;DZBU+F0bgAp/1G94g4QfXlTr1QBZ3u2hQo9E3eoctrwT2QCAGX6hAbIYfrjgdTQADz02AJjfaADD&#10;+tAAzvD7f8mF4TcbwCX8V04jGiBU+GM0Pz6/KzdAHsL/NVuyUMH//Ng7se7zOxvgqE5enuGVGwCt&#10;Dw2Ay54lb0wwlz1joAFChd8KfpDwezZAGuF3a4Ash/936y4mw7/owJhA4X/z8606fuFH5PDjAy1Z&#10;Dz9c8Ho2AN/qXMwbAMw/Zp3RAEmF39EAlzZW/E2a4YcLXrkBshx+t63Oze9PD2z+b/50XCdI+PGC&#10;Vww+sun9uZkOP1zwUg0A5jcawLA+NAAue6ABjPDz4Mcc/iugAS6t+Bsef2b/Hd07YfiLccErhx/W&#10;+44GKDD8QS94o4T/nUPbyQYIs+zBBggaflzzi+FHshx+uOCVGwCXPdAAuOzRG4CF3mqA4OHXgx8i&#10;/MBlU87pbKSfFQv91jTD79YASYVfD36B4Xf7hjdo+L/85qAZfpEg4TfW+2wmYCES+eDI/syE3wi+&#10;FX644HU0AN/twQYA8y9+3WgAMP+YdYMSDf8VU1tol0w5Z6uRflZphh8vduUGyGr4Fx0Y7Qj/rD2P&#10;BAh/RzL4ImPWXOkTfgO5AYCshh+WO7YGOHXUtD40AC57oAFw2TMaGyCh8F8+9TwdI/2s0g6/WwPY&#10;w5+NJ7nk8AP+4beWPH4E/ZJLDD/cf3P/kg6ZDL+tAVj4HQ3AQg8s0hvAsL7eAAmH394AKYcfLnjl&#10;Bshi+OGWZjn8h0985Bv+5zde7wg6rvlPfnfM9tePn/rKN/yw3BHDj2Qx/GYD8PBjA4D5sQHA/NAA&#10;EH69AdYOSjz8l8kNkF74jYtdMfzw3p1Cw68HP6Hwj1rl/OLLL/yU/Z/fdLNtzS//fb/wA69+stoW&#10;fiCL4YcLXjH8AC57oAFw2WM2AAv7E7wBkgy/rQGKGX6xAcStTjH82ABpb3Xaw99Je//wbrIBvMIP&#10;25xff3vYFvDN7y6wXfC+f+iA9p6AHn6hAeTwA7DedzZAccNvNYB7+OGC19EALPTAW7wBIPh6A7Cw&#10;Q/ChAazwh/uGN2j4L51CNEBa4Yf1vhh+IGvhB+TwA37hB0au7G5rAGDoss7uF7wBwu/WAFkLP+zz&#10;Uw0AwYcGgPBjA+Cy53FsACH4cYff0QBphh8Qw280QLbCD9ucbg3gFX7c45cbABm+omegNb8cfljv&#10;yw2QxfDDel9uAFz2mA3Awr6QNwAEX2+AhMNva4C0ww8XvHIDZC38bg0QJPx4wUs1ABI2/G4NkLXw&#10;0w1gWF9vABZ4CD40AC57oAGSDv8lU851NkBa4Yf1PtkAtuAHC78e/ATCD2t99wbwDz+u+cdvuZNs&#10;AGDVm5MDhx8ueOUGyGL44YJXbgAIPzYALnvMBmBhxwbQg59Q+B0NkET4Mfh+4ScbIGPhd2+A4OGX&#10;1/xUEwQNP6z33RogifAbwfcPPwYfww/rfTH8X2MDsLBjA0Dw9QZgYYfgQwMkHX5bA6QdfrjglRsg&#10;a+F3a4BCw49r/i++/sjWACe/+zpQ+N0aIGvhFxsAwq83AAs8BB8aAJc9C19rMJc8j2EDJBj+iycT&#10;DZBO+I19fqoBshR+uNjd+N50W/jh9uQg4RcDDsgXvPLfDxJ+WO/LDZDF8MMFrxh+AJc9ZgOwsC/g&#10;DQDB1xsg4fA7GiCZ8BvB9ws/rPflBsha+HG3Rww/EMT8csDlC1757wcJ/7FTR8gGyFr44YJXDD82&#10;AARfbwAWeAg+NAAuex5bMyjx8NsaoLDwWw0Q9oLXCL99n9/ZAP7hNxugSOHHBrAeTvlSD55X+KkG&#10;ANzCf+jEZ77hp+y/++OmWMNvNYAVfrEB3C547eE3vuSSGwCXPW8d3Gsue8wGYIEfJTRAUuHvKzdA&#10;uPA7zR8l/HDB62iADIYfLnjF8CNe4fe64KUIEv4HlzpfTJt0+CnzBwm/awOwsP/+4Kv2BuChxwZI&#10;Mvy2Bkg7/LDelxsgi+HHC165ASCAXuHHNT8VeJEg4YcLXTn8QFbDDxe8jgbgoccGAPNDA6D1oQGS&#10;Dn/fSUQDpBV+rwbIWvhhvS83AOAXfnHN/8Yft5uhP3T8U/bPdQkcfljqyOGvWXFphsLPg8/DD+t9&#10;uQHQ+tAAuOyZLzTAyDUDEw9/n0nnWA1Qv6nHljTD79YAWQw/8NiqnmQTBAk/7vNjAwS54MXwu9k/&#10;y+F3awAIvt4APPTYABB8aICkw99rwtnWE2EvbarqnFb4cbdHbgA5/HrwMxB+XO9TDQAECT+EHhsg&#10;avjvXNA2cviN4CcTfljvyw0A4ccGQOtDA+CyZ+RqqwGSCL/eABObW88E19RU/ChM+DH4cYUfLngd&#10;DZDh8OMFL9UAgF/4kajhP/LNZ0ULPwY/bPhdG4CFnmoACD02QJzh7yOEvzfD9lYIqGTCH/xhFlsD&#10;sBBlPfxAzYquRAMc1Ykr/CNWXU6GH8hD+OGC19EAPPTYABB8aAC0PjRAkuHXG0CuNMNvawAWIqMB&#10;sh1+XO9P3fmwI/z4uOIXxz+IFH4q9Ehewg/rfbkB0PrQALjsmXfAaoAR2AAJhd+1AYKH3wh+XOE3&#10;G4CHH8hD+PEB9ik7H3KEX+T4qSOBwz9kofMuT5k8hT9IA0DosQEg+HoDhAm/EPwg4e81kWgAr/CL&#10;DRB1t4cKP1zwiuE3GyDL4WeIF7wPL+vo2gAIBvjIyc+01W9N1qbuHq7t/niV9uU3X9gC7kXU8FsN&#10;4B3+MPv8zvDbH2OkGgCCDw2A1ocGwGXPiKaBwcPvYn7xglcOv2sDpBV+uOCVGwA5ePy9zIdfv+Dl&#10;F71U8AEqzGGYtXdcTsJvhP4PX77rCD6Cy543qQZg5h/edGui4Scb4IUN3VulFX644KXCD+DNZ8Db&#10;B7dkM/ws+OIF7+OrL4s1/Fn9hlcO//7PtpGBt3PEXPZgA0Dw9Qbgyx5sgKTC37OhmfMXYqDSCj9c&#10;8PqFXyTL4RcveIcuD/5j0jIffvlGxm5v4MF3CT8ddpkjOmh9aABc9kADoPWhARILP4PH3Vlxh9/t&#10;glcOP9UAVPBFRq/ulunwUxe8bx3cSYYdmbZrZOy3NCcd/pvmXCSF3A0j/GQDMPPPPVBvNsCjvAGS&#10;CL93AwjBL1b4cbcnTPiRPIXf60suIKsPs8RpfrEBIPh6A/BlDzYABB8aIEz4vXZ75PD3nHi2ewOk&#10;FX7Y7QkbfkSFP1/hB3DZAw2A1ocGwGWP2ADxhf9snR5eDVC7oc0/Bgt/+H1+r/DDNmch4Qdm7X44&#10;ufDz4KvwO8M/cecYFmYq8CLO8AO47KEaAEKPDZBE+Du+9Otf8bjTldavMVLhDooKf3HDT93e4IQO&#10;P4DLHmwACD40AFofGiD28E8w4DF3rzjDrwc/QPhhj58KdlDSDj8Gv1zCT325ZYcOPoLWhwbAZU/j&#10;fqsBapoGGOEXgh9H+AM3AB1+9zW/0QD+5jcbQAp/1AaY8Mrt8YWf4Qi/0ABZNb/VAN7hj+Mb3mc3&#10;PcSCTAUfoEMvIjcAhB4bAIKPDUCFP8xuDy57QjUAVLHDD9/wUsEOCry1WYU/6fBbtzZ8ePQtFuTC&#10;wg/gsgcaAK0PDYBLHmiAuMPf3Qj/aUbCfarY4Ydvd6lgR8V+m3IYjhp85w21lx8n5i+rRIWF0w86&#10;0GGgw06By543vqAbYNgqqwHiCj9vgGBV7PAn0QB0sIPAwq3CHxI66BRfMXDZgw0AoccGgNBjA8QZ&#10;/lAN8Ny6zlfGvc/vFX64tYEKcaHQwQ4CC7cKf0jooFNA+AG0PjQAWh8aAK0PDRB3+LvVnXUlj3ew&#10;Kmb442wAOthBYOFW4Q8JHXQKDL9bA8wRGmAob4BC9vmp8FcxeKyDVzHDDze2UWEOCx3sILBwq/CH&#10;hA46hRh+bAAIPTYAhB4bAIIPDRBn+KsaCmiApzd27Fqs8Kf1JJdtt4fv9GR5t6eY+/xANcKf4ELw&#10;fn68qQ3v7cFveHGbE3d7cM2PoPWhAdD60AC47Bm6EhogRPhZyL3C33XCWV15rMOVCr8Kf1Lhhy+5&#10;qAYA82MDxBH+qobK8PbHshrAP/xmA0QI/x++PECw3+QjL44afBiQD7w4ss/k/QC858dhg3d92avz&#10;jh+HDOBnRoMAb2H25eBe/RHFIMD+fVAg5F7gskdvAL7sgQbwDr/RAOKyx9EAPPyRGgCqWOFP5a5O&#10;wf5ZNX+xv+Qy7Z+U+RlofQy/3gD76s1lzyNCAwQJvxj8WMMPpcKvwp90+MH8s/fVmcsebICo4e8W&#10;RwOMW9N5XBrh3/TeVJ2NBBuQdw3W25iis07kHYO1BGuQtyebrJZoEnnLYJWNSTorRX5vsIJgucib&#10;E3WWESwVeWOitoRkgrZY5HUD+N1dGfgdLhuvNehvZZaBl1TJwCOLFHAXpwzs6VPAMscBMz+EH0Dr&#10;QwPEEf4u9Wc9xWMcrUrK/Nz6pW9+bv0A5tetn5L5cdmD4QceXmE1QJDwixe8GP5Y7I/FQn5SDL8e&#10;fBX+RMIfdLcn7+H32ufHBogS/q71zU/y+MZTaYZ/8o4h2iTORIIJ2+/WaRCofwUZrFO3zaKWM57g&#10;5a0GL+ncpfPiFicvbL5T53nOcw7u0J4FNhk8w3ka2Gjnd8CGO7SnTG7XxhGMBdbfrj25/jaTMcA6&#10;kUHaaGTtIO0JDvz0qAz8GJ3OmkH6j1Ig8HpyndUW8LY2naaB+lsbEHh4RQbu5kTgtgYEvuDSYUsc&#10;BJY7CAQfweAXEv5Y7Y+VG/Nz65eq+dH6pWh++7Kn8PB3rU+gAaBU+FX4ixp+FvLMhB9KhV+F3zf8&#10;QvDTCH+iDQCVyfAzHOEXGiCr4bcawDv80fb57S+qTTT8LuaPckuzowHSDD+UCn+ewm8FP4/hF4Mf&#10;JPxFaQCoTIefB1+FX4U/sRq9utMeFf40w8+Dr8Jv0qm22V4ez+KUCn/2w68HP8fhD3LBC3Rh8FgW&#10;r+CXJVX4g4ffCL5/+DH4eQ1/sfb5beFnWeSxLG6p8Kvwpx3+VOwvVtHCz4Ovwl8i4Wchz334oR5b&#10;2XG0Cr8Kfxrh71x35lgew3QravjFBnCEn+EIv9AAWQ2/1QBW+MUGCHbBq77kcgt/l/rm6dtfrETM&#10;X0Lhp8xfzuEXg5/78EPVrLiomwp/scJvBb8cw9++7ozuPHbZqkTDz4Nf+uHnwVfhJ8OfSfuLpcKv&#10;wh8k/GEveHMRfqxyC78R/OKFXw++Cn92a+jSdheq8NvDj8HPa/jT+pILw9/5pX+/kMcrHzVsRfsT&#10;Kvwq/HGEv1Nts3gfcC9WBQo/D74Kf4mEn4U8VvPX5WjpQ5UKfw7CLwRfhT+BIsPPcIRfaICsht9q&#10;AO/wl/OXXI4GKOfwY6nwBw2/Ffw8hl8Mvgq/VCr8KvxlG36o/rWVpzvCz4Nf+uHnwVfh9wz/b2t+&#10;+7c8LqVZQ6ae8TMVfvfw68HPcfijXPC2eeG3f8djUtp1yZwWP8lD+I3g+4cfg5/X8Aff7Uku/JW1&#10;//xTHo8yqZqKH6nw5yn8CX3Da6z503mmNwulwl/24Velwp+D8LOQq/AnWCr8CYRfCL4Kf8br3sVt&#10;nkoz/FYDeIdffcMrNIAKf3xV+uG3gp/H8IvBLzT8HWrPms1Ptyqxbp3R6v/Id/h58FX4XcNfftuc&#10;IUqFv7TDz0+zKqoGL7zw0XIIvx78HIe/oAveumb7+WlW5VZphN8Ivn/4Mfh5DX+a+/zs1J5mnGFV&#10;rqXCX3rh71x/5vf89KryqnuWXNhJhT8j4WchjyP8/NSqClIq/KUT/o51zT/ip1VVkCp2+K0GsMIv&#10;NkCwC171JRcVfn5KVQWtOMN/y+yW3eDPhAdtwoSfMr/6kitc+CvZmOsnVFXwiiv8g+ZeuJH/kba6&#10;ce55Z6jwJxv+ji+d8W98uFWFqXjC3+o9/sd51s1zWvaMJ/w8+Cr8WqfaM3vz4VUVtqKGf2DjhQv5&#10;HxWqbp7d8qJihF8Pfo7D73XByy5w2/HhVFVIRQn/bfMuvJz/MZGqTU3Fj1X4w4VfrfEj1h2LW51R&#10;aPj5H5FIXT/zgi8x+HkNf1JfcnWpb/4VHyZVUaqQb3jZGv9x/q8XpbrX/vNPVfiN8Ks7NWOqu+a2&#10;vjBM+Fno3+b/aqrVb0aLW0oy/CzkbuHvWlt5Gz98VVHr0saKvwl6S/Od81s38H8tk3Vd42//z1TD&#10;LwQ/7vC3mvCbX/LDVBVHDVpwzn8K8iRXzYY2P+b/Su6Khf5DDL/ZAEmF38X8hV7wdq1r9gE/DFVx&#10;1pCFbb51e4B98ILW0/k/VpJ1xbTzq7Ia/qqGZj35x1QVZ92zsO3FjleXLGi7d8iiVr/l/0hZ1yUT&#10;zvrlFVPOqS1W+Kvqz27owv6b/D+vKo4aPKfFT+5ZcNF/Y6E+78HF7f6J/2VVMVaXaef+/OL6Zmf0&#10;mVjZse/Esy/vO+nsay6ecs51faaee2nvhnM7XTy52Rkdait/wf9xVapUqVKlSpUqVapUqSrnqtEq&#10;fjT1lR6/mbajd6fJr/QcMXVbzy1TtvX8Yer23trU7b20KcArTia7MGmbk4nbepJMALbaaRCo39z9&#10;h/qtPbbUbe0+om5TVef6DZ1+A5+Xf3RVqlSpUiXWtB1dfj5je/dW03b03DJ9R29NZhoTO4UhfBEm&#10;+hTlL8ImAa1+i506F2qBzRYvb+q25YUNXVo9y8aFD5EqVapU5bMmbO7yyxk7ezbN3NFHm+Ggtw4l&#10;foASP1Cq8gfGb+7u4GVkk8VLjBfXV61+lo0vH2pVqlSpSqdmbO89Y+bOPhqJkr+DqPKneHFTlfbi&#10;RjsvbKiawU+RKlWqVEWr2dt7XjFjR69Ts5jYZUj5M5KUvz4BMKlHkf8kSfpxyd9tAggqf0CWv9sE&#10;8KKOJH+C55ENVdpz67qeen5t1RX81KpSpUqVVTN39ugyc1efE7N39dF0mMwp8QOU+AEl/2zKH3nO&#10;pJvJs4xn1nU58fTajl15FFSpUlXqNWd3r1mzd/VlshcpUP4O8Sv550X+JusNnpH43brO6hcOVanK&#10;e83Z1XvcHCZ5pJzkT4kfSFv+1J5/luSPPK3TVXt6nQWbGMbxaKlSpSprNW9X31/P2tn7pCh9Wv5c&#10;/BmUf7l94Zs1+Rvip+Tv5CnG2DVdTj65rst/4xFUpUpVMWvWjt69Gnf31Rq56Cnc5E9JH1HyT17+&#10;lPiBvMhfZ63BOBtdtCfXtO/FI6pKlao4a86u7m106SNc9BRK/uUmf0v8UeVPiR/wkz8wVmSNwRMr&#10;27flEValSlWYmrqt469s0lfyV/LPkfyfJBjDqJl//q94xFWpUiVX4+5eu0jxMyjpI2HlT4ofUPJ3&#10;kIz8mfDLTP4mqzvrjGY8vrLTbh59VarKs2pqKn40d2fvH+YS0jfhoqewy1+YAJjQKfkDpPwZScpf&#10;nwCY1APLH3BMAMnI320CoOXvMQEwuftNAMXY8/eeACz5u00AsvztE4Ahf9sEwMQeSP5rLPnLPAE0&#10;dfyhgvUDbw1Vqkq35u7u3Qmkj5DiB5jUKfEDJSt/h/iBLMjfKX5AyT8G+SNNBo9zRq3s0Jm3jCpV&#10;+a/Zu3qPnrv7YlP8qcvfIX4l/7zKnxI/UKj8LfFHlD8TeyHyN+ik8xiysuNo3kqqVOWnGnf0rTHE&#10;r+RPiR+g5E+JH0hb/tSev5J/wvIHVhmM4oxc2f5R3mKqVGWv5u3u1Y0Sfzzy5+JX8ifFD5Sr/A3x&#10;l7b8RUZyRqzo0I23nipV6dWkDb3+wRJ/eclfPeFbWvI3xZ9B+aP4TVZ21EYI1Gxo8w+8JVWpKk4x&#10;wX9ULPlT0keU/JOXPyV+QMk/ffkjwzmPLm//EW9RVarir9l7erSYZxO/kr+SfyHyt8QfVf6U+IFy&#10;k7/JCjYRcIYuaX8+b11VqqLV3N19jiv5O6HEDyj5K/mnKX+LDloNY+iydsd5K6tSFbxqNrT58bw9&#10;F2uFyp+SPhJW/qT4ASV/B8nI3y7+rMnfFD+g5G/KX2TYcgPoa97iqlTR1bi7zzyUv9cEQIlfh4ue&#10;wi5/YQJgQqfkD5DyZyQpf30CYFIPLH/AMQEkI3+3CSCo/AFZ/m4TQDH2/L0nAEv+vhMAl799AjDk&#10;b5sAmNgDyb/Ah7zCyt8xATCxxyn/Gi5/kaGMR5a1XcBbXpUqo/QtHyX/cPJ3iB9Q8s+1/JnYS1n+&#10;Mg8tuUhtFZV7Ne66+K/0tk+G5O8Qv5J/XuVPiR8oVP6W+JX8w8j/kWXt7Sxp/1euBFXlULV7Kk/X&#10;xa/kH1n+lPiBtOVP7fkr+Sv5O+TPeFiif23l6VwVqkqtpu7v+DN3+Vvij0f+XPwZlL96yCtd+Rvi&#10;j0/+pviV/CPJH3hoqcWQpo4/4+pQlfea80qLn6Qhf0r6iJJ/8vKnxA8o+Scvf5v4ASb2vMgfeXBp&#10;Ox12ZfBTrhJVeStNqzhNyZ+JXslfR8lfyT+M/JEHlhhUMJ9wtajKQ7l/4avkT4kfUPJ3k78l/qjy&#10;p8QPKPl7y18WfyT5E+L3kr/I/YvaqS+Qs17z9vQ+lhX5k+IHlPwdJCN/JnwlfyV/hBB/YPlL3LOk&#10;zTGuHFVZqTm7+85H+XtNAKT4AS56Crv8hQmACZ2SP0DKn5Gk/PUJgEk9sPwBxwSQjPzdJgBa/h4T&#10;AJO73wRQjG0f7wnAkr/bBCDL3z4BGPK3TQBM7IHkX8IPeVETQCD5MwLJn5gAZPkD9y2+yOTexW3U&#10;Q2dpV+2eCuN2TyX/4PJ3iB/Igvyd4geU/Mtb/rL4syB/axIw+G1jxd9yJakqZmVe/g7xK/nnVf6U&#10;+IHU5c/EruSfnvxF7ll0kcbVpCrpYnJf4BS/kj8lfiBP8qf2/EtJ/pb4lfxTkz8Te1zyvwdg8hcZ&#10;Mr/tQq4qVXGXfr+/h/iV/O1Q8qfEDyj5K/kr+UeUv05bk8FzWvyEq0tVHNW4q/e7ycqfiz+D8ldP&#10;+KYrf0P88cnfFH8G5W8TP8DEruQfTv7A3cBCNhEsaPMuV5iqQmvaji4/L5b8KekjSv7Jy58SP6Dk&#10;r+SfN/mLDGb0b6z8BVeaqjA1Z1fv3Ur+FpT4ASV/N/lb4o8qf0r8gJK/kr+X/EXumtd6D1ebqgB1&#10;mpK/BSV+QMlfyT+r8pfFH0n+hPjzJH99AgAWtNEBvxmaU0UWk3lNGPlT0kfCyp8UP6Dk7yAZ+dvF&#10;r+Sv5F9K8gfu5Nw2v81wrjxVYjXu7PO9PAFQ4tfhoqewy1+YAJjQKfkDpPwZScpfnwCY1APLH3BM&#10;AMnI320CoOXvMQEwuftNAMXY8/eeACz5u00AsvztE4Ahf9sEwMQeSP7qIS+n/BmB5E9MAIXKX58A&#10;EpS/OAEgd8xv/T1XnyooJX9a/IBT/EAW5O8UP6Dkr+Sv5O8hf2S+AVdg+dbcHb07ZUb+DvEr+edV&#10;/pT4gULlb4k/ovyZ2JX805d/0ts+QeQP3M65Zf4FHbkSy6sad/Z5X8nfCSV/SvxA2vKn9vyV/JX8&#10;Y5U/E3upyv/2+a1NBs674EOuxvKoxp29f4hH/lz8GZR/lr/wLQf5G+JX8lfyz7b8b0PmwURw4Q9c&#10;kaVdSv52iil/SvyAkr+7/E3xZ1D+NvEDTOxK/sWTvyz+QuWPDOJwVZZe1dZWnk6KH+Cip3CTPyV9&#10;RMk/eflT4geU/JX8lfwLk79IZW3F6VydpVFT9/f5lZK/gZK/m/wt8UeVPyV+QMnfW/6y+CPJnxC/&#10;kr+//Acicy/Ubpx53j9xhea7Zm7vcYaSv5K/kr+Sf8nJXxB/LPKfa8gfuZVxy+xzz+QqzWfN2t2r&#10;rSh/SvpIWPmT4geU/B0kI3+7+LMmf1P8gJK/kj8Te57kLzJgzvntuFLzVXN29ewZfuUvTABM6JT8&#10;AVL+jCTlr08ATOpR5K/u83dOAJT8vScAS/6+EwCXv30CMORvmwCY2APJXz3k5ZQ/I5D8iQmgUPnr&#10;E0CC8qcmgCS3fdzkr08AnFtmtezF1ZqPmokTAJM6JX5AyV/JX5Y/JX4gdfkzsSv5K/mnIf8BjRa5&#10;mQhmba9qWxT5O8Sv5K/kL4tfyT81+TOxxyX/pLd9Mi9/kbkXtOWqzWbN2dHjv1LiB8pJ/pT4gbTl&#10;T+35K/kr+Sv550D+ja10+jOun3H2r7lys1U1G9r82F/+XPwZlL96yCtd+Rvij0/+pviV/JX8ASZ2&#10;N/HnRf46cwzabKj4MVdvdiqo/CnpI0r+ycufEj+g5J+8/G3iB5jYlfyV/J3id5f/zQJcvdkoJX8l&#10;/zjkT4kfUPJX8i8P+Rvi95M/chODKzjdmrmr95dK/uUof0v8Sv7pyF8WfyT5E+IvWfkL4s+S/E3x&#10;B5A/cv3MC77kKk6n5uzqNT2s/EnxA0r+DpKRPxO+kr+SP0KIX8k/oPx9HvJKUv43zQYu0G5k3DCr&#10;5Uyu5OJW7Z7K08kJgAmdkj9Ayp+RpPz1CYBJPbD8AccEkIz83SYAWv4eEwCTu98EUIxtH+8JwJK/&#10;2wQgy98+ARjyt00ATOyB5K8e8nLKnxFI/sQEUKj89QkgQflTE0BWtn18JwAm9kATAJc/TgBIKi+c&#10;Kzn5c+Gf+vNXNr5NnS+LwjdZ4E/ROVkCnEiFo06+K4zjGSXL8qfED/jJH7mBwdVcnJq1o8/XBcvf&#10;If5syF+eBGghFxNa1nFDyrjYMAlFhZJp3qDlnDRM3CUuf6RU5a8z6wLt+lnnf80VnWzN2tnj1lKU&#10;v0FPJkZKyMWElnXckDIuNkxCUaFkmjdoOScNE3cM4gco4WYRUf4HPtuivXt4n05W5G+KHwghf+R6&#10;Rr8Z5w3kqk6uSlH+4j4/LeZiQMs6bkgZFxsmoahQMs0btJyThom7zOSPiCt/t0kgr/K3aJnsttCM&#10;7b2/zYr8k7rbhxZ0ktCyjhtSxsWGSSgqlEzzBi3npGHiLlP5I+K2jzwJFCp/u/jTlT/Qj3HtzPO/&#10;5cqOt6bt7vzPpSx/AO72oUWdBE5RHzz+VhHv8/e/20e+ywegbvUMerePutUzA3f7LInvbp+wt3oe&#10;PP4HUs7FQlzxi5OAKP9lb05gTNSWvNFQVPlT4gfCyN9kZkvt6mn/8s9c3fFVqcsfb/GkhR0nTvkj&#10;Oz+cWgT5W+KPKn9K/ICSfxHlT4g/a/JHdn+8ipRz0hzjiJPAfnMS2Gtb+S+VJgFv+Rviz5L8ges4&#10;XN3x1IztvWeUuvyTnwRo8Yso+Ze2/GXxl4v8Aby3n5J0UqD8xUnAWPXjJLBXR1zxi5OAn/xN8cck&#10;f1P8ABd/IfJHqqeeP4MrPHqVg/zxoS5a4FGghS+z9+O5LvK3i1/JX8k/j/JH9n22gRR2nMjyR8Qn&#10;fGESeIdNAIDrJCCI/8n1g7SnNtyujVp9Q+blD1zL4QqPVtN39HxfngCSlL8+ATCpB5Y/4JgAwss/&#10;/kmAlj3FV99+TMg/6srfPgFQ8veeACz5u00AsvztE4Ahf9sEwMQeSP7qCV+n/BmB5E9MAIXKX58A&#10;YpI/gE/4fvnNF6S8o0KJX0Tc9pEnAdz2WfqGNQmIq/+x6wfqk8BInASY2N3kD8jy950AuPid8jcm&#10;gH4h5a8zA64GWnzAVV54ZVb+DvEDhcsfoYUeBlr0bhw8/raSP8LEruRfuvIXOXj8Y1LkhUAJn0Jc&#10;8YuTgLjtA5PAUjYJLDYnAWPr50k2CYzDSUCQvUxW5H/tjPO1azhc5YXVzB291yS97ZMV+eO7fWix&#10;B4GWvBdLXhtaVPmj7GUKlb8lfiX/1OTPxB6X/JN+sRsgvtdn5qujSakHhRK9F66TAJ8AQPpLbJMA&#10;3/KBSWCdNQnkRf7I1dPOXcOVHr6yLn9K/EAh8kdowXtBC96Lo998qOQPMLEnKf/Zex7RXvtsjXbo&#10;xIfk/foUR05+or32x3XarD3DlPwTkj8gvtjt8MlPScm7QQk+CCB/3PYRJwFx20ecBMRtH2oSMMUP&#10;RJZ/YXv+XvJHqhlc6eFq+rbe3ZOQf1pf+Mq4vdWTFj0FLXgvPji8LXX5G+IvHfnP3POgdvzUYVLo&#10;cQMPXYGEZr/6qJI/QdS3er59aI9D+CKU2MMgbvs4JwFj28ecBF5nkwCXPTBGmATyIP9qiStntOjB&#10;1R68ykn+4mucaeGL0IJ348tvPjLFX0ryN8VfZPkf+Gw1KegkcT59a+eNLzYr+TOxu4nfT/7yi93g&#10;rx06YX1nQAm9EHDLB7BPAta2jz4JvGFMAjgB4CQwlk0CI3AS4PKnxA9kRf7V0w2uZnC1B6tpO879&#10;ebnJ338SoCUvAq9GeOvzNTbpK/lHk/+4tb2YaI+Sck4aSvhBeLypj5I/J4z8xXf74OsdkD2frCPF&#10;HgacAED6+z/bbE4C4rYPTAJL2CSwSJgEQPqjcRJoYpOAIHuZLMofubT217/givevadt6bik3+QPw&#10;Yy5B5B/ul7yiyt8Sf1T5U+IHsij/r775IynmqJz47oi+73/wxIfaF8ffZyvOj7Svvv3c/s/ExFff&#10;fuGUPyF+JX93+SN+7/ahpC+DWz4g/X04CRxikwCXPbBYmATEbR99Elh/G5sErs+8/EXxi1wx9dyt&#10;XPH+VY7yx1/w8pI/Ekz+TPhK/qHkP3p1lU3GYYErhg+O7I3tbh/c56/dOogJ/aBD8mF4dGVV+chf&#10;EH8s8g/wM46U9GVwy0efBD5lkwCbAN5m4ARATgJ822f0ulu1J9kkMFyYBEzxA1z8WZT/VdNbmHDF&#10;e9eEzV1+WY7ytyYBWvwivvJnUs+q/E3xAxmR/5g13Ump+wFvtHxmw5WpPOF7kF1BULL3I275y+Iv&#10;N/nj3T6U9GXEbR+YBGACECcBkL5tEuCyB8RJII/y15nWQrtkwlm/5Kp3r+mv9JpAiR+g5K9PAEzq&#10;UeSfjd/wNX6zl5K+DC3/qNs+9gmAkr/3BGDJ33cC4PK3TwCG/G0TABN7IPlHeMKXkrsfjzdVZeo+&#10;/x0fLiKFT3NUx5Q/MQEEkb/rBJCg/KkJoNjbPrL88W4fSvoy4raPPAngts/i12ESmMAmgXpzAhAn&#10;gUdxEuDid8rfmAD6FSz/lqT8gWoRJnm3CYCS/5Wcy6ecW89V717lKv9CJ4G0vvAFUpc/E3uh8t/y&#10;/nRS8G5sfG9q5h/yGrq8kyR8EUP+Ins+XqXkzylU/njHDyV9GZwA5ElA3PaBu4LgamChNAk8wSaB&#10;MTAJrGKTABN9/PKnxQ9UizDJFyJ/Ea569ypX+SOU9GXyKn9L/OnJH27zpCTvxuLXxsYu/2/+dNxG&#10;VPkj4l6/q/yZjGQKlX/S2z55kD9CSV8GJwCQvm0SYJLHrR/YBhInAdz20SeBdcYkIIs/L/IHrmBw&#10;1dNV/0qn3yQpf0r8QNryF+/2oaQvo+RfmPzDTACHT/4hsZU/NQnEJX8EtnqGrzRub3WTv8gDS9or&#10;+RP4yR/v+KGkL4NbPvIkIK74xUlA3PZ5Yq08CeRP/kjfief9d658Z01+pecIWf6l8oWvn/wRSvoy&#10;xZS/If745G+Kv8jyh6d7KdlTPLG6RyLyH7vmCnZl8YxjEqjfenes8heBbZ4jJz8lxS/z4JJOqcpf&#10;Fn8e5I93+1DSlxG3ffZ9usl7EniNTQJ8AgDpP25OAv0Skb9N/ACTfNzy15naQrts8tkjuPKdNXVb&#10;zx/KVf64x09JX0bJP5z8g04AIMI45f/VN4ccwg/KsOWdI8tfZCGbfGTpUyj52+VvF79T/ni3DyV9&#10;G6fYJCDIfq80CeC2jz4JvG5MAuK2jzEJDNJq2CTQL+Pyd4gfYPK/fOp5OpdOPe8HrnxnlbP8C50E&#10;3OVviT+q/CnxA3mQf6gJgIk9DvlTUi+UqPIHcJ+//pV7HNIXwdckKPnT4qfkj/v8pPgBJn8EJwB5&#10;EhC3fWASWMQmgQXmJGBs+zy2doA2GicBJvYk5E+JH4hL/iJc+c4qZ/kjlPRllPyDyR/e6Ln27TpS&#10;+jJxyD/oBPDZ1+9ry16r0947tI/8+zJDl3WJJH+RfZ+udZU/svKtCenIXxB/luRvip+Qv+skIMhf&#10;ngRA+q+KkwCfAED6C22TAF/x4ySwlk0CK/vlWv7AZQyufGeVs/z1L3sZlPRF4P1ASv7+8sdXOlPC&#10;l3m8qXtk+QMfHXmDlDjyzhevknv+z2y4ifznRaLKX9zrP37qCCl/kVzLP8RDXlHlD8Bev5f8Edzy&#10;kScBcdtHnAT64STAxP7YmgHaE2wSGCZNAnmTP8KVb69nd5z7c0/5A44JIBn5u00AtPw9JgAmd78J&#10;QL7VkxI/APJH7PK3TwCU/L0nAEv+bhOALH/7BGDI3zYBMLEHkn/CP+O46vcvkdIX+erbP0aWP97n&#10;T8lb5LmNNzkmANzqof55kYeWdrDLn5gA/OSPwFYPJX6RZW/UxiZ/agLIyraP7wTABO83AeiTACF9&#10;GXHbByaBt9gEAFiTQEv7JMDEjts+8iTglH+yD3nJFCp/nSnnaV2m/ebnXP1WTdzY9d9J+TvED2RB&#10;/k7xA4XKH+/28ZI/ouTvLX8EVruU+EXGrO4VWf7Ikv0vkgIXkeUvIm73uK78I8ofOcauBij5iyj5&#10;0+IHUP54tw8lfRlx28c+CVjbPuIkIK74cRIYyiaBICt/oFqEST4L8r+Uc/HkZmdw9Vs1cXuPjuUs&#10;f8RL/oif/EXhixQqf0v8EeXPxF4M+QNwlw8lfZk45A/g7Z2U+Cng+4A05I/s/XQtKX4RJX8nsvzx&#10;jh9K+jLWit8+CfTDSYCJfeFrDWwimKDNlyaBUWwSeBwngRzLH+k7pXlnrn6r2CTQ103+lPiBtOVP&#10;7fkXKn+Ekr6Mkr+3/BFK+jJxyV9k5u6RpPi9OPbtUTZGVzvlz8Qel/zFu31GrrqUFL+Ikr8kfkCS&#10;P0JJXwa3fADbJMAkj9s+C6RJAFf95iSw4jpS/EC1CJN8FuWP9Jl87iVc/VYx2V9TzvLHu30o6csE&#10;kb8h/vKUP97qSUlfJk75i3v9yIlTX5HS92PKjqGJyB+BL3wp8Yso+fvLP9wkYG37iJOAuOIXJwFx&#10;22fUamMSeESaBKplmOSzLP9Lppyr03fK2ddw9Vs1YWuP6qTlT4kfyIL88cteSvoyxZS/Kf4Myt8m&#10;foDLH6GkL5OU/MW9fmT06qu0Iyf+SErfjWc23KLLPk75wz5//Sv3keIX8ZO/LP4syd8u/uTkj3f7&#10;UNIX+ZrRDycBJvZAk4Cw7TNSmgSqZZjko8rfIX4gZvl7TgKTtna/mBI/kEX5U+IHCpU/3u1DSV9G&#10;lD6i5O+Ekr5MMeTvtef/+bGPSPmLNL05TRd/HPJHDp/8hBS/iJI/LX4A5Y9f9lLiB0D+iLjts0ea&#10;BHDVr08Cr7FJ4EC9bcUvTgJ5lj9w8eRztT4TiO2g+i1dO5az/PGLXkr6Mn7yp8QPlIv88YveT756&#10;gxQ/Am/ZXPNWvSl/Wfxh5E/JW0SWP4JbPdS/IxKX/AH4wpeSvsjRbz7PsfwN8RdD/ni3j5f8EXHF&#10;L04C4rYP3BUEE8G8A3WOSeAxNgk8jJMAIX0kbflfokPLH+k1kfhi+KUNVf9WzvIPOwko+bvLH3lq&#10;7eWu8heJIn9c7VPiFhm95kpS/oVMAlHkD/v8jXvHkeIXeWp9f3/5C+KPRf4pPOQVRP6m+AFJ/oiX&#10;/BHXSUDY9oFtIHESwBX/CJwEll9Hih/Ig/yRHvXELaLPrjj35/mSv138UeWPX/ZS0pcJIn9T/ECZ&#10;yV+820d8VkCWP/LJV28WLH/kmQ03kvIWqdt2j0P+wP5Pt5D/PHLyu2OxyB+hpC+j5C+IH+Dil+WP&#10;d/tQ0pcB+eOqX58EDrJJ4OCrthW/OAmYWz6MEU0DtFFrBmkPEZNAJuVPiB/py+jyLPGwGFSh8neb&#10;AILKH5Dl7zYBRF/52ycA804fgMmdkr4Myt93AuDyt08AhvxtEwATeyD5F+khL8cEwMQeVv7I8BVe&#10;v7Zl8eSaSwqSP4BbPQsDPCxWCLL89QmgAPkHnQBqlvel5Q/EKX+AiT2M/H0nACZ2N/kDsvx9JwAu&#10;fqf8jQmgH4eSvoy47bPnk03a79kEAHhOAkzyADUJBJU/kIT8AYf8GZT4AZA/wpXvrHKWP0JJX6bo&#10;8mdiz5v8xS98t34whxS/zLDlnQqSvwhs9VAiL4Tjp76MTf7wBS8lfJntHy1X8geY5IPIX4eJnZK+&#10;jLjts5uYBED6tkmAyx4QJ4E8y993EihX+T8jQElfxk/+lvjLW/4mTOxfnPiAFL/M1J0PFix/ec8f&#10;bgk98d3XpOC9GLfuBrv4I8o/6ATw9alDSv5M8mHkj3f7UNKXQdnLk4C47QN3BcEkMJdNAjgB4CQw&#10;cs1A7cHl1+Za/n0nnav1YXDlO6tua9VfkpQ/teefFfkjlPRllPyDy1/8svfLbz4nxS8DMowifxnx&#10;/n5AFP72D1fE9oUvJf9hK/qSwqcoFfmb4gciyz/YzzhS0pfxnASY6IF5bBKYL00CIPzhTbdYkwCT&#10;OiV+IOvy7zPpHK3XpHPcf1SmfnPVyGJ94Zs1+ePdPpT0ZYLI3xS/kr8O7vO/d+RVUvwUz2y8Plb5&#10;AyB7eRJIQv7A198eImUv88dj7yv528QfXP5hJ4Fqjm0S4LIHxEnAXPHjJLCaTQLLrs2t/JHeE5u5&#10;/7zkMxs7/Pek5U+JH0hb/ni3DyV9mbzK3yZ+gIm9WPIXmfDK3aT03Ri1qk8s8kc2vjfHZMbux2OX&#10;/3uH95Kyp6h75cFMyN8u/ujyp8QPxC1//LKXkr5MtcskgBOA6yTApP4oMQk4xA9kRP6G+O3y1ycA&#10;RtXLZ7n/0DxUucofoaRvwoQEKPkXJn9xrx+ghO/OUW3WnpGR5I+Iq/445f/1qcOk6N3InvwN8edJ&#10;/ni3DyV9mWqYALjsqUkAhG+bBJjUUfjiJJCU/MPc5w+ElT/CVe9e+ZG/Jf6o8he/5PWSv30SUPKX&#10;xR9U/gDu849ddyUhfJGjdpg8gVGr+mZC/r//YgcpeC+eXHdjJuVvij9H8se7fSjpy6Ds5UnAXPHj&#10;JHCgQWvcX2dOADgJjGCTwAPyJJAj+QeeBMZv6j4hWfkz4WdQ/uQkwCREoeQfXf4mfJtn8YHnuPS9&#10;5U/x4dHX2GTQvijyH7HqclLsQdj4/rx45V8CD3n1iyh/hJK+jO8kwKQ+l00C86RJAGRfI08COZQ/&#10;0KPh7Hqueveq3dD9H2n5e0wATO5+E0Axtn28JwBL/m4TAHzZ6yV/JLT8c/iQV9BtH2oCCCR/Bu7z&#10;izzW1DfUBODGsW8PaU+tv9E5AYSQ//7PNmpBfgHMj99tGGiTvzUBFG/l7zsBMLEHmgAif+FrTAD9&#10;CpY//TOOlPRlcAIA4e/+ZKM1CXDZA/IkgCt+cxJYei0pfiCo/IGo8qe+8PWSf6+JBl0mnPVLrnrv&#10;ssvfKX6g1OSPd/tQ0pdR8neKP6r8xS979T1/xtFvPiMF7wcl4mLz1bcHc3+3D5B1+QPVDEr6MuaK&#10;X5gE3mTgBCBPAjgB6JPAqlu04U23avcvvSaX8ke44v3r5U09tlDiB7Ikf5S9TCHyRyjpB8F8Pw4T&#10;wJb3pyn5EwSVv/hlr0F7/dXLsuxlKBkXk6Mn4c2f7ZT8HUSR//nayt/PZJPqEYfUgwP/7hFrEmBS&#10;38UmAZgAfCcBvu0zbFV/xySQJ/kDPSecvZUr3r9Gr6n8hUP8JSx/8W4fSvBeoPy9mLfvUSV/P/k7&#10;xO/+he+4df0yI3/4klc95EXJv/A9/4btjwsCj4Ihf3MSEGQvTwK44jcngX11puzlSSBv8gd6MjrU&#10;/voXXPHBqtzkj3f7UKKnoGQfhNFNXZT8C5S/jLjX/9ymW7U/fPkmKeo4+PTrd7VnNw4yX+uAKPnH&#10;I//rZ7Xm4o4Du/wRnADkSQAnAH0S2F+vTwRz9tU6JoFHm27V7hMnAUL6SJbkj3C1B6/nN3TqnmX5&#10;G+KPT/74ZS8lfBFK7IUQRv428QNM7Er+FmHu9rlvMYzh5dqYtddpT62/SRu1+ir2Z3Sy3e+vfsax&#10;ePK/buYFTNCUyAuBlj+CEwDI3jEJ8G2fxv11jkkAhG+bBAjpI1mUf8+JZ2vd65v14GoPV27iB0pN&#10;/ni3DyV+gBJ5VN78fIOSP6MY8pdv9RSlr+RPix9ISv7AG1/sZnKmZB4WWvoy4opfnARQ9vIkYK74&#10;GeIkkIT8DfHHKf+zbXClh68XN3ZdFb/8LfFHlT8lfqAQ+ePdPsWQv4ySv5J/YfI3xJ83+cMXvrTM&#10;w0LL3o2CJwEm+aErnZNAGvf5U+IH3OTfg9FtQuVarvTCqlzkjxRT/iLFkL8s/kjyJ8RfsvIXxJ8l&#10;+Zvij0n+pvgBLv645Q93+9BCDwMteT/0CYBv+1CTAAi/UZwEuOwBcRLIhfwnWHCVF15M/O+L4i9V&#10;+SOUoIvB2wdfUfLnlKz81RO+2juHDzAhU2IPAi33oKDs5UnAXPEzGmES2F+vzWaTAE4AOAnUNN2q&#10;3bu02i5/JnRK/EDa8ge61zX7gKs8WhUmf/sEQMnfewKw5O82Acjyt08AhvxtEwCTvJv88QEvStDF&#10;oiS2fYgJoFD56xNAgvKnJoCsbPv4TgBM7G7yB2T5+04AXPxO+RsTQL+C5W9/yIuWux+01MPiOwkw&#10;2c9hk0AjMQk8ok8CA2yTACV+gJJ/Ul/4mvInJgCAKzx6vbChakapyx+f8KXkXCx2f7xYyZ+j5J93&#10;+VviR/Z9to3JmJK8G7TMCwUnABC+bRIQZC9PAij8R1bebE4ClPiBLMm/O6OqodkMrvB4Kg75o+xl&#10;CpW/Jf6I8l9tvd6BknOx+OPX75S1/JPe9lHyT0f+yOfHP2EypmQvQ0s8KuaKHyeBL17V3mDgBCBP&#10;AjgB4CQwbNUA7Z4lzkkga/JHuLrjq6fWtvu/S1n+CCXnrGF/22axOGrnu8KhHsbKE8eyCJNnHNBS&#10;Lha0vKPyFcecBJjsd368UZ8AgkwCIPqHVzgngazKH+jw/P/8v7i6461n13f5Nqr8DfFnT/55mARo&#10;OScNE7eSvw4p37Rh8owDWsrFgpZ3VFD+5iQgyF6eBFD44iSAspcngSzLH+ha3+wUV3YylRX5m+KP&#10;Sf74Xh9KvmlDyzlpmLiV/HVI+aYNk2cc0FIuFrS8oyLLH8EJQJ4EcALASWAOmwRm7XVOAkPZJDBE&#10;mgQM8WdD/kAVg6s6uWIiv6UU5Y8vdqMknBa0nJOGiVvJX4eUb9owecYBLeViQcs7KpT4RXACgPv8&#10;qUkAZD97n3MSANnLk0D88rfEX6j8qxrYVUBd80Fc1ckWE/rxQuRPiR/IgvyjvNXT9oAXsNJ+iydS&#10;6Be+8pe9kb7wJb7sJb/wXZKfL3zlL3uz9IUv9WVv0C98zS97AY/7/AH/L3zjuc9fplpG+PUuGfF9&#10;/vhKZ/GlbuK7fRzE/Ete4iSAspcnAXHFb04Ci6szKX99AqivPMkVXZxS8lfyz6z8BfHHIn/1kFfJ&#10;yD/SJLASJ4EE5M9kTkGJHxDlX9VQqcPVXLzqv+Sff4riB4LK3xQ/kHH5/+HLAwHZT/JRoRx18mHM&#10;fFAoR/Y5eD9G3ovCYTvvxsJek3fi4JDB2wnwVlwcBIyfXowbvDc/VrjMCwUnAJC9PAngts9D0iRA&#10;iR+gxA8kKX+gsrbidK7m4tbv1nWaZU0Alvx9JwAuf/sEYMjfNgEwsQeSf0I/4zhubV8HY0XW9GGf&#10;xckYmdV92GeR6c0+k0RTb/ZZ7DxGMGpVLwcjCUasdDJ8ZU8bjxLUEAxb0cPBUIrldh7R6W7jYWCZ&#10;nYcIHgSWVtl4QOJ+ZInFfSbdTO5FFlvcQzAEWdTV5G6CwchCi7tsdLGzwOBOF+5A5gOddW4nuA2Z&#10;ZzHIQSd2BSMw1+BWggEijQa3uNCf4GaCmxo72pnTUbvRhRtkZnfUrp/dIRizOrArG5rrZrV3cO1M&#10;GnHFL04C4rYPTgJ3s0mgMPnbJwC3bR+Akj9gyd8+AXStbzaTKzmdYnL/MjX5M7EXY9vHsfWzMt5t&#10;H/WEr/e2D7X1ox7ykrd9jK0ffbsnxm0foFpkuvvWT9BtHyCJbR9A3vYBxO0eEVH+4iQwe1+9NnPv&#10;eHMCwEngEWISoMQPhJU/JX3ETf7dGJ3rzzrCVZxuBZW/Jf58y3/Te1NtbAzIBpl3nawnmeJgHcU7&#10;TtYGYA3F25MdrA5Akxtv2VnlyiQbK934vcWKgCz34s2JJssCstSLNwyWBGKCzmIvXrdYFJCFfrwG&#10;NGgLQjA/CAca9J9oDAq8tTMQbIUO9/AHBVb0gWHiB/kbk0CdOQmg7B+UJgFK/ECx5I9wBWejykH+&#10;SN3WW3VqCcY7GKC9LLPFyUsEL26+xcELBM9vcvLcpv6+PEvwzEYnT1NssPM7nZttPAWstzOOYCyw&#10;7iYbT7qx1mKMyY0mowme8GLNDSaPEzyGrLYYZeN6nZFIk8WIgAwneBRZZVFjo5+TlQbDCIaKrACu&#10;0x5x4WGR5QYPETy4/Fo7y9x5QGbptdr9LtwXgnuXXuPgniU0QygWX8PEDlTbGLz4anMCECeBwYuq&#10;MyH/zE0AUP33VJ4eRP6m+HMofyRX2z5L4tv2KedbPaNs+1B3+xS+7VO8u31Kedsn7BO+Dyy/mU2K&#10;zkkgLvnbv/D1lj9QWVuZzhfBfvXUqja/yaP8beIHmNgLkf/kHfcwhmiTCCYGYML2ux00ENS/QjHY&#10;Rt02J7UE4wPwMrDVzks6d9l4EdjizwvA5jtNnid4zpM7TJ5FNlk8Q/A0stGb3yEbDJ5ycLvOuACM&#10;FVkP3KY96cIYZJ0bg3RGi6w1eILg8YA8JrPGYBTByDUD7aymGUHRNJBd4dxKAj/WEhR4k6cMvM6B&#10;Au7rd8BW8xSwyqcA8YvgJECJP7r8LfG7yR9oP+Hff82Vm80au6Z923KTv0EH7cXNNzt4IQDPb7rJ&#10;wXMEz26kuNHGM8AGO08T/I7gKYJx6+2M1bnBxpPAOn/GAGuvtzGa4AlgDUU/k8eR1RaPEYxCmq7z&#10;ZCSyymCEg2t1hks86kINshK4RmcYwVCRFW5Ua4+ILDd4mOChgDwos6xae8CF+5ddbWfp1dp9Ltwr&#10;s+Rq7R6dqxwMCcHdOlfaGLyY5i6KRTR3unDHQpr+jb1Tk39XRqfxZ17EVZvtGrO6Q89ykr+87SNv&#10;+UTa9iG2fEp220fY8klr28dzy6eAbR9qywfI0rYPteUDBN32cWz5AAk95BV22wfv8w+67SNu9Yi4&#10;rvyZzCko8QOFyr9rPZsAait7c8Xmo8au7dhDyV/JPxX5qyd8lfxLSP7GBHBmviYALNga8pR/Qg95&#10;yfJ3TABM7HHKX93n7y1/agLI2xe+vhNA6vf523/GUaRahElefeFrQYkfsORvnwDctn0ASv6AJX/7&#10;BECJH0H5Ax3rmrfjSs1nPbm2yxlK/kr+eZU/JX4gO/KnxQ9UizDJK/lbUOIHwsqfkj4SVv7iyh/p&#10;9PJZZ3KV5rtqtnX8lS5/JnYlfyV/JX8lf0TJn5Y/0K7+3/6JK7Q0qn9t5elK/gXIn4k9Lvknvedf&#10;qvI3xQ9Eln8ye/5AtQiTvJK/BSV+IIvyB35b89u/5eosvVLyV/JX8o9P/tUyTPJK/haU+IG45B/2&#10;IS/AS/5dGFyVpV1PNHX8IQ7528QPMLEr+RdP/rL4syR/u/iV/IPI3yF+QMmfJAn5d6pv/gNXZHnU&#10;Y6s6fqTkr+SfdflT4geU/Isjf0P8ccrfEn90+VvijyJ/oPP4Zh9yNZZXPbaiQ/uSlT8hfiX/Ysnf&#10;EH+py58SP5C2/HNxn39G5A90qGvemSuxfCtt+cviV/IPKH9B/LHIXz3kpeSftPyZzCko8QNJyh/g&#10;ClQFNXJFx++V/JX8lfxLRP5M6JT4ASV/+DGYM7/n6lMl1ogVHWrICYCJPU75p7LnT0wAhcpfnwAS&#10;lD81AWRl28d3AmBid5M/IMvfdwLg4nfK35gACpe/esJXJ3b52ycAt20fgJI/YMnfPgFQ4kco8QOy&#10;/LvUN9c61DUbwZWnyqVOU/JX8i9d+dPiB6pFmOSV/C0o8QNh5U9JHwkr/zArf5A/AH4zNKfKt4av&#10;aLcv1/JnYo9L/klv+yj5K/kr+Scr/851zfZztakKUzUL2/yDkr+Sf1j5m+IHIss/mT1/oFqESV7J&#10;34ISP5A3+QNtJp35D1xpqgqtmuXtPlTyV/IvBflXyzDJK/lbUOIH4pJ/Eg95ucm/U32zd7nCVMVR&#10;g+e0+ImSfzT5y+LPkvzt4o8uf0r8QCnJ3yF+ICPyN8SfVflb4k9C/p0ZLZ76f37C1aUq7qpZ1n6B&#10;kn+pyt8Qv5J/OvJXD3kZRJF/x9pmi7iqVCVdIH9Z/JHkT4hfyb+48jfFX6Lyp8QPKPlb5FX+nev0&#10;O39UFbsqaytOV/IPIX9B/LHIXz3kpeSftPyZzCko8QOpyL+monRf+5yXemRZ2wVZk78sfiV/JX8k&#10;k/JnQqfEDyj50/Lv8PJZC7mCVGWlHl7S9piv/BmB5E9MAEHk7zoBJCh/agLIyraP7wTAxO4mf0CW&#10;v+8EwMXvlL8xARQuf/WEr07s8rdPAG7bPgAlf8CSv30CoMQPRJV/p7ozj3HlqMpqPbKk/V+V/JX8&#10;45E/LX6gWoRJXsnfghI/EFb+lPSRYsu/8/jmf+WKUZWL0ipOCyV/Jva45J/0tk+pyt8UPxBZ/sls&#10;+wDVIkzySv4WlPiBXMsf9v2ZT7hZVOWt4PkCJX8lfyV/WvyAkr+7/CtrK3/KVaIq7zWwsc3f5VX+&#10;sviV/Isn/2oZJnklfwtK/EBc8rd/4Vs8+XecesbPuDpUlVr1r608Xck/uvzt4o8uf0r8QCnJ3yF+&#10;ICPyN8Qfp/wt8UeXvyX+pOUPt51zVagqh7p/Ubu/KvlHkb8h/lKXPyV+IG35q4e8DNQXvqoi132L&#10;2h7PtPwF8WdJ/qb4Y5K/KX6Ai1/JP6fyZzKnoMQPpCH/jrVnHecKUKXKqHsWtplf0vJXD3mVnvyZ&#10;0CnxA0r+tPzVQ16qfKv/nsrTzQkgQflTE0BWtn18JwAm9kATQOQvfI0JoHD5q4e8dGKXv30CcNv2&#10;ASj5A5b87RMAJX6EEj8QRP6VtZVqv19VsLpnYdu/Kvl7y58SP5Ad+dPiB5T8afEDlPiBsPKnpI+E&#10;lX+UlX+H8c1O8LZWpSpYDVnU+i9K/kr+Sv4GeZX/RbVnteQtrUpV8BqywLoCUPL3l78pfiCy/JPZ&#10;8weU/GnxA5T4gTzKv0N9s494K6tSFb6U/EtL/jbxA0zySv4WlPiBuORfzIe82jytfsNXVZSqqfhR&#10;3PKXxZ8l+dvFr+QfRP4O8QMZkb8h/vKTf/vxZ1bxDlalqvC6Y26rM5T8C5M/JX5AyT+v8rfEH13+&#10;lvjjlH/HujOH89ZVpSp6DV7Q5o/lJ39D/KUuf0r8QNryV0/4GoSRf+e6ZmN5y6pSFU+12dDmx4nL&#10;XxB/LPJXD3kp+SctfyZzCkr8QJLy71B3RmferqpUxVt3L2jzsZK/kn+q8mdCp8QPlKv8O9U3/wG+&#10;m+NtqkpV/DV4Qas2ccifmgDi2Pbp31j5i1vnXLjblD/AxB5G/r4TABO7m/wBWf6+EwAXv1P+xgRQ&#10;uPzVE746scvfPgG4bfsAlPwBS/72CYASP0KJH+g8/sw9vD1VqUq2sih/Jvan+Mcjq3rq+b8qP/nT&#10;4geU/GnxA5T4gbDyp6SPhJW/28r/vGf+7Z94xFWpSr6yJP+Bja3eqolwuTtgzvntlPyV/EUo8QNZ&#10;kn+n8WdexCOsSlVxakjTGT/LgvwHzbsw0Uvd/rMv6FGI/E3xA5Hln8yeP6DkT4sfoMQPZEH+nWrP&#10;7M0jqkpVcWvwwtZDUpX/3Aue5B8llbp+3tm/vmnm+SfzLH+b+AEmeSV/C0r8QFzyD/uQV9e65t90&#10;mfyv/41HUJWqVOo0UfxR5C+L30v+t81t/Un/GZX/yD9DZuvG2S3HUvKnxA+Ukvwd4gcyIn9D/HHK&#10;3xJ/dPlb4pfl37Wh+e94tFSpSrcGL2yzrljyv31+qy9umXXef+H/6dzXDbNazsyy/CnxA2nLv9we&#10;8upa16yRR0aVqmzUkIVttyT6eod5bf56x7zWO/l/rqzqxpktuvSbecEJJf+cyp/JnIISPyDKv1t9&#10;5cku9Wd141FQpSo7NbCxzd8l8VbPO+e1/uvt81r9nv9nVHnUNbPOu/y6GeefUvLPv/y71Tc/1W1C&#10;5ZX81KpSlc26e0Hb/0DxxyH/u2ed/f/yP1pVnKVVnHb1tBZTnfJXD3npxC5/+wTgtu0DVNWfPRPO&#10;Dz9TqlRlt+5Z0HYu/IRjob/hO3hh678MXnRBn+smtfnf+R+pKiN1xczz/unqaeetUvKPX/7dJjRf&#10;23HqGb/iQ61KVfbrnsVtR967sM03+KPtIpT8B7OrgcELWg8bvLjNb/gfoaoE69LGyl9cOeO8VldO&#10;P2+zkv85Wo+G5tu6NTRr3aG28hd8iFSpynbVaBU/YiLvf++ii7bct/ii7+9f0k5j/6vDxP8p+9/p&#10;Qxa2vXHIolbnPbDgnP/E/zVVqgqvmoofXTK1xW8umXpOl8umnjvqsqnnbLls8jl/yYL8e00654de&#10;E87e2qvh7FF9JjXrUjXxrP9ecWnF3/BPrkqVKlWqVKlSlcWqqPj/AXf2Mdhc81kZAAAAAElFTkSu&#10;QmCCUEsBAi0AFAAGAAgAAAAhALGCZ7YKAQAAEwIAABMAAAAAAAAAAAAAAAAAAAAAAFtDb250ZW50&#10;X1R5cGVzXS54bWxQSwECLQAUAAYACAAAACEAOP0h/9YAAACUAQAACwAAAAAAAAAAAAAAAAA7AQAA&#10;X3JlbHMvLnJlbHNQSwECLQAUAAYACAAAACEAkLtHF7oEAACpDQAADgAAAAAAAAAAAAAAAAA6AgAA&#10;ZHJzL2Uyb0RvYy54bWxQSwECLQAUAAYACAAAACEALmzwAMUAAAClAQAAGQAAAAAAAAAAAAAAAAAg&#10;BwAAZHJzL19yZWxzL2Uyb0RvYy54bWwucmVsc1BLAQItABQABgAIAAAAIQDpttE55AAAAA8BAAAP&#10;AAAAAAAAAAAAAAAAABwIAABkcnMvZG93bnJldi54bWxQSwECLQAKAAAAAAAAACEAbQBIz9R9AADU&#10;fQAAFAAAAAAAAAAAAAAAAAAtCQAAZHJzL21lZGlhL2ltYWdlMS5wbmdQSwECLQAKAAAAAAAAACEA&#10;xZvIKOh+AADofgAAFAAAAAAAAAAAAAAAAAAzhwAAZHJzL21lZGlhL2ltYWdlMi5wbmdQSwUGAAAA&#10;AAcABwC+AQAATQ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175;top:-4832;width:77723;height:100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QMrxAAAANsAAAAPAAAAZHJzL2Rvd25yZXYueG1sRI9BawIx&#10;FITvBf9DeIK3blZLi2yNImKLFhFce+jxsXnNLm5ewiZd13/fFIQeh5n5hlmsBtuKnrrQOFYwzXIQ&#10;xJXTDRsFn+e3xzmIEJE1to5JwY0CrJajhwUW2l35RH0ZjUgQDgUqqGP0hZShqsliyJwnTt636yzG&#10;JDsjdYfXBLetnOX5i7TYcFqo0dOmpupS/lgFfJ5Wh20Z5fFj6PfevZsv/2SUmoyH9SuISEP8D9/b&#10;O61g9gx/X9IPkMtfAAAA//8DAFBLAQItABQABgAIAAAAIQDb4fbL7gAAAIUBAAATAAAAAAAAAAAA&#10;AAAAAAAAAABbQ29udGVudF9UeXBlc10ueG1sUEsBAi0AFAAGAAgAAAAhAFr0LFu/AAAAFQEAAAsA&#10;AAAAAAAAAAAAAAAAHwEAAF9yZWxzLy5yZWxzUEsBAi0AFAAGAAgAAAAhAPbdAyvEAAAA2wAAAA8A&#10;AAAAAAAAAAAAAAAABwIAAGRycy9kb3ducmV2LnhtbFBLBQYAAAAAAwADALcAAAD4AgAAAAA=&#10;">
                  <v:imagedata r:id="rId10" o:title=""/>
                  <v:path arrowok="t"/>
                </v:shape>
                <v:shape id="Picture 26" o:spid="_x0000_s1028" type="#_x0000_t75" style="position:absolute;left:52705;top:3101;width:16002;height:1600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pxdxgAAANsAAAAPAAAAZHJzL2Rvd25yZXYueG1sRI9BawIx&#10;FITvBf9DeEJvNauglNUoVlosthe3vXh7Js/N1s3LdpPq2l/fFASPw8x8w8wWnavFidpQeVYwHGQg&#10;iLU3FZcKPj9eHh5BhIhssPZMCi4UYDHv3c0wN/7MWzoVsRQJwiFHBTbGJpcyaEsOw8A3xMk7+NZh&#10;TLItpWnxnOCulqMsm0iHFacFiw2tLOlj8eMU6Oe3/fp7rb82x/ff8U4XT+NDbZW673fLKYhIXbyF&#10;r+1Xo2A0gf8v6QfI+R8AAAD//wMAUEsBAi0AFAAGAAgAAAAhANvh9svuAAAAhQEAABMAAAAAAAAA&#10;AAAAAAAAAAAAAFtDb250ZW50X1R5cGVzXS54bWxQSwECLQAUAAYACAAAACEAWvQsW78AAAAVAQAA&#10;CwAAAAAAAAAAAAAAAAAfAQAAX3JlbHMvLnJlbHNQSwECLQAUAAYACAAAACEAJdqcXcYAAADbAAAA&#10;DwAAAAAAAAAAAAAAAAAHAgAAZHJzL2Rvd25yZXYueG1sUEsFBgAAAAADAAMAtwAAAPoCAAAAAA==&#10;">
                  <v:imagedata r:id="rId11" o:title=""/>
                </v:shape>
                <v:shapetype id="_x0000_t202" coordsize="21600,21600" o:spt="202" path="m,l,21600r21600,l21600,xe">
                  <v:stroke joinstyle="miter"/>
                  <v:path gradientshapeok="t" o:connecttype="rect"/>
                </v:shapetype>
                <v:shape id="Text Box 3" o:spid="_x0000_s1029" type="#_x0000_t202" style="position:absolute;left:8763;top:23202;width:62807;height:24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3BC463AA" w14:textId="77777777" w:rsidR="00AA4AB3" w:rsidRDefault="00AA4AB3" w:rsidP="002166B7">
                        <w:pPr>
                          <w:pStyle w:val="body"/>
                          <w:spacing w:before="0" w:after="120" w:line="192" w:lineRule="auto"/>
                          <w:rPr>
                            <w:rFonts w:ascii="Calibri" w:hAnsi="Calibri" w:cs="OpenSans-Bold"/>
                            <w:b/>
                            <w:bCs/>
                            <w:color w:val="62777F"/>
                            <w:sz w:val="80"/>
                            <w:szCs w:val="80"/>
                          </w:rPr>
                        </w:pPr>
                        <w:r>
                          <w:rPr>
                            <w:rFonts w:ascii="Calibri" w:hAnsi="Calibri" w:cs="OpenSans-Bold"/>
                            <w:b/>
                            <w:bCs/>
                            <w:color w:val="62777F"/>
                            <w:sz w:val="80"/>
                            <w:szCs w:val="80"/>
                          </w:rPr>
                          <w:t>2019 Economic Study:</w:t>
                        </w:r>
                      </w:p>
                      <w:p w14:paraId="78304CD7" w14:textId="77777777" w:rsidR="00AA4AB3" w:rsidRPr="00716539" w:rsidRDefault="00AA4AB3" w:rsidP="002166B7">
                        <w:pPr>
                          <w:pStyle w:val="body"/>
                          <w:spacing w:before="0" w:after="120" w:line="192" w:lineRule="auto"/>
                          <w:rPr>
                            <w:rFonts w:ascii="Calibri" w:hAnsi="Calibri" w:cs="OpenSans-Bold"/>
                            <w:b/>
                            <w:bCs/>
                            <w:color w:val="62777F"/>
                            <w:sz w:val="80"/>
                            <w:szCs w:val="80"/>
                          </w:rPr>
                        </w:pPr>
                        <w:r>
                          <w:rPr>
                            <w:rFonts w:ascii="Calibri" w:hAnsi="Calibri" w:cs="OpenSans-Bold"/>
                            <w:b/>
                            <w:bCs/>
                            <w:color w:val="62777F"/>
                            <w:sz w:val="80"/>
                            <w:szCs w:val="80"/>
                          </w:rPr>
                          <w:t xml:space="preserve">Significant Offshore Wind Integration </w:t>
                        </w:r>
                      </w:p>
                      <w:p w14:paraId="7000DD5F" w14:textId="77777777" w:rsidR="00AA4AB3" w:rsidRPr="00582371" w:rsidRDefault="00AA4AB3" w:rsidP="002166B7">
                        <w:pPr>
                          <w:pStyle w:val="body"/>
                          <w:spacing w:before="240" w:line="192" w:lineRule="auto"/>
                          <w:ind w:left="86"/>
                          <w:rPr>
                            <w:rFonts w:ascii="Calibri" w:hAnsi="Calibri" w:cs="OpenSans-Bold"/>
                            <w:b/>
                            <w:bCs/>
                            <w:color w:val="62777F"/>
                            <w:spacing w:val="-2"/>
                            <w:sz w:val="32"/>
                            <w:szCs w:val="32"/>
                          </w:rPr>
                        </w:pPr>
                        <w:r w:rsidRPr="00582371">
                          <w:rPr>
                            <w:rFonts w:ascii="Calibri" w:hAnsi="Calibri" w:cs="OpenSans-Bold"/>
                            <w:b/>
                            <w:bCs/>
                            <w:color w:val="62777F"/>
                            <w:spacing w:val="-2"/>
                            <w:sz w:val="32"/>
                            <w:szCs w:val="32"/>
                          </w:rPr>
                          <w:t>© ISO New England Inc.</w:t>
                        </w:r>
                      </w:p>
                      <w:p w14:paraId="6C397CB8" w14:textId="5339398D" w:rsidR="00AA4AB3" w:rsidRPr="007A11B4" w:rsidRDefault="00AA4AB3" w:rsidP="007A11B4">
                        <w:pPr>
                          <w:pStyle w:val="body"/>
                          <w:spacing w:before="240" w:line="192" w:lineRule="auto"/>
                          <w:ind w:left="86"/>
                          <w:rPr>
                            <w:rFonts w:ascii="Calibri" w:hAnsi="Calibri" w:cs="OpenSans-Bold"/>
                            <w:b/>
                            <w:bCs/>
                            <w:color w:val="62777F"/>
                            <w:spacing w:val="-2"/>
                            <w:sz w:val="24"/>
                            <w:szCs w:val="24"/>
                          </w:rPr>
                        </w:pPr>
                        <w:r w:rsidRPr="00582371">
                          <w:rPr>
                            <w:rFonts w:ascii="Calibri" w:hAnsi="Calibri" w:cs="OpenSans-Bold"/>
                            <w:b/>
                            <w:bCs/>
                            <w:color w:val="62777F"/>
                            <w:spacing w:val="-2"/>
                            <w:sz w:val="24"/>
                            <w:szCs w:val="24"/>
                          </w:rPr>
                          <w:t xml:space="preserve">October </w:t>
                        </w:r>
                        <w:r>
                          <w:rPr>
                            <w:rFonts w:ascii="Calibri" w:hAnsi="Calibri" w:cs="OpenSans-Bold"/>
                            <w:b/>
                            <w:bCs/>
                            <w:color w:val="62777F"/>
                            <w:spacing w:val="-2"/>
                            <w:sz w:val="24"/>
                            <w:szCs w:val="24"/>
                          </w:rPr>
                          <w:t>5</w:t>
                        </w:r>
                        <w:r w:rsidRPr="00582371">
                          <w:rPr>
                            <w:rFonts w:ascii="Calibri" w:hAnsi="Calibri" w:cs="OpenSans-Bold"/>
                            <w:b/>
                            <w:bCs/>
                            <w:color w:val="62777F"/>
                            <w:spacing w:val="-2"/>
                            <w:sz w:val="24"/>
                            <w:szCs w:val="24"/>
                          </w:rPr>
                          <w:t>, 2020</w:t>
                        </w:r>
                      </w:p>
                    </w:txbxContent>
                  </v:textbox>
                </v:shape>
              </v:group>
            </w:pict>
          </mc:Fallback>
        </mc:AlternateContent>
      </w:r>
      <w:r w:rsidR="00C20A5A">
        <w:t>n</w:t>
      </w:r>
      <w:r w:rsidR="00522774">
        <w:t>s</w:t>
      </w:r>
    </w:p>
    <w:p w14:paraId="7B68730A" w14:textId="77777777" w:rsidR="00D85494" w:rsidRDefault="00D85494" w:rsidP="00E401C4">
      <w:pPr>
        <w:adjustRightInd/>
        <w:spacing w:line="240" w:lineRule="auto"/>
        <w:textAlignment w:val="auto"/>
        <w:outlineLvl w:val="0"/>
        <w:rPr>
          <w:rFonts w:ascii="Calibri" w:hAnsi="Calibri" w:cs="Arial"/>
          <w:b/>
          <w:bCs/>
          <w:color w:val="0C95D2"/>
          <w:sz w:val="36"/>
          <w:szCs w:val="36"/>
        </w:rPr>
        <w:sectPr w:rsidR="00D85494" w:rsidSect="004C3378">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720" w:footer="720" w:gutter="0"/>
          <w:pgNumType w:fmt="lowerRoman"/>
          <w:cols w:space="720"/>
          <w:docGrid w:linePitch="360"/>
        </w:sectPr>
      </w:pPr>
      <w:bookmarkStart w:id="0" w:name="_Toc477187093"/>
      <w:bookmarkStart w:id="1" w:name="_Toc477794591"/>
      <w:bookmarkStart w:id="2" w:name="_Toc486405945"/>
      <w:bookmarkStart w:id="3" w:name="_Toc497394705"/>
      <w:bookmarkStart w:id="4" w:name="_Toc497812733"/>
      <w:bookmarkStart w:id="5" w:name="_Toc517681482"/>
    </w:p>
    <w:p w14:paraId="71125239" w14:textId="77777777" w:rsidR="00302948" w:rsidRDefault="002166B7" w:rsidP="00EC4E5A">
      <w:pPr>
        <w:rPr>
          <w:rFonts w:ascii="Calibri" w:hAnsi="Calibri" w:cs="Arial"/>
          <w:b/>
          <w:bCs/>
          <w:color w:val="0C95D2"/>
          <w:sz w:val="36"/>
          <w:szCs w:val="36"/>
        </w:rPr>
      </w:pPr>
      <w:r>
        <w:rPr>
          <w:rFonts w:ascii="Calibri" w:hAnsi="Calibri" w:cs="OpenSans-Bold"/>
          <w:b/>
          <w:bCs/>
          <w:noProof/>
          <w:color w:val="3D484C"/>
          <w:sz w:val="80"/>
          <w:szCs w:val="80"/>
        </w:rPr>
        <mc:AlternateContent>
          <mc:Choice Requires="wps">
            <w:drawing>
              <wp:anchor distT="0" distB="0" distL="114300" distR="114300" simplePos="0" relativeHeight="251668480" behindDoc="0" locked="0" layoutInCell="1" allowOverlap="1" wp14:anchorId="2BF61502" wp14:editId="1A90B702">
                <wp:simplePos x="0" y="0"/>
                <wp:positionH relativeFrom="margin">
                  <wp:posOffset>-679450</wp:posOffset>
                </wp:positionH>
                <wp:positionV relativeFrom="paragraph">
                  <wp:posOffset>5876925</wp:posOffset>
                </wp:positionV>
                <wp:extent cx="7299960" cy="244475"/>
                <wp:effectExtent l="0" t="0" r="0" b="3175"/>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99960" cy="24447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C40E19F" w14:textId="77777777" w:rsidR="00AA4AB3" w:rsidRPr="00716539" w:rsidRDefault="00AA4AB3" w:rsidP="002166B7">
                            <w:pPr>
                              <w:widowControl w:val="0"/>
                              <w:suppressAutoHyphens/>
                              <w:autoSpaceDE w:val="0"/>
                              <w:autoSpaceDN w:val="0"/>
                              <w:jc w:val="center"/>
                              <w:textAlignment w:val="center"/>
                              <w:rPr>
                                <w:rFonts w:ascii="Calibri" w:hAnsi="Calibri" w:cs="OpenSans-Bold"/>
                                <w:b/>
                                <w:bCs/>
                                <w:caps/>
                                <w:color w:val="62777F"/>
                                <w:sz w:val="14"/>
                                <w:szCs w:val="14"/>
                              </w:rPr>
                            </w:pPr>
                            <w:r w:rsidRPr="004A2480">
                              <w:rPr>
                                <w:rFonts w:ascii="Calibri" w:hAnsi="Calibri" w:cs="OpenSans-Bold"/>
                                <w:b/>
                                <w:bCs/>
                                <w:caps/>
                                <w:color w:val="62777F"/>
                                <w:sz w:val="14"/>
                                <w:szCs w:val="14"/>
                              </w:rPr>
                              <w:t>ISO-NE PUBLIC</w:t>
                            </w:r>
                          </w:p>
                          <w:p w14:paraId="101C81AF" w14:textId="77777777" w:rsidR="00AA4AB3" w:rsidRPr="004759C4" w:rsidRDefault="00AA4AB3" w:rsidP="002166B7">
                            <w:pPr>
                              <w:rPr>
                                <w:rFonts w:ascii="Calibri" w:hAnsi="Calibri"/>
                                <w:color w:val="787B7F"/>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BF61502" id="Text Box 30" o:spid="_x0000_s1030" type="#_x0000_t202" style="position:absolute;margin-left:-53.5pt;margin-top:462.75pt;width:574.8pt;height:19.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mFQagIAAMIEAAAOAAAAZHJzL2Uyb0RvYy54bWysVN9P2zAQfp+0/8Hye0nSpZRGpCgUdZpU&#10;ARJMPLuOQ6Mltme7JGzif99np4GO7Wnai3O++3w/vrvL+UXfNuRJGFsrmdPkJKZESK7KWj7m9Ov9&#10;enJGiXVMlqxRUuT0WVh6sfz44bzTmZiqnWpKYQicSJt1Oqc753QWRZbvRMvsidJCwlgp0zKHq3mM&#10;SsM6eG+baBrHp1GnTKmN4sJaaK8GI10G/1UluLupKiscaXKK3Fw4TTi3/oyW5yx7NEzvan5Ig/1D&#10;Fi2rJYK+urpijpG9qf9w1dbcKKsqd8JVG6mqqrkINaCaJH5Xzd2OaRFqATlWv9Jk/59bfv10a0hd&#10;5vQT6JGsRY/uRe/IpeoJVOCn0zYD7E4D6Hro0edQq9Ubxb9ZQKIjzPDAAu356CvT+i8qJXiIGM+v&#10;tPswHMr5dLFYnMLEYZumaTqf+bjR22ttrPssVEu8kFODtoYM2NPGugE6QnwwqdZ100DPskb+poDP&#10;QSPCbAyvWYZMIHqkzyn07edqNp8W89liclrMkkmaxGeTooink6t1ERdxul4t0suXQ57j+8DDULpn&#10;xPXbPnCbjDxuVfkMGo0aBtFqvq5R0oZZd8sMJg8sYJvcDY6qUV1O1UGiZKfMj7/pPR4DASslHSY5&#10;p/b7nhlBSfNFYlQWSZrCrQuXFFXhYo4t22OL3LcrhWVJsLeaB9HjXTOKlVHtA5au8FFhYpIjdk7d&#10;KK7csF9YWi6KIoAw7Jq5jbzTfJwe37D7/oEZfeiqA4vXapx5lr1r7oAdulnsnarq0HnP88DqYQyx&#10;KGF2DkvtN/H4HlBvv57lLwAAAP//AwBQSwMEFAAGAAgAAAAhAC0824ThAAAADQEAAA8AAABkcnMv&#10;ZG93bnJldi54bWxMj8FOwzAQRO9I/IO1SNxau1EbaIhTIaQKhLgQ+gFu7MZR4rUV20ng63FPcJyd&#10;0eyb8rCYgUxq9J1FDps1A6KwsbLDlsPp67h6BOKDQCkGi4rDt/JwqG5vSlFIO+OnmurQklSCvhAc&#10;dAiuoNQ3Whnh19YpTN7FjkaEJMeWylHMqdwMNGMsp0Z0mD5o4dSLVk1fR8PhGF/fzPRDo3uvmxm1&#10;6+Ppo+f8/m55fgIS1BL+wnDFT+hQJaazjSg9GTisNuwhjQkc9tluB+QaYdssB3JOp3zLgFYl/b+i&#10;+gUAAP//AwBQSwECLQAUAAYACAAAACEAtoM4kv4AAADhAQAAEwAAAAAAAAAAAAAAAAAAAAAAW0Nv&#10;bnRlbnRfVHlwZXNdLnhtbFBLAQItABQABgAIAAAAIQA4/SH/1gAAAJQBAAALAAAAAAAAAAAAAAAA&#10;AC8BAABfcmVscy8ucmVsc1BLAQItABQABgAIAAAAIQDaImFQagIAAMIEAAAOAAAAAAAAAAAAAAAA&#10;AC4CAABkcnMvZTJvRG9jLnhtbFBLAQItABQABgAIAAAAIQAtPNuE4QAAAA0BAAAPAAAAAAAAAAAA&#10;AAAAAMQEAABkcnMvZG93bnJldi54bWxQSwUGAAAAAAQABADzAAAA0gUAAAAA&#10;" filled="f" stroked="f">
                <v:path arrowok="t"/>
                <v:textbox>
                  <w:txbxContent>
                    <w:p w14:paraId="6C40E19F" w14:textId="77777777" w:rsidR="00AA4AB3" w:rsidRPr="00716539" w:rsidRDefault="00AA4AB3" w:rsidP="002166B7">
                      <w:pPr>
                        <w:widowControl w:val="0"/>
                        <w:suppressAutoHyphens/>
                        <w:autoSpaceDE w:val="0"/>
                        <w:autoSpaceDN w:val="0"/>
                        <w:jc w:val="center"/>
                        <w:textAlignment w:val="center"/>
                        <w:rPr>
                          <w:rFonts w:ascii="Calibri" w:hAnsi="Calibri" w:cs="OpenSans-Bold"/>
                          <w:b/>
                          <w:bCs/>
                          <w:caps/>
                          <w:color w:val="62777F"/>
                          <w:sz w:val="14"/>
                          <w:szCs w:val="14"/>
                        </w:rPr>
                      </w:pPr>
                      <w:r w:rsidRPr="004A2480">
                        <w:rPr>
                          <w:rFonts w:ascii="Calibri" w:hAnsi="Calibri" w:cs="OpenSans-Bold"/>
                          <w:b/>
                          <w:bCs/>
                          <w:caps/>
                          <w:color w:val="62777F"/>
                          <w:sz w:val="14"/>
                          <w:szCs w:val="14"/>
                        </w:rPr>
                        <w:t>ISO-NE PUBLIC</w:t>
                      </w:r>
                    </w:p>
                    <w:p w14:paraId="101C81AF" w14:textId="77777777" w:rsidR="00AA4AB3" w:rsidRPr="004759C4" w:rsidRDefault="00AA4AB3" w:rsidP="002166B7">
                      <w:pPr>
                        <w:rPr>
                          <w:rFonts w:ascii="Calibri" w:hAnsi="Calibri"/>
                          <w:color w:val="787B7F"/>
                          <w:sz w:val="14"/>
                          <w:szCs w:val="14"/>
                        </w:rPr>
                      </w:pPr>
                    </w:p>
                  </w:txbxContent>
                </v:textbox>
                <w10:wrap type="square" anchorx="margin"/>
              </v:shape>
            </w:pict>
          </mc:Fallback>
        </mc:AlternateContent>
      </w:r>
    </w:p>
    <w:p w14:paraId="66E93DD4" w14:textId="77777777" w:rsidR="00D85494" w:rsidRDefault="00D85494">
      <w:pPr>
        <w:adjustRightInd/>
        <w:spacing w:after="0" w:line="240" w:lineRule="auto"/>
        <w:textAlignment w:val="auto"/>
        <w:rPr>
          <w:rFonts w:ascii="Calibri" w:hAnsi="Calibri" w:cs="Arial"/>
          <w:b/>
          <w:bCs/>
          <w:color w:val="0C95D2"/>
          <w:sz w:val="36"/>
          <w:szCs w:val="36"/>
        </w:rPr>
        <w:sectPr w:rsidR="00D85494" w:rsidSect="00D85494">
          <w:type w:val="continuous"/>
          <w:pgSz w:w="12240" w:h="15840" w:code="1"/>
          <w:pgMar w:top="1440" w:right="1440" w:bottom="1440" w:left="1440" w:header="720" w:footer="720" w:gutter="0"/>
          <w:pgNumType w:fmt="lowerRoman"/>
          <w:cols w:space="720"/>
          <w:docGrid w:linePitch="360"/>
        </w:sectPr>
      </w:pPr>
      <w:bookmarkStart w:id="6" w:name="_GoBack"/>
      <w:bookmarkEnd w:id="6"/>
    </w:p>
    <w:p w14:paraId="1CF5E83A" w14:textId="77777777" w:rsidR="002166B7" w:rsidRDefault="002166B7" w:rsidP="001F5E1A">
      <w:pPr>
        <w:adjustRightInd/>
        <w:spacing w:after="120" w:line="240" w:lineRule="auto"/>
        <w:textAlignment w:val="auto"/>
        <w:outlineLvl w:val="0"/>
        <w:rPr>
          <w:rFonts w:ascii="Calibri" w:hAnsi="Calibri" w:cs="Arial"/>
          <w:b/>
          <w:bCs/>
          <w:color w:val="0C95D2"/>
          <w:sz w:val="36"/>
          <w:szCs w:val="36"/>
        </w:rPr>
        <w:sectPr w:rsidR="002166B7" w:rsidSect="001E2301">
          <w:headerReference w:type="default" r:id="rId18"/>
          <w:footerReference w:type="default" r:id="rId19"/>
          <w:pgSz w:w="12240" w:h="15840" w:code="1"/>
          <w:pgMar w:top="1440" w:right="1440" w:bottom="1440" w:left="1440" w:header="720" w:footer="720" w:gutter="0"/>
          <w:pgNumType w:fmt="lowerRoman" w:start="3"/>
          <w:cols w:space="720"/>
          <w:docGrid w:linePitch="360"/>
        </w:sectPr>
      </w:pPr>
      <w:bookmarkStart w:id="7" w:name="_Toc518562629"/>
      <w:bookmarkStart w:id="8" w:name="_Toc528571170"/>
      <w:bookmarkStart w:id="9" w:name="_Toc43194319"/>
      <w:bookmarkStart w:id="10" w:name="_Toc43224071"/>
      <w:bookmarkStart w:id="11" w:name="_Toc43224447"/>
    </w:p>
    <w:p w14:paraId="20DAB65D" w14:textId="77777777" w:rsidR="00F565D2" w:rsidRPr="009620EF" w:rsidRDefault="00F565D2" w:rsidP="001F5E1A">
      <w:pPr>
        <w:adjustRightInd/>
        <w:spacing w:after="120" w:line="240" w:lineRule="auto"/>
        <w:textAlignment w:val="auto"/>
        <w:outlineLvl w:val="0"/>
        <w:rPr>
          <w:rFonts w:ascii="Calibri" w:hAnsi="Calibri" w:cs="Arial"/>
          <w:b/>
          <w:bCs/>
          <w:color w:val="0C95D2"/>
          <w:sz w:val="36"/>
          <w:szCs w:val="36"/>
        </w:rPr>
      </w:pPr>
      <w:bookmarkStart w:id="12" w:name="_Toc44412031"/>
      <w:bookmarkStart w:id="13" w:name="_Toc49331750"/>
      <w:bookmarkStart w:id="14" w:name="_Toc49845159"/>
      <w:bookmarkStart w:id="15" w:name="_Toc52533783"/>
      <w:r w:rsidRPr="00B2258E">
        <w:rPr>
          <w:rFonts w:ascii="Calibri" w:hAnsi="Calibri" w:cs="Arial"/>
          <w:b/>
          <w:bCs/>
          <w:color w:val="0C95D2"/>
          <w:sz w:val="36"/>
          <w:szCs w:val="36"/>
        </w:rPr>
        <w:lastRenderedPageBreak/>
        <w:t>Table of Contents</w:t>
      </w:r>
      <w:bookmarkEnd w:id="0"/>
      <w:bookmarkEnd w:id="1"/>
      <w:bookmarkEnd w:id="2"/>
      <w:bookmarkEnd w:id="3"/>
      <w:bookmarkEnd w:id="4"/>
      <w:bookmarkEnd w:id="5"/>
      <w:bookmarkEnd w:id="7"/>
      <w:bookmarkEnd w:id="8"/>
      <w:bookmarkEnd w:id="9"/>
      <w:bookmarkEnd w:id="10"/>
      <w:bookmarkEnd w:id="11"/>
      <w:bookmarkEnd w:id="12"/>
      <w:bookmarkEnd w:id="13"/>
      <w:bookmarkEnd w:id="14"/>
      <w:bookmarkEnd w:id="15"/>
    </w:p>
    <w:p w14:paraId="0192D798" w14:textId="3FCF48F4" w:rsidR="00CA6AB1" w:rsidRPr="00CA6AB1" w:rsidRDefault="00CD7DBD">
      <w:pPr>
        <w:pStyle w:val="TOC1"/>
        <w:rPr>
          <w:rFonts w:eastAsiaTheme="minorEastAsia" w:cstheme="minorBidi"/>
          <w:b w:val="0"/>
          <w:bCs w:val="0"/>
          <w:sz w:val="22"/>
          <w:szCs w:val="22"/>
        </w:rPr>
      </w:pPr>
      <w:r w:rsidRPr="00CA6AB1">
        <w:rPr>
          <w:rFonts w:ascii="Calibri" w:hAnsi="Calibri" w:cstheme="minorHAnsi"/>
        </w:rPr>
        <w:fldChar w:fldCharType="begin"/>
      </w:r>
      <w:r w:rsidRPr="00CA6AB1">
        <w:rPr>
          <w:rFonts w:ascii="Calibri" w:hAnsi="Calibri" w:cstheme="minorHAnsi"/>
        </w:rPr>
        <w:instrText xml:space="preserve"> TOC \o "1-3" \h \z \u </w:instrText>
      </w:r>
      <w:r w:rsidRPr="00CA6AB1">
        <w:rPr>
          <w:rFonts w:ascii="Calibri" w:hAnsi="Calibri" w:cstheme="minorHAnsi"/>
        </w:rPr>
        <w:fldChar w:fldCharType="separate"/>
      </w:r>
      <w:hyperlink w:anchor="_Toc52533784" w:history="1">
        <w:r w:rsidR="00CA6AB1" w:rsidRPr="00CA6AB1">
          <w:rPr>
            <w:rStyle w:val="Hyperlink"/>
            <w:rFonts w:ascii="Calibri" w:hAnsi="Calibri"/>
          </w:rPr>
          <w:t>Figures</w:t>
        </w:r>
        <w:r w:rsidR="00CA6AB1" w:rsidRPr="00CA6AB1">
          <w:rPr>
            <w:webHidden/>
          </w:rPr>
          <w:tab/>
        </w:r>
        <w:r w:rsidR="00CA6AB1" w:rsidRPr="00CA6AB1">
          <w:rPr>
            <w:webHidden/>
          </w:rPr>
          <w:fldChar w:fldCharType="begin"/>
        </w:r>
        <w:r w:rsidR="00CA6AB1" w:rsidRPr="00CA6AB1">
          <w:rPr>
            <w:webHidden/>
          </w:rPr>
          <w:instrText xml:space="preserve"> PAGEREF _Toc52533784 \h </w:instrText>
        </w:r>
        <w:r w:rsidR="00CA6AB1" w:rsidRPr="00CA6AB1">
          <w:rPr>
            <w:webHidden/>
          </w:rPr>
        </w:r>
        <w:r w:rsidR="00CA6AB1" w:rsidRPr="00CA6AB1">
          <w:rPr>
            <w:webHidden/>
          </w:rPr>
          <w:fldChar w:fldCharType="separate"/>
        </w:r>
        <w:r w:rsidR="00AA4AB3">
          <w:rPr>
            <w:webHidden/>
          </w:rPr>
          <w:t>iv</w:t>
        </w:r>
        <w:r w:rsidR="00CA6AB1" w:rsidRPr="00CA6AB1">
          <w:rPr>
            <w:webHidden/>
          </w:rPr>
          <w:fldChar w:fldCharType="end"/>
        </w:r>
      </w:hyperlink>
    </w:p>
    <w:p w14:paraId="79659278" w14:textId="53FD7DD7" w:rsidR="00CA6AB1" w:rsidRPr="00CA6AB1" w:rsidRDefault="000D5F76">
      <w:pPr>
        <w:pStyle w:val="TOC1"/>
        <w:rPr>
          <w:rFonts w:eastAsiaTheme="minorEastAsia" w:cstheme="minorBidi"/>
          <w:b w:val="0"/>
          <w:bCs w:val="0"/>
          <w:sz w:val="22"/>
          <w:szCs w:val="22"/>
        </w:rPr>
      </w:pPr>
      <w:hyperlink w:anchor="_Toc52533785" w:history="1">
        <w:r w:rsidR="00CA6AB1" w:rsidRPr="00CA6AB1">
          <w:rPr>
            <w:rStyle w:val="Hyperlink"/>
            <w:rFonts w:ascii="Calibri" w:hAnsi="Calibri"/>
          </w:rPr>
          <w:t>Tables</w:t>
        </w:r>
        <w:r w:rsidR="00CA6AB1" w:rsidRPr="00CA6AB1">
          <w:rPr>
            <w:webHidden/>
          </w:rPr>
          <w:tab/>
        </w:r>
        <w:r w:rsidR="00CA6AB1" w:rsidRPr="00CA6AB1">
          <w:rPr>
            <w:webHidden/>
          </w:rPr>
          <w:fldChar w:fldCharType="begin"/>
        </w:r>
        <w:r w:rsidR="00CA6AB1" w:rsidRPr="00CA6AB1">
          <w:rPr>
            <w:webHidden/>
          </w:rPr>
          <w:instrText xml:space="preserve"> PAGEREF _Toc52533785 \h </w:instrText>
        </w:r>
        <w:r w:rsidR="00CA6AB1" w:rsidRPr="00CA6AB1">
          <w:rPr>
            <w:webHidden/>
          </w:rPr>
        </w:r>
        <w:r w:rsidR="00CA6AB1" w:rsidRPr="00CA6AB1">
          <w:rPr>
            <w:webHidden/>
          </w:rPr>
          <w:fldChar w:fldCharType="separate"/>
        </w:r>
        <w:r w:rsidR="00AA4AB3">
          <w:rPr>
            <w:webHidden/>
          </w:rPr>
          <w:t>v</w:t>
        </w:r>
        <w:r w:rsidR="00CA6AB1" w:rsidRPr="00CA6AB1">
          <w:rPr>
            <w:webHidden/>
          </w:rPr>
          <w:fldChar w:fldCharType="end"/>
        </w:r>
      </w:hyperlink>
    </w:p>
    <w:p w14:paraId="48B104E6" w14:textId="6B653ECC" w:rsidR="00CA6AB1" w:rsidRPr="00CA6AB1" w:rsidRDefault="000D5F76">
      <w:pPr>
        <w:pStyle w:val="TOC1"/>
        <w:rPr>
          <w:rFonts w:eastAsiaTheme="minorEastAsia" w:cstheme="minorBidi"/>
          <w:b w:val="0"/>
          <w:bCs w:val="0"/>
          <w:sz w:val="22"/>
          <w:szCs w:val="22"/>
        </w:rPr>
      </w:pPr>
      <w:hyperlink w:anchor="_Toc52533786" w:history="1">
        <w:r w:rsidR="00CA6AB1" w:rsidRPr="00CA6AB1">
          <w:rPr>
            <w:rStyle w:val="Hyperlink"/>
          </w:rPr>
          <w:t>Section 1</w:t>
        </w:r>
        <w:r w:rsidR="00496920">
          <w:rPr>
            <w:rStyle w:val="Hyperlink"/>
          </w:rPr>
          <w:br/>
        </w:r>
        <w:r w:rsidR="00CA6AB1" w:rsidRPr="00CA6AB1">
          <w:rPr>
            <w:rStyle w:val="Hyperlink"/>
          </w:rPr>
          <w:t>Executive Summary</w:t>
        </w:r>
        <w:r w:rsidR="00CA6AB1" w:rsidRPr="00CA6AB1">
          <w:rPr>
            <w:webHidden/>
          </w:rPr>
          <w:tab/>
        </w:r>
        <w:r w:rsidR="00CA6AB1" w:rsidRPr="00CA6AB1">
          <w:rPr>
            <w:webHidden/>
          </w:rPr>
          <w:fldChar w:fldCharType="begin"/>
        </w:r>
        <w:r w:rsidR="00CA6AB1" w:rsidRPr="00CA6AB1">
          <w:rPr>
            <w:webHidden/>
          </w:rPr>
          <w:instrText xml:space="preserve"> PAGEREF _Toc52533786 \h </w:instrText>
        </w:r>
        <w:r w:rsidR="00CA6AB1" w:rsidRPr="00CA6AB1">
          <w:rPr>
            <w:webHidden/>
          </w:rPr>
        </w:r>
        <w:r w:rsidR="00CA6AB1" w:rsidRPr="00CA6AB1">
          <w:rPr>
            <w:webHidden/>
          </w:rPr>
          <w:fldChar w:fldCharType="separate"/>
        </w:r>
        <w:r w:rsidR="00AA4AB3">
          <w:rPr>
            <w:webHidden/>
          </w:rPr>
          <w:t>1</w:t>
        </w:r>
        <w:r w:rsidR="00CA6AB1" w:rsidRPr="00CA6AB1">
          <w:rPr>
            <w:webHidden/>
          </w:rPr>
          <w:fldChar w:fldCharType="end"/>
        </w:r>
      </w:hyperlink>
    </w:p>
    <w:p w14:paraId="4A15C1F2" w14:textId="151AAE00" w:rsidR="00CA6AB1" w:rsidRPr="00CA6AB1" w:rsidRDefault="000D5F76">
      <w:pPr>
        <w:pStyle w:val="TOC1"/>
        <w:rPr>
          <w:rFonts w:eastAsiaTheme="minorEastAsia" w:cstheme="minorBidi"/>
          <w:b w:val="0"/>
          <w:bCs w:val="0"/>
          <w:sz w:val="22"/>
          <w:szCs w:val="22"/>
        </w:rPr>
      </w:pPr>
      <w:hyperlink w:anchor="_Toc52533787" w:history="1">
        <w:r w:rsidR="00CA6AB1" w:rsidRPr="00CA6AB1">
          <w:rPr>
            <w:rStyle w:val="Hyperlink"/>
          </w:rPr>
          <w:t>Section 2</w:t>
        </w:r>
        <w:r w:rsidR="00496920">
          <w:rPr>
            <w:rStyle w:val="Hyperlink"/>
          </w:rPr>
          <w:br/>
        </w:r>
        <w:r w:rsidR="00CA6AB1" w:rsidRPr="00CA6AB1">
          <w:rPr>
            <w:rStyle w:val="Hyperlink"/>
          </w:rPr>
          <w:t>Background and Purpose of the 2019 Anbaric Economic Study</w:t>
        </w:r>
        <w:r w:rsidR="00CA6AB1" w:rsidRPr="00CA6AB1">
          <w:rPr>
            <w:webHidden/>
          </w:rPr>
          <w:tab/>
        </w:r>
        <w:r w:rsidR="00CA6AB1" w:rsidRPr="00CA6AB1">
          <w:rPr>
            <w:webHidden/>
          </w:rPr>
          <w:fldChar w:fldCharType="begin"/>
        </w:r>
        <w:r w:rsidR="00CA6AB1" w:rsidRPr="00CA6AB1">
          <w:rPr>
            <w:webHidden/>
          </w:rPr>
          <w:instrText xml:space="preserve"> PAGEREF _Toc52533787 \h </w:instrText>
        </w:r>
        <w:r w:rsidR="00CA6AB1" w:rsidRPr="00CA6AB1">
          <w:rPr>
            <w:webHidden/>
          </w:rPr>
        </w:r>
        <w:r w:rsidR="00CA6AB1" w:rsidRPr="00CA6AB1">
          <w:rPr>
            <w:webHidden/>
          </w:rPr>
          <w:fldChar w:fldCharType="separate"/>
        </w:r>
        <w:r w:rsidR="00AA4AB3">
          <w:rPr>
            <w:webHidden/>
          </w:rPr>
          <w:t>1</w:t>
        </w:r>
        <w:r w:rsidR="00CA6AB1" w:rsidRPr="00CA6AB1">
          <w:rPr>
            <w:webHidden/>
          </w:rPr>
          <w:fldChar w:fldCharType="end"/>
        </w:r>
      </w:hyperlink>
    </w:p>
    <w:p w14:paraId="3FBE4B50" w14:textId="3B91F52A" w:rsidR="00CA6AB1" w:rsidRPr="00CA6AB1" w:rsidRDefault="000D5F76">
      <w:pPr>
        <w:pStyle w:val="TOC1"/>
        <w:rPr>
          <w:rFonts w:eastAsiaTheme="minorEastAsia" w:cstheme="minorBidi"/>
          <w:b w:val="0"/>
          <w:bCs w:val="0"/>
          <w:sz w:val="22"/>
          <w:szCs w:val="22"/>
        </w:rPr>
      </w:pPr>
      <w:hyperlink w:anchor="_Toc52533788" w:history="1">
        <w:r w:rsidR="00CA6AB1" w:rsidRPr="00CA6AB1">
          <w:rPr>
            <w:rStyle w:val="Hyperlink"/>
          </w:rPr>
          <w:t>Section 3</w:t>
        </w:r>
        <w:r w:rsidR="00496920">
          <w:rPr>
            <w:rStyle w:val="Hyperlink"/>
          </w:rPr>
          <w:br/>
        </w:r>
        <w:r w:rsidR="00CA6AB1" w:rsidRPr="00CA6AB1">
          <w:rPr>
            <w:rStyle w:val="Hyperlink"/>
          </w:rPr>
          <w:t>Scenarios</w:t>
        </w:r>
        <w:r w:rsidR="00CA6AB1" w:rsidRPr="00CA6AB1">
          <w:rPr>
            <w:webHidden/>
          </w:rPr>
          <w:tab/>
        </w:r>
        <w:r w:rsidR="00CA6AB1" w:rsidRPr="00CA6AB1">
          <w:rPr>
            <w:webHidden/>
          </w:rPr>
          <w:fldChar w:fldCharType="begin"/>
        </w:r>
        <w:r w:rsidR="00CA6AB1" w:rsidRPr="00CA6AB1">
          <w:rPr>
            <w:webHidden/>
          </w:rPr>
          <w:instrText xml:space="preserve"> PAGEREF _Toc52533788 \h </w:instrText>
        </w:r>
        <w:r w:rsidR="00CA6AB1" w:rsidRPr="00CA6AB1">
          <w:rPr>
            <w:webHidden/>
          </w:rPr>
        </w:r>
        <w:r w:rsidR="00CA6AB1" w:rsidRPr="00CA6AB1">
          <w:rPr>
            <w:webHidden/>
          </w:rPr>
          <w:fldChar w:fldCharType="separate"/>
        </w:r>
        <w:r w:rsidR="00AA4AB3">
          <w:rPr>
            <w:webHidden/>
          </w:rPr>
          <w:t>3</w:t>
        </w:r>
        <w:r w:rsidR="00CA6AB1" w:rsidRPr="00CA6AB1">
          <w:rPr>
            <w:webHidden/>
          </w:rPr>
          <w:fldChar w:fldCharType="end"/>
        </w:r>
      </w:hyperlink>
    </w:p>
    <w:p w14:paraId="025C1335" w14:textId="69772AD1" w:rsidR="00CA6AB1" w:rsidRPr="00CA6AB1" w:rsidRDefault="000D5F76">
      <w:pPr>
        <w:pStyle w:val="TOC1"/>
        <w:rPr>
          <w:rFonts w:eastAsiaTheme="minorEastAsia" w:cstheme="minorBidi"/>
          <w:b w:val="0"/>
          <w:bCs w:val="0"/>
          <w:sz w:val="22"/>
          <w:szCs w:val="22"/>
        </w:rPr>
      </w:pPr>
      <w:hyperlink w:anchor="_Toc52533789" w:history="1">
        <w:r w:rsidR="00CA6AB1" w:rsidRPr="00CA6AB1">
          <w:rPr>
            <w:rStyle w:val="Hyperlink"/>
          </w:rPr>
          <w:t>Section 4</w:t>
        </w:r>
        <w:r w:rsidR="00496920">
          <w:rPr>
            <w:rStyle w:val="Hyperlink"/>
          </w:rPr>
          <w:br/>
        </w:r>
        <w:r w:rsidR="00CA6AB1" w:rsidRPr="00CA6AB1">
          <w:rPr>
            <w:rStyle w:val="Hyperlink"/>
          </w:rPr>
          <w:t>Methodology and Assumptions</w:t>
        </w:r>
        <w:r w:rsidR="00CA6AB1" w:rsidRPr="00CA6AB1">
          <w:rPr>
            <w:webHidden/>
          </w:rPr>
          <w:tab/>
        </w:r>
        <w:r w:rsidR="00CA6AB1" w:rsidRPr="00CA6AB1">
          <w:rPr>
            <w:webHidden/>
          </w:rPr>
          <w:fldChar w:fldCharType="begin"/>
        </w:r>
        <w:r w:rsidR="00CA6AB1" w:rsidRPr="00CA6AB1">
          <w:rPr>
            <w:webHidden/>
          </w:rPr>
          <w:instrText xml:space="preserve"> PAGEREF _Toc52533789 \h </w:instrText>
        </w:r>
        <w:r w:rsidR="00CA6AB1" w:rsidRPr="00CA6AB1">
          <w:rPr>
            <w:webHidden/>
          </w:rPr>
        </w:r>
        <w:r w:rsidR="00CA6AB1" w:rsidRPr="00CA6AB1">
          <w:rPr>
            <w:webHidden/>
          </w:rPr>
          <w:fldChar w:fldCharType="separate"/>
        </w:r>
        <w:r w:rsidR="00AA4AB3">
          <w:rPr>
            <w:webHidden/>
          </w:rPr>
          <w:t>7</w:t>
        </w:r>
        <w:r w:rsidR="00CA6AB1" w:rsidRPr="00CA6AB1">
          <w:rPr>
            <w:webHidden/>
          </w:rPr>
          <w:fldChar w:fldCharType="end"/>
        </w:r>
      </w:hyperlink>
    </w:p>
    <w:p w14:paraId="2159953F" w14:textId="1BB2769C" w:rsidR="00CA6AB1" w:rsidRPr="00CA6AB1" w:rsidRDefault="000D5F76">
      <w:pPr>
        <w:pStyle w:val="TOC2"/>
        <w:rPr>
          <w:rFonts w:eastAsiaTheme="minorEastAsia" w:cstheme="minorBidi"/>
          <w:bCs w:val="0"/>
          <w:sz w:val="22"/>
          <w:szCs w:val="22"/>
        </w:rPr>
      </w:pPr>
      <w:hyperlink w:anchor="_Toc52533790" w:history="1">
        <w:r w:rsidR="00CA6AB1" w:rsidRPr="00CA6AB1">
          <w:rPr>
            <w:rStyle w:val="Hyperlink"/>
          </w:rPr>
          <w:t>4.1 Modeling Tools and Methodology</w:t>
        </w:r>
        <w:r w:rsidR="00CA6AB1" w:rsidRPr="00CA6AB1">
          <w:rPr>
            <w:webHidden/>
          </w:rPr>
          <w:tab/>
        </w:r>
        <w:r w:rsidR="00CA6AB1" w:rsidRPr="00CA6AB1">
          <w:rPr>
            <w:webHidden/>
          </w:rPr>
          <w:fldChar w:fldCharType="begin"/>
        </w:r>
        <w:r w:rsidR="00CA6AB1" w:rsidRPr="00CA6AB1">
          <w:rPr>
            <w:webHidden/>
          </w:rPr>
          <w:instrText xml:space="preserve"> PAGEREF _Toc52533790 \h </w:instrText>
        </w:r>
        <w:r w:rsidR="00CA6AB1" w:rsidRPr="00CA6AB1">
          <w:rPr>
            <w:webHidden/>
          </w:rPr>
        </w:r>
        <w:r w:rsidR="00CA6AB1" w:rsidRPr="00CA6AB1">
          <w:rPr>
            <w:webHidden/>
          </w:rPr>
          <w:fldChar w:fldCharType="separate"/>
        </w:r>
        <w:r w:rsidR="00AA4AB3">
          <w:rPr>
            <w:webHidden/>
          </w:rPr>
          <w:t>7</w:t>
        </w:r>
        <w:r w:rsidR="00CA6AB1" w:rsidRPr="00CA6AB1">
          <w:rPr>
            <w:webHidden/>
          </w:rPr>
          <w:fldChar w:fldCharType="end"/>
        </w:r>
      </w:hyperlink>
    </w:p>
    <w:p w14:paraId="04BF6630" w14:textId="287CFA9E" w:rsidR="00CA6AB1" w:rsidRPr="00CA6AB1" w:rsidRDefault="000D5F76">
      <w:pPr>
        <w:pStyle w:val="TOC2"/>
        <w:rPr>
          <w:rFonts w:eastAsiaTheme="minorEastAsia" w:cstheme="minorBidi"/>
          <w:bCs w:val="0"/>
          <w:sz w:val="22"/>
          <w:szCs w:val="22"/>
        </w:rPr>
      </w:pPr>
      <w:hyperlink w:anchor="_Toc52533791" w:history="1">
        <w:r w:rsidR="00CA6AB1" w:rsidRPr="00CA6AB1">
          <w:rPr>
            <w:rStyle w:val="Hyperlink"/>
          </w:rPr>
          <w:t>4.2 Assumptions</w:t>
        </w:r>
        <w:r w:rsidR="00CA6AB1" w:rsidRPr="00CA6AB1">
          <w:rPr>
            <w:webHidden/>
          </w:rPr>
          <w:tab/>
        </w:r>
        <w:r w:rsidR="00CA6AB1" w:rsidRPr="00CA6AB1">
          <w:rPr>
            <w:webHidden/>
          </w:rPr>
          <w:fldChar w:fldCharType="begin"/>
        </w:r>
        <w:r w:rsidR="00CA6AB1" w:rsidRPr="00CA6AB1">
          <w:rPr>
            <w:webHidden/>
          </w:rPr>
          <w:instrText xml:space="preserve"> PAGEREF _Toc52533791 \h </w:instrText>
        </w:r>
        <w:r w:rsidR="00CA6AB1" w:rsidRPr="00CA6AB1">
          <w:rPr>
            <w:webHidden/>
          </w:rPr>
        </w:r>
        <w:r w:rsidR="00CA6AB1" w:rsidRPr="00CA6AB1">
          <w:rPr>
            <w:webHidden/>
          </w:rPr>
          <w:fldChar w:fldCharType="separate"/>
        </w:r>
        <w:r w:rsidR="00AA4AB3">
          <w:rPr>
            <w:webHidden/>
          </w:rPr>
          <w:t>8</w:t>
        </w:r>
        <w:r w:rsidR="00CA6AB1" w:rsidRPr="00CA6AB1">
          <w:rPr>
            <w:webHidden/>
          </w:rPr>
          <w:fldChar w:fldCharType="end"/>
        </w:r>
      </w:hyperlink>
    </w:p>
    <w:p w14:paraId="3DBFF0D1" w14:textId="5DA73EDC" w:rsidR="00CA6AB1" w:rsidRPr="00CA6AB1" w:rsidRDefault="000D5F76">
      <w:pPr>
        <w:pStyle w:val="TOC3"/>
        <w:rPr>
          <w:rFonts w:asciiTheme="minorHAnsi" w:eastAsiaTheme="minorEastAsia" w:hAnsiTheme="minorHAnsi" w:cstheme="minorBidi"/>
          <w:noProof/>
          <w:sz w:val="22"/>
          <w:szCs w:val="22"/>
        </w:rPr>
      </w:pPr>
      <w:hyperlink w:anchor="_Toc52533792" w:history="1">
        <w:r w:rsidR="00CA6AB1" w:rsidRPr="00CA6AB1">
          <w:rPr>
            <w:rStyle w:val="Hyperlink"/>
            <w:noProof/>
            <w14:scene3d>
              <w14:camera w14:prst="orthographicFront"/>
              <w14:lightRig w14:rig="threePt" w14:dir="t">
                <w14:rot w14:lat="0" w14:lon="0" w14:rev="0"/>
              </w14:lightRig>
            </w14:scene3d>
          </w:rPr>
          <w:t>4.2.1</w:t>
        </w:r>
        <w:r w:rsidR="00CA6AB1" w:rsidRPr="00CA6AB1">
          <w:rPr>
            <w:rStyle w:val="Hyperlink"/>
            <w:noProof/>
          </w:rPr>
          <w:t xml:space="preserve"> Parameters for Unconstrained and Constrained Transmission Simulations</w:t>
        </w:r>
        <w:r w:rsidR="00CA6AB1" w:rsidRPr="00CA6AB1">
          <w:rPr>
            <w:noProof/>
            <w:webHidden/>
          </w:rPr>
          <w:tab/>
        </w:r>
        <w:r w:rsidR="00CA6AB1" w:rsidRPr="00CA6AB1">
          <w:rPr>
            <w:noProof/>
            <w:webHidden/>
          </w:rPr>
          <w:fldChar w:fldCharType="begin"/>
        </w:r>
        <w:r w:rsidR="00CA6AB1" w:rsidRPr="00CA6AB1">
          <w:rPr>
            <w:noProof/>
            <w:webHidden/>
          </w:rPr>
          <w:instrText xml:space="preserve"> PAGEREF _Toc52533792 \h </w:instrText>
        </w:r>
        <w:r w:rsidR="00CA6AB1" w:rsidRPr="00CA6AB1">
          <w:rPr>
            <w:noProof/>
            <w:webHidden/>
          </w:rPr>
        </w:r>
        <w:r w:rsidR="00CA6AB1" w:rsidRPr="00CA6AB1">
          <w:rPr>
            <w:noProof/>
            <w:webHidden/>
          </w:rPr>
          <w:fldChar w:fldCharType="separate"/>
        </w:r>
        <w:r w:rsidR="00AA4AB3">
          <w:rPr>
            <w:noProof/>
            <w:webHidden/>
          </w:rPr>
          <w:t>8</w:t>
        </w:r>
        <w:r w:rsidR="00CA6AB1" w:rsidRPr="00CA6AB1">
          <w:rPr>
            <w:noProof/>
            <w:webHidden/>
          </w:rPr>
          <w:fldChar w:fldCharType="end"/>
        </w:r>
      </w:hyperlink>
    </w:p>
    <w:p w14:paraId="0786504E" w14:textId="7423785A" w:rsidR="00CA6AB1" w:rsidRPr="00CA6AB1" w:rsidRDefault="000D5F76">
      <w:pPr>
        <w:pStyle w:val="TOC3"/>
        <w:rPr>
          <w:rFonts w:asciiTheme="minorHAnsi" w:eastAsiaTheme="minorEastAsia" w:hAnsiTheme="minorHAnsi" w:cstheme="minorBidi"/>
          <w:noProof/>
          <w:sz w:val="22"/>
          <w:szCs w:val="22"/>
        </w:rPr>
      </w:pPr>
      <w:hyperlink w:anchor="_Toc52533793" w:history="1">
        <w:r w:rsidR="00CA6AB1" w:rsidRPr="00CA6AB1">
          <w:rPr>
            <w:rStyle w:val="Hyperlink"/>
            <w:noProof/>
            <w14:scene3d>
              <w14:camera w14:prst="orthographicFront"/>
              <w14:lightRig w14:rig="threePt" w14:dir="t">
                <w14:rot w14:lat="0" w14:lon="0" w14:rev="0"/>
              </w14:lightRig>
            </w14:scene3d>
          </w:rPr>
          <w:t>4.2.2</w:t>
        </w:r>
        <w:r w:rsidR="00CA6AB1" w:rsidRPr="00CA6AB1">
          <w:rPr>
            <w:rStyle w:val="Hyperlink"/>
            <w:noProof/>
          </w:rPr>
          <w:t xml:space="preserve"> Interchanges with Neighboring Systems</w:t>
        </w:r>
        <w:r w:rsidR="00CA6AB1" w:rsidRPr="00CA6AB1">
          <w:rPr>
            <w:noProof/>
            <w:webHidden/>
          </w:rPr>
          <w:tab/>
        </w:r>
        <w:r w:rsidR="00CA6AB1" w:rsidRPr="00CA6AB1">
          <w:rPr>
            <w:noProof/>
            <w:webHidden/>
          </w:rPr>
          <w:fldChar w:fldCharType="begin"/>
        </w:r>
        <w:r w:rsidR="00CA6AB1" w:rsidRPr="00CA6AB1">
          <w:rPr>
            <w:noProof/>
            <w:webHidden/>
          </w:rPr>
          <w:instrText xml:space="preserve"> PAGEREF _Toc52533793 \h </w:instrText>
        </w:r>
        <w:r w:rsidR="00CA6AB1" w:rsidRPr="00CA6AB1">
          <w:rPr>
            <w:noProof/>
            <w:webHidden/>
          </w:rPr>
        </w:r>
        <w:r w:rsidR="00CA6AB1" w:rsidRPr="00CA6AB1">
          <w:rPr>
            <w:noProof/>
            <w:webHidden/>
          </w:rPr>
          <w:fldChar w:fldCharType="separate"/>
        </w:r>
        <w:r w:rsidR="00AA4AB3">
          <w:rPr>
            <w:noProof/>
            <w:webHidden/>
          </w:rPr>
          <w:t>9</w:t>
        </w:r>
        <w:r w:rsidR="00CA6AB1" w:rsidRPr="00CA6AB1">
          <w:rPr>
            <w:noProof/>
            <w:webHidden/>
          </w:rPr>
          <w:fldChar w:fldCharType="end"/>
        </w:r>
      </w:hyperlink>
    </w:p>
    <w:p w14:paraId="46C373A9" w14:textId="0FCD0D42" w:rsidR="00CA6AB1" w:rsidRPr="00CA6AB1" w:rsidRDefault="000D5F76">
      <w:pPr>
        <w:pStyle w:val="TOC3"/>
        <w:rPr>
          <w:rFonts w:asciiTheme="minorHAnsi" w:eastAsiaTheme="minorEastAsia" w:hAnsiTheme="minorHAnsi" w:cstheme="minorBidi"/>
          <w:noProof/>
          <w:sz w:val="22"/>
          <w:szCs w:val="22"/>
        </w:rPr>
      </w:pPr>
      <w:hyperlink w:anchor="_Toc52533794" w:history="1">
        <w:r w:rsidR="00CA6AB1" w:rsidRPr="00CA6AB1">
          <w:rPr>
            <w:rStyle w:val="Hyperlink"/>
            <w:noProof/>
            <w14:scene3d>
              <w14:camera w14:prst="orthographicFront"/>
              <w14:lightRig w14:rig="threePt" w14:dir="t">
                <w14:rot w14:lat="0" w14:lon="0" w14:rev="0"/>
              </w14:lightRig>
            </w14:scene3d>
          </w:rPr>
          <w:t>4.2.3</w:t>
        </w:r>
        <w:r w:rsidR="00CA6AB1" w:rsidRPr="00CA6AB1">
          <w:rPr>
            <w:rStyle w:val="Hyperlink"/>
            <w:noProof/>
          </w:rPr>
          <w:t xml:space="preserve"> Weather-Year Assumptions</w:t>
        </w:r>
        <w:r w:rsidR="00CA6AB1" w:rsidRPr="00CA6AB1">
          <w:rPr>
            <w:noProof/>
            <w:webHidden/>
          </w:rPr>
          <w:tab/>
        </w:r>
        <w:r w:rsidR="00CA6AB1" w:rsidRPr="00CA6AB1">
          <w:rPr>
            <w:noProof/>
            <w:webHidden/>
          </w:rPr>
          <w:fldChar w:fldCharType="begin"/>
        </w:r>
        <w:r w:rsidR="00CA6AB1" w:rsidRPr="00CA6AB1">
          <w:rPr>
            <w:noProof/>
            <w:webHidden/>
          </w:rPr>
          <w:instrText xml:space="preserve"> PAGEREF _Toc52533794 \h </w:instrText>
        </w:r>
        <w:r w:rsidR="00CA6AB1" w:rsidRPr="00CA6AB1">
          <w:rPr>
            <w:noProof/>
            <w:webHidden/>
          </w:rPr>
        </w:r>
        <w:r w:rsidR="00CA6AB1" w:rsidRPr="00CA6AB1">
          <w:rPr>
            <w:noProof/>
            <w:webHidden/>
          </w:rPr>
          <w:fldChar w:fldCharType="separate"/>
        </w:r>
        <w:r w:rsidR="00AA4AB3">
          <w:rPr>
            <w:noProof/>
            <w:webHidden/>
          </w:rPr>
          <w:t>10</w:t>
        </w:r>
        <w:r w:rsidR="00CA6AB1" w:rsidRPr="00CA6AB1">
          <w:rPr>
            <w:noProof/>
            <w:webHidden/>
          </w:rPr>
          <w:fldChar w:fldCharType="end"/>
        </w:r>
      </w:hyperlink>
    </w:p>
    <w:p w14:paraId="5339047E" w14:textId="48825A7E" w:rsidR="00CA6AB1" w:rsidRPr="00CA6AB1" w:rsidRDefault="000D5F76">
      <w:pPr>
        <w:pStyle w:val="TOC3"/>
        <w:rPr>
          <w:rFonts w:asciiTheme="minorHAnsi" w:eastAsiaTheme="minorEastAsia" w:hAnsiTheme="minorHAnsi" w:cstheme="minorBidi"/>
          <w:noProof/>
          <w:sz w:val="22"/>
          <w:szCs w:val="22"/>
        </w:rPr>
      </w:pPr>
      <w:hyperlink w:anchor="_Toc52533795" w:history="1">
        <w:r w:rsidR="00CA6AB1" w:rsidRPr="00CA6AB1">
          <w:rPr>
            <w:rStyle w:val="Hyperlink"/>
            <w:noProof/>
            <w14:scene3d>
              <w14:camera w14:prst="orthographicFront"/>
              <w14:lightRig w14:rig="threePt" w14:dir="t">
                <w14:rot w14:lat="0" w14:lon="0" w14:rev="0"/>
              </w14:lightRig>
            </w14:scene3d>
          </w:rPr>
          <w:t>4.2.4</w:t>
        </w:r>
        <w:r w:rsidR="00CA6AB1" w:rsidRPr="00CA6AB1">
          <w:rPr>
            <w:rStyle w:val="Hyperlink"/>
            <w:noProof/>
          </w:rPr>
          <w:t xml:space="preserve"> Energy Storage and Electrification Load Assumptions</w:t>
        </w:r>
        <w:r w:rsidR="00CA6AB1" w:rsidRPr="00CA6AB1">
          <w:rPr>
            <w:noProof/>
            <w:webHidden/>
          </w:rPr>
          <w:tab/>
        </w:r>
        <w:r w:rsidR="00CA6AB1" w:rsidRPr="00CA6AB1">
          <w:rPr>
            <w:noProof/>
            <w:webHidden/>
          </w:rPr>
          <w:fldChar w:fldCharType="begin"/>
        </w:r>
        <w:r w:rsidR="00CA6AB1" w:rsidRPr="00CA6AB1">
          <w:rPr>
            <w:noProof/>
            <w:webHidden/>
          </w:rPr>
          <w:instrText xml:space="preserve"> PAGEREF _Toc52533795 \h </w:instrText>
        </w:r>
        <w:r w:rsidR="00CA6AB1" w:rsidRPr="00CA6AB1">
          <w:rPr>
            <w:noProof/>
            <w:webHidden/>
          </w:rPr>
        </w:r>
        <w:r w:rsidR="00CA6AB1" w:rsidRPr="00CA6AB1">
          <w:rPr>
            <w:noProof/>
            <w:webHidden/>
          </w:rPr>
          <w:fldChar w:fldCharType="separate"/>
        </w:r>
        <w:r w:rsidR="00AA4AB3">
          <w:rPr>
            <w:noProof/>
            <w:webHidden/>
          </w:rPr>
          <w:t>10</w:t>
        </w:r>
        <w:r w:rsidR="00CA6AB1" w:rsidRPr="00CA6AB1">
          <w:rPr>
            <w:noProof/>
            <w:webHidden/>
          </w:rPr>
          <w:fldChar w:fldCharType="end"/>
        </w:r>
      </w:hyperlink>
    </w:p>
    <w:p w14:paraId="4D6E3768" w14:textId="4BD6727B" w:rsidR="00CA6AB1" w:rsidRPr="00CA6AB1" w:rsidRDefault="000D5F76">
      <w:pPr>
        <w:pStyle w:val="TOC3"/>
        <w:rPr>
          <w:rFonts w:asciiTheme="minorHAnsi" w:eastAsiaTheme="minorEastAsia" w:hAnsiTheme="minorHAnsi" w:cstheme="minorBidi"/>
          <w:noProof/>
          <w:sz w:val="22"/>
          <w:szCs w:val="22"/>
        </w:rPr>
      </w:pPr>
      <w:hyperlink w:anchor="_Toc52533796" w:history="1">
        <w:r w:rsidR="00CA6AB1" w:rsidRPr="00CA6AB1">
          <w:rPr>
            <w:rStyle w:val="Hyperlink"/>
            <w:noProof/>
            <w14:scene3d>
              <w14:camera w14:prst="orthographicFront"/>
              <w14:lightRig w14:rig="threePt" w14:dir="t">
                <w14:rot w14:lat="0" w14:lon="0" w14:rev="0"/>
              </w14:lightRig>
            </w14:scene3d>
          </w:rPr>
          <w:t>4.2.5</w:t>
        </w:r>
        <w:r w:rsidR="00CA6AB1" w:rsidRPr="00CA6AB1">
          <w:rPr>
            <w:rStyle w:val="Hyperlink"/>
            <w:noProof/>
          </w:rPr>
          <w:t xml:space="preserve"> Resource Threshold Prices</w:t>
        </w:r>
        <w:r w:rsidR="00CA6AB1" w:rsidRPr="00CA6AB1">
          <w:rPr>
            <w:noProof/>
            <w:webHidden/>
          </w:rPr>
          <w:tab/>
        </w:r>
        <w:r w:rsidR="00CA6AB1" w:rsidRPr="00CA6AB1">
          <w:rPr>
            <w:noProof/>
            <w:webHidden/>
          </w:rPr>
          <w:fldChar w:fldCharType="begin"/>
        </w:r>
        <w:r w:rsidR="00CA6AB1" w:rsidRPr="00CA6AB1">
          <w:rPr>
            <w:noProof/>
            <w:webHidden/>
          </w:rPr>
          <w:instrText xml:space="preserve"> PAGEREF _Toc52533796 \h </w:instrText>
        </w:r>
        <w:r w:rsidR="00CA6AB1" w:rsidRPr="00CA6AB1">
          <w:rPr>
            <w:noProof/>
            <w:webHidden/>
          </w:rPr>
        </w:r>
        <w:r w:rsidR="00CA6AB1" w:rsidRPr="00CA6AB1">
          <w:rPr>
            <w:noProof/>
            <w:webHidden/>
          </w:rPr>
          <w:fldChar w:fldCharType="separate"/>
        </w:r>
        <w:r w:rsidR="00AA4AB3">
          <w:rPr>
            <w:noProof/>
            <w:webHidden/>
          </w:rPr>
          <w:t>11</w:t>
        </w:r>
        <w:r w:rsidR="00CA6AB1" w:rsidRPr="00CA6AB1">
          <w:rPr>
            <w:noProof/>
            <w:webHidden/>
          </w:rPr>
          <w:fldChar w:fldCharType="end"/>
        </w:r>
      </w:hyperlink>
    </w:p>
    <w:p w14:paraId="18505E43" w14:textId="7CF2C94C" w:rsidR="00CA6AB1" w:rsidRPr="00CA6AB1" w:rsidRDefault="000D5F76">
      <w:pPr>
        <w:pStyle w:val="TOC1"/>
        <w:rPr>
          <w:rFonts w:eastAsiaTheme="minorEastAsia" w:cstheme="minorBidi"/>
          <w:b w:val="0"/>
          <w:bCs w:val="0"/>
          <w:sz w:val="22"/>
          <w:szCs w:val="22"/>
        </w:rPr>
      </w:pPr>
      <w:hyperlink w:anchor="_Toc52533797" w:history="1">
        <w:r w:rsidR="00CA6AB1" w:rsidRPr="00CA6AB1">
          <w:rPr>
            <w:rStyle w:val="Hyperlink"/>
          </w:rPr>
          <w:t>Section 5</w:t>
        </w:r>
        <w:r w:rsidR="00496920">
          <w:rPr>
            <w:rStyle w:val="Hyperlink"/>
          </w:rPr>
          <w:br/>
        </w:r>
        <w:r w:rsidR="00CA6AB1" w:rsidRPr="00CA6AB1">
          <w:rPr>
            <w:rStyle w:val="Hyperlink"/>
          </w:rPr>
          <w:t>Key Observations</w:t>
        </w:r>
        <w:r w:rsidR="00CA6AB1" w:rsidRPr="00CA6AB1">
          <w:rPr>
            <w:webHidden/>
          </w:rPr>
          <w:tab/>
        </w:r>
        <w:r w:rsidR="00CA6AB1" w:rsidRPr="00CA6AB1">
          <w:rPr>
            <w:webHidden/>
          </w:rPr>
          <w:fldChar w:fldCharType="begin"/>
        </w:r>
        <w:r w:rsidR="00CA6AB1" w:rsidRPr="00CA6AB1">
          <w:rPr>
            <w:webHidden/>
          </w:rPr>
          <w:instrText xml:space="preserve"> PAGEREF _Toc52533797 \h </w:instrText>
        </w:r>
        <w:r w:rsidR="00CA6AB1" w:rsidRPr="00CA6AB1">
          <w:rPr>
            <w:webHidden/>
          </w:rPr>
        </w:r>
        <w:r w:rsidR="00CA6AB1" w:rsidRPr="00CA6AB1">
          <w:rPr>
            <w:webHidden/>
          </w:rPr>
          <w:fldChar w:fldCharType="separate"/>
        </w:r>
        <w:r w:rsidR="00AA4AB3">
          <w:rPr>
            <w:webHidden/>
          </w:rPr>
          <w:t>13</w:t>
        </w:r>
        <w:r w:rsidR="00CA6AB1" w:rsidRPr="00CA6AB1">
          <w:rPr>
            <w:webHidden/>
          </w:rPr>
          <w:fldChar w:fldCharType="end"/>
        </w:r>
      </w:hyperlink>
    </w:p>
    <w:p w14:paraId="5E3CDCC5" w14:textId="0921690A" w:rsidR="00CA6AB1" w:rsidRPr="00CA6AB1" w:rsidRDefault="000D5F76">
      <w:pPr>
        <w:pStyle w:val="TOC2"/>
        <w:rPr>
          <w:rFonts w:eastAsiaTheme="minorEastAsia" w:cstheme="minorBidi"/>
          <w:bCs w:val="0"/>
          <w:sz w:val="22"/>
          <w:szCs w:val="22"/>
        </w:rPr>
      </w:pPr>
      <w:hyperlink w:anchor="_Toc52533798" w:history="1">
        <w:r w:rsidR="00CA6AB1" w:rsidRPr="00CA6AB1">
          <w:rPr>
            <w:rStyle w:val="Hyperlink"/>
          </w:rPr>
          <w:t>5.1 Oversupply (Spillage)</w:t>
        </w:r>
        <w:r w:rsidR="00CA6AB1" w:rsidRPr="00CA6AB1">
          <w:rPr>
            <w:webHidden/>
          </w:rPr>
          <w:tab/>
        </w:r>
        <w:r w:rsidR="00CA6AB1" w:rsidRPr="00CA6AB1">
          <w:rPr>
            <w:webHidden/>
          </w:rPr>
          <w:fldChar w:fldCharType="begin"/>
        </w:r>
        <w:r w:rsidR="00CA6AB1" w:rsidRPr="00CA6AB1">
          <w:rPr>
            <w:webHidden/>
          </w:rPr>
          <w:instrText xml:space="preserve"> PAGEREF _Toc52533798 \h </w:instrText>
        </w:r>
        <w:r w:rsidR="00CA6AB1" w:rsidRPr="00CA6AB1">
          <w:rPr>
            <w:webHidden/>
          </w:rPr>
        </w:r>
        <w:r w:rsidR="00CA6AB1" w:rsidRPr="00CA6AB1">
          <w:rPr>
            <w:webHidden/>
          </w:rPr>
          <w:fldChar w:fldCharType="separate"/>
        </w:r>
        <w:r w:rsidR="00AA4AB3">
          <w:rPr>
            <w:webHidden/>
          </w:rPr>
          <w:t>14</w:t>
        </w:r>
        <w:r w:rsidR="00CA6AB1" w:rsidRPr="00CA6AB1">
          <w:rPr>
            <w:webHidden/>
          </w:rPr>
          <w:fldChar w:fldCharType="end"/>
        </w:r>
      </w:hyperlink>
    </w:p>
    <w:p w14:paraId="5FEE66C1" w14:textId="61C764FF" w:rsidR="00CA6AB1" w:rsidRPr="00CA6AB1" w:rsidRDefault="000D5F76">
      <w:pPr>
        <w:pStyle w:val="TOC2"/>
        <w:rPr>
          <w:rFonts w:eastAsiaTheme="minorEastAsia" w:cstheme="minorBidi"/>
          <w:bCs w:val="0"/>
          <w:sz w:val="22"/>
          <w:szCs w:val="22"/>
        </w:rPr>
      </w:pPr>
      <w:hyperlink w:anchor="_Toc52533799" w:history="1">
        <w:r w:rsidR="00CA6AB1" w:rsidRPr="00CA6AB1">
          <w:rPr>
            <w:rStyle w:val="Hyperlink"/>
          </w:rPr>
          <w:t>5.2 Systemwide Production Costs</w:t>
        </w:r>
        <w:r w:rsidR="00CA6AB1" w:rsidRPr="00CA6AB1">
          <w:rPr>
            <w:webHidden/>
          </w:rPr>
          <w:tab/>
        </w:r>
        <w:r w:rsidR="00CA6AB1" w:rsidRPr="00CA6AB1">
          <w:rPr>
            <w:webHidden/>
          </w:rPr>
          <w:fldChar w:fldCharType="begin"/>
        </w:r>
        <w:r w:rsidR="00CA6AB1" w:rsidRPr="00CA6AB1">
          <w:rPr>
            <w:webHidden/>
          </w:rPr>
          <w:instrText xml:space="preserve"> PAGEREF _Toc52533799 \h </w:instrText>
        </w:r>
        <w:r w:rsidR="00CA6AB1" w:rsidRPr="00CA6AB1">
          <w:rPr>
            <w:webHidden/>
          </w:rPr>
        </w:r>
        <w:r w:rsidR="00CA6AB1" w:rsidRPr="00CA6AB1">
          <w:rPr>
            <w:webHidden/>
          </w:rPr>
          <w:fldChar w:fldCharType="separate"/>
        </w:r>
        <w:r w:rsidR="00AA4AB3">
          <w:rPr>
            <w:webHidden/>
          </w:rPr>
          <w:t>17</w:t>
        </w:r>
        <w:r w:rsidR="00CA6AB1" w:rsidRPr="00CA6AB1">
          <w:rPr>
            <w:webHidden/>
          </w:rPr>
          <w:fldChar w:fldCharType="end"/>
        </w:r>
      </w:hyperlink>
    </w:p>
    <w:p w14:paraId="57E8D73F" w14:textId="397A659A" w:rsidR="00CA6AB1" w:rsidRPr="00CA6AB1" w:rsidRDefault="000D5F76">
      <w:pPr>
        <w:pStyle w:val="TOC2"/>
        <w:rPr>
          <w:rFonts w:eastAsiaTheme="minorEastAsia" w:cstheme="minorBidi"/>
          <w:bCs w:val="0"/>
          <w:sz w:val="22"/>
          <w:szCs w:val="22"/>
        </w:rPr>
      </w:pPr>
      <w:hyperlink w:anchor="_Toc52533800" w:history="1">
        <w:r w:rsidR="00CA6AB1" w:rsidRPr="00CA6AB1">
          <w:rPr>
            <w:rStyle w:val="Hyperlink"/>
          </w:rPr>
          <w:t>5.3 Annual Average Locational Marginal Prices</w:t>
        </w:r>
        <w:r w:rsidR="00CA6AB1" w:rsidRPr="00CA6AB1">
          <w:rPr>
            <w:webHidden/>
          </w:rPr>
          <w:tab/>
        </w:r>
        <w:r w:rsidR="00CA6AB1" w:rsidRPr="00CA6AB1">
          <w:rPr>
            <w:webHidden/>
          </w:rPr>
          <w:fldChar w:fldCharType="begin"/>
        </w:r>
        <w:r w:rsidR="00CA6AB1" w:rsidRPr="00CA6AB1">
          <w:rPr>
            <w:webHidden/>
          </w:rPr>
          <w:instrText xml:space="preserve"> PAGEREF _Toc52533800 \h </w:instrText>
        </w:r>
        <w:r w:rsidR="00CA6AB1" w:rsidRPr="00CA6AB1">
          <w:rPr>
            <w:webHidden/>
          </w:rPr>
        </w:r>
        <w:r w:rsidR="00CA6AB1" w:rsidRPr="00CA6AB1">
          <w:rPr>
            <w:webHidden/>
          </w:rPr>
          <w:fldChar w:fldCharType="separate"/>
        </w:r>
        <w:r w:rsidR="00AA4AB3">
          <w:rPr>
            <w:webHidden/>
          </w:rPr>
          <w:t>19</w:t>
        </w:r>
        <w:r w:rsidR="00CA6AB1" w:rsidRPr="00CA6AB1">
          <w:rPr>
            <w:webHidden/>
          </w:rPr>
          <w:fldChar w:fldCharType="end"/>
        </w:r>
      </w:hyperlink>
    </w:p>
    <w:p w14:paraId="1A9683A0" w14:textId="27988C0E" w:rsidR="00CA6AB1" w:rsidRPr="00CA6AB1" w:rsidRDefault="000D5F76">
      <w:pPr>
        <w:pStyle w:val="TOC2"/>
        <w:rPr>
          <w:rFonts w:eastAsiaTheme="minorEastAsia" w:cstheme="minorBidi"/>
          <w:bCs w:val="0"/>
          <w:sz w:val="22"/>
          <w:szCs w:val="22"/>
        </w:rPr>
      </w:pPr>
      <w:hyperlink w:anchor="_Toc52533801" w:history="1">
        <w:r w:rsidR="00CA6AB1" w:rsidRPr="00CA6AB1">
          <w:rPr>
            <w:rStyle w:val="Hyperlink"/>
          </w:rPr>
          <w:t>5.4 Load-Serving Entity Energy Expense and Uplift Costs</w:t>
        </w:r>
        <w:r w:rsidR="00CA6AB1" w:rsidRPr="00CA6AB1">
          <w:rPr>
            <w:webHidden/>
          </w:rPr>
          <w:tab/>
        </w:r>
        <w:r w:rsidR="00CA6AB1" w:rsidRPr="00CA6AB1">
          <w:rPr>
            <w:webHidden/>
          </w:rPr>
          <w:fldChar w:fldCharType="begin"/>
        </w:r>
        <w:r w:rsidR="00CA6AB1" w:rsidRPr="00CA6AB1">
          <w:rPr>
            <w:webHidden/>
          </w:rPr>
          <w:instrText xml:space="preserve"> PAGEREF _Toc52533801 \h </w:instrText>
        </w:r>
        <w:r w:rsidR="00CA6AB1" w:rsidRPr="00CA6AB1">
          <w:rPr>
            <w:webHidden/>
          </w:rPr>
        </w:r>
        <w:r w:rsidR="00CA6AB1" w:rsidRPr="00CA6AB1">
          <w:rPr>
            <w:webHidden/>
          </w:rPr>
          <w:fldChar w:fldCharType="separate"/>
        </w:r>
        <w:r w:rsidR="00AA4AB3">
          <w:rPr>
            <w:webHidden/>
          </w:rPr>
          <w:t>19</w:t>
        </w:r>
        <w:r w:rsidR="00CA6AB1" w:rsidRPr="00CA6AB1">
          <w:rPr>
            <w:webHidden/>
          </w:rPr>
          <w:fldChar w:fldCharType="end"/>
        </w:r>
      </w:hyperlink>
    </w:p>
    <w:p w14:paraId="1B444EA5" w14:textId="2241B706" w:rsidR="00CA6AB1" w:rsidRPr="00CA6AB1" w:rsidRDefault="000D5F76">
      <w:pPr>
        <w:pStyle w:val="TOC2"/>
        <w:rPr>
          <w:rFonts w:eastAsiaTheme="minorEastAsia" w:cstheme="minorBidi"/>
          <w:bCs w:val="0"/>
          <w:sz w:val="22"/>
          <w:szCs w:val="22"/>
        </w:rPr>
      </w:pPr>
      <w:hyperlink w:anchor="_Toc52533802" w:history="1">
        <w:r w:rsidR="00CA6AB1" w:rsidRPr="00CA6AB1">
          <w:rPr>
            <w:rStyle w:val="Hyperlink"/>
          </w:rPr>
          <w:t>5.5 Native New England Resource CO</w:t>
        </w:r>
        <w:r w:rsidR="00CA6AB1" w:rsidRPr="00CA6AB1">
          <w:rPr>
            <w:rStyle w:val="Hyperlink"/>
            <w:vertAlign w:val="subscript"/>
          </w:rPr>
          <w:t>2</w:t>
        </w:r>
        <w:r w:rsidR="00CA6AB1" w:rsidRPr="00CA6AB1">
          <w:rPr>
            <w:rStyle w:val="Hyperlink"/>
          </w:rPr>
          <w:t xml:space="preserve"> Emissions</w:t>
        </w:r>
        <w:r w:rsidR="00CA6AB1" w:rsidRPr="00CA6AB1">
          <w:rPr>
            <w:webHidden/>
          </w:rPr>
          <w:tab/>
        </w:r>
        <w:r w:rsidR="00CA6AB1" w:rsidRPr="00CA6AB1">
          <w:rPr>
            <w:webHidden/>
          </w:rPr>
          <w:fldChar w:fldCharType="begin"/>
        </w:r>
        <w:r w:rsidR="00CA6AB1" w:rsidRPr="00CA6AB1">
          <w:rPr>
            <w:webHidden/>
          </w:rPr>
          <w:instrText xml:space="preserve"> PAGEREF _Toc52533802 \h </w:instrText>
        </w:r>
        <w:r w:rsidR="00CA6AB1" w:rsidRPr="00CA6AB1">
          <w:rPr>
            <w:webHidden/>
          </w:rPr>
        </w:r>
        <w:r w:rsidR="00CA6AB1" w:rsidRPr="00CA6AB1">
          <w:rPr>
            <w:webHidden/>
          </w:rPr>
          <w:fldChar w:fldCharType="separate"/>
        </w:r>
        <w:r w:rsidR="00AA4AB3">
          <w:rPr>
            <w:webHidden/>
          </w:rPr>
          <w:t>20</w:t>
        </w:r>
        <w:r w:rsidR="00CA6AB1" w:rsidRPr="00CA6AB1">
          <w:rPr>
            <w:webHidden/>
          </w:rPr>
          <w:fldChar w:fldCharType="end"/>
        </w:r>
      </w:hyperlink>
    </w:p>
    <w:p w14:paraId="2689C84A" w14:textId="4E173506" w:rsidR="00CA6AB1" w:rsidRPr="00CA6AB1" w:rsidRDefault="000D5F76">
      <w:pPr>
        <w:pStyle w:val="TOC2"/>
        <w:rPr>
          <w:rFonts w:eastAsiaTheme="minorEastAsia" w:cstheme="minorBidi"/>
          <w:bCs w:val="0"/>
          <w:sz w:val="22"/>
          <w:szCs w:val="22"/>
        </w:rPr>
      </w:pPr>
      <w:hyperlink w:anchor="_Toc52533803" w:history="1">
        <w:r w:rsidR="00CA6AB1" w:rsidRPr="00CA6AB1">
          <w:rPr>
            <w:rStyle w:val="Hyperlink"/>
          </w:rPr>
          <w:t>5.6 Congestion by Interface</w:t>
        </w:r>
        <w:r w:rsidR="00CA6AB1" w:rsidRPr="00CA6AB1">
          <w:rPr>
            <w:webHidden/>
          </w:rPr>
          <w:tab/>
        </w:r>
        <w:r w:rsidR="00CA6AB1" w:rsidRPr="00CA6AB1">
          <w:rPr>
            <w:webHidden/>
          </w:rPr>
          <w:fldChar w:fldCharType="begin"/>
        </w:r>
        <w:r w:rsidR="00CA6AB1" w:rsidRPr="00CA6AB1">
          <w:rPr>
            <w:webHidden/>
          </w:rPr>
          <w:instrText xml:space="preserve"> PAGEREF _Toc52533803 \h </w:instrText>
        </w:r>
        <w:r w:rsidR="00CA6AB1" w:rsidRPr="00CA6AB1">
          <w:rPr>
            <w:webHidden/>
          </w:rPr>
        </w:r>
        <w:r w:rsidR="00CA6AB1" w:rsidRPr="00CA6AB1">
          <w:rPr>
            <w:webHidden/>
          </w:rPr>
          <w:fldChar w:fldCharType="separate"/>
        </w:r>
        <w:r w:rsidR="00AA4AB3">
          <w:rPr>
            <w:webHidden/>
          </w:rPr>
          <w:t>21</w:t>
        </w:r>
        <w:r w:rsidR="00CA6AB1" w:rsidRPr="00CA6AB1">
          <w:rPr>
            <w:webHidden/>
          </w:rPr>
          <w:fldChar w:fldCharType="end"/>
        </w:r>
      </w:hyperlink>
    </w:p>
    <w:p w14:paraId="0ED58924" w14:textId="6B5A0AD5" w:rsidR="00CA6AB1" w:rsidRPr="00CA6AB1" w:rsidRDefault="000D5F76">
      <w:pPr>
        <w:pStyle w:val="TOC1"/>
        <w:rPr>
          <w:rFonts w:eastAsiaTheme="minorEastAsia" w:cstheme="minorBidi"/>
          <w:b w:val="0"/>
          <w:bCs w:val="0"/>
          <w:sz w:val="22"/>
          <w:szCs w:val="22"/>
        </w:rPr>
      </w:pPr>
      <w:hyperlink w:anchor="_Toc52533804" w:history="1">
        <w:r w:rsidR="00CA6AB1" w:rsidRPr="00CA6AB1">
          <w:rPr>
            <w:rStyle w:val="Hyperlink"/>
          </w:rPr>
          <w:t>Section 6</w:t>
        </w:r>
        <w:r w:rsidR="00496920">
          <w:rPr>
            <w:rStyle w:val="Hyperlink"/>
          </w:rPr>
          <w:br/>
        </w:r>
        <w:r w:rsidR="00CA6AB1" w:rsidRPr="00CA6AB1">
          <w:rPr>
            <w:rStyle w:val="Hyperlink"/>
          </w:rPr>
          <w:t>Summary</w:t>
        </w:r>
        <w:r w:rsidR="00CA6AB1" w:rsidRPr="00CA6AB1">
          <w:rPr>
            <w:webHidden/>
          </w:rPr>
          <w:tab/>
        </w:r>
        <w:r w:rsidR="00CA6AB1" w:rsidRPr="00CA6AB1">
          <w:rPr>
            <w:webHidden/>
          </w:rPr>
          <w:fldChar w:fldCharType="begin"/>
        </w:r>
        <w:r w:rsidR="00CA6AB1" w:rsidRPr="00CA6AB1">
          <w:rPr>
            <w:webHidden/>
          </w:rPr>
          <w:instrText xml:space="preserve"> PAGEREF _Toc52533804 \h </w:instrText>
        </w:r>
        <w:r w:rsidR="00CA6AB1" w:rsidRPr="00CA6AB1">
          <w:rPr>
            <w:webHidden/>
          </w:rPr>
        </w:r>
        <w:r w:rsidR="00CA6AB1" w:rsidRPr="00CA6AB1">
          <w:rPr>
            <w:webHidden/>
          </w:rPr>
          <w:fldChar w:fldCharType="separate"/>
        </w:r>
        <w:r w:rsidR="00AA4AB3">
          <w:rPr>
            <w:webHidden/>
          </w:rPr>
          <w:t>23</w:t>
        </w:r>
        <w:r w:rsidR="00CA6AB1" w:rsidRPr="00CA6AB1">
          <w:rPr>
            <w:webHidden/>
          </w:rPr>
          <w:fldChar w:fldCharType="end"/>
        </w:r>
      </w:hyperlink>
    </w:p>
    <w:p w14:paraId="30FADDC8" w14:textId="77777777" w:rsidR="00F565D2" w:rsidRPr="00CA6AB1" w:rsidRDefault="00CD7DBD" w:rsidP="00E04C9D">
      <w:pPr>
        <w:spacing w:after="120" w:line="240" w:lineRule="auto"/>
        <w:rPr>
          <w:rFonts w:ascii="Calibri" w:hAnsi="Calibri" w:cstheme="majorHAnsi"/>
          <w:szCs w:val="20"/>
        </w:rPr>
        <w:sectPr w:rsidR="00F565D2" w:rsidRPr="00CA6AB1" w:rsidSect="001E2301">
          <w:footerReference w:type="default" r:id="rId20"/>
          <w:pgSz w:w="12240" w:h="15840" w:code="1"/>
          <w:pgMar w:top="1440" w:right="1440" w:bottom="1440" w:left="1440" w:header="720" w:footer="720" w:gutter="0"/>
          <w:pgNumType w:fmt="lowerRoman" w:start="3"/>
          <w:cols w:space="720"/>
          <w:docGrid w:linePitch="360"/>
        </w:sectPr>
      </w:pPr>
      <w:r w:rsidRPr="00CA6AB1">
        <w:rPr>
          <w:rFonts w:ascii="Calibri" w:hAnsi="Calibri" w:cstheme="minorHAnsi"/>
          <w:szCs w:val="20"/>
        </w:rPr>
        <w:fldChar w:fldCharType="end"/>
      </w:r>
    </w:p>
    <w:p w14:paraId="231B01DF" w14:textId="77777777" w:rsidR="00F565D2" w:rsidRPr="00CA6AB1" w:rsidRDefault="00F565D2" w:rsidP="001F5E1A">
      <w:pPr>
        <w:adjustRightInd/>
        <w:spacing w:after="120" w:line="240" w:lineRule="auto"/>
        <w:textAlignment w:val="auto"/>
        <w:outlineLvl w:val="0"/>
        <w:rPr>
          <w:rFonts w:ascii="Calibri" w:hAnsi="Calibri" w:cs="Arial"/>
          <w:b/>
          <w:bCs/>
          <w:color w:val="0C95D2"/>
          <w:sz w:val="36"/>
          <w:szCs w:val="36"/>
        </w:rPr>
      </w:pPr>
      <w:bookmarkStart w:id="16" w:name="_Toc173682257"/>
      <w:bookmarkStart w:id="17" w:name="_Toc52533784"/>
      <w:r w:rsidRPr="00CA6AB1">
        <w:rPr>
          <w:rFonts w:ascii="Calibri" w:hAnsi="Calibri" w:cs="Arial"/>
          <w:b/>
          <w:bCs/>
          <w:color w:val="0C95D2"/>
          <w:sz w:val="36"/>
          <w:szCs w:val="36"/>
        </w:rPr>
        <w:t>Figures</w:t>
      </w:r>
      <w:bookmarkEnd w:id="16"/>
      <w:bookmarkEnd w:id="17"/>
    </w:p>
    <w:p w14:paraId="5E239509" w14:textId="5195C48B" w:rsidR="00CA6AB1" w:rsidRPr="00496920" w:rsidRDefault="00CD7DBD">
      <w:pPr>
        <w:pStyle w:val="TableofFigures"/>
        <w:rPr>
          <w:rFonts w:asciiTheme="minorHAnsi" w:eastAsiaTheme="minorEastAsia" w:hAnsiTheme="minorHAnsi" w:cstheme="minorBidi"/>
          <w:b w:val="0"/>
          <w:sz w:val="22"/>
          <w:szCs w:val="22"/>
        </w:rPr>
      </w:pPr>
      <w:r w:rsidRPr="00496920">
        <w:rPr>
          <w:rFonts w:asciiTheme="minorHAnsi" w:hAnsiTheme="minorHAnsi"/>
          <w:b w:val="0"/>
        </w:rPr>
        <w:fldChar w:fldCharType="begin"/>
      </w:r>
      <w:r w:rsidRPr="00496920">
        <w:rPr>
          <w:rFonts w:asciiTheme="minorHAnsi" w:hAnsiTheme="minorHAnsi"/>
          <w:b w:val="0"/>
        </w:rPr>
        <w:instrText xml:space="preserve"> TOC \h \z \c "Figure" </w:instrText>
      </w:r>
      <w:r w:rsidRPr="00496920">
        <w:rPr>
          <w:rFonts w:asciiTheme="minorHAnsi" w:hAnsiTheme="minorHAnsi"/>
          <w:b w:val="0"/>
        </w:rPr>
        <w:fldChar w:fldCharType="separate"/>
      </w:r>
      <w:hyperlink w:anchor="_Toc52533805" w:history="1">
        <w:r w:rsidR="00CA6AB1" w:rsidRPr="00496920">
          <w:rPr>
            <w:rStyle w:val="Hyperlink"/>
            <w:b w:val="0"/>
          </w:rPr>
          <w:t>Figure 4</w:t>
        </w:r>
        <w:r w:rsidR="00CA6AB1" w:rsidRPr="00496920">
          <w:rPr>
            <w:rStyle w:val="Hyperlink"/>
            <w:b w:val="0"/>
          </w:rPr>
          <w:noBreakHyphen/>
          <w:t xml:space="preserve">1: </w:t>
        </w:r>
        <w:r w:rsidR="00496920">
          <w:rPr>
            <w:rStyle w:val="Hyperlink"/>
            <w:b w:val="0"/>
          </w:rPr>
          <w:tab/>
        </w:r>
        <w:r w:rsidR="00CA6AB1" w:rsidRPr="00496920">
          <w:rPr>
            <w:rStyle w:val="Hyperlink"/>
            <w:b w:val="0"/>
          </w:rPr>
          <w:t>US Bureau of Ocean Energy Management lease areas showing the location</w:t>
        </w:r>
        <w:r w:rsidR="00931AC7">
          <w:rPr>
            <w:rStyle w:val="Hyperlink"/>
            <w:b w:val="0"/>
          </w:rPr>
          <w:br/>
        </w:r>
        <w:r w:rsidR="00CA6AB1" w:rsidRPr="00496920">
          <w:rPr>
            <w:rStyle w:val="Hyperlink"/>
            <w:b w:val="0"/>
          </w:rPr>
          <w:t>of</w:t>
        </w:r>
        <w:r w:rsidR="00931AC7">
          <w:rPr>
            <w:rStyle w:val="Hyperlink"/>
            <w:b w:val="0"/>
          </w:rPr>
          <w:t xml:space="preserve"> </w:t>
        </w:r>
        <w:r w:rsidR="00CA6AB1" w:rsidRPr="00496920">
          <w:rPr>
            <w:rStyle w:val="Hyperlink"/>
            <w:b w:val="0"/>
          </w:rPr>
          <w:t>offshore wind</w:t>
        </w:r>
        <w:r w:rsidR="00931AC7">
          <w:rPr>
            <w:rStyle w:val="Hyperlink"/>
            <w:b w:val="0"/>
          </w:rPr>
          <w:t xml:space="preserve"> </w:t>
        </w:r>
        <w:r w:rsidR="00CA6AB1" w:rsidRPr="00496920">
          <w:rPr>
            <w:rStyle w:val="Hyperlink"/>
            <w:b w:val="0"/>
          </w:rPr>
          <w:t>sites and interconnection points used for the preliminary results.</w:t>
        </w:r>
        <w:r w:rsidR="00CA6AB1" w:rsidRPr="00496920">
          <w:rPr>
            <w:b w:val="0"/>
            <w:webHidden/>
          </w:rPr>
          <w:tab/>
        </w:r>
        <w:r w:rsidR="00CA6AB1" w:rsidRPr="00496920">
          <w:rPr>
            <w:b w:val="0"/>
            <w:webHidden/>
          </w:rPr>
          <w:fldChar w:fldCharType="begin"/>
        </w:r>
        <w:r w:rsidR="00CA6AB1" w:rsidRPr="00496920">
          <w:rPr>
            <w:b w:val="0"/>
            <w:webHidden/>
          </w:rPr>
          <w:instrText xml:space="preserve"> PAGEREF _Toc52533805 \h </w:instrText>
        </w:r>
        <w:r w:rsidR="00CA6AB1" w:rsidRPr="00496920">
          <w:rPr>
            <w:b w:val="0"/>
            <w:webHidden/>
          </w:rPr>
        </w:r>
        <w:r w:rsidR="00CA6AB1" w:rsidRPr="00496920">
          <w:rPr>
            <w:b w:val="0"/>
            <w:webHidden/>
          </w:rPr>
          <w:fldChar w:fldCharType="separate"/>
        </w:r>
        <w:r w:rsidR="00AA4AB3">
          <w:rPr>
            <w:b w:val="0"/>
            <w:webHidden/>
          </w:rPr>
          <w:t>5</w:t>
        </w:r>
        <w:r w:rsidR="00CA6AB1" w:rsidRPr="00496920">
          <w:rPr>
            <w:b w:val="0"/>
            <w:webHidden/>
          </w:rPr>
          <w:fldChar w:fldCharType="end"/>
        </w:r>
      </w:hyperlink>
    </w:p>
    <w:p w14:paraId="16196FFC" w14:textId="79A1DD50" w:rsidR="00CA6AB1" w:rsidRPr="00496920" w:rsidRDefault="000D5F76">
      <w:pPr>
        <w:pStyle w:val="TableofFigures"/>
        <w:rPr>
          <w:rFonts w:asciiTheme="minorHAnsi" w:eastAsiaTheme="minorEastAsia" w:hAnsiTheme="minorHAnsi" w:cstheme="minorBidi"/>
          <w:b w:val="0"/>
          <w:sz w:val="22"/>
          <w:szCs w:val="22"/>
        </w:rPr>
      </w:pPr>
      <w:hyperlink w:anchor="_Toc52533806" w:history="1">
        <w:r w:rsidR="00CA6AB1" w:rsidRPr="00496920">
          <w:rPr>
            <w:rStyle w:val="Hyperlink"/>
            <w:b w:val="0"/>
          </w:rPr>
          <w:t>Figure 4</w:t>
        </w:r>
        <w:r w:rsidR="00CA6AB1" w:rsidRPr="00496920">
          <w:rPr>
            <w:rStyle w:val="Hyperlink"/>
            <w:b w:val="0"/>
          </w:rPr>
          <w:noBreakHyphen/>
          <w:t xml:space="preserve">1: </w:t>
        </w:r>
        <w:r w:rsidR="00496920">
          <w:rPr>
            <w:rStyle w:val="Hyperlink"/>
            <w:b w:val="0"/>
          </w:rPr>
          <w:tab/>
        </w:r>
        <w:r w:rsidR="00CA6AB1" w:rsidRPr="00496920">
          <w:rPr>
            <w:rStyle w:val="Hyperlink"/>
            <w:b w:val="0"/>
          </w:rPr>
          <w:t>Assumed New England system representation for the 2030 study year.</w:t>
        </w:r>
        <w:r w:rsidR="00CA6AB1" w:rsidRPr="00496920">
          <w:rPr>
            <w:b w:val="0"/>
            <w:webHidden/>
          </w:rPr>
          <w:tab/>
        </w:r>
        <w:r w:rsidR="00CA6AB1" w:rsidRPr="00496920">
          <w:rPr>
            <w:b w:val="0"/>
            <w:webHidden/>
          </w:rPr>
          <w:fldChar w:fldCharType="begin"/>
        </w:r>
        <w:r w:rsidR="00CA6AB1" w:rsidRPr="00496920">
          <w:rPr>
            <w:b w:val="0"/>
            <w:webHidden/>
          </w:rPr>
          <w:instrText xml:space="preserve"> PAGEREF _Toc52533806 \h </w:instrText>
        </w:r>
        <w:r w:rsidR="00CA6AB1" w:rsidRPr="00496920">
          <w:rPr>
            <w:b w:val="0"/>
            <w:webHidden/>
          </w:rPr>
        </w:r>
        <w:r w:rsidR="00CA6AB1" w:rsidRPr="00496920">
          <w:rPr>
            <w:b w:val="0"/>
            <w:webHidden/>
          </w:rPr>
          <w:fldChar w:fldCharType="separate"/>
        </w:r>
        <w:r w:rsidR="00AA4AB3">
          <w:rPr>
            <w:b w:val="0"/>
            <w:webHidden/>
          </w:rPr>
          <w:t>9</w:t>
        </w:r>
        <w:r w:rsidR="00CA6AB1" w:rsidRPr="00496920">
          <w:rPr>
            <w:b w:val="0"/>
            <w:webHidden/>
          </w:rPr>
          <w:fldChar w:fldCharType="end"/>
        </w:r>
      </w:hyperlink>
    </w:p>
    <w:p w14:paraId="68E9D7BB" w14:textId="51B43794" w:rsidR="00CA6AB1" w:rsidRPr="00496920" w:rsidRDefault="000D5F76">
      <w:pPr>
        <w:pStyle w:val="TableofFigures"/>
        <w:rPr>
          <w:rFonts w:asciiTheme="minorHAnsi" w:eastAsiaTheme="minorEastAsia" w:hAnsiTheme="minorHAnsi" w:cstheme="minorBidi"/>
          <w:b w:val="0"/>
          <w:sz w:val="22"/>
          <w:szCs w:val="22"/>
        </w:rPr>
      </w:pPr>
      <w:hyperlink w:anchor="_Toc52533807" w:history="1">
        <w:r w:rsidR="00CA6AB1" w:rsidRPr="00496920">
          <w:rPr>
            <w:rStyle w:val="Hyperlink"/>
            <w:b w:val="0"/>
          </w:rPr>
          <w:t>Figure 4</w:t>
        </w:r>
        <w:r w:rsidR="00CA6AB1" w:rsidRPr="00496920">
          <w:rPr>
            <w:rStyle w:val="Hyperlink"/>
            <w:b w:val="0"/>
          </w:rPr>
          <w:noBreakHyphen/>
          <w:t xml:space="preserve">2: </w:t>
        </w:r>
        <w:r w:rsidR="00496920">
          <w:rPr>
            <w:rStyle w:val="Hyperlink"/>
            <w:b w:val="0"/>
          </w:rPr>
          <w:tab/>
        </w:r>
        <w:r w:rsidR="00CA6AB1" w:rsidRPr="00496920">
          <w:rPr>
            <w:rStyle w:val="Hyperlink"/>
            <w:b w:val="0"/>
          </w:rPr>
          <w:t>Annual average daily charging profile (13.2 k</w:t>
        </w:r>
        <w:r w:rsidR="00496920">
          <w:rPr>
            <w:rStyle w:val="Hyperlink"/>
            <w:b w:val="0"/>
          </w:rPr>
          <w:t xml:space="preserve">Wh </w:t>
        </w:r>
        <w:r w:rsidR="00CA6AB1" w:rsidRPr="00496920">
          <w:rPr>
            <w:rStyle w:val="Hyperlink"/>
            <w:b w:val="0"/>
          </w:rPr>
          <w:t>per vehicle per day).</w:t>
        </w:r>
        <w:r w:rsidR="00CA6AB1" w:rsidRPr="00496920">
          <w:rPr>
            <w:b w:val="0"/>
            <w:webHidden/>
          </w:rPr>
          <w:tab/>
        </w:r>
        <w:r w:rsidR="00CA6AB1" w:rsidRPr="00496920">
          <w:rPr>
            <w:b w:val="0"/>
            <w:webHidden/>
          </w:rPr>
          <w:fldChar w:fldCharType="begin"/>
        </w:r>
        <w:r w:rsidR="00CA6AB1" w:rsidRPr="00496920">
          <w:rPr>
            <w:b w:val="0"/>
            <w:webHidden/>
          </w:rPr>
          <w:instrText xml:space="preserve"> PAGEREF _Toc52533807 \h </w:instrText>
        </w:r>
        <w:r w:rsidR="00CA6AB1" w:rsidRPr="00496920">
          <w:rPr>
            <w:b w:val="0"/>
            <w:webHidden/>
          </w:rPr>
        </w:r>
        <w:r w:rsidR="00CA6AB1" w:rsidRPr="00496920">
          <w:rPr>
            <w:b w:val="0"/>
            <w:webHidden/>
          </w:rPr>
          <w:fldChar w:fldCharType="separate"/>
        </w:r>
        <w:r w:rsidR="00AA4AB3">
          <w:rPr>
            <w:b w:val="0"/>
            <w:webHidden/>
          </w:rPr>
          <w:t>11</w:t>
        </w:r>
        <w:r w:rsidR="00CA6AB1" w:rsidRPr="00496920">
          <w:rPr>
            <w:b w:val="0"/>
            <w:webHidden/>
          </w:rPr>
          <w:fldChar w:fldCharType="end"/>
        </w:r>
      </w:hyperlink>
    </w:p>
    <w:p w14:paraId="6E06222F" w14:textId="09C509CD" w:rsidR="00CA6AB1" w:rsidRPr="00496920" w:rsidRDefault="000D5F76">
      <w:pPr>
        <w:pStyle w:val="TableofFigures"/>
        <w:rPr>
          <w:rFonts w:asciiTheme="minorHAnsi" w:eastAsiaTheme="minorEastAsia" w:hAnsiTheme="minorHAnsi" w:cstheme="minorBidi"/>
          <w:b w:val="0"/>
          <w:sz w:val="22"/>
          <w:szCs w:val="22"/>
        </w:rPr>
      </w:pPr>
      <w:hyperlink w:anchor="_Toc52533808" w:history="1">
        <w:r w:rsidR="00CA6AB1" w:rsidRPr="00496920">
          <w:rPr>
            <w:rStyle w:val="Hyperlink"/>
            <w:b w:val="0"/>
          </w:rPr>
          <w:t>Figure 5</w:t>
        </w:r>
        <w:r w:rsidR="00CA6AB1" w:rsidRPr="00496920">
          <w:rPr>
            <w:rStyle w:val="Hyperlink"/>
            <w:b w:val="0"/>
          </w:rPr>
          <w:noBreakHyphen/>
          <w:t xml:space="preserve">1: </w:t>
        </w:r>
        <w:r w:rsidR="00496920">
          <w:rPr>
            <w:rStyle w:val="Hyperlink"/>
            <w:b w:val="0"/>
          </w:rPr>
          <w:tab/>
        </w:r>
        <w:r w:rsidR="00CA6AB1" w:rsidRPr="00496920">
          <w:rPr>
            <w:rStyle w:val="Hyperlink"/>
            <w:b w:val="0"/>
          </w:rPr>
          <w:t>Total amount of spilled resource energy (</w:t>
        </w:r>
        <w:r w:rsidR="00496920">
          <w:rPr>
            <w:rStyle w:val="Hyperlink"/>
            <w:b w:val="0"/>
          </w:rPr>
          <w:t>TWh</w:t>
        </w:r>
        <w:r w:rsidR="00CA6AB1" w:rsidRPr="00496920">
          <w:rPr>
            <w:rStyle w:val="Hyperlink"/>
            <w:b w:val="0"/>
          </w:rPr>
          <w:t>) by scenario studied.</w:t>
        </w:r>
        <w:r w:rsidR="00CA6AB1" w:rsidRPr="00496920">
          <w:rPr>
            <w:b w:val="0"/>
            <w:webHidden/>
          </w:rPr>
          <w:tab/>
        </w:r>
        <w:r w:rsidR="00CA6AB1" w:rsidRPr="00496920">
          <w:rPr>
            <w:b w:val="0"/>
            <w:webHidden/>
          </w:rPr>
          <w:fldChar w:fldCharType="begin"/>
        </w:r>
        <w:r w:rsidR="00CA6AB1" w:rsidRPr="00496920">
          <w:rPr>
            <w:b w:val="0"/>
            <w:webHidden/>
          </w:rPr>
          <w:instrText xml:space="preserve"> PAGEREF _Toc52533808 \h </w:instrText>
        </w:r>
        <w:r w:rsidR="00CA6AB1" w:rsidRPr="00496920">
          <w:rPr>
            <w:b w:val="0"/>
            <w:webHidden/>
          </w:rPr>
        </w:r>
        <w:r w:rsidR="00CA6AB1" w:rsidRPr="00496920">
          <w:rPr>
            <w:b w:val="0"/>
            <w:webHidden/>
          </w:rPr>
          <w:fldChar w:fldCharType="separate"/>
        </w:r>
        <w:r w:rsidR="00AA4AB3">
          <w:rPr>
            <w:b w:val="0"/>
            <w:webHidden/>
          </w:rPr>
          <w:t>15</w:t>
        </w:r>
        <w:r w:rsidR="00CA6AB1" w:rsidRPr="00496920">
          <w:rPr>
            <w:b w:val="0"/>
            <w:webHidden/>
          </w:rPr>
          <w:fldChar w:fldCharType="end"/>
        </w:r>
      </w:hyperlink>
    </w:p>
    <w:p w14:paraId="7C5A4B93" w14:textId="6715B990" w:rsidR="00CA6AB1" w:rsidRPr="00496920" w:rsidRDefault="000D5F76">
      <w:pPr>
        <w:pStyle w:val="TableofFigures"/>
        <w:rPr>
          <w:rFonts w:asciiTheme="minorHAnsi" w:eastAsiaTheme="minorEastAsia" w:hAnsiTheme="minorHAnsi" w:cstheme="minorBidi"/>
          <w:b w:val="0"/>
          <w:sz w:val="22"/>
          <w:szCs w:val="22"/>
        </w:rPr>
      </w:pPr>
      <w:hyperlink w:anchor="_Toc52533809" w:history="1">
        <w:r w:rsidR="00CA6AB1" w:rsidRPr="00496920">
          <w:rPr>
            <w:rStyle w:val="Hyperlink"/>
            <w:b w:val="0"/>
          </w:rPr>
          <w:t>Figure 5</w:t>
        </w:r>
        <w:r w:rsidR="00CA6AB1" w:rsidRPr="00496920">
          <w:rPr>
            <w:rStyle w:val="Hyperlink"/>
            <w:b w:val="0"/>
          </w:rPr>
          <w:noBreakHyphen/>
          <w:t xml:space="preserve">2: </w:t>
        </w:r>
        <w:r w:rsidR="00496920">
          <w:rPr>
            <w:rStyle w:val="Hyperlink"/>
            <w:b w:val="0"/>
          </w:rPr>
          <w:tab/>
        </w:r>
        <w:r w:rsidR="00CA6AB1" w:rsidRPr="00496920">
          <w:rPr>
            <w:rStyle w:val="Hyperlink"/>
            <w:b w:val="0"/>
          </w:rPr>
          <w:t>Monthly spilled resource energy (TWh) for the 8,000 MW constrained scenario.</w:t>
        </w:r>
        <w:r w:rsidR="00CA6AB1" w:rsidRPr="00496920">
          <w:rPr>
            <w:b w:val="0"/>
            <w:webHidden/>
          </w:rPr>
          <w:tab/>
        </w:r>
        <w:r w:rsidR="00CA6AB1" w:rsidRPr="00496920">
          <w:rPr>
            <w:b w:val="0"/>
            <w:webHidden/>
          </w:rPr>
          <w:fldChar w:fldCharType="begin"/>
        </w:r>
        <w:r w:rsidR="00CA6AB1" w:rsidRPr="00496920">
          <w:rPr>
            <w:b w:val="0"/>
            <w:webHidden/>
          </w:rPr>
          <w:instrText xml:space="preserve"> PAGEREF _Toc52533809 \h </w:instrText>
        </w:r>
        <w:r w:rsidR="00CA6AB1" w:rsidRPr="00496920">
          <w:rPr>
            <w:b w:val="0"/>
            <w:webHidden/>
          </w:rPr>
        </w:r>
        <w:r w:rsidR="00CA6AB1" w:rsidRPr="00496920">
          <w:rPr>
            <w:b w:val="0"/>
            <w:webHidden/>
          </w:rPr>
          <w:fldChar w:fldCharType="separate"/>
        </w:r>
        <w:r w:rsidR="00AA4AB3">
          <w:rPr>
            <w:b w:val="0"/>
            <w:webHidden/>
          </w:rPr>
          <w:t>16</w:t>
        </w:r>
        <w:r w:rsidR="00CA6AB1" w:rsidRPr="00496920">
          <w:rPr>
            <w:b w:val="0"/>
            <w:webHidden/>
          </w:rPr>
          <w:fldChar w:fldCharType="end"/>
        </w:r>
      </w:hyperlink>
    </w:p>
    <w:p w14:paraId="2F1232D3" w14:textId="477CBD14" w:rsidR="00CA6AB1" w:rsidRPr="00496920" w:rsidRDefault="000D5F76">
      <w:pPr>
        <w:pStyle w:val="TableofFigures"/>
        <w:rPr>
          <w:rFonts w:asciiTheme="minorHAnsi" w:eastAsiaTheme="minorEastAsia" w:hAnsiTheme="minorHAnsi" w:cstheme="minorBidi"/>
          <w:b w:val="0"/>
          <w:sz w:val="22"/>
          <w:szCs w:val="22"/>
        </w:rPr>
      </w:pPr>
      <w:hyperlink w:anchor="_Toc52533810" w:history="1">
        <w:r w:rsidR="00CA6AB1" w:rsidRPr="00496920">
          <w:rPr>
            <w:rStyle w:val="Hyperlink"/>
            <w:b w:val="0"/>
            <w:bCs/>
          </w:rPr>
          <w:t>Figure 5</w:t>
        </w:r>
        <w:r w:rsidR="00CA6AB1" w:rsidRPr="00496920">
          <w:rPr>
            <w:rStyle w:val="Hyperlink"/>
            <w:b w:val="0"/>
            <w:bCs/>
          </w:rPr>
          <w:noBreakHyphen/>
          <w:t xml:space="preserve">3: </w:t>
        </w:r>
        <w:r w:rsidR="00496920">
          <w:rPr>
            <w:rStyle w:val="Hyperlink"/>
            <w:b w:val="0"/>
            <w:bCs/>
          </w:rPr>
          <w:tab/>
        </w:r>
        <w:r w:rsidR="00CA6AB1" w:rsidRPr="00496920">
          <w:rPr>
            <w:rStyle w:val="Hyperlink"/>
            <w:b w:val="0"/>
            <w:bCs/>
          </w:rPr>
          <w:t>Spillage on a low-wind summer day, July 2, 2030 (MW).</w:t>
        </w:r>
        <w:r w:rsidR="00CA6AB1" w:rsidRPr="00496920">
          <w:rPr>
            <w:b w:val="0"/>
            <w:webHidden/>
          </w:rPr>
          <w:tab/>
        </w:r>
        <w:r w:rsidR="00CA6AB1" w:rsidRPr="00496920">
          <w:rPr>
            <w:b w:val="0"/>
            <w:webHidden/>
          </w:rPr>
          <w:fldChar w:fldCharType="begin"/>
        </w:r>
        <w:r w:rsidR="00CA6AB1" w:rsidRPr="00496920">
          <w:rPr>
            <w:b w:val="0"/>
            <w:webHidden/>
          </w:rPr>
          <w:instrText xml:space="preserve"> PAGEREF _Toc52533810 \h </w:instrText>
        </w:r>
        <w:r w:rsidR="00CA6AB1" w:rsidRPr="00496920">
          <w:rPr>
            <w:b w:val="0"/>
            <w:webHidden/>
          </w:rPr>
        </w:r>
        <w:r w:rsidR="00CA6AB1" w:rsidRPr="00496920">
          <w:rPr>
            <w:b w:val="0"/>
            <w:webHidden/>
          </w:rPr>
          <w:fldChar w:fldCharType="separate"/>
        </w:r>
        <w:r w:rsidR="00AA4AB3">
          <w:rPr>
            <w:b w:val="0"/>
            <w:webHidden/>
          </w:rPr>
          <w:t>16</w:t>
        </w:r>
        <w:r w:rsidR="00CA6AB1" w:rsidRPr="00496920">
          <w:rPr>
            <w:b w:val="0"/>
            <w:webHidden/>
          </w:rPr>
          <w:fldChar w:fldCharType="end"/>
        </w:r>
      </w:hyperlink>
    </w:p>
    <w:p w14:paraId="68349C32" w14:textId="176E7419" w:rsidR="00CA6AB1" w:rsidRPr="00496920" w:rsidRDefault="000D5F76">
      <w:pPr>
        <w:pStyle w:val="TableofFigures"/>
        <w:rPr>
          <w:rFonts w:asciiTheme="minorHAnsi" w:eastAsiaTheme="minorEastAsia" w:hAnsiTheme="minorHAnsi" w:cstheme="minorBidi"/>
          <w:b w:val="0"/>
          <w:sz w:val="22"/>
          <w:szCs w:val="22"/>
        </w:rPr>
      </w:pPr>
      <w:hyperlink w:anchor="_Toc52533811" w:history="1">
        <w:r w:rsidR="00CA6AB1" w:rsidRPr="00496920">
          <w:rPr>
            <w:rStyle w:val="Hyperlink"/>
            <w:rFonts w:asciiTheme="majorHAnsi" w:hAnsiTheme="majorHAnsi" w:cstheme="majorHAnsi"/>
            <w:b w:val="0"/>
          </w:rPr>
          <w:t>Figure 5</w:t>
        </w:r>
        <w:r w:rsidR="00CA6AB1" w:rsidRPr="00496920">
          <w:rPr>
            <w:rStyle w:val="Hyperlink"/>
            <w:rFonts w:asciiTheme="majorHAnsi" w:hAnsiTheme="majorHAnsi" w:cstheme="majorHAnsi"/>
            <w:b w:val="0"/>
          </w:rPr>
          <w:noBreakHyphen/>
          <w:t xml:space="preserve">4: </w:t>
        </w:r>
        <w:r w:rsidR="00496920">
          <w:rPr>
            <w:rStyle w:val="Hyperlink"/>
            <w:rFonts w:asciiTheme="majorHAnsi" w:hAnsiTheme="majorHAnsi" w:cstheme="majorHAnsi"/>
            <w:b w:val="0"/>
          </w:rPr>
          <w:tab/>
        </w:r>
        <w:r w:rsidR="00CA6AB1" w:rsidRPr="00496920">
          <w:rPr>
            <w:rStyle w:val="Hyperlink"/>
            <w:rFonts w:asciiTheme="majorHAnsi" w:hAnsiTheme="majorHAnsi" w:cstheme="majorHAnsi"/>
            <w:b w:val="0"/>
          </w:rPr>
          <w:t>Spilled offshore wind for the Anbaric 10000 and 10000_Sen scenarios, constrained</w:t>
        </w:r>
        <w:r w:rsidR="00496920">
          <w:rPr>
            <w:rStyle w:val="Hyperlink"/>
            <w:rFonts w:asciiTheme="majorHAnsi" w:hAnsiTheme="majorHAnsi" w:cstheme="majorHAnsi"/>
            <w:b w:val="0"/>
          </w:rPr>
          <w:br/>
        </w:r>
        <w:r w:rsidR="00CA6AB1" w:rsidRPr="00496920">
          <w:rPr>
            <w:rStyle w:val="Hyperlink"/>
            <w:rFonts w:asciiTheme="majorHAnsi" w:hAnsiTheme="majorHAnsi" w:cstheme="majorHAnsi"/>
            <w:b w:val="0"/>
          </w:rPr>
          <w:t>transmission.</w:t>
        </w:r>
        <w:r w:rsidR="00CA6AB1" w:rsidRPr="00496920">
          <w:rPr>
            <w:b w:val="0"/>
            <w:webHidden/>
          </w:rPr>
          <w:tab/>
        </w:r>
        <w:r w:rsidR="00CA6AB1" w:rsidRPr="00496920">
          <w:rPr>
            <w:b w:val="0"/>
            <w:webHidden/>
          </w:rPr>
          <w:fldChar w:fldCharType="begin"/>
        </w:r>
        <w:r w:rsidR="00CA6AB1" w:rsidRPr="00496920">
          <w:rPr>
            <w:b w:val="0"/>
            <w:webHidden/>
          </w:rPr>
          <w:instrText xml:space="preserve"> PAGEREF _Toc52533811 \h </w:instrText>
        </w:r>
        <w:r w:rsidR="00CA6AB1" w:rsidRPr="00496920">
          <w:rPr>
            <w:b w:val="0"/>
            <w:webHidden/>
          </w:rPr>
        </w:r>
        <w:r w:rsidR="00CA6AB1" w:rsidRPr="00496920">
          <w:rPr>
            <w:b w:val="0"/>
            <w:webHidden/>
          </w:rPr>
          <w:fldChar w:fldCharType="separate"/>
        </w:r>
        <w:r w:rsidR="00AA4AB3">
          <w:rPr>
            <w:b w:val="0"/>
            <w:webHidden/>
          </w:rPr>
          <w:t>17</w:t>
        </w:r>
        <w:r w:rsidR="00CA6AB1" w:rsidRPr="00496920">
          <w:rPr>
            <w:b w:val="0"/>
            <w:webHidden/>
          </w:rPr>
          <w:fldChar w:fldCharType="end"/>
        </w:r>
      </w:hyperlink>
    </w:p>
    <w:p w14:paraId="4559184F" w14:textId="03688FAB" w:rsidR="00CA6AB1" w:rsidRPr="00496920" w:rsidRDefault="000D5F76">
      <w:pPr>
        <w:pStyle w:val="TableofFigures"/>
        <w:rPr>
          <w:rFonts w:asciiTheme="minorHAnsi" w:eastAsiaTheme="minorEastAsia" w:hAnsiTheme="minorHAnsi" w:cstheme="minorBidi"/>
          <w:b w:val="0"/>
          <w:sz w:val="22"/>
          <w:szCs w:val="22"/>
        </w:rPr>
      </w:pPr>
      <w:hyperlink w:anchor="_Toc52533812" w:history="1">
        <w:r w:rsidR="00CA6AB1" w:rsidRPr="00496920">
          <w:rPr>
            <w:rStyle w:val="Hyperlink"/>
            <w:b w:val="0"/>
          </w:rPr>
          <w:t>Figure 5</w:t>
        </w:r>
        <w:r w:rsidR="00CA6AB1" w:rsidRPr="00496920">
          <w:rPr>
            <w:rStyle w:val="Hyperlink"/>
            <w:b w:val="0"/>
          </w:rPr>
          <w:noBreakHyphen/>
          <w:t xml:space="preserve">5: </w:t>
        </w:r>
        <w:r w:rsidR="00496920">
          <w:rPr>
            <w:rStyle w:val="Hyperlink"/>
            <w:b w:val="0"/>
          </w:rPr>
          <w:tab/>
        </w:r>
        <w:r w:rsidR="00CA6AB1" w:rsidRPr="00496920">
          <w:rPr>
            <w:rStyle w:val="Hyperlink"/>
            <w:b w:val="0"/>
          </w:rPr>
          <w:t>Systemwide production costs ($ million).</w:t>
        </w:r>
        <w:r w:rsidR="00CA6AB1" w:rsidRPr="00496920">
          <w:rPr>
            <w:b w:val="0"/>
            <w:webHidden/>
          </w:rPr>
          <w:tab/>
        </w:r>
        <w:r w:rsidR="00CA6AB1" w:rsidRPr="00496920">
          <w:rPr>
            <w:b w:val="0"/>
            <w:webHidden/>
          </w:rPr>
          <w:fldChar w:fldCharType="begin"/>
        </w:r>
        <w:r w:rsidR="00CA6AB1" w:rsidRPr="00496920">
          <w:rPr>
            <w:b w:val="0"/>
            <w:webHidden/>
          </w:rPr>
          <w:instrText xml:space="preserve"> PAGEREF _Toc52533812 \h </w:instrText>
        </w:r>
        <w:r w:rsidR="00CA6AB1" w:rsidRPr="00496920">
          <w:rPr>
            <w:b w:val="0"/>
            <w:webHidden/>
          </w:rPr>
        </w:r>
        <w:r w:rsidR="00CA6AB1" w:rsidRPr="00496920">
          <w:rPr>
            <w:b w:val="0"/>
            <w:webHidden/>
          </w:rPr>
          <w:fldChar w:fldCharType="separate"/>
        </w:r>
        <w:r w:rsidR="00AA4AB3">
          <w:rPr>
            <w:b w:val="0"/>
            <w:webHidden/>
          </w:rPr>
          <w:t>18</w:t>
        </w:r>
        <w:r w:rsidR="00CA6AB1" w:rsidRPr="00496920">
          <w:rPr>
            <w:b w:val="0"/>
            <w:webHidden/>
          </w:rPr>
          <w:fldChar w:fldCharType="end"/>
        </w:r>
      </w:hyperlink>
    </w:p>
    <w:p w14:paraId="060668FE" w14:textId="5D5C4984" w:rsidR="00CA6AB1" w:rsidRPr="00496920" w:rsidRDefault="000D5F76">
      <w:pPr>
        <w:pStyle w:val="TableofFigures"/>
        <w:rPr>
          <w:rFonts w:asciiTheme="minorHAnsi" w:eastAsiaTheme="minorEastAsia" w:hAnsiTheme="minorHAnsi" w:cstheme="minorBidi"/>
          <w:b w:val="0"/>
          <w:sz w:val="22"/>
          <w:szCs w:val="22"/>
        </w:rPr>
      </w:pPr>
      <w:hyperlink w:anchor="_Toc52533813" w:history="1">
        <w:r w:rsidR="00CA6AB1" w:rsidRPr="00496920">
          <w:rPr>
            <w:rStyle w:val="Hyperlink"/>
            <w:b w:val="0"/>
          </w:rPr>
          <w:t>Figure 5</w:t>
        </w:r>
        <w:r w:rsidR="00CA6AB1" w:rsidRPr="00496920">
          <w:rPr>
            <w:rStyle w:val="Hyperlink"/>
            <w:b w:val="0"/>
          </w:rPr>
          <w:noBreakHyphen/>
          <w:t xml:space="preserve">6: </w:t>
        </w:r>
        <w:r w:rsidR="00496920">
          <w:rPr>
            <w:rStyle w:val="Hyperlink"/>
            <w:b w:val="0"/>
          </w:rPr>
          <w:tab/>
        </w:r>
        <w:r w:rsidR="00CA6AB1" w:rsidRPr="00496920">
          <w:rPr>
            <w:rStyle w:val="Hyperlink"/>
            <w:b w:val="0"/>
          </w:rPr>
          <w:t>Annual average LMPs by RSP subarea for constrained and unconstrained cases ($/MWh).</w:t>
        </w:r>
        <w:r w:rsidR="00CA6AB1" w:rsidRPr="00496920">
          <w:rPr>
            <w:b w:val="0"/>
            <w:webHidden/>
          </w:rPr>
          <w:tab/>
        </w:r>
        <w:r w:rsidR="00CA6AB1" w:rsidRPr="00496920">
          <w:rPr>
            <w:b w:val="0"/>
            <w:webHidden/>
          </w:rPr>
          <w:fldChar w:fldCharType="begin"/>
        </w:r>
        <w:r w:rsidR="00CA6AB1" w:rsidRPr="00496920">
          <w:rPr>
            <w:b w:val="0"/>
            <w:webHidden/>
          </w:rPr>
          <w:instrText xml:space="preserve"> PAGEREF _Toc52533813 \h </w:instrText>
        </w:r>
        <w:r w:rsidR="00CA6AB1" w:rsidRPr="00496920">
          <w:rPr>
            <w:b w:val="0"/>
            <w:webHidden/>
          </w:rPr>
        </w:r>
        <w:r w:rsidR="00CA6AB1" w:rsidRPr="00496920">
          <w:rPr>
            <w:b w:val="0"/>
            <w:webHidden/>
          </w:rPr>
          <w:fldChar w:fldCharType="separate"/>
        </w:r>
        <w:r w:rsidR="00AA4AB3">
          <w:rPr>
            <w:b w:val="0"/>
            <w:webHidden/>
          </w:rPr>
          <w:t>19</w:t>
        </w:r>
        <w:r w:rsidR="00CA6AB1" w:rsidRPr="00496920">
          <w:rPr>
            <w:b w:val="0"/>
            <w:webHidden/>
          </w:rPr>
          <w:fldChar w:fldCharType="end"/>
        </w:r>
      </w:hyperlink>
    </w:p>
    <w:p w14:paraId="3EF68707" w14:textId="387D4836" w:rsidR="00CA6AB1" w:rsidRPr="00496920" w:rsidRDefault="000D5F76">
      <w:pPr>
        <w:pStyle w:val="TableofFigures"/>
        <w:rPr>
          <w:rFonts w:asciiTheme="minorHAnsi" w:eastAsiaTheme="minorEastAsia" w:hAnsiTheme="minorHAnsi" w:cstheme="minorBidi"/>
          <w:b w:val="0"/>
          <w:sz w:val="22"/>
          <w:szCs w:val="22"/>
        </w:rPr>
      </w:pPr>
      <w:hyperlink w:anchor="_Toc52533814" w:history="1">
        <w:r w:rsidR="00CA6AB1" w:rsidRPr="00496920">
          <w:rPr>
            <w:rStyle w:val="Hyperlink"/>
            <w:b w:val="0"/>
          </w:rPr>
          <w:t>Figure 5</w:t>
        </w:r>
        <w:r w:rsidR="00CA6AB1" w:rsidRPr="00496920">
          <w:rPr>
            <w:rStyle w:val="Hyperlink"/>
            <w:b w:val="0"/>
          </w:rPr>
          <w:noBreakHyphen/>
          <w:t xml:space="preserve">7: </w:t>
        </w:r>
        <w:r w:rsidR="00496920">
          <w:rPr>
            <w:rStyle w:val="Hyperlink"/>
            <w:b w:val="0"/>
          </w:rPr>
          <w:tab/>
        </w:r>
        <w:r w:rsidR="00CA6AB1" w:rsidRPr="00496920">
          <w:rPr>
            <w:rStyle w:val="Hyperlink"/>
            <w:b w:val="0"/>
          </w:rPr>
          <w:t>Load-serving entity energy expenses and uplift costs ($ million),</w:t>
        </w:r>
        <w:r w:rsidR="00496920">
          <w:rPr>
            <w:rStyle w:val="Hyperlink"/>
            <w:b w:val="0"/>
          </w:rPr>
          <w:br/>
        </w:r>
        <w:r w:rsidR="00CA6AB1" w:rsidRPr="00496920">
          <w:rPr>
            <w:rStyle w:val="Hyperlink"/>
            <w:b w:val="0"/>
          </w:rPr>
          <w:t>constrained and unconstrained ($ million).</w:t>
        </w:r>
        <w:r w:rsidR="00CA6AB1" w:rsidRPr="00496920">
          <w:rPr>
            <w:b w:val="0"/>
            <w:webHidden/>
          </w:rPr>
          <w:tab/>
        </w:r>
        <w:r w:rsidR="00CA6AB1" w:rsidRPr="00496920">
          <w:rPr>
            <w:b w:val="0"/>
            <w:webHidden/>
          </w:rPr>
          <w:fldChar w:fldCharType="begin"/>
        </w:r>
        <w:r w:rsidR="00CA6AB1" w:rsidRPr="00496920">
          <w:rPr>
            <w:b w:val="0"/>
            <w:webHidden/>
          </w:rPr>
          <w:instrText xml:space="preserve"> PAGEREF _Toc52533814 \h </w:instrText>
        </w:r>
        <w:r w:rsidR="00CA6AB1" w:rsidRPr="00496920">
          <w:rPr>
            <w:b w:val="0"/>
            <w:webHidden/>
          </w:rPr>
        </w:r>
        <w:r w:rsidR="00CA6AB1" w:rsidRPr="00496920">
          <w:rPr>
            <w:b w:val="0"/>
            <w:webHidden/>
          </w:rPr>
          <w:fldChar w:fldCharType="separate"/>
        </w:r>
        <w:r w:rsidR="00AA4AB3">
          <w:rPr>
            <w:b w:val="0"/>
            <w:webHidden/>
          </w:rPr>
          <w:t>20</w:t>
        </w:r>
        <w:r w:rsidR="00CA6AB1" w:rsidRPr="00496920">
          <w:rPr>
            <w:b w:val="0"/>
            <w:webHidden/>
          </w:rPr>
          <w:fldChar w:fldCharType="end"/>
        </w:r>
      </w:hyperlink>
    </w:p>
    <w:p w14:paraId="12A6FE93" w14:textId="394811BD" w:rsidR="00CA6AB1" w:rsidRPr="00496920" w:rsidRDefault="000D5F76">
      <w:pPr>
        <w:pStyle w:val="TableofFigures"/>
        <w:rPr>
          <w:rFonts w:asciiTheme="minorHAnsi" w:eastAsiaTheme="minorEastAsia" w:hAnsiTheme="minorHAnsi" w:cstheme="minorBidi"/>
          <w:b w:val="0"/>
          <w:sz w:val="22"/>
          <w:szCs w:val="22"/>
        </w:rPr>
      </w:pPr>
      <w:hyperlink w:anchor="_Toc52533815" w:history="1">
        <w:r w:rsidR="00CA6AB1" w:rsidRPr="00496920">
          <w:rPr>
            <w:rStyle w:val="Hyperlink"/>
            <w:b w:val="0"/>
          </w:rPr>
          <w:t>Figure 5</w:t>
        </w:r>
        <w:r w:rsidR="00CA6AB1" w:rsidRPr="00496920">
          <w:rPr>
            <w:rStyle w:val="Hyperlink"/>
            <w:b w:val="0"/>
          </w:rPr>
          <w:noBreakHyphen/>
          <w:t xml:space="preserve">8: </w:t>
        </w:r>
        <w:r w:rsidR="00496920">
          <w:rPr>
            <w:rStyle w:val="Hyperlink"/>
            <w:b w:val="0"/>
          </w:rPr>
          <w:tab/>
        </w:r>
        <w:r w:rsidR="00CA6AB1" w:rsidRPr="00496920">
          <w:rPr>
            <w:rStyle w:val="Hyperlink"/>
            <w:b w:val="0"/>
          </w:rPr>
          <w:t>Native New England resource CO</w:t>
        </w:r>
        <w:r w:rsidR="00CA6AB1" w:rsidRPr="00496920">
          <w:rPr>
            <w:rStyle w:val="Hyperlink"/>
            <w:b w:val="0"/>
            <w:vertAlign w:val="subscript"/>
          </w:rPr>
          <w:t xml:space="preserve">2 </w:t>
        </w:r>
        <w:r w:rsidR="00CA6AB1" w:rsidRPr="00496920">
          <w:rPr>
            <w:rStyle w:val="Hyperlink"/>
            <w:b w:val="0"/>
          </w:rPr>
          <w:t>emissions, constrained and unconstrained cases</w:t>
        </w:r>
        <w:r w:rsidR="00496920">
          <w:rPr>
            <w:rStyle w:val="Hyperlink"/>
            <w:b w:val="0"/>
          </w:rPr>
          <w:br/>
        </w:r>
        <w:r w:rsidR="00CA6AB1" w:rsidRPr="00496920">
          <w:rPr>
            <w:rStyle w:val="Hyperlink"/>
            <w:b w:val="0"/>
          </w:rPr>
          <w:t>(millions of short tons).</w:t>
        </w:r>
        <w:r w:rsidR="00CA6AB1" w:rsidRPr="00496920">
          <w:rPr>
            <w:b w:val="0"/>
            <w:webHidden/>
          </w:rPr>
          <w:tab/>
        </w:r>
        <w:r w:rsidR="00CA6AB1" w:rsidRPr="00496920">
          <w:rPr>
            <w:b w:val="0"/>
            <w:webHidden/>
          </w:rPr>
          <w:fldChar w:fldCharType="begin"/>
        </w:r>
        <w:r w:rsidR="00CA6AB1" w:rsidRPr="00496920">
          <w:rPr>
            <w:b w:val="0"/>
            <w:webHidden/>
          </w:rPr>
          <w:instrText xml:space="preserve"> PAGEREF _Toc52533815 \h </w:instrText>
        </w:r>
        <w:r w:rsidR="00CA6AB1" w:rsidRPr="00496920">
          <w:rPr>
            <w:b w:val="0"/>
            <w:webHidden/>
          </w:rPr>
        </w:r>
        <w:r w:rsidR="00CA6AB1" w:rsidRPr="00496920">
          <w:rPr>
            <w:b w:val="0"/>
            <w:webHidden/>
          </w:rPr>
          <w:fldChar w:fldCharType="separate"/>
        </w:r>
        <w:r w:rsidR="00AA4AB3">
          <w:rPr>
            <w:b w:val="0"/>
            <w:webHidden/>
          </w:rPr>
          <w:t>21</w:t>
        </w:r>
        <w:r w:rsidR="00CA6AB1" w:rsidRPr="00496920">
          <w:rPr>
            <w:b w:val="0"/>
            <w:webHidden/>
          </w:rPr>
          <w:fldChar w:fldCharType="end"/>
        </w:r>
      </w:hyperlink>
    </w:p>
    <w:p w14:paraId="2B80F783" w14:textId="1CDD5C80" w:rsidR="00CA6AB1" w:rsidRPr="00496920" w:rsidRDefault="000D5F76">
      <w:pPr>
        <w:pStyle w:val="TableofFigures"/>
        <w:rPr>
          <w:rFonts w:asciiTheme="minorHAnsi" w:eastAsiaTheme="minorEastAsia" w:hAnsiTheme="minorHAnsi" w:cstheme="minorBidi"/>
          <w:b w:val="0"/>
          <w:sz w:val="22"/>
          <w:szCs w:val="22"/>
        </w:rPr>
      </w:pPr>
      <w:hyperlink w:anchor="_Toc52533816" w:history="1">
        <w:r w:rsidR="00CA6AB1" w:rsidRPr="00496920">
          <w:rPr>
            <w:rStyle w:val="Hyperlink"/>
            <w:b w:val="0"/>
          </w:rPr>
          <w:t>Figure 5</w:t>
        </w:r>
        <w:r w:rsidR="00CA6AB1" w:rsidRPr="00496920">
          <w:rPr>
            <w:rStyle w:val="Hyperlink"/>
            <w:b w:val="0"/>
          </w:rPr>
          <w:noBreakHyphen/>
          <w:t xml:space="preserve">9: </w:t>
        </w:r>
        <w:r w:rsidR="00496920">
          <w:rPr>
            <w:rStyle w:val="Hyperlink"/>
            <w:b w:val="0"/>
          </w:rPr>
          <w:tab/>
        </w:r>
        <w:r w:rsidR="00CA6AB1" w:rsidRPr="00496920">
          <w:rPr>
            <w:rStyle w:val="Hyperlink"/>
            <w:b w:val="0"/>
          </w:rPr>
          <w:t>Congestion by interface (hours) for the constrained cases.</w:t>
        </w:r>
        <w:r w:rsidR="00CA6AB1" w:rsidRPr="00496920">
          <w:rPr>
            <w:b w:val="0"/>
            <w:webHidden/>
          </w:rPr>
          <w:tab/>
        </w:r>
        <w:r w:rsidR="00CA6AB1" w:rsidRPr="00496920">
          <w:rPr>
            <w:b w:val="0"/>
            <w:webHidden/>
          </w:rPr>
          <w:fldChar w:fldCharType="begin"/>
        </w:r>
        <w:r w:rsidR="00CA6AB1" w:rsidRPr="00496920">
          <w:rPr>
            <w:b w:val="0"/>
            <w:webHidden/>
          </w:rPr>
          <w:instrText xml:space="preserve"> PAGEREF _Toc52533816 \h </w:instrText>
        </w:r>
        <w:r w:rsidR="00CA6AB1" w:rsidRPr="00496920">
          <w:rPr>
            <w:b w:val="0"/>
            <w:webHidden/>
          </w:rPr>
        </w:r>
        <w:r w:rsidR="00CA6AB1" w:rsidRPr="00496920">
          <w:rPr>
            <w:b w:val="0"/>
            <w:webHidden/>
          </w:rPr>
          <w:fldChar w:fldCharType="separate"/>
        </w:r>
        <w:r w:rsidR="00AA4AB3">
          <w:rPr>
            <w:b w:val="0"/>
            <w:webHidden/>
          </w:rPr>
          <w:t>22</w:t>
        </w:r>
        <w:r w:rsidR="00CA6AB1" w:rsidRPr="00496920">
          <w:rPr>
            <w:b w:val="0"/>
            <w:webHidden/>
          </w:rPr>
          <w:fldChar w:fldCharType="end"/>
        </w:r>
      </w:hyperlink>
    </w:p>
    <w:p w14:paraId="0DA43994" w14:textId="73324FFF" w:rsidR="00CA6AB1" w:rsidRPr="00496920" w:rsidRDefault="000D5F76">
      <w:pPr>
        <w:pStyle w:val="TableofFigures"/>
        <w:rPr>
          <w:rFonts w:asciiTheme="minorHAnsi" w:eastAsiaTheme="minorEastAsia" w:hAnsiTheme="minorHAnsi" w:cstheme="minorBidi"/>
          <w:b w:val="0"/>
          <w:sz w:val="22"/>
          <w:szCs w:val="22"/>
        </w:rPr>
      </w:pPr>
      <w:hyperlink w:anchor="_Toc52533817" w:history="1">
        <w:r w:rsidR="00CA6AB1" w:rsidRPr="00496920">
          <w:rPr>
            <w:rStyle w:val="Hyperlink"/>
            <w:b w:val="0"/>
          </w:rPr>
          <w:t>Figure 5</w:t>
        </w:r>
        <w:r w:rsidR="00CA6AB1" w:rsidRPr="00496920">
          <w:rPr>
            <w:rStyle w:val="Hyperlink"/>
            <w:b w:val="0"/>
          </w:rPr>
          <w:noBreakHyphen/>
          <w:t xml:space="preserve">10: </w:t>
        </w:r>
        <w:r w:rsidR="00496920">
          <w:rPr>
            <w:rStyle w:val="Hyperlink"/>
            <w:b w:val="0"/>
          </w:rPr>
          <w:tab/>
        </w:r>
        <w:r w:rsidR="00CA6AB1" w:rsidRPr="00496920">
          <w:rPr>
            <w:rStyle w:val="Hyperlink"/>
            <w:b w:val="0"/>
          </w:rPr>
          <w:t>SEMA/RI export interface congestion by month (% of time the interface is at its limit).</w:t>
        </w:r>
        <w:r w:rsidR="00CA6AB1" w:rsidRPr="00496920">
          <w:rPr>
            <w:b w:val="0"/>
            <w:webHidden/>
          </w:rPr>
          <w:tab/>
        </w:r>
        <w:r w:rsidR="00CA6AB1" w:rsidRPr="00496920">
          <w:rPr>
            <w:b w:val="0"/>
            <w:webHidden/>
          </w:rPr>
          <w:fldChar w:fldCharType="begin"/>
        </w:r>
        <w:r w:rsidR="00CA6AB1" w:rsidRPr="00496920">
          <w:rPr>
            <w:b w:val="0"/>
            <w:webHidden/>
          </w:rPr>
          <w:instrText xml:space="preserve"> PAGEREF _Toc52533817 \h </w:instrText>
        </w:r>
        <w:r w:rsidR="00CA6AB1" w:rsidRPr="00496920">
          <w:rPr>
            <w:b w:val="0"/>
            <w:webHidden/>
          </w:rPr>
        </w:r>
        <w:r w:rsidR="00CA6AB1" w:rsidRPr="00496920">
          <w:rPr>
            <w:b w:val="0"/>
            <w:webHidden/>
          </w:rPr>
          <w:fldChar w:fldCharType="separate"/>
        </w:r>
        <w:r w:rsidR="00AA4AB3">
          <w:rPr>
            <w:b w:val="0"/>
            <w:webHidden/>
          </w:rPr>
          <w:t>22</w:t>
        </w:r>
        <w:r w:rsidR="00CA6AB1" w:rsidRPr="00496920">
          <w:rPr>
            <w:b w:val="0"/>
            <w:webHidden/>
          </w:rPr>
          <w:fldChar w:fldCharType="end"/>
        </w:r>
      </w:hyperlink>
    </w:p>
    <w:p w14:paraId="7041A633" w14:textId="77777777" w:rsidR="00F565D2" w:rsidRPr="00CA6AB1" w:rsidRDefault="00CD7DBD" w:rsidP="00E04C9D">
      <w:pPr>
        <w:spacing w:after="120" w:line="240" w:lineRule="auto"/>
        <w:ind w:left="1260" w:hanging="1260"/>
      </w:pPr>
      <w:r w:rsidRPr="00496920">
        <w:rPr>
          <w:rFonts w:asciiTheme="minorHAnsi" w:hAnsiTheme="minorHAnsi"/>
          <w:szCs w:val="20"/>
        </w:rPr>
        <w:fldChar w:fldCharType="end"/>
      </w:r>
    </w:p>
    <w:p w14:paraId="2191DEA7" w14:textId="77777777" w:rsidR="003745BD" w:rsidRPr="00CA6AB1" w:rsidRDefault="003745BD" w:rsidP="00E04C9D">
      <w:pPr>
        <w:pStyle w:val="TableofFigures"/>
        <w:sectPr w:rsidR="003745BD" w:rsidRPr="00CA6AB1" w:rsidSect="00532809">
          <w:footerReference w:type="default" r:id="rId21"/>
          <w:pgSz w:w="12240" w:h="15840" w:code="1"/>
          <w:pgMar w:top="1440" w:right="1440" w:bottom="1440" w:left="1440" w:header="720" w:footer="720" w:gutter="0"/>
          <w:pgNumType w:fmt="lowerRoman"/>
          <w:cols w:space="720"/>
          <w:docGrid w:linePitch="360"/>
        </w:sectPr>
      </w:pPr>
    </w:p>
    <w:p w14:paraId="74176456" w14:textId="77777777" w:rsidR="00F565D2" w:rsidRPr="00CA6AB1" w:rsidRDefault="00F565D2" w:rsidP="0091124D">
      <w:pPr>
        <w:adjustRightInd/>
        <w:spacing w:line="240" w:lineRule="auto"/>
        <w:textAlignment w:val="auto"/>
        <w:outlineLvl w:val="0"/>
        <w:rPr>
          <w:rFonts w:ascii="Calibri" w:hAnsi="Calibri" w:cs="Arial"/>
          <w:b/>
          <w:bCs/>
          <w:color w:val="0C95D2"/>
          <w:sz w:val="36"/>
          <w:szCs w:val="36"/>
        </w:rPr>
      </w:pPr>
      <w:bookmarkStart w:id="18" w:name="_Toc52533785"/>
      <w:r w:rsidRPr="00CA6AB1">
        <w:rPr>
          <w:rFonts w:ascii="Calibri" w:hAnsi="Calibri" w:cs="Arial"/>
          <w:b/>
          <w:bCs/>
          <w:color w:val="0C95D2"/>
          <w:sz w:val="36"/>
          <w:szCs w:val="36"/>
        </w:rPr>
        <w:t>Tables</w:t>
      </w:r>
      <w:bookmarkEnd w:id="18"/>
    </w:p>
    <w:p w14:paraId="407135DF" w14:textId="6C33DDFF" w:rsidR="00CA6AB1" w:rsidRPr="00496920" w:rsidRDefault="00CD7DBD">
      <w:pPr>
        <w:pStyle w:val="TableofFigures"/>
        <w:rPr>
          <w:rFonts w:asciiTheme="minorHAnsi" w:eastAsiaTheme="minorEastAsia" w:hAnsiTheme="minorHAnsi" w:cstheme="minorBidi"/>
          <w:b w:val="0"/>
          <w:sz w:val="22"/>
          <w:szCs w:val="22"/>
        </w:rPr>
      </w:pPr>
      <w:r w:rsidRPr="00CA6AB1">
        <w:rPr>
          <w:rFonts w:asciiTheme="minorHAnsi" w:hAnsiTheme="minorHAnsi"/>
          <w:b w:val="0"/>
        </w:rPr>
        <w:fldChar w:fldCharType="begin"/>
      </w:r>
      <w:r w:rsidRPr="00CA6AB1">
        <w:rPr>
          <w:rFonts w:asciiTheme="minorHAnsi" w:hAnsiTheme="minorHAnsi"/>
          <w:b w:val="0"/>
        </w:rPr>
        <w:instrText xml:space="preserve"> TOC \h \z \c "Table" </w:instrText>
      </w:r>
      <w:r w:rsidRPr="00CA6AB1">
        <w:rPr>
          <w:rFonts w:asciiTheme="minorHAnsi" w:hAnsiTheme="minorHAnsi"/>
          <w:b w:val="0"/>
        </w:rPr>
        <w:fldChar w:fldCharType="separate"/>
      </w:r>
      <w:hyperlink w:anchor="_Toc52533818" w:history="1">
        <w:r w:rsidR="00CA6AB1" w:rsidRPr="00496920">
          <w:rPr>
            <w:rStyle w:val="Hyperlink"/>
            <w:b w:val="0"/>
          </w:rPr>
          <w:t>Table 3</w:t>
        </w:r>
        <w:r w:rsidR="00CA6AB1" w:rsidRPr="00496920">
          <w:rPr>
            <w:rStyle w:val="Hyperlink"/>
            <w:b w:val="0"/>
          </w:rPr>
          <w:noBreakHyphen/>
          <w:t xml:space="preserve">1 </w:t>
        </w:r>
        <w:r w:rsidR="00496920">
          <w:rPr>
            <w:rStyle w:val="Hyperlink"/>
            <w:b w:val="0"/>
          </w:rPr>
          <w:tab/>
        </w:r>
        <w:r w:rsidR="00CA6AB1" w:rsidRPr="00496920">
          <w:rPr>
            <w:rStyle w:val="Hyperlink"/>
            <w:b w:val="0"/>
          </w:rPr>
          <w:t>Offshore Wind Integration Scenarios for the 2019 Anbaric Economic Study</w:t>
        </w:r>
        <w:r w:rsidR="00CA6AB1" w:rsidRPr="00496920">
          <w:rPr>
            <w:b w:val="0"/>
            <w:webHidden/>
          </w:rPr>
          <w:tab/>
        </w:r>
        <w:r w:rsidR="00CA6AB1" w:rsidRPr="00496920">
          <w:rPr>
            <w:b w:val="0"/>
            <w:webHidden/>
          </w:rPr>
          <w:fldChar w:fldCharType="begin"/>
        </w:r>
        <w:r w:rsidR="00CA6AB1" w:rsidRPr="00496920">
          <w:rPr>
            <w:b w:val="0"/>
            <w:webHidden/>
          </w:rPr>
          <w:instrText xml:space="preserve"> PAGEREF _Toc52533818 \h </w:instrText>
        </w:r>
        <w:r w:rsidR="00CA6AB1" w:rsidRPr="00496920">
          <w:rPr>
            <w:b w:val="0"/>
            <w:webHidden/>
          </w:rPr>
        </w:r>
        <w:r w:rsidR="00CA6AB1" w:rsidRPr="00496920">
          <w:rPr>
            <w:b w:val="0"/>
            <w:webHidden/>
          </w:rPr>
          <w:fldChar w:fldCharType="separate"/>
        </w:r>
        <w:r w:rsidR="00AA4AB3">
          <w:rPr>
            <w:b w:val="0"/>
            <w:webHidden/>
          </w:rPr>
          <w:t>4</w:t>
        </w:r>
        <w:r w:rsidR="00CA6AB1" w:rsidRPr="00496920">
          <w:rPr>
            <w:b w:val="0"/>
            <w:webHidden/>
          </w:rPr>
          <w:fldChar w:fldCharType="end"/>
        </w:r>
      </w:hyperlink>
    </w:p>
    <w:p w14:paraId="522C84F3" w14:textId="1CD8834A" w:rsidR="00CA6AB1" w:rsidRPr="00496920" w:rsidRDefault="000D5F76">
      <w:pPr>
        <w:pStyle w:val="TableofFigures"/>
        <w:rPr>
          <w:rFonts w:asciiTheme="minorHAnsi" w:eastAsiaTheme="minorEastAsia" w:hAnsiTheme="minorHAnsi" w:cstheme="minorBidi"/>
          <w:b w:val="0"/>
          <w:sz w:val="22"/>
          <w:szCs w:val="22"/>
        </w:rPr>
      </w:pPr>
      <w:hyperlink w:anchor="_Toc52533819" w:history="1">
        <w:r w:rsidR="00CA6AB1" w:rsidRPr="00496920">
          <w:rPr>
            <w:rStyle w:val="Hyperlink"/>
            <w:b w:val="0"/>
          </w:rPr>
          <w:t>Table 4</w:t>
        </w:r>
        <w:r w:rsidR="00CA6AB1" w:rsidRPr="00496920">
          <w:rPr>
            <w:rStyle w:val="Hyperlink"/>
            <w:b w:val="0"/>
          </w:rPr>
          <w:noBreakHyphen/>
          <w:t xml:space="preserve">2 </w:t>
        </w:r>
        <w:r w:rsidR="00496920">
          <w:rPr>
            <w:rStyle w:val="Hyperlink"/>
            <w:b w:val="0"/>
          </w:rPr>
          <w:tab/>
        </w:r>
        <w:r w:rsidR="00CA6AB1" w:rsidRPr="00496920">
          <w:rPr>
            <w:rStyle w:val="Hyperlink"/>
            <w:b w:val="0"/>
          </w:rPr>
          <w:t>Interconnection Points for Offshore Wind Scenarios (MW)</w:t>
        </w:r>
        <w:r w:rsidR="00CA6AB1" w:rsidRPr="00496920">
          <w:rPr>
            <w:b w:val="0"/>
            <w:webHidden/>
          </w:rPr>
          <w:tab/>
        </w:r>
        <w:r w:rsidR="00CA6AB1" w:rsidRPr="00496920">
          <w:rPr>
            <w:b w:val="0"/>
            <w:webHidden/>
          </w:rPr>
          <w:fldChar w:fldCharType="begin"/>
        </w:r>
        <w:r w:rsidR="00CA6AB1" w:rsidRPr="00496920">
          <w:rPr>
            <w:b w:val="0"/>
            <w:webHidden/>
          </w:rPr>
          <w:instrText xml:space="preserve"> PAGEREF _Toc52533819 \h </w:instrText>
        </w:r>
        <w:r w:rsidR="00CA6AB1" w:rsidRPr="00496920">
          <w:rPr>
            <w:b w:val="0"/>
            <w:webHidden/>
          </w:rPr>
        </w:r>
        <w:r w:rsidR="00CA6AB1" w:rsidRPr="00496920">
          <w:rPr>
            <w:b w:val="0"/>
            <w:webHidden/>
          </w:rPr>
          <w:fldChar w:fldCharType="separate"/>
        </w:r>
        <w:r w:rsidR="00AA4AB3">
          <w:rPr>
            <w:b w:val="0"/>
            <w:webHidden/>
          </w:rPr>
          <w:t>6</w:t>
        </w:r>
        <w:r w:rsidR="00CA6AB1" w:rsidRPr="00496920">
          <w:rPr>
            <w:b w:val="0"/>
            <w:webHidden/>
          </w:rPr>
          <w:fldChar w:fldCharType="end"/>
        </w:r>
      </w:hyperlink>
    </w:p>
    <w:p w14:paraId="10F54F6C" w14:textId="393166E7" w:rsidR="00CA6AB1" w:rsidRPr="00496920" w:rsidRDefault="000D5F76">
      <w:pPr>
        <w:pStyle w:val="TableofFigures"/>
        <w:rPr>
          <w:rFonts w:asciiTheme="minorHAnsi" w:eastAsiaTheme="minorEastAsia" w:hAnsiTheme="minorHAnsi" w:cstheme="minorBidi"/>
          <w:b w:val="0"/>
          <w:sz w:val="22"/>
          <w:szCs w:val="22"/>
        </w:rPr>
      </w:pPr>
      <w:hyperlink w:anchor="_Toc52533820" w:history="1">
        <w:r w:rsidR="00CA6AB1" w:rsidRPr="00496920">
          <w:rPr>
            <w:rStyle w:val="Hyperlink"/>
            <w:b w:val="0"/>
          </w:rPr>
          <w:t>Table 4</w:t>
        </w:r>
        <w:r w:rsidR="00CA6AB1" w:rsidRPr="00496920">
          <w:rPr>
            <w:rStyle w:val="Hyperlink"/>
            <w:b w:val="0"/>
          </w:rPr>
          <w:noBreakHyphen/>
          <w:t xml:space="preserve">1 </w:t>
        </w:r>
        <w:r w:rsidR="00496920">
          <w:rPr>
            <w:rStyle w:val="Hyperlink"/>
            <w:b w:val="0"/>
          </w:rPr>
          <w:tab/>
        </w:r>
        <w:r w:rsidR="00CA6AB1" w:rsidRPr="00496920">
          <w:rPr>
            <w:rStyle w:val="Hyperlink"/>
            <w:b w:val="0"/>
          </w:rPr>
          <w:t>Interchange with Neighboring Systems (MW)</w:t>
        </w:r>
        <w:r w:rsidR="00CA6AB1" w:rsidRPr="00496920">
          <w:rPr>
            <w:b w:val="0"/>
            <w:webHidden/>
          </w:rPr>
          <w:tab/>
        </w:r>
        <w:r w:rsidR="00CA6AB1" w:rsidRPr="00496920">
          <w:rPr>
            <w:b w:val="0"/>
            <w:webHidden/>
          </w:rPr>
          <w:fldChar w:fldCharType="begin"/>
        </w:r>
        <w:r w:rsidR="00CA6AB1" w:rsidRPr="00496920">
          <w:rPr>
            <w:b w:val="0"/>
            <w:webHidden/>
          </w:rPr>
          <w:instrText xml:space="preserve"> PAGEREF _Toc52533820 \h </w:instrText>
        </w:r>
        <w:r w:rsidR="00CA6AB1" w:rsidRPr="00496920">
          <w:rPr>
            <w:b w:val="0"/>
            <w:webHidden/>
          </w:rPr>
        </w:r>
        <w:r w:rsidR="00CA6AB1" w:rsidRPr="00496920">
          <w:rPr>
            <w:b w:val="0"/>
            <w:webHidden/>
          </w:rPr>
          <w:fldChar w:fldCharType="separate"/>
        </w:r>
        <w:r w:rsidR="00AA4AB3">
          <w:rPr>
            <w:b w:val="0"/>
            <w:webHidden/>
          </w:rPr>
          <w:t>9</w:t>
        </w:r>
        <w:r w:rsidR="00CA6AB1" w:rsidRPr="00496920">
          <w:rPr>
            <w:b w:val="0"/>
            <w:webHidden/>
          </w:rPr>
          <w:fldChar w:fldCharType="end"/>
        </w:r>
      </w:hyperlink>
    </w:p>
    <w:p w14:paraId="2DF4A05A" w14:textId="37458E86" w:rsidR="00CA6AB1" w:rsidRPr="00496920" w:rsidRDefault="000D5F76">
      <w:pPr>
        <w:pStyle w:val="TableofFigures"/>
        <w:rPr>
          <w:rFonts w:asciiTheme="minorHAnsi" w:eastAsiaTheme="minorEastAsia" w:hAnsiTheme="minorHAnsi" w:cstheme="minorBidi"/>
          <w:b w:val="0"/>
          <w:sz w:val="22"/>
          <w:szCs w:val="22"/>
        </w:rPr>
      </w:pPr>
      <w:hyperlink w:anchor="_Toc52533821" w:history="1">
        <w:r w:rsidR="00CA6AB1" w:rsidRPr="00496920">
          <w:rPr>
            <w:rStyle w:val="Hyperlink"/>
            <w:b w:val="0"/>
          </w:rPr>
          <w:t>Table 4</w:t>
        </w:r>
        <w:r w:rsidR="00CA6AB1" w:rsidRPr="00496920">
          <w:rPr>
            <w:rStyle w:val="Hyperlink"/>
            <w:b w:val="0"/>
          </w:rPr>
          <w:noBreakHyphen/>
          <w:t xml:space="preserve">2 </w:t>
        </w:r>
        <w:r w:rsidR="00496920">
          <w:rPr>
            <w:rStyle w:val="Hyperlink"/>
            <w:b w:val="0"/>
          </w:rPr>
          <w:tab/>
        </w:r>
        <w:r w:rsidR="00CA6AB1" w:rsidRPr="00496920">
          <w:rPr>
            <w:rStyle w:val="Hyperlink"/>
            <w:b w:val="0"/>
          </w:rPr>
          <w:t>Threshold Prices for the 2019 Anbaric Economic Study ($/MWh)</w:t>
        </w:r>
        <w:r w:rsidR="00CA6AB1" w:rsidRPr="00496920">
          <w:rPr>
            <w:b w:val="0"/>
            <w:webHidden/>
          </w:rPr>
          <w:tab/>
        </w:r>
        <w:r w:rsidR="00CA6AB1" w:rsidRPr="00496920">
          <w:rPr>
            <w:b w:val="0"/>
            <w:webHidden/>
          </w:rPr>
          <w:fldChar w:fldCharType="begin"/>
        </w:r>
        <w:r w:rsidR="00CA6AB1" w:rsidRPr="00496920">
          <w:rPr>
            <w:b w:val="0"/>
            <w:webHidden/>
          </w:rPr>
          <w:instrText xml:space="preserve"> PAGEREF _Toc52533821 \h </w:instrText>
        </w:r>
        <w:r w:rsidR="00CA6AB1" w:rsidRPr="00496920">
          <w:rPr>
            <w:b w:val="0"/>
            <w:webHidden/>
          </w:rPr>
        </w:r>
        <w:r w:rsidR="00CA6AB1" w:rsidRPr="00496920">
          <w:rPr>
            <w:b w:val="0"/>
            <w:webHidden/>
          </w:rPr>
          <w:fldChar w:fldCharType="separate"/>
        </w:r>
        <w:r w:rsidR="00AA4AB3">
          <w:rPr>
            <w:b w:val="0"/>
            <w:webHidden/>
          </w:rPr>
          <w:t>12</w:t>
        </w:r>
        <w:r w:rsidR="00CA6AB1" w:rsidRPr="00496920">
          <w:rPr>
            <w:b w:val="0"/>
            <w:webHidden/>
          </w:rPr>
          <w:fldChar w:fldCharType="end"/>
        </w:r>
      </w:hyperlink>
    </w:p>
    <w:p w14:paraId="1CB8666D" w14:textId="02798605" w:rsidR="00CA6AB1" w:rsidRPr="00496920" w:rsidRDefault="000D5F76">
      <w:pPr>
        <w:pStyle w:val="TableofFigures"/>
        <w:rPr>
          <w:rFonts w:asciiTheme="minorHAnsi" w:eastAsiaTheme="minorEastAsia" w:hAnsiTheme="minorHAnsi" w:cstheme="minorBidi"/>
          <w:b w:val="0"/>
          <w:sz w:val="22"/>
          <w:szCs w:val="22"/>
        </w:rPr>
      </w:pPr>
      <w:hyperlink w:anchor="_Toc52533822" w:history="1">
        <w:r w:rsidR="00CA6AB1" w:rsidRPr="00496920">
          <w:rPr>
            <w:rStyle w:val="Hyperlink"/>
            <w:b w:val="0"/>
          </w:rPr>
          <w:t>Table 5</w:t>
        </w:r>
        <w:r w:rsidR="00CA6AB1" w:rsidRPr="00496920">
          <w:rPr>
            <w:rStyle w:val="Hyperlink"/>
            <w:b w:val="0"/>
          </w:rPr>
          <w:noBreakHyphen/>
          <w:t xml:space="preserve">1 </w:t>
        </w:r>
        <w:r w:rsidR="00496920">
          <w:rPr>
            <w:rStyle w:val="Hyperlink"/>
            <w:b w:val="0"/>
          </w:rPr>
          <w:tab/>
        </w:r>
        <w:r w:rsidR="00CA6AB1" w:rsidRPr="00496920">
          <w:rPr>
            <w:rStyle w:val="Hyperlink"/>
            <w:b w:val="0"/>
          </w:rPr>
          <w:t>Summary of Scenario Outputs</w:t>
        </w:r>
        <w:r w:rsidR="00CA6AB1" w:rsidRPr="00496920">
          <w:rPr>
            <w:b w:val="0"/>
            <w:webHidden/>
          </w:rPr>
          <w:tab/>
        </w:r>
        <w:r w:rsidR="00CA6AB1" w:rsidRPr="00496920">
          <w:rPr>
            <w:b w:val="0"/>
            <w:webHidden/>
          </w:rPr>
          <w:fldChar w:fldCharType="begin"/>
        </w:r>
        <w:r w:rsidR="00CA6AB1" w:rsidRPr="00496920">
          <w:rPr>
            <w:b w:val="0"/>
            <w:webHidden/>
          </w:rPr>
          <w:instrText xml:space="preserve"> PAGEREF _Toc52533822 \h </w:instrText>
        </w:r>
        <w:r w:rsidR="00CA6AB1" w:rsidRPr="00496920">
          <w:rPr>
            <w:b w:val="0"/>
            <w:webHidden/>
          </w:rPr>
        </w:r>
        <w:r w:rsidR="00CA6AB1" w:rsidRPr="00496920">
          <w:rPr>
            <w:b w:val="0"/>
            <w:webHidden/>
          </w:rPr>
          <w:fldChar w:fldCharType="separate"/>
        </w:r>
        <w:r w:rsidR="00AA4AB3">
          <w:rPr>
            <w:b w:val="0"/>
            <w:webHidden/>
          </w:rPr>
          <w:t>14</w:t>
        </w:r>
        <w:r w:rsidR="00CA6AB1" w:rsidRPr="00496920">
          <w:rPr>
            <w:b w:val="0"/>
            <w:webHidden/>
          </w:rPr>
          <w:fldChar w:fldCharType="end"/>
        </w:r>
      </w:hyperlink>
    </w:p>
    <w:p w14:paraId="693E333F" w14:textId="0B173168" w:rsidR="00CA6AB1" w:rsidRPr="00496920" w:rsidRDefault="000D5F76">
      <w:pPr>
        <w:pStyle w:val="TableofFigures"/>
        <w:rPr>
          <w:rFonts w:asciiTheme="minorHAnsi" w:eastAsiaTheme="minorEastAsia" w:hAnsiTheme="minorHAnsi" w:cstheme="minorBidi"/>
          <w:b w:val="0"/>
          <w:sz w:val="22"/>
          <w:szCs w:val="22"/>
        </w:rPr>
      </w:pPr>
      <w:hyperlink w:anchor="_Toc52533823" w:history="1">
        <w:r w:rsidR="00CA6AB1" w:rsidRPr="00496920">
          <w:rPr>
            <w:rStyle w:val="Hyperlink"/>
            <w:b w:val="0"/>
          </w:rPr>
          <w:t>Table 5</w:t>
        </w:r>
        <w:r w:rsidR="00CA6AB1" w:rsidRPr="00496920">
          <w:rPr>
            <w:rStyle w:val="Hyperlink"/>
            <w:b w:val="0"/>
          </w:rPr>
          <w:noBreakHyphen/>
          <w:t xml:space="preserve">2 </w:t>
        </w:r>
        <w:r w:rsidR="00496920">
          <w:rPr>
            <w:rStyle w:val="Hyperlink"/>
            <w:b w:val="0"/>
          </w:rPr>
          <w:tab/>
        </w:r>
        <w:r w:rsidR="00CA6AB1" w:rsidRPr="00496920">
          <w:rPr>
            <w:rStyle w:val="Hyperlink"/>
            <w:b w:val="0"/>
          </w:rPr>
          <w:t xml:space="preserve">Total Systemwide Production by Fuel Type (TWh)  </w:t>
        </w:r>
        <w:r w:rsidR="00CA6AB1" w:rsidRPr="00496920">
          <w:rPr>
            <w:rStyle w:val="Hyperlink"/>
            <w:b w:val="0"/>
            <w:iCs/>
          </w:rPr>
          <w:t>Constrained (Cstr.)</w:t>
        </w:r>
        <w:r w:rsidR="00496920">
          <w:rPr>
            <w:rStyle w:val="Hyperlink"/>
            <w:b w:val="0"/>
            <w:iCs/>
          </w:rPr>
          <w:br/>
        </w:r>
        <w:r w:rsidR="00CA6AB1" w:rsidRPr="00496920">
          <w:rPr>
            <w:rStyle w:val="Hyperlink"/>
            <w:b w:val="0"/>
            <w:iCs/>
          </w:rPr>
          <w:t>and Unconstrained (Uncstr.) Transmission</w:t>
        </w:r>
        <w:r w:rsidR="00CA6AB1" w:rsidRPr="00496920">
          <w:rPr>
            <w:b w:val="0"/>
            <w:webHidden/>
          </w:rPr>
          <w:tab/>
        </w:r>
        <w:r w:rsidR="00CA6AB1" w:rsidRPr="00496920">
          <w:rPr>
            <w:b w:val="0"/>
            <w:webHidden/>
          </w:rPr>
          <w:fldChar w:fldCharType="begin"/>
        </w:r>
        <w:r w:rsidR="00CA6AB1" w:rsidRPr="00496920">
          <w:rPr>
            <w:b w:val="0"/>
            <w:webHidden/>
          </w:rPr>
          <w:instrText xml:space="preserve"> PAGEREF _Toc52533823 \h </w:instrText>
        </w:r>
        <w:r w:rsidR="00CA6AB1" w:rsidRPr="00496920">
          <w:rPr>
            <w:b w:val="0"/>
            <w:webHidden/>
          </w:rPr>
        </w:r>
        <w:r w:rsidR="00CA6AB1" w:rsidRPr="00496920">
          <w:rPr>
            <w:b w:val="0"/>
            <w:webHidden/>
          </w:rPr>
          <w:fldChar w:fldCharType="separate"/>
        </w:r>
        <w:r w:rsidR="00AA4AB3">
          <w:rPr>
            <w:b w:val="0"/>
            <w:webHidden/>
          </w:rPr>
          <w:t>18</w:t>
        </w:r>
        <w:r w:rsidR="00CA6AB1" w:rsidRPr="00496920">
          <w:rPr>
            <w:b w:val="0"/>
            <w:webHidden/>
          </w:rPr>
          <w:fldChar w:fldCharType="end"/>
        </w:r>
      </w:hyperlink>
    </w:p>
    <w:p w14:paraId="1240D4F3" w14:textId="77777777" w:rsidR="00CD7DBD" w:rsidRPr="005628EB" w:rsidRDefault="00CD7DBD" w:rsidP="00C15598">
      <w:pPr>
        <w:spacing w:after="120" w:line="240" w:lineRule="auto"/>
        <w:ind w:left="1080" w:hanging="1080"/>
        <w:sectPr w:rsidR="00CD7DBD" w:rsidRPr="005628EB" w:rsidSect="00532809">
          <w:pgSz w:w="12240" w:h="15840" w:code="1"/>
          <w:pgMar w:top="1440" w:right="1440" w:bottom="1440" w:left="1440" w:header="720" w:footer="720" w:gutter="0"/>
          <w:pgNumType w:fmt="lowerRoman"/>
          <w:cols w:space="720"/>
          <w:docGrid w:linePitch="360"/>
        </w:sectPr>
      </w:pPr>
      <w:r w:rsidRPr="00CA6AB1">
        <w:rPr>
          <w:rFonts w:asciiTheme="minorHAnsi" w:hAnsiTheme="minorHAnsi"/>
          <w:szCs w:val="20"/>
        </w:rPr>
        <w:fldChar w:fldCharType="end"/>
      </w:r>
    </w:p>
    <w:p w14:paraId="5C3638AE" w14:textId="77777777" w:rsidR="00DC665E" w:rsidRDefault="00DC665E">
      <w:pPr>
        <w:sectPr w:rsidR="00DC665E" w:rsidSect="00532809">
          <w:headerReference w:type="default" r:id="rId22"/>
          <w:footerReference w:type="default" r:id="rId23"/>
          <w:pgSz w:w="12240" w:h="15840" w:code="1"/>
          <w:pgMar w:top="1440" w:right="1440" w:bottom="1440" w:left="1440" w:header="720" w:footer="720" w:gutter="0"/>
          <w:pgNumType w:fmt="lowerRoman"/>
          <w:cols w:space="720"/>
          <w:docGrid w:linePitch="360"/>
        </w:sectPr>
      </w:pPr>
    </w:p>
    <w:p w14:paraId="27295337" w14:textId="77777777" w:rsidR="00607262" w:rsidRPr="00607262" w:rsidRDefault="00BF1EA7" w:rsidP="00CA6AB1">
      <w:pPr>
        <w:pStyle w:val="Heading1"/>
      </w:pPr>
      <w:bookmarkStart w:id="19" w:name="_Toc418682041"/>
      <w:r>
        <w:br/>
      </w:r>
      <w:bookmarkStart w:id="20" w:name="_Toc52533786"/>
      <w:r w:rsidR="00607262" w:rsidRPr="00607262">
        <w:t>Executive Summary</w:t>
      </w:r>
      <w:bookmarkEnd w:id="19"/>
      <w:bookmarkEnd w:id="20"/>
      <w:r w:rsidR="00E318ED">
        <w:t xml:space="preserve"> </w:t>
      </w:r>
    </w:p>
    <w:p w14:paraId="776A1CF3" w14:textId="4F940D47" w:rsidR="00B142D7" w:rsidRDefault="00FB2753" w:rsidP="00C61CC4">
      <w:r w:rsidRPr="00442D47">
        <w:t xml:space="preserve">This report documents </w:t>
      </w:r>
      <w:r w:rsidR="00544F6F">
        <w:t xml:space="preserve">the </w:t>
      </w:r>
      <w:r w:rsidR="00BF020F" w:rsidRPr="00BF020F">
        <w:rPr>
          <w:i/>
        </w:rPr>
        <w:t xml:space="preserve">Significant </w:t>
      </w:r>
      <w:r w:rsidR="00544F6F" w:rsidRPr="00544F6F">
        <w:rPr>
          <w:i/>
        </w:rPr>
        <w:t xml:space="preserve">Offshore Wind Integration </w:t>
      </w:r>
      <w:r w:rsidR="009C2D9C">
        <w:t>s</w:t>
      </w:r>
      <w:r w:rsidR="00217E28" w:rsidRPr="009C2D9C">
        <w:t xml:space="preserve">cenarios </w:t>
      </w:r>
      <w:r w:rsidR="00AA22CE">
        <w:t xml:space="preserve">of </w:t>
      </w:r>
      <w:r w:rsidRPr="00442D47">
        <w:t xml:space="preserve">the </w:t>
      </w:r>
      <w:r w:rsidR="00AA22CE">
        <w:t>201</w:t>
      </w:r>
      <w:r w:rsidR="00544F6F">
        <w:t>9</w:t>
      </w:r>
      <w:r w:rsidR="00AA22CE">
        <w:t xml:space="preserve"> </w:t>
      </w:r>
      <w:r w:rsidRPr="00442D47">
        <w:t xml:space="preserve">ISO New England </w:t>
      </w:r>
      <w:r w:rsidR="00AA22CE">
        <w:t>(</w:t>
      </w:r>
      <w:r w:rsidR="00342DDE">
        <w:t xml:space="preserve">the </w:t>
      </w:r>
      <w:r w:rsidR="00AA22CE">
        <w:t>IS</w:t>
      </w:r>
      <w:r w:rsidR="00AA22CE" w:rsidRPr="003650D6">
        <w:t>O</w:t>
      </w:r>
      <w:r w:rsidR="00342DDE" w:rsidRPr="003650D6">
        <w:t xml:space="preserve"> or ISO-NE</w:t>
      </w:r>
      <w:r w:rsidR="00AA22CE" w:rsidRPr="003650D6">
        <w:t xml:space="preserve">) </w:t>
      </w:r>
      <w:r w:rsidRPr="003650D6">
        <w:t>Econo</w:t>
      </w:r>
      <w:r w:rsidRPr="00AA22CE">
        <w:t xml:space="preserve">mic </w:t>
      </w:r>
      <w:r w:rsidR="00AA22CE">
        <w:t xml:space="preserve">Study conducted </w:t>
      </w:r>
      <w:r w:rsidR="00D178CD">
        <w:t>for the ISO’s stakeholders following a</w:t>
      </w:r>
      <w:r w:rsidR="00AA22CE">
        <w:t xml:space="preserve"> request </w:t>
      </w:r>
      <w:r w:rsidR="00D178CD">
        <w:t>by</w:t>
      </w:r>
      <w:r w:rsidR="00C364FF">
        <w:t xml:space="preserve"> Anbaric Development Partners, LLC</w:t>
      </w:r>
      <w:r w:rsidR="00AA22CE">
        <w:t xml:space="preserve"> </w:t>
      </w:r>
      <w:r w:rsidR="00C364FF">
        <w:t>(Anbaric)</w:t>
      </w:r>
      <w:r w:rsidR="00217E28">
        <w:t xml:space="preserve">. </w:t>
      </w:r>
      <w:r w:rsidR="00CC32DA" w:rsidRPr="00566F24">
        <w:t xml:space="preserve">The </w:t>
      </w:r>
      <w:r w:rsidR="00C4588D">
        <w:t xml:space="preserve">2019 </w:t>
      </w:r>
      <w:r w:rsidR="00CC32DA" w:rsidRPr="00566F24">
        <w:t>Anbaric Economic Study request</w:t>
      </w:r>
      <w:r w:rsidR="00677B50">
        <w:t xml:space="preserve"> </w:t>
      </w:r>
      <w:r w:rsidR="00355252">
        <w:t>was for</w:t>
      </w:r>
      <w:r w:rsidR="00CC32DA" w:rsidRPr="00566F24">
        <w:t xml:space="preserve"> the ISO to study the impacts on energy market prices</w:t>
      </w:r>
      <w:r w:rsidR="00F204EC">
        <w:t xml:space="preserve"> (i.e.</w:t>
      </w:r>
      <w:r w:rsidR="00BB4AF7">
        <w:t>,</w:t>
      </w:r>
      <w:r w:rsidR="00F204EC">
        <w:t xml:space="preserve"> production cost analysis)</w:t>
      </w:r>
      <w:r w:rsidR="00CC32DA">
        <w:t xml:space="preserve">, </w:t>
      </w:r>
      <w:r w:rsidR="00CC32DA" w:rsidRPr="00566F24">
        <w:t>air emissions</w:t>
      </w:r>
      <w:r w:rsidR="00355252">
        <w:t>,</w:t>
      </w:r>
      <w:r w:rsidR="00CC32DA">
        <w:t xml:space="preserve"> and </w:t>
      </w:r>
      <w:r w:rsidR="00CC32DA" w:rsidRPr="00CC32DA">
        <w:t>regional fuel security</w:t>
      </w:r>
      <w:r w:rsidR="00CC32DA" w:rsidRPr="00566F24">
        <w:t xml:space="preserve"> when the system experiences</w:t>
      </w:r>
      <w:r w:rsidR="00CC32DA" w:rsidRPr="00D61DF6">
        <w:t xml:space="preserve"> large penetration</w:t>
      </w:r>
      <w:r w:rsidR="00CC32DA">
        <w:t>s</w:t>
      </w:r>
      <w:r w:rsidR="00CC32DA" w:rsidRPr="00D61DF6">
        <w:t xml:space="preserve"> of offshore wind resources</w:t>
      </w:r>
      <w:r w:rsidR="00FF3EB1">
        <w:t xml:space="preserve">. </w:t>
      </w:r>
      <w:r w:rsidR="00544F6F">
        <w:t xml:space="preserve">The study </w:t>
      </w:r>
      <w:r w:rsidR="0091630B">
        <w:t xml:space="preserve">included </w:t>
      </w:r>
      <w:r w:rsidR="00544F6F">
        <w:t xml:space="preserve">offshore wind projects under development </w:t>
      </w:r>
      <w:r w:rsidR="00522001">
        <w:t xml:space="preserve">and under contract </w:t>
      </w:r>
      <w:r w:rsidR="0091630B">
        <w:t xml:space="preserve">at the </w:t>
      </w:r>
      <w:r w:rsidR="0091630B" w:rsidRPr="0012062C">
        <w:t xml:space="preserve">time of the </w:t>
      </w:r>
      <w:r w:rsidR="00C364FF" w:rsidRPr="0012062C">
        <w:t xml:space="preserve">Anbaric </w:t>
      </w:r>
      <w:r w:rsidR="0091630B" w:rsidRPr="0012062C">
        <w:t>request</w:t>
      </w:r>
      <w:r w:rsidR="001B159B">
        <w:t>,</w:t>
      </w:r>
      <w:r w:rsidR="0091630B" w:rsidRPr="0012062C">
        <w:t xml:space="preserve"> </w:t>
      </w:r>
      <w:r w:rsidR="00544F6F" w:rsidRPr="0012062C">
        <w:t>consider</w:t>
      </w:r>
      <w:r w:rsidR="001B159B">
        <w:t xml:space="preserve">ing cases with 8,000 </w:t>
      </w:r>
      <w:r w:rsidR="00D45892" w:rsidRPr="0012062C">
        <w:t>megawatts (</w:t>
      </w:r>
      <w:r w:rsidR="00DE6511" w:rsidRPr="0012062C">
        <w:t>MW</w:t>
      </w:r>
      <w:r w:rsidR="00D45892" w:rsidRPr="0012062C">
        <w:t>)</w:t>
      </w:r>
      <w:r w:rsidR="001B159B">
        <w:t>, 10,000 MW, and 12,000 MW</w:t>
      </w:r>
      <w:r w:rsidR="00DE6511" w:rsidRPr="0012062C">
        <w:t xml:space="preserve"> of </w:t>
      </w:r>
      <w:r w:rsidR="00484C2A" w:rsidRPr="0012062C">
        <w:t>offshore wind strategically placed in southern New England</w:t>
      </w:r>
      <w:r w:rsidR="00B142D7" w:rsidRPr="0012062C">
        <w:t xml:space="preserve"> as well as</w:t>
      </w:r>
      <w:r w:rsidR="00573E19" w:rsidRPr="0012062C">
        <w:t xml:space="preserve"> interconnected </w:t>
      </w:r>
      <w:r w:rsidR="009B1699" w:rsidRPr="00677B50">
        <w:t xml:space="preserve">from an offshore collection substation directly </w:t>
      </w:r>
      <w:r w:rsidR="001B159B">
        <w:t xml:space="preserve">to the Mystic substation </w:t>
      </w:r>
      <w:r w:rsidR="007801D2">
        <w:t>in</w:t>
      </w:r>
      <w:r w:rsidR="009B1699" w:rsidRPr="00677B50">
        <w:t xml:space="preserve"> </w:t>
      </w:r>
      <w:r w:rsidR="00B142D7" w:rsidRPr="0012062C">
        <w:t>Boston</w:t>
      </w:r>
      <w:r w:rsidR="00522001" w:rsidRPr="0012062C">
        <w:t>,</w:t>
      </w:r>
      <w:r w:rsidR="00B142D7" w:rsidRPr="0012062C">
        <w:t xml:space="preserve"> Massachusetts</w:t>
      </w:r>
      <w:r w:rsidR="009B1699" w:rsidRPr="0012062C">
        <w:t>.</w:t>
      </w:r>
      <w:r w:rsidR="00E56831">
        <w:t xml:space="preserve"> Anbaric requested additional interconnection cases that spread offshore wind injections along the Connecticut shore into southwestern Connecticu</w:t>
      </w:r>
      <w:r w:rsidR="00E56831" w:rsidRPr="0035083F">
        <w:t xml:space="preserve">t, </w:t>
      </w:r>
      <w:r w:rsidR="003825FD" w:rsidRPr="0035083F">
        <w:t xml:space="preserve">but these cases were not studied </w:t>
      </w:r>
      <w:r w:rsidR="0004165F" w:rsidRPr="0035083F">
        <w:t>to increase study efficiencies and focus on optimal injection locations.</w:t>
      </w:r>
    </w:p>
    <w:p w14:paraId="3CE58A6B" w14:textId="77777777" w:rsidR="003825FD" w:rsidRDefault="00B142D7" w:rsidP="003825FD">
      <w:r w:rsidRPr="00B34D11">
        <w:t xml:space="preserve">The </w:t>
      </w:r>
      <w:r w:rsidR="00C4588D" w:rsidRPr="00DD60C7">
        <w:t xml:space="preserve">2019 </w:t>
      </w:r>
      <w:r w:rsidRPr="00DD60C7">
        <w:t xml:space="preserve">Anbaric Economic Study </w:t>
      </w:r>
      <w:r w:rsidR="0086303B" w:rsidRPr="00677B50">
        <w:t xml:space="preserve">used results from an </w:t>
      </w:r>
      <w:r w:rsidRPr="00DD60C7">
        <w:t>analysis performed for the NESCOE 2019 Economic Study</w:t>
      </w:r>
      <w:r w:rsidR="00D0628A" w:rsidRPr="00DD60C7">
        <w:t xml:space="preserve"> and </w:t>
      </w:r>
      <w:r w:rsidR="001B159B">
        <w:t xml:space="preserve">base </w:t>
      </w:r>
      <w:r w:rsidR="00582371" w:rsidRPr="003825FD">
        <w:t xml:space="preserve">case </w:t>
      </w:r>
      <w:r w:rsidR="001B159B" w:rsidRPr="003825FD">
        <w:t>a</w:t>
      </w:r>
      <w:r w:rsidR="001B159B">
        <w:t xml:space="preserve">ssumptions but </w:t>
      </w:r>
      <w:r w:rsidR="00F204EC">
        <w:t>additionally</w:t>
      </w:r>
      <w:r w:rsidR="001B159B">
        <w:t xml:space="preserve"> included </w:t>
      </w:r>
      <w:r w:rsidR="00F204EC">
        <w:t xml:space="preserve">parameters such as </w:t>
      </w:r>
      <w:r w:rsidR="00D0628A" w:rsidRPr="00DD60C7">
        <w:t xml:space="preserve">nearly 4,500 MW </w:t>
      </w:r>
      <w:r w:rsidR="00302BCA" w:rsidRPr="00677B50">
        <w:t xml:space="preserve">of </w:t>
      </w:r>
      <w:r w:rsidR="00F204EC">
        <w:t xml:space="preserve">generator </w:t>
      </w:r>
      <w:r w:rsidR="00302BCA" w:rsidRPr="00677B50">
        <w:t xml:space="preserve">retirements </w:t>
      </w:r>
      <w:r w:rsidR="00D0628A" w:rsidRPr="00DD60C7">
        <w:t>and the addition of</w:t>
      </w:r>
      <w:r w:rsidRPr="00DD60C7">
        <w:t xml:space="preserve"> </w:t>
      </w:r>
      <w:r w:rsidR="00D0628A" w:rsidRPr="00DD60C7">
        <w:t>2,000 MW of 4-hour battery storage (8,000</w:t>
      </w:r>
      <w:r w:rsidR="00FF3EB1" w:rsidRPr="00DD60C7">
        <w:t xml:space="preserve"> megawatt-hours;</w:t>
      </w:r>
      <w:r w:rsidR="00D0628A" w:rsidRPr="00DD60C7">
        <w:t xml:space="preserve"> MWh).</w:t>
      </w:r>
      <w:r w:rsidR="00FF3EB1" w:rsidRPr="00DD60C7">
        <w:rPr>
          <w:rStyle w:val="FootnoteReference"/>
        </w:rPr>
        <w:footnoteReference w:id="2"/>
      </w:r>
      <w:r w:rsidR="00D0628A" w:rsidRPr="00DD60C7">
        <w:t xml:space="preserve"> </w:t>
      </w:r>
      <w:r w:rsidR="00553D41" w:rsidRPr="00DD60C7">
        <w:t xml:space="preserve">A sensitivity was performed </w:t>
      </w:r>
      <w:r w:rsidR="00582371">
        <w:t>on</w:t>
      </w:r>
      <w:r w:rsidR="00553D41" w:rsidRPr="00DD60C7">
        <w:t xml:space="preserve"> the 10</w:t>
      </w:r>
      <w:r w:rsidR="002D6462" w:rsidRPr="00DD60C7">
        <w:t>,</w:t>
      </w:r>
      <w:r w:rsidR="00553D41" w:rsidRPr="00DD60C7">
        <w:t xml:space="preserve">000 </w:t>
      </w:r>
      <w:r w:rsidR="002D6462" w:rsidRPr="00DD60C7">
        <w:t>MW of offshore wind s</w:t>
      </w:r>
      <w:r w:rsidR="00553D41" w:rsidRPr="00DD60C7">
        <w:t>cenari</w:t>
      </w:r>
      <w:r w:rsidR="00553D41" w:rsidRPr="001722FB">
        <w:t>o</w:t>
      </w:r>
      <w:r w:rsidR="002D6462" w:rsidRPr="001722FB">
        <w:t xml:space="preserve"> </w:t>
      </w:r>
      <w:r w:rsidR="002D6462" w:rsidRPr="00420F5F">
        <w:t>(</w:t>
      </w:r>
      <w:r w:rsidR="00CB75AE" w:rsidRPr="00420F5F">
        <w:rPr>
          <w:szCs w:val="20"/>
        </w:rPr>
        <w:t>10000_</w:t>
      </w:r>
      <w:r w:rsidR="002D6462" w:rsidRPr="00420F5F">
        <w:rPr>
          <w:szCs w:val="20"/>
        </w:rPr>
        <w:t>S</w:t>
      </w:r>
      <w:r w:rsidR="00027EDF" w:rsidRPr="00420F5F">
        <w:rPr>
          <w:szCs w:val="20"/>
        </w:rPr>
        <w:t>en</w:t>
      </w:r>
      <w:r w:rsidR="002D6462" w:rsidRPr="00420F5F">
        <w:rPr>
          <w:szCs w:val="20"/>
        </w:rPr>
        <w:t>)</w:t>
      </w:r>
      <w:r w:rsidR="00553D41" w:rsidRPr="00420F5F">
        <w:t>,</w:t>
      </w:r>
      <w:r w:rsidR="00553D41" w:rsidRPr="00ED4323">
        <w:t xml:space="preserve"> </w:t>
      </w:r>
      <w:r w:rsidR="001B159B">
        <w:t xml:space="preserve">with </w:t>
      </w:r>
      <w:r w:rsidR="00553D41" w:rsidRPr="00ED4323">
        <w:t>increas</w:t>
      </w:r>
      <w:r w:rsidR="001B159B">
        <w:t>ed</w:t>
      </w:r>
      <w:r w:rsidR="00553D41" w:rsidRPr="00ED4323">
        <w:t xml:space="preserve"> demand due to </w:t>
      </w:r>
      <w:r w:rsidR="002E6004" w:rsidRPr="00ED4323">
        <w:t xml:space="preserve">electrification (i.e., the addition of </w:t>
      </w:r>
      <w:r w:rsidR="00553D41" w:rsidRPr="00ED4323">
        <w:t>electric vehicles and heat pumps</w:t>
      </w:r>
      <w:r w:rsidR="002E6004" w:rsidRPr="00ED4323">
        <w:t>)</w:t>
      </w:r>
      <w:r w:rsidR="00553D41" w:rsidRPr="00ED4323">
        <w:t xml:space="preserve"> </w:t>
      </w:r>
      <w:r w:rsidR="001B159B">
        <w:t xml:space="preserve">and </w:t>
      </w:r>
      <w:r w:rsidR="00553D41" w:rsidRPr="00ED4323">
        <w:t>addi</w:t>
      </w:r>
      <w:r w:rsidR="001B159B">
        <w:t>tional</w:t>
      </w:r>
      <w:r w:rsidR="00553D41" w:rsidRPr="00ED4323">
        <w:t xml:space="preserve"> supply in the form of battery storage</w:t>
      </w:r>
      <w:r w:rsidR="00FF3EB1" w:rsidRPr="00ED4323">
        <w:t xml:space="preserve">. </w:t>
      </w:r>
      <w:r w:rsidR="00BF76A9" w:rsidRPr="00176755">
        <w:t>While the request sought to reduce nuclear output by taking the Millstone station in southeast Connecticut off line, th</w:t>
      </w:r>
      <w:r w:rsidR="003825FD">
        <w:t xml:space="preserve">is </w:t>
      </w:r>
      <w:r w:rsidR="00BF76A9" w:rsidRPr="00176755">
        <w:t xml:space="preserve">study instead reduced Millstone’s output by 1,000 MW and Seabrook’s output by 1,000 </w:t>
      </w:r>
      <w:r w:rsidR="00BF76A9" w:rsidRPr="0035083F">
        <w:t>MW</w:t>
      </w:r>
      <w:r w:rsidR="003825FD" w:rsidRPr="0035083F">
        <w:t xml:space="preserve"> to align the assumptions with the NESCOE study and improve study efficiencies.</w:t>
      </w:r>
      <w:r w:rsidR="003825FD" w:rsidRPr="00176755">
        <w:t xml:space="preserve"> </w:t>
      </w:r>
      <w:r w:rsidR="003825FD" w:rsidRPr="00026619">
        <w:t xml:space="preserve"> </w:t>
      </w:r>
    </w:p>
    <w:p w14:paraId="3766EB26" w14:textId="5DAEC546" w:rsidR="00FA0A8F" w:rsidRDefault="00B34D11" w:rsidP="00CB75AE">
      <w:pPr>
        <w:rPr>
          <w:szCs w:val="20"/>
        </w:rPr>
      </w:pPr>
      <w:r w:rsidRPr="00ED4323">
        <w:rPr>
          <w:szCs w:val="20"/>
        </w:rPr>
        <w:t>The results for the p</w:t>
      </w:r>
      <w:r w:rsidR="00053241" w:rsidRPr="00ED4323">
        <w:rPr>
          <w:szCs w:val="20"/>
        </w:rPr>
        <w:t xml:space="preserve">roduction cost analyses </w:t>
      </w:r>
      <w:r w:rsidR="00E57FF9" w:rsidRPr="00ED4323">
        <w:rPr>
          <w:szCs w:val="20"/>
        </w:rPr>
        <w:t xml:space="preserve">indicate </w:t>
      </w:r>
      <w:r w:rsidR="002E6004" w:rsidRPr="00ED4323">
        <w:rPr>
          <w:szCs w:val="20"/>
        </w:rPr>
        <w:t>that</w:t>
      </w:r>
      <w:r w:rsidR="00BF76A9">
        <w:rPr>
          <w:szCs w:val="20"/>
        </w:rPr>
        <w:t xml:space="preserve"> energy-production costs are reduced by approximately one-half</w:t>
      </w:r>
      <w:r w:rsidR="002E6004" w:rsidRPr="00ED4323">
        <w:rPr>
          <w:szCs w:val="20"/>
        </w:rPr>
        <w:t xml:space="preserve"> </w:t>
      </w:r>
      <w:r w:rsidR="00BF76A9">
        <w:rPr>
          <w:szCs w:val="20"/>
        </w:rPr>
        <w:t xml:space="preserve">with </w:t>
      </w:r>
      <w:r w:rsidR="00582371">
        <w:rPr>
          <w:szCs w:val="20"/>
        </w:rPr>
        <w:t xml:space="preserve">the interconnection of </w:t>
      </w:r>
      <w:r w:rsidR="00BF76A9">
        <w:rPr>
          <w:szCs w:val="20"/>
        </w:rPr>
        <w:t>8,000 MW of offshore wind. Similarly, system carbon dioxide emissions are reduced by approximately one-third with 8,000 MW of offshore w</w:t>
      </w:r>
      <w:r w:rsidR="00BF76A9" w:rsidRPr="0035083F">
        <w:rPr>
          <w:szCs w:val="20"/>
        </w:rPr>
        <w:t>ind.</w:t>
      </w:r>
      <w:r w:rsidR="00CC0F68" w:rsidRPr="0035083F">
        <w:rPr>
          <w:szCs w:val="20"/>
        </w:rPr>
        <w:t xml:space="preserve"> </w:t>
      </w:r>
      <w:r w:rsidR="00FA0A8F">
        <w:rPr>
          <w:szCs w:val="20"/>
        </w:rPr>
        <w:t>T</w:t>
      </w:r>
      <w:r w:rsidR="00CC0F68" w:rsidRPr="0035083F">
        <w:rPr>
          <w:szCs w:val="20"/>
        </w:rPr>
        <w:t xml:space="preserve">he </w:t>
      </w:r>
      <w:r w:rsidR="00FA0A8F">
        <w:rPr>
          <w:szCs w:val="20"/>
        </w:rPr>
        <w:t xml:space="preserve">study used the </w:t>
      </w:r>
      <w:r w:rsidR="00CC0F68" w:rsidRPr="0035083F">
        <w:rPr>
          <w:szCs w:val="20"/>
        </w:rPr>
        <w:t>results f</w:t>
      </w:r>
      <w:r w:rsidR="00FA0A8F">
        <w:rPr>
          <w:szCs w:val="20"/>
        </w:rPr>
        <w:t xml:space="preserve">rom </w:t>
      </w:r>
      <w:r w:rsidR="00CC0F68" w:rsidRPr="0035083F">
        <w:rPr>
          <w:szCs w:val="20"/>
        </w:rPr>
        <w:t>the 2019 NESCOE Economic Study</w:t>
      </w:r>
      <w:r w:rsidR="0035083F">
        <w:rPr>
          <w:szCs w:val="20"/>
        </w:rPr>
        <w:t>, which</w:t>
      </w:r>
      <w:r w:rsidR="00930A1C">
        <w:rPr>
          <w:szCs w:val="20"/>
        </w:rPr>
        <w:t xml:space="preserve"> </w:t>
      </w:r>
      <w:r w:rsidR="00CC0F68" w:rsidRPr="0035083F">
        <w:rPr>
          <w:szCs w:val="20"/>
        </w:rPr>
        <w:t>showed</w:t>
      </w:r>
      <w:r w:rsidR="00FA0A8F">
        <w:rPr>
          <w:szCs w:val="20"/>
        </w:rPr>
        <w:t xml:space="preserve"> the following for the 2030 study-year topology:</w:t>
      </w:r>
    </w:p>
    <w:p w14:paraId="0A7AD1CB" w14:textId="7FB4FBB4" w:rsidR="00FA0A8F" w:rsidRPr="00FA0A8F" w:rsidRDefault="00FA0A8F" w:rsidP="00FA0A8F">
      <w:pPr>
        <w:pStyle w:val="ListParagraph"/>
        <w:numPr>
          <w:ilvl w:val="0"/>
          <w:numId w:val="14"/>
        </w:numPr>
        <w:rPr>
          <w:szCs w:val="20"/>
        </w:rPr>
      </w:pPr>
      <w:r w:rsidRPr="00FA0A8F">
        <w:rPr>
          <w:szCs w:val="20"/>
        </w:rPr>
        <w:t>A</w:t>
      </w:r>
      <w:r w:rsidR="0086694D" w:rsidRPr="00FA0A8F">
        <w:rPr>
          <w:szCs w:val="20"/>
        </w:rPr>
        <w:t>pproximately 7,000 MW of new offshore wind has the potential to be interconnected without major additional 345 kV reinforcements</w:t>
      </w:r>
      <w:r>
        <w:rPr>
          <w:szCs w:val="20"/>
        </w:rPr>
        <w:t xml:space="preserve">, </w:t>
      </w:r>
      <w:r w:rsidRPr="0035083F">
        <w:rPr>
          <w:szCs w:val="20"/>
        </w:rPr>
        <w:t>5,800 MW to the southern shore substations and 1,200 MW</w:t>
      </w:r>
      <w:r>
        <w:rPr>
          <w:szCs w:val="20"/>
        </w:rPr>
        <w:t xml:space="preserve"> </w:t>
      </w:r>
      <w:r w:rsidRPr="0035083F">
        <w:rPr>
          <w:szCs w:val="20"/>
        </w:rPr>
        <w:t xml:space="preserve">to </w:t>
      </w:r>
      <w:r>
        <w:rPr>
          <w:szCs w:val="20"/>
        </w:rPr>
        <w:t xml:space="preserve">the </w:t>
      </w:r>
      <w:r w:rsidRPr="0035083F">
        <w:rPr>
          <w:szCs w:val="20"/>
        </w:rPr>
        <w:t>Mystic</w:t>
      </w:r>
      <w:r>
        <w:rPr>
          <w:szCs w:val="20"/>
        </w:rPr>
        <w:t xml:space="preserve"> station in Boston.</w:t>
      </w:r>
      <w:r w:rsidRPr="0035083F">
        <w:rPr>
          <w:rStyle w:val="FootnoteReference"/>
        </w:rPr>
        <w:footnoteReference w:id="3"/>
      </w:r>
    </w:p>
    <w:p w14:paraId="4CFBF354" w14:textId="11BC78E6" w:rsidR="00CC0F68" w:rsidRPr="00FA0A8F" w:rsidRDefault="00FA0A8F" w:rsidP="00FA0A8F">
      <w:pPr>
        <w:pStyle w:val="ListParagraph"/>
        <w:numPr>
          <w:ilvl w:val="0"/>
          <w:numId w:val="14"/>
        </w:numPr>
        <w:spacing w:after="240"/>
        <w:rPr>
          <w:szCs w:val="20"/>
        </w:rPr>
      </w:pPr>
      <w:r w:rsidRPr="00FA0A8F">
        <w:rPr>
          <w:szCs w:val="20"/>
        </w:rPr>
        <w:t>I</w:t>
      </w:r>
      <w:r w:rsidR="00C364FF" w:rsidRPr="00FA0A8F">
        <w:rPr>
          <w:szCs w:val="20"/>
        </w:rPr>
        <w:t xml:space="preserve">nterconnecting more than </w:t>
      </w:r>
      <w:r w:rsidR="002170A4" w:rsidRPr="00FA0A8F">
        <w:rPr>
          <w:szCs w:val="20"/>
        </w:rPr>
        <w:t>5,</w:t>
      </w:r>
      <w:r w:rsidR="00C364FF" w:rsidRPr="00FA0A8F">
        <w:rPr>
          <w:szCs w:val="20"/>
        </w:rPr>
        <w:t xml:space="preserve">800 MW of offshore wind </w:t>
      </w:r>
      <w:r w:rsidR="00255641" w:rsidRPr="00FA0A8F">
        <w:rPr>
          <w:szCs w:val="20"/>
        </w:rPr>
        <w:t>in</w:t>
      </w:r>
      <w:r w:rsidR="00CD5DA1" w:rsidRPr="00FA0A8F">
        <w:rPr>
          <w:szCs w:val="20"/>
        </w:rPr>
        <w:t xml:space="preserve">side the </w:t>
      </w:r>
      <w:r w:rsidR="002E6004" w:rsidRPr="00FA0A8F">
        <w:rPr>
          <w:szCs w:val="20"/>
        </w:rPr>
        <w:t>Southeast Massachusetts (</w:t>
      </w:r>
      <w:r w:rsidR="00CD5DA1" w:rsidRPr="00FA0A8F">
        <w:rPr>
          <w:szCs w:val="20"/>
        </w:rPr>
        <w:t>SEMA</w:t>
      </w:r>
      <w:r w:rsidR="002E6004" w:rsidRPr="00FA0A8F">
        <w:rPr>
          <w:szCs w:val="20"/>
        </w:rPr>
        <w:t>)</w:t>
      </w:r>
      <w:r w:rsidR="00CD5DA1" w:rsidRPr="00FA0A8F">
        <w:rPr>
          <w:szCs w:val="20"/>
        </w:rPr>
        <w:t xml:space="preserve"> and </w:t>
      </w:r>
      <w:r w:rsidR="002E6004" w:rsidRPr="00FA0A8F">
        <w:rPr>
          <w:szCs w:val="20"/>
        </w:rPr>
        <w:t>Rhode Island (</w:t>
      </w:r>
      <w:r w:rsidR="00CD5DA1" w:rsidRPr="00FA0A8F">
        <w:rPr>
          <w:szCs w:val="20"/>
        </w:rPr>
        <w:t>RI</w:t>
      </w:r>
      <w:r w:rsidR="002E6004" w:rsidRPr="00FA0A8F">
        <w:rPr>
          <w:szCs w:val="20"/>
        </w:rPr>
        <w:t>)</w:t>
      </w:r>
      <w:r w:rsidR="00CD5DA1" w:rsidRPr="00FA0A8F">
        <w:rPr>
          <w:szCs w:val="20"/>
        </w:rPr>
        <w:t xml:space="preserve"> </w:t>
      </w:r>
      <w:r w:rsidR="00255641" w:rsidRPr="00FA0A8F">
        <w:rPr>
          <w:szCs w:val="20"/>
        </w:rPr>
        <w:t>sub</w:t>
      </w:r>
      <w:r w:rsidR="00CD5DA1" w:rsidRPr="00FA0A8F">
        <w:rPr>
          <w:szCs w:val="20"/>
        </w:rPr>
        <w:t>areas</w:t>
      </w:r>
      <w:r w:rsidR="0086694D" w:rsidRPr="00FA0A8F">
        <w:rPr>
          <w:szCs w:val="20"/>
        </w:rPr>
        <w:t xml:space="preserve"> </w:t>
      </w:r>
      <w:r w:rsidR="00255641" w:rsidRPr="00FA0A8F">
        <w:rPr>
          <w:szCs w:val="20"/>
        </w:rPr>
        <w:t>increases</w:t>
      </w:r>
      <w:r w:rsidR="00CD5DA1" w:rsidRPr="00FA0A8F">
        <w:rPr>
          <w:szCs w:val="20"/>
        </w:rPr>
        <w:t xml:space="preserve"> congestion of the SEMA/RI export interface</w:t>
      </w:r>
    </w:p>
    <w:p w14:paraId="7E030237" w14:textId="0457AAF8" w:rsidR="0067451B" w:rsidRDefault="00CD5DA1" w:rsidP="00CB75AE">
      <w:pPr>
        <w:rPr>
          <w:szCs w:val="20"/>
        </w:rPr>
        <w:sectPr w:rsidR="0067451B" w:rsidSect="0067451B">
          <w:footerReference w:type="default" r:id="rId24"/>
          <w:pgSz w:w="12240" w:h="15840" w:code="1"/>
          <w:pgMar w:top="1440" w:right="1440" w:bottom="1166" w:left="1440" w:header="720" w:footer="720" w:gutter="0"/>
          <w:pgNumType w:start="1"/>
          <w:cols w:space="720"/>
          <w:docGrid w:linePitch="360"/>
        </w:sectPr>
      </w:pPr>
      <w:r w:rsidRPr="00ED4323">
        <w:rPr>
          <w:szCs w:val="20"/>
        </w:rPr>
        <w:t>As more offshore wind is interconnected</w:t>
      </w:r>
      <w:r w:rsidR="002170A4">
        <w:rPr>
          <w:szCs w:val="20"/>
        </w:rPr>
        <w:t xml:space="preserve"> into southeastern </w:t>
      </w:r>
      <w:r w:rsidR="00EF5A9F">
        <w:rPr>
          <w:szCs w:val="20"/>
        </w:rPr>
        <w:t>Massachusetts</w:t>
      </w:r>
      <w:r w:rsidRPr="00ED4323">
        <w:rPr>
          <w:szCs w:val="20"/>
        </w:rPr>
        <w:t>, the</w:t>
      </w:r>
      <w:r w:rsidR="002E6004" w:rsidRPr="00ED4323">
        <w:rPr>
          <w:szCs w:val="20"/>
        </w:rPr>
        <w:t xml:space="preserve"> </w:t>
      </w:r>
      <w:r w:rsidRPr="00ED4323">
        <w:rPr>
          <w:szCs w:val="20"/>
        </w:rPr>
        <w:t xml:space="preserve">amount of spillage </w:t>
      </w:r>
      <w:r w:rsidR="002E6004" w:rsidRPr="00ED4323">
        <w:rPr>
          <w:szCs w:val="20"/>
        </w:rPr>
        <w:t xml:space="preserve">increases </w:t>
      </w:r>
      <w:r w:rsidRPr="00461B5D">
        <w:rPr>
          <w:szCs w:val="20"/>
        </w:rPr>
        <w:t>due to oversupply</w:t>
      </w:r>
      <w:r w:rsidR="00461B5D">
        <w:rPr>
          <w:szCs w:val="20"/>
        </w:rPr>
        <w:t xml:space="preserve"> </w:t>
      </w:r>
      <w:r w:rsidR="00461B5D" w:rsidRPr="004341C8">
        <w:rPr>
          <w:szCs w:val="20"/>
        </w:rPr>
        <w:t>(i.e., supply exceeding demand)</w:t>
      </w:r>
      <w:r w:rsidR="00CC0F68" w:rsidRPr="004341C8">
        <w:rPr>
          <w:szCs w:val="20"/>
        </w:rPr>
        <w:t>,</w:t>
      </w:r>
      <w:r w:rsidR="002170A4" w:rsidRPr="004341C8">
        <w:rPr>
          <w:szCs w:val="20"/>
        </w:rPr>
        <w:t xml:space="preserve"> given the transmission system’s current ability to move power out of the area</w:t>
      </w:r>
      <w:r w:rsidR="00FF3EB1" w:rsidRPr="004341C8">
        <w:rPr>
          <w:szCs w:val="20"/>
        </w:rPr>
        <w:t xml:space="preserve">. </w:t>
      </w:r>
      <w:r w:rsidR="00CB75AE" w:rsidRPr="004341C8">
        <w:rPr>
          <w:szCs w:val="20"/>
        </w:rPr>
        <w:t>T</w:t>
      </w:r>
      <w:r w:rsidR="00CB75AE" w:rsidRPr="00461B5D">
        <w:rPr>
          <w:szCs w:val="20"/>
        </w:rPr>
        <w:t>he</w:t>
      </w:r>
      <w:r w:rsidR="00CB75AE" w:rsidRPr="00ED4323">
        <w:rPr>
          <w:szCs w:val="20"/>
        </w:rPr>
        <w:t xml:space="preserve"> retirement of large bas</w:t>
      </w:r>
      <w:r w:rsidR="00CB75AE" w:rsidRPr="00542627">
        <w:rPr>
          <w:szCs w:val="20"/>
        </w:rPr>
        <w:t>eload must</w:t>
      </w:r>
      <w:r w:rsidR="002E6004" w:rsidRPr="00ED4323">
        <w:rPr>
          <w:szCs w:val="20"/>
        </w:rPr>
        <w:t>-</w:t>
      </w:r>
      <w:r w:rsidR="00CB75AE" w:rsidRPr="00ED4323">
        <w:rPr>
          <w:szCs w:val="20"/>
        </w:rPr>
        <w:t>run (</w:t>
      </w:r>
      <w:r w:rsidR="00612438">
        <w:rPr>
          <w:szCs w:val="20"/>
        </w:rPr>
        <w:t>e.g.</w:t>
      </w:r>
      <w:r w:rsidR="00BB4AF7">
        <w:rPr>
          <w:szCs w:val="20"/>
        </w:rPr>
        <w:t>,</w:t>
      </w:r>
      <w:r w:rsidR="00612438">
        <w:rPr>
          <w:szCs w:val="20"/>
        </w:rPr>
        <w:t xml:space="preserve"> </w:t>
      </w:r>
      <w:r w:rsidR="00CB75AE" w:rsidRPr="00ED4323">
        <w:rPr>
          <w:szCs w:val="20"/>
        </w:rPr>
        <w:t>nuclear) generation would</w:t>
      </w:r>
      <w:r w:rsidR="00255641" w:rsidRPr="00ED4323">
        <w:rPr>
          <w:szCs w:val="20"/>
        </w:rPr>
        <w:t xml:space="preserve"> </w:t>
      </w:r>
      <w:r w:rsidR="00CB75AE" w:rsidRPr="00ED4323">
        <w:rPr>
          <w:szCs w:val="20"/>
        </w:rPr>
        <w:t xml:space="preserve">lower spillage associated with </w:t>
      </w:r>
      <w:r w:rsidR="00612438" w:rsidRPr="00ED4323">
        <w:rPr>
          <w:szCs w:val="20"/>
        </w:rPr>
        <w:t>over</w:t>
      </w:r>
      <w:r w:rsidR="00612438">
        <w:rPr>
          <w:szCs w:val="20"/>
        </w:rPr>
        <w:t xml:space="preserve">supply </w:t>
      </w:r>
      <w:r w:rsidR="00604D72">
        <w:rPr>
          <w:szCs w:val="20"/>
        </w:rPr>
        <w:t>as well as with transmission congestion</w:t>
      </w:r>
      <w:r w:rsidR="00CB75AE" w:rsidRPr="00CC0F68">
        <w:rPr>
          <w:szCs w:val="20"/>
        </w:rPr>
        <w:t>.</w:t>
      </w:r>
      <w:r w:rsidR="00255641" w:rsidRPr="00CC0F68">
        <w:rPr>
          <w:szCs w:val="20"/>
        </w:rPr>
        <w:t xml:space="preserve"> </w:t>
      </w:r>
      <w:r w:rsidR="00BC1670" w:rsidRPr="0035083F">
        <w:rPr>
          <w:szCs w:val="20"/>
        </w:rPr>
        <w:t>A</w:t>
      </w:r>
      <w:r w:rsidRPr="00E45FAD">
        <w:rPr>
          <w:szCs w:val="20"/>
        </w:rPr>
        <w:t xml:space="preserve">s </w:t>
      </w:r>
      <w:r w:rsidR="00CB75AE" w:rsidRPr="00352DC9">
        <w:rPr>
          <w:szCs w:val="20"/>
        </w:rPr>
        <w:t>observed in the</w:t>
      </w:r>
      <w:r w:rsidR="00CC0F68">
        <w:rPr>
          <w:szCs w:val="20"/>
        </w:rPr>
        <w:t>,</w:t>
      </w:r>
      <w:r w:rsidR="00CB75AE" w:rsidRPr="00352DC9">
        <w:rPr>
          <w:szCs w:val="20"/>
        </w:rPr>
        <w:t xml:space="preserve"> 10000_Sen </w:t>
      </w:r>
      <w:r w:rsidR="00255641" w:rsidRPr="004B6D43">
        <w:rPr>
          <w:szCs w:val="20"/>
        </w:rPr>
        <w:t>s</w:t>
      </w:r>
      <w:r w:rsidRPr="00931114">
        <w:rPr>
          <w:szCs w:val="20"/>
        </w:rPr>
        <w:t>cena</w:t>
      </w:r>
      <w:r w:rsidRPr="00E45FAD">
        <w:rPr>
          <w:szCs w:val="20"/>
        </w:rPr>
        <w:t>rio</w:t>
      </w:r>
      <w:r w:rsidR="00505004" w:rsidRPr="00E45FAD">
        <w:rPr>
          <w:szCs w:val="20"/>
        </w:rPr>
        <w:t xml:space="preserve">, </w:t>
      </w:r>
      <w:r w:rsidR="00CC0F68">
        <w:rPr>
          <w:szCs w:val="20"/>
        </w:rPr>
        <w:t xml:space="preserve">the </w:t>
      </w:r>
      <w:r w:rsidR="008027D7" w:rsidRPr="00E45FAD">
        <w:rPr>
          <w:szCs w:val="20"/>
        </w:rPr>
        <w:t xml:space="preserve">increased electrification and </w:t>
      </w:r>
      <w:r w:rsidR="00C72D1F" w:rsidRPr="00E45FAD">
        <w:rPr>
          <w:szCs w:val="20"/>
        </w:rPr>
        <w:t>install</w:t>
      </w:r>
      <w:r w:rsidR="008027D7" w:rsidRPr="00E45FAD">
        <w:rPr>
          <w:szCs w:val="20"/>
        </w:rPr>
        <w:t xml:space="preserve">ation of </w:t>
      </w:r>
      <w:r w:rsidR="00C72D1F" w:rsidRPr="00E45FAD">
        <w:rPr>
          <w:szCs w:val="20"/>
        </w:rPr>
        <w:t xml:space="preserve">more storage in areas with </w:t>
      </w:r>
      <w:r w:rsidR="00B56CF6" w:rsidRPr="00E45FAD">
        <w:rPr>
          <w:szCs w:val="20"/>
        </w:rPr>
        <w:t xml:space="preserve">a </w:t>
      </w:r>
      <w:r w:rsidR="00C72D1F" w:rsidRPr="00E45FAD">
        <w:rPr>
          <w:szCs w:val="20"/>
        </w:rPr>
        <w:t xml:space="preserve">large amount of </w:t>
      </w:r>
      <w:r w:rsidR="00CB75AE" w:rsidRPr="00E45FAD">
        <w:rPr>
          <w:szCs w:val="20"/>
        </w:rPr>
        <w:t>offshore wind dev</w:t>
      </w:r>
      <w:r w:rsidR="00C72D1F" w:rsidRPr="00E45FAD">
        <w:rPr>
          <w:szCs w:val="20"/>
        </w:rPr>
        <w:t>elopment</w:t>
      </w:r>
      <w:r w:rsidR="001E2448" w:rsidRPr="00E45FAD">
        <w:rPr>
          <w:szCs w:val="20"/>
        </w:rPr>
        <w:t xml:space="preserve"> (</w:t>
      </w:r>
      <w:r w:rsidR="00C72D1F" w:rsidRPr="00E45FAD">
        <w:rPr>
          <w:szCs w:val="20"/>
        </w:rPr>
        <w:t>e.g. SEMA, RI, and Boston</w:t>
      </w:r>
      <w:r w:rsidR="001E2448" w:rsidRPr="00E45FAD">
        <w:rPr>
          <w:szCs w:val="20"/>
        </w:rPr>
        <w:t>)</w:t>
      </w:r>
      <w:r w:rsidR="00C72D1F" w:rsidRPr="00E45FAD">
        <w:rPr>
          <w:szCs w:val="20"/>
        </w:rPr>
        <w:t xml:space="preserve"> wou</w:t>
      </w:r>
      <w:r w:rsidR="00C72D1F" w:rsidRPr="00ED4323">
        <w:rPr>
          <w:szCs w:val="20"/>
        </w:rPr>
        <w:t xml:space="preserve">ld reduce congestion of the SEMA/RI export interface </w:t>
      </w:r>
      <w:r w:rsidR="00C72D1F" w:rsidRPr="00604D72">
        <w:rPr>
          <w:szCs w:val="20"/>
        </w:rPr>
        <w:t>compared with installing storage resources elsewhere</w:t>
      </w:r>
      <w:r w:rsidR="00FF3EB1" w:rsidRPr="00604D72">
        <w:rPr>
          <w:szCs w:val="20"/>
        </w:rPr>
        <w:t>.</w:t>
      </w:r>
    </w:p>
    <w:p w14:paraId="7928A723" w14:textId="77777777" w:rsidR="00053241" w:rsidRPr="004341C8" w:rsidRDefault="00053241" w:rsidP="00520691">
      <w:pPr>
        <w:pStyle w:val="Heading1"/>
      </w:pPr>
      <w:r>
        <w:br/>
      </w:r>
      <w:bookmarkStart w:id="21" w:name="_Toc52533787"/>
      <w:r w:rsidRPr="004341C8">
        <w:t>Background</w:t>
      </w:r>
      <w:r w:rsidR="00986FF9" w:rsidRPr="004341C8">
        <w:t xml:space="preserve"> and Purpose</w:t>
      </w:r>
      <w:r w:rsidR="004341C8">
        <w:t xml:space="preserve"> of the 2019 Anbaric Economic Study</w:t>
      </w:r>
      <w:bookmarkEnd w:id="21"/>
    </w:p>
    <w:p w14:paraId="27A0D431" w14:textId="77777777" w:rsidR="00D7634C" w:rsidRDefault="00053241" w:rsidP="00053241">
      <w:r w:rsidRPr="00B5661F">
        <w:t xml:space="preserve">The 2019 </w:t>
      </w:r>
      <w:r w:rsidR="00DE6511">
        <w:t>A</w:t>
      </w:r>
      <w:r w:rsidR="00800118">
        <w:t>nbaric</w:t>
      </w:r>
      <w:r w:rsidRPr="00B5661F">
        <w:t xml:space="preserve"> Economic Study</w:t>
      </w:r>
      <w:r w:rsidR="00994CCF">
        <w:t xml:space="preserve"> </w:t>
      </w:r>
      <w:r w:rsidRPr="00B5661F">
        <w:t xml:space="preserve">was one of three </w:t>
      </w:r>
      <w:r>
        <w:t>e</w:t>
      </w:r>
      <w:r w:rsidRPr="00B5661F">
        <w:t xml:space="preserve">conomic </w:t>
      </w:r>
      <w:r>
        <w:t>s</w:t>
      </w:r>
      <w:r w:rsidRPr="00B5661F">
        <w:t xml:space="preserve">tudies submitted </w:t>
      </w:r>
      <w:r>
        <w:t xml:space="preserve">to the ISO </w:t>
      </w:r>
      <w:r w:rsidRPr="00B5661F">
        <w:t>in 2019</w:t>
      </w:r>
      <w:r>
        <w:t>.</w:t>
      </w:r>
      <w:bookmarkStart w:id="22" w:name="_Ref49764262"/>
      <w:r w:rsidR="00B56CF6">
        <w:rPr>
          <w:rStyle w:val="FootnoteReference"/>
        </w:rPr>
        <w:footnoteReference w:id="4"/>
      </w:r>
      <w:bookmarkEnd w:id="22"/>
      <w:r w:rsidR="00B56CF6" w:rsidRPr="00B5661F">
        <w:t xml:space="preserve"> </w:t>
      </w:r>
      <w:r w:rsidRPr="00B5661F">
        <w:t xml:space="preserve">The other two </w:t>
      </w:r>
      <w:r>
        <w:t>e</w:t>
      </w:r>
      <w:r w:rsidRPr="00B5661F">
        <w:t xml:space="preserve">conomic </w:t>
      </w:r>
      <w:r>
        <w:t>s</w:t>
      </w:r>
      <w:r w:rsidRPr="00B5661F">
        <w:t xml:space="preserve">tudy requests were from RENEW and </w:t>
      </w:r>
      <w:r w:rsidR="00C364FF">
        <w:t>NESCOE</w:t>
      </w:r>
      <w:r w:rsidR="00282A21">
        <w:t xml:space="preserve"> discussed in </w:t>
      </w:r>
      <w:r>
        <w:t>separate reports</w:t>
      </w:r>
      <w:r w:rsidR="00677B50">
        <w:t xml:space="preserve"> </w:t>
      </w:r>
      <w:r w:rsidR="00282A21">
        <w:t>and presentations</w:t>
      </w:r>
      <w:r>
        <w:t xml:space="preserve"> accordingly</w:t>
      </w:r>
      <w:r w:rsidRPr="00466D29">
        <w:t>.</w:t>
      </w:r>
      <w:bookmarkStart w:id="23" w:name="_Ref52527162"/>
      <w:r w:rsidRPr="00466D29">
        <w:rPr>
          <w:rStyle w:val="FootnoteReference"/>
        </w:rPr>
        <w:footnoteReference w:id="5"/>
      </w:r>
      <w:bookmarkEnd w:id="23"/>
      <w:r>
        <w:t xml:space="preserve"> </w:t>
      </w:r>
    </w:p>
    <w:p w14:paraId="5FF9139F" w14:textId="77777777" w:rsidR="00053241" w:rsidRDefault="00053241" w:rsidP="00EF5A9F">
      <w:r w:rsidRPr="00D13707">
        <w:t>As a part of the regional system planning effort</w:t>
      </w:r>
      <w:r>
        <w:t xml:space="preserve"> and </w:t>
      </w:r>
      <w:r w:rsidRPr="00D13707">
        <w:t xml:space="preserve">as specified in Attachment K of its </w:t>
      </w:r>
      <w:r w:rsidRPr="000A4048">
        <w:rPr>
          <w:i/>
        </w:rPr>
        <w:t>Open-Access Transmission Tariff</w:t>
      </w:r>
      <w:r w:rsidRPr="00D13707">
        <w:t xml:space="preserve"> (OATT)</w:t>
      </w:r>
      <w:r>
        <w:t>,</w:t>
      </w:r>
      <w:r w:rsidRPr="00375A8D">
        <w:t xml:space="preserve"> </w:t>
      </w:r>
      <w:r>
        <w:t xml:space="preserve">the </w:t>
      </w:r>
      <w:r w:rsidRPr="00D13707">
        <w:t xml:space="preserve">ISO </w:t>
      </w:r>
      <w:r>
        <w:t xml:space="preserve">may </w:t>
      </w:r>
      <w:r w:rsidRPr="00D13707">
        <w:t>conduct economic planning studies each year.</w:t>
      </w:r>
      <w:r>
        <w:rPr>
          <w:rStyle w:val="FootnoteReference"/>
        </w:rPr>
        <w:footnoteReference w:id="6"/>
      </w:r>
      <w:r w:rsidRPr="00D13707">
        <w:t xml:space="preserve"> </w:t>
      </w:r>
      <w:r w:rsidR="002917BA">
        <w:t>Using scenario analysis, t</w:t>
      </w:r>
      <w:r w:rsidRPr="00D13707">
        <w:t xml:space="preserve">he economic studies provide information on system performance, such as estimated production costs, load-serving entity (LSE) energy </w:t>
      </w:r>
      <w:r w:rsidRPr="004A2DCA">
        <w:t>expenses, transmission congestion, and environmental emission levels.</w:t>
      </w:r>
      <w:r w:rsidRPr="004A2DCA">
        <w:rPr>
          <w:rStyle w:val="FootnoteReference"/>
        </w:rPr>
        <w:footnoteReference w:id="7"/>
      </w:r>
      <w:r>
        <w:t xml:space="preserve"> </w:t>
      </w:r>
      <w:r w:rsidRPr="00C74B0B">
        <w:t>Scenario analyses</w:t>
      </w:r>
      <w:r>
        <w:t xml:space="preserve"> also</w:t>
      </w:r>
      <w:r w:rsidRPr="00C74B0B">
        <w:t xml:space="preserve"> inform stakeholders about different future </w:t>
      </w:r>
      <w:r w:rsidRPr="002B2179">
        <w:t xml:space="preserve">systems. These hypothetical systems should not be regarded as </w:t>
      </w:r>
      <w:r w:rsidRPr="0040073E">
        <w:t xml:space="preserve">physically realizable </w:t>
      </w:r>
      <w:r>
        <w:t xml:space="preserve">interconnection </w:t>
      </w:r>
      <w:r w:rsidRPr="0040073E">
        <w:t xml:space="preserve">plans or </w:t>
      </w:r>
      <w:r w:rsidRPr="002B2179">
        <w:t>the ISO’s vision of future development, projections, and preferences.</w:t>
      </w:r>
      <w:r>
        <w:t xml:space="preserve"> </w:t>
      </w:r>
      <w:r w:rsidR="00D30477">
        <w:t>Study scenarios include assumptions that may not reflect laws or policies that will be in effect for the study year</w:t>
      </w:r>
      <w:r w:rsidR="0013046E">
        <w:t>, b</w:t>
      </w:r>
      <w:r w:rsidR="00EF5A9F">
        <w:t xml:space="preserve">ut </w:t>
      </w:r>
      <w:r w:rsidR="00C55711" w:rsidRPr="00C55711">
        <w:t>they can assist readers by identifying key regional issues.</w:t>
      </w:r>
    </w:p>
    <w:p w14:paraId="7172A0F6" w14:textId="77777777" w:rsidR="00EA7445" w:rsidRDefault="002917BA" w:rsidP="00053241">
      <w:r>
        <w:t>The ISO conduct</w:t>
      </w:r>
      <w:r w:rsidR="00EB1F5F">
        <w:t>s</w:t>
      </w:r>
      <w:r>
        <w:t xml:space="preserve"> economic stud</w:t>
      </w:r>
      <w:r w:rsidR="00EB1F5F">
        <w:t>ies</w:t>
      </w:r>
      <w:r>
        <w:t xml:space="preserve"> under the auspices of the Planning Advisory Committee (PAC). </w:t>
      </w:r>
      <w:r w:rsidR="00053241">
        <w:t xml:space="preserve">The role of </w:t>
      </w:r>
      <w:r w:rsidR="00053241" w:rsidRPr="00026619">
        <w:t>the PAC in the economic study process is to discuss, identify, and otherwise assist the ISO by advising on the proposed studies.</w:t>
      </w:r>
      <w:r w:rsidR="00053241" w:rsidRPr="00026619">
        <w:rPr>
          <w:rStyle w:val="FootnoteReference"/>
        </w:rPr>
        <w:footnoteReference w:id="8"/>
      </w:r>
      <w:r w:rsidR="00053241" w:rsidRPr="00026619">
        <w:t xml:space="preserve"> </w:t>
      </w:r>
      <w:r w:rsidR="00B226ED" w:rsidRPr="00026619">
        <w:t xml:space="preserve">For this study, </w:t>
      </w:r>
      <w:r w:rsidR="005C4BF3" w:rsidRPr="00026619">
        <w:t>stakeholders</w:t>
      </w:r>
      <w:r w:rsidR="00B226ED" w:rsidRPr="00026619">
        <w:t xml:space="preserve"> and the study proponent, </w:t>
      </w:r>
      <w:r w:rsidR="007E147E" w:rsidRPr="00026619">
        <w:t>Anbaric</w:t>
      </w:r>
      <w:r w:rsidR="00A8677E" w:rsidRPr="00026619">
        <w:t>, shaped the scope of work</w:t>
      </w:r>
      <w:r w:rsidR="00D30477" w:rsidRPr="00026619">
        <w:t xml:space="preserve">, although </w:t>
      </w:r>
      <w:r w:rsidR="00A12CCC" w:rsidRPr="00026619">
        <w:t xml:space="preserve">the ISO did not study </w:t>
      </w:r>
      <w:r w:rsidR="00D30477" w:rsidRPr="00026619">
        <w:t xml:space="preserve">all </w:t>
      </w:r>
      <w:r w:rsidR="00A12CCC" w:rsidRPr="00026619">
        <w:t xml:space="preserve">of </w:t>
      </w:r>
      <w:r w:rsidR="00D30477" w:rsidRPr="00026619">
        <w:t>Anbaric</w:t>
      </w:r>
      <w:r w:rsidR="00A12CCC" w:rsidRPr="00026619">
        <w:t>’s</w:t>
      </w:r>
      <w:r w:rsidR="00D30477" w:rsidRPr="00026619">
        <w:t xml:space="preserve"> requests</w:t>
      </w:r>
      <w:r w:rsidR="00A12CCC" w:rsidRPr="00026619">
        <w:t xml:space="preserve"> and modified some assumptions (e.g., nuclear retirements and the rejection of broader interconnection points) to align the NESCOE and Anbaric studies and improv</w:t>
      </w:r>
      <w:r w:rsidR="0013046E" w:rsidRPr="00026619">
        <w:t>e</w:t>
      </w:r>
      <w:r w:rsidR="00A12CCC" w:rsidRPr="00026619">
        <w:t xml:space="preserve"> study efficiencies</w:t>
      </w:r>
      <w:r w:rsidR="00026619" w:rsidRPr="00026619">
        <w:t xml:space="preserve">; see </w:t>
      </w:r>
      <w:r w:rsidR="00026619" w:rsidRPr="00026619">
        <w:fldChar w:fldCharType="begin"/>
      </w:r>
      <w:r w:rsidR="00026619" w:rsidRPr="00026619">
        <w:instrText xml:space="preserve"> REF _Ref52475458 \w \h </w:instrText>
      </w:r>
      <w:r w:rsidR="00026619">
        <w:instrText xml:space="preserve"> \* MERGEFORMAT </w:instrText>
      </w:r>
      <w:r w:rsidR="00026619" w:rsidRPr="00026619">
        <w:fldChar w:fldCharType="separate"/>
      </w:r>
      <w:r w:rsidR="004341C8">
        <w:t>Section 4</w:t>
      </w:r>
      <w:r w:rsidR="00026619" w:rsidRPr="00026619">
        <w:fldChar w:fldCharType="end"/>
      </w:r>
      <w:r w:rsidR="00B226ED" w:rsidRPr="00026619">
        <w:t xml:space="preserve">. </w:t>
      </w:r>
    </w:p>
    <w:p w14:paraId="5595F447" w14:textId="403BA8E2" w:rsidR="000504EB" w:rsidRDefault="00986FF9" w:rsidP="00AA5267">
      <w:r w:rsidRPr="00AA5267">
        <w:t>The Anbaric request was for the ISO to analyze scenarios of high penetrations of offshore wind to determine the impacts on energy market prices, air emissions, and regional fuel security for 2030</w:t>
      </w:r>
      <w:r w:rsidRPr="000504EB">
        <w:t>.</w:t>
      </w:r>
      <w:r w:rsidRPr="004341C8">
        <w:t xml:space="preserve"> </w:t>
      </w:r>
      <w:r w:rsidR="00053241" w:rsidRPr="004341C8">
        <w:rPr>
          <w:szCs w:val="20"/>
        </w:rPr>
        <w:t>Th</w:t>
      </w:r>
      <w:r w:rsidR="00DE24BC" w:rsidRPr="00AA5267">
        <w:rPr>
          <w:szCs w:val="20"/>
        </w:rPr>
        <w:t xml:space="preserve">is </w:t>
      </w:r>
      <w:r w:rsidR="001C45FE" w:rsidRPr="00E76F3A">
        <w:rPr>
          <w:szCs w:val="20"/>
        </w:rPr>
        <w:t>s</w:t>
      </w:r>
      <w:r w:rsidR="00053241" w:rsidRPr="00E76F3A">
        <w:rPr>
          <w:szCs w:val="20"/>
        </w:rPr>
        <w:t xml:space="preserve">tudy </w:t>
      </w:r>
      <w:r w:rsidR="001C45FE" w:rsidRPr="00E76F3A">
        <w:rPr>
          <w:szCs w:val="20"/>
        </w:rPr>
        <w:t xml:space="preserve">examined </w:t>
      </w:r>
      <w:r w:rsidR="00EB1F5F" w:rsidRPr="00E76F3A">
        <w:rPr>
          <w:szCs w:val="20"/>
        </w:rPr>
        <w:t>three</w:t>
      </w:r>
      <w:r w:rsidR="007E147E" w:rsidRPr="00E76F3A">
        <w:rPr>
          <w:szCs w:val="20"/>
        </w:rPr>
        <w:t xml:space="preserve"> </w:t>
      </w:r>
      <w:r w:rsidR="00053241" w:rsidRPr="00E76F3A">
        <w:rPr>
          <w:szCs w:val="20"/>
        </w:rPr>
        <w:t>scenarios</w:t>
      </w:r>
      <w:r w:rsidR="00255641" w:rsidRPr="00E76F3A">
        <w:rPr>
          <w:szCs w:val="20"/>
        </w:rPr>
        <w:t xml:space="preserve"> of varying amounts of </w:t>
      </w:r>
      <w:r w:rsidR="003334A3" w:rsidRPr="00E76F3A">
        <w:rPr>
          <w:szCs w:val="20"/>
        </w:rPr>
        <w:t>offshore wind interconnections</w:t>
      </w:r>
      <w:r w:rsidR="003F3D54" w:rsidRPr="00E76F3A">
        <w:rPr>
          <w:szCs w:val="20"/>
        </w:rPr>
        <w:t>—</w:t>
      </w:r>
      <w:r w:rsidR="00604D72" w:rsidRPr="00E76F3A">
        <w:rPr>
          <w:szCs w:val="20"/>
        </w:rPr>
        <w:t>one with additional wind, electric vehicles, and heat pumps</w:t>
      </w:r>
      <w:r w:rsidR="003F3D54" w:rsidRPr="00E76F3A">
        <w:rPr>
          <w:szCs w:val="20"/>
        </w:rPr>
        <w:t>—</w:t>
      </w:r>
      <w:r w:rsidR="003334A3" w:rsidRPr="00E76F3A">
        <w:rPr>
          <w:szCs w:val="20"/>
        </w:rPr>
        <w:t>and four sensitivities to the</w:t>
      </w:r>
      <w:r w:rsidR="003F3D54" w:rsidRPr="00E76F3A">
        <w:rPr>
          <w:szCs w:val="20"/>
        </w:rPr>
        <w:t xml:space="preserve"> </w:t>
      </w:r>
      <w:r w:rsidR="003334A3" w:rsidRPr="00E76F3A">
        <w:rPr>
          <w:szCs w:val="20"/>
        </w:rPr>
        <w:t xml:space="preserve">four </w:t>
      </w:r>
      <w:r w:rsidR="00A8677E" w:rsidRPr="00E76F3A">
        <w:rPr>
          <w:szCs w:val="20"/>
        </w:rPr>
        <w:t>scenarios</w:t>
      </w:r>
      <w:r w:rsidR="003334A3" w:rsidRPr="00E76F3A">
        <w:rPr>
          <w:szCs w:val="20"/>
        </w:rPr>
        <w:t>.</w:t>
      </w:r>
      <w:r w:rsidR="000504EB" w:rsidRPr="000504EB">
        <w:t xml:space="preserve"> </w:t>
      </w:r>
      <w:r w:rsidR="00520691">
        <w:t>Anbaric requested additional interconnect</w:t>
      </w:r>
      <w:r w:rsidR="00520691" w:rsidRPr="009F2ABE">
        <w:t xml:space="preserve">ion cases that spread offshore wind injections along the Connecticut shore into southwestern Connecticut, but these cases were not studied </w:t>
      </w:r>
      <w:r w:rsidR="00AA5267" w:rsidRPr="009F2ABE">
        <w:t xml:space="preserve">to increase study efficiencies and </w:t>
      </w:r>
      <w:r w:rsidR="004B074A">
        <w:t xml:space="preserve">to </w:t>
      </w:r>
      <w:r w:rsidR="009F2ABE" w:rsidRPr="009F2ABE">
        <w:t xml:space="preserve">focus on optimal injection locations. </w:t>
      </w:r>
      <w:r w:rsidR="000504EB" w:rsidRPr="009F2ABE">
        <w:t>T</w:t>
      </w:r>
      <w:r w:rsidR="000504EB">
        <w:t xml:space="preserve">he </w:t>
      </w:r>
      <w:r w:rsidR="000504EB" w:rsidRPr="00FE7194">
        <w:t>ISO</w:t>
      </w:r>
      <w:r w:rsidR="000504EB">
        <w:t xml:space="preserve"> </w:t>
      </w:r>
      <w:r w:rsidR="00520691">
        <w:t xml:space="preserve">also </w:t>
      </w:r>
      <w:r w:rsidR="000504EB" w:rsidRPr="00FE7194">
        <w:t xml:space="preserve">did not perform the portion of Anbaric’s request to study the impact of high penetrations of offshore wind resources on fuel security using the ISO’s fuel-security reliability tool because the </w:t>
      </w:r>
      <w:r w:rsidR="000504EB">
        <w:t xml:space="preserve">Anbaric </w:t>
      </w:r>
      <w:r w:rsidR="000504EB" w:rsidRPr="00FE7194">
        <w:t>study is for the 2030 timeframe and well outside the period in which the tool was designed to be used.</w:t>
      </w:r>
      <w:r w:rsidR="000504EB" w:rsidRPr="00FE7194">
        <w:rPr>
          <w:rStyle w:val="FootnoteReference"/>
        </w:rPr>
        <w:footnoteReference w:id="9"/>
      </w:r>
    </w:p>
    <w:p w14:paraId="74C92BD2" w14:textId="032AFCE1" w:rsidR="000504EB" w:rsidRDefault="00B23CE0" w:rsidP="000504EB">
      <w:r w:rsidRPr="000504EB">
        <w:rPr>
          <w:szCs w:val="20"/>
        </w:rPr>
        <w:t xml:space="preserve">Study results were presented to </w:t>
      </w:r>
      <w:r w:rsidR="000504EB">
        <w:rPr>
          <w:szCs w:val="20"/>
        </w:rPr>
        <w:t xml:space="preserve">the </w:t>
      </w:r>
      <w:r w:rsidRPr="000504EB">
        <w:rPr>
          <w:szCs w:val="20"/>
        </w:rPr>
        <w:t xml:space="preserve">PAC on </w:t>
      </w:r>
      <w:r w:rsidR="00A8677E" w:rsidRPr="00E76F3A">
        <w:rPr>
          <w:szCs w:val="20"/>
        </w:rPr>
        <w:t>March </w:t>
      </w:r>
      <w:r w:rsidRPr="00E76F3A">
        <w:rPr>
          <w:szCs w:val="20"/>
        </w:rPr>
        <w:t>18, 2020</w:t>
      </w:r>
      <w:r w:rsidR="003F3D54" w:rsidRPr="00E76F3A">
        <w:rPr>
          <w:szCs w:val="20"/>
        </w:rPr>
        <w:t>,</w:t>
      </w:r>
      <w:r w:rsidRPr="00E76F3A">
        <w:rPr>
          <w:szCs w:val="20"/>
        </w:rPr>
        <w:t xml:space="preserve"> and May 20, 2020.</w:t>
      </w:r>
      <w:r w:rsidR="00D07B29" w:rsidRPr="00E76F3A">
        <w:rPr>
          <w:rStyle w:val="FootnoteReference"/>
        </w:rPr>
        <w:footnoteReference w:id="10"/>
      </w:r>
      <w:r w:rsidRPr="00E76F3A">
        <w:rPr>
          <w:szCs w:val="20"/>
        </w:rPr>
        <w:t xml:space="preserve"> A follow</w:t>
      </w:r>
      <w:r w:rsidR="00027EDF" w:rsidRPr="00E76F3A">
        <w:rPr>
          <w:szCs w:val="20"/>
        </w:rPr>
        <w:t>-up</w:t>
      </w:r>
      <w:r w:rsidRPr="00E76F3A">
        <w:rPr>
          <w:szCs w:val="20"/>
        </w:rPr>
        <w:t xml:space="preserve"> presentation </w:t>
      </w:r>
      <w:r w:rsidR="00027EDF" w:rsidRPr="00E76F3A">
        <w:rPr>
          <w:szCs w:val="20"/>
        </w:rPr>
        <w:t>regarding energy</w:t>
      </w:r>
      <w:r w:rsidR="00A8677E" w:rsidRPr="00E76F3A">
        <w:rPr>
          <w:szCs w:val="20"/>
        </w:rPr>
        <w:t>-</w:t>
      </w:r>
      <w:r w:rsidR="00027EDF" w:rsidRPr="004C6E0F">
        <w:rPr>
          <w:szCs w:val="20"/>
        </w:rPr>
        <w:t>storage modeling (batteries and pump</w:t>
      </w:r>
      <w:r w:rsidR="005848B3" w:rsidRPr="00E76F3A">
        <w:rPr>
          <w:szCs w:val="20"/>
        </w:rPr>
        <w:t>ed</w:t>
      </w:r>
      <w:r w:rsidR="00027EDF" w:rsidRPr="00E76F3A">
        <w:rPr>
          <w:szCs w:val="20"/>
        </w:rPr>
        <w:t xml:space="preserve">-storage hydro resources) </w:t>
      </w:r>
      <w:r w:rsidRPr="00E76F3A">
        <w:rPr>
          <w:szCs w:val="20"/>
        </w:rPr>
        <w:t xml:space="preserve">was posted with the June 17, </w:t>
      </w:r>
      <w:r w:rsidR="005848B3" w:rsidRPr="00E76F3A">
        <w:rPr>
          <w:szCs w:val="20"/>
        </w:rPr>
        <w:t xml:space="preserve">2020, </w:t>
      </w:r>
      <w:r w:rsidRPr="00E76F3A">
        <w:rPr>
          <w:szCs w:val="20"/>
        </w:rPr>
        <w:t>PAC materials.</w:t>
      </w:r>
      <w:r w:rsidRPr="000504EB">
        <w:rPr>
          <w:rStyle w:val="FootnoteReference"/>
        </w:rPr>
        <w:footnoteReference w:id="11"/>
      </w:r>
      <w:r w:rsidRPr="000504EB">
        <w:rPr>
          <w:szCs w:val="20"/>
        </w:rPr>
        <w:t xml:space="preserve"> </w:t>
      </w:r>
      <w:r w:rsidR="000504EB" w:rsidRPr="00FE7194">
        <w:t>The aim is for the results to inform developers, consumer interest groups and advocates, policymakers, and regulators and be useful as they develop strategies to meet the region’s renewable energy go</w:t>
      </w:r>
      <w:r w:rsidR="000504EB" w:rsidRPr="00E76F3A">
        <w:t xml:space="preserve">als. The ISO encourages interested parties to compare </w:t>
      </w:r>
      <w:r w:rsidR="000504EB" w:rsidRPr="009F2ABE">
        <w:t>the results for the different scenarios and to reach their own conclusions about the possible implications.</w:t>
      </w:r>
    </w:p>
    <w:p w14:paraId="4BBF301F" w14:textId="1CDBCD1A" w:rsidR="000504EB" w:rsidRPr="000504EB" w:rsidRDefault="00053241" w:rsidP="00621DC6">
      <w:pPr>
        <w:spacing w:after="0"/>
      </w:pPr>
      <w:r w:rsidRPr="009C02EB">
        <w:t>The report includes hyperlinks throughout to PAC presentations and other materials that contain more</w:t>
      </w:r>
      <w:r>
        <w:t xml:space="preserve"> detailed</w:t>
      </w:r>
      <w:r w:rsidRPr="00513625">
        <w:t xml:space="preserve"> information. </w:t>
      </w:r>
      <w:r>
        <w:t>Some of these links are for materials containing Critical Energy Infrastructure Information (CEII).</w:t>
      </w:r>
      <w:r>
        <w:rPr>
          <w:rStyle w:val="FootnoteReference"/>
        </w:rPr>
        <w:footnoteReference w:id="12"/>
      </w:r>
      <w:r>
        <w:t xml:space="preserve"> </w:t>
      </w:r>
      <w:r w:rsidRPr="00513625">
        <w:t xml:space="preserve">These links </w:t>
      </w:r>
      <w:r>
        <w:t xml:space="preserve">are </w:t>
      </w:r>
      <w:r w:rsidRPr="00910EF9">
        <w:t>up to date as of the publication of the report.</w:t>
      </w:r>
    </w:p>
    <w:p w14:paraId="7A67D7E1" w14:textId="77777777" w:rsidR="0066269A" w:rsidRDefault="00E95645" w:rsidP="00520691">
      <w:pPr>
        <w:pStyle w:val="Heading1"/>
      </w:pPr>
      <w:r>
        <w:br/>
      </w:r>
      <w:bookmarkStart w:id="24" w:name="_Toc52533788"/>
      <w:r w:rsidR="0066269A">
        <w:t>Scenarios</w:t>
      </w:r>
      <w:bookmarkEnd w:id="24"/>
      <w:r w:rsidR="004F440C">
        <w:t xml:space="preserve"> </w:t>
      </w:r>
    </w:p>
    <w:p w14:paraId="7CD1CCDF" w14:textId="61A9EBDD" w:rsidR="00986FF9" w:rsidRDefault="00B2258E" w:rsidP="00F66813">
      <w:r w:rsidRPr="00B34D81">
        <w:t>For this study, the ISO considered three offshore wind penetration scenarios: 8,000 MW, 10,000 MW, and 12,000 MW (nameplate)</w:t>
      </w:r>
      <w:r w:rsidR="00CE6847" w:rsidRPr="00E76F3A">
        <w:t>,</w:t>
      </w:r>
      <w:r w:rsidRPr="00B34D81">
        <w:t xml:space="preserve"> </w:t>
      </w:r>
      <w:r w:rsidR="00CE6847" w:rsidRPr="00E76F3A">
        <w:t>i</w:t>
      </w:r>
      <w:r w:rsidR="00CE6847" w:rsidRPr="00B34D81">
        <w:t>ncluding offshore wind strategically placed in southern New England and interconnecting in the Boston, Massachusetts, area</w:t>
      </w:r>
      <w:r w:rsidR="00CE6847" w:rsidRPr="00E76F3A">
        <w:t>.</w:t>
      </w:r>
      <w:r w:rsidRPr="00E76F3A">
        <w:rPr>
          <w:rStyle w:val="FootnoteReference"/>
        </w:rPr>
        <w:footnoteReference w:id="13"/>
      </w:r>
      <w:r w:rsidR="0034154A" w:rsidRPr="00CE6847">
        <w:t xml:space="preserve"> </w:t>
      </w:r>
      <w:r w:rsidRPr="00B34D81">
        <w:t>A fourth scenario was studied that included 10,000 MW of offshore wind as well as increasing demand due to electrification (i.e., the addition of electric vehicles and heat pumps), and adding supply and demand in the form of battery storage.</w:t>
      </w:r>
      <w:r w:rsidR="00311947" w:rsidRPr="00E76F3A">
        <w:t>,</w:t>
      </w:r>
      <w:r w:rsidR="00E94E28" w:rsidRPr="00E76F3A">
        <w:t xml:space="preserve"> </w:t>
      </w:r>
      <w:r w:rsidR="00366EEB" w:rsidRPr="00E76F3A">
        <w:t>In addition</w:t>
      </w:r>
      <w:r w:rsidR="007832AE" w:rsidRPr="00E76F3A">
        <w:t>, a reference case was developed where no new offshore wind resources were considered</w:t>
      </w:r>
      <w:r w:rsidR="00FF3EB1" w:rsidRPr="00E76F3A">
        <w:t>.</w:t>
      </w:r>
      <w:r w:rsidR="00DE24BC" w:rsidRPr="00E76F3A">
        <w:t xml:space="preserve"> </w:t>
      </w:r>
      <w:r w:rsidRPr="00E76F3A">
        <w:t>The scenarios evaluated the 2030 study year.</w:t>
      </w:r>
    </w:p>
    <w:p w14:paraId="17AD6F3D" w14:textId="77777777" w:rsidR="004341C8" w:rsidRDefault="00986FF9" w:rsidP="00B34D81">
      <w:pPr>
        <w:spacing w:after="0"/>
      </w:pPr>
      <w:r w:rsidRPr="00B34D81">
        <w:t>Sensitivities were performed to the four requested scenarios to identify the impact of differing curtailment orders of the New England Clean Energy Connect (NECEC) (i.e., an assumed new tie from Québec). For the sensitivities, the NECEC threshold price was increased from $2/megawatt-hour (MWh) to $11/MWh, meaning that NECEC would be curtailed before assumed native New England wind and imports.</w:t>
      </w:r>
      <w:r w:rsidRPr="00B34D81">
        <w:rPr>
          <w:rStyle w:val="FootnoteReference"/>
        </w:rPr>
        <w:footnoteReference w:id="14"/>
      </w:r>
      <w:r w:rsidRPr="00B34D81">
        <w:t xml:space="preserve"> </w:t>
      </w:r>
      <w:r w:rsidR="00FF3EB1">
        <w:t xml:space="preserve"> </w:t>
      </w:r>
    </w:p>
    <w:p w14:paraId="7391441C" w14:textId="77777777" w:rsidR="004341C8" w:rsidRDefault="004341C8" w:rsidP="00B34D81">
      <w:pPr>
        <w:spacing w:after="0"/>
      </w:pPr>
    </w:p>
    <w:p w14:paraId="26EED4EB" w14:textId="60FF2FB0" w:rsidR="004341C8" w:rsidRDefault="004341C8" w:rsidP="00B34D81">
      <w:pPr>
        <w:spacing w:after="0"/>
      </w:pPr>
      <w:r w:rsidRPr="00B34D81">
        <w:t>The study accounted for offshore wind projects under development and under state contract at the time of the Anbaric request</w:t>
      </w:r>
      <w:r w:rsidR="00CE6847" w:rsidRPr="00B34D81">
        <w:t xml:space="preserve">. </w:t>
      </w:r>
      <w:r w:rsidRPr="00B34D81">
        <w:t>Th</w:t>
      </w:r>
      <w:r w:rsidR="0034154A" w:rsidRPr="00E76F3A">
        <w:t>is</w:t>
      </w:r>
      <w:r w:rsidR="0034154A">
        <w:t xml:space="preserve"> s</w:t>
      </w:r>
      <w:r w:rsidRPr="00B34D81">
        <w:t>tudy included the retirement of nearly 4,500 MW of fossil and nuclear generation and the addition of 2,000 MW of 4-hour battery storage (8,000 MWh). The study used the results from an analysis performed for the NESCOE 2019 Economic Study</w:t>
      </w:r>
      <w:r w:rsidR="004A3A2B">
        <w:t xml:space="preserve">, which </w:t>
      </w:r>
      <w:r w:rsidR="0034154A" w:rsidRPr="00E76F3A">
        <w:t>showed that with the expected transmission topology for the 2030 study year, approximately 7,000 MW of new offshore wind (5,800 MW connected to the southern shore substations and 1,200 MW connected to the Mystic station</w:t>
      </w:r>
      <w:r w:rsidR="004A3A2B" w:rsidRPr="00B34D81">
        <w:t xml:space="preserve"> in Boston</w:t>
      </w:r>
      <w:r w:rsidR="0034154A" w:rsidRPr="00E76F3A">
        <w:t>) has the potential to be interconnected without major additional 345 kV reinforcements.</w:t>
      </w:r>
      <w:r w:rsidRPr="00B34D81">
        <w:rPr>
          <w:rStyle w:val="FootnoteReference"/>
        </w:rPr>
        <w:footnoteReference w:id="15"/>
      </w:r>
    </w:p>
    <w:p w14:paraId="336B00D5" w14:textId="77777777" w:rsidR="004341C8" w:rsidRDefault="004341C8" w:rsidP="00B34D81">
      <w:pPr>
        <w:spacing w:after="0"/>
      </w:pPr>
    </w:p>
    <w:p w14:paraId="2B0BAD78" w14:textId="77777777" w:rsidR="00860A8C" w:rsidRDefault="006224B6" w:rsidP="00DA59F7">
      <w:pPr>
        <w:spacing w:after="0"/>
      </w:pPr>
      <w:r w:rsidRPr="00D24022">
        <w:fldChar w:fldCharType="begin"/>
      </w:r>
      <w:r w:rsidRPr="009C02EB">
        <w:instrText xml:space="preserve"> REF _Ref42520347 \h </w:instrText>
      </w:r>
      <w:r w:rsidRPr="009E7A62">
        <w:instrText xml:space="preserve"> \* MERGEFORMAT </w:instrText>
      </w:r>
      <w:r w:rsidRPr="00D24022">
        <w:fldChar w:fldCharType="separate"/>
      </w:r>
      <w:r w:rsidR="00DA59F7" w:rsidRPr="003650D6">
        <w:t xml:space="preserve">Table </w:t>
      </w:r>
      <w:r w:rsidR="00DA59F7">
        <w:rPr>
          <w:noProof/>
        </w:rPr>
        <w:t>3</w:t>
      </w:r>
      <w:r w:rsidR="00DA59F7">
        <w:rPr>
          <w:noProof/>
        </w:rPr>
        <w:noBreakHyphen/>
        <w:t>1</w:t>
      </w:r>
      <w:r w:rsidRPr="00D24022">
        <w:fldChar w:fldCharType="end"/>
      </w:r>
      <w:r>
        <w:t xml:space="preserve"> summarizes t</w:t>
      </w:r>
      <w:r w:rsidR="009235B9">
        <w:t xml:space="preserve">he simulated scenarios for the 2019 </w:t>
      </w:r>
      <w:r w:rsidR="00DE6511">
        <w:t>A</w:t>
      </w:r>
      <w:r w:rsidR="00E94E28">
        <w:t>nbaric</w:t>
      </w:r>
      <w:r w:rsidR="009235B9">
        <w:t xml:space="preserve"> Economic Study</w:t>
      </w:r>
      <w:r w:rsidR="00163AAE">
        <w:t>.</w:t>
      </w:r>
      <w:r w:rsidR="000D4B1B">
        <w:t xml:space="preserve"> </w:t>
      </w:r>
    </w:p>
    <w:p w14:paraId="7A0A9002" w14:textId="77777777" w:rsidR="00163AAE" w:rsidRDefault="006224B6" w:rsidP="00B9571E">
      <w:pPr>
        <w:pStyle w:val="Caption"/>
        <w:spacing w:after="80"/>
        <w:jc w:val="center"/>
      </w:pPr>
      <w:bookmarkStart w:id="25" w:name="_Ref42520347"/>
      <w:bookmarkStart w:id="26" w:name="_Toc52533818"/>
      <w:r w:rsidRPr="003650D6">
        <w:t xml:space="preserve">Table </w:t>
      </w:r>
      <w:r w:rsidR="000D5F76">
        <w:fldChar w:fldCharType="begin"/>
      </w:r>
      <w:r w:rsidR="000D5F76">
        <w:instrText xml:space="preserve"> STYLEREF 1 \s </w:instrText>
      </w:r>
      <w:r w:rsidR="000D5F76">
        <w:fldChar w:fldCharType="separate"/>
      </w:r>
      <w:r w:rsidR="00DA59F7">
        <w:rPr>
          <w:noProof/>
        </w:rPr>
        <w:t>3</w:t>
      </w:r>
      <w:r w:rsidR="000D5F76">
        <w:rPr>
          <w:noProof/>
        </w:rPr>
        <w:fldChar w:fldCharType="end"/>
      </w:r>
      <w:r w:rsidR="00D7214A">
        <w:noBreakHyphen/>
      </w:r>
      <w:r w:rsidR="000D5F76">
        <w:fldChar w:fldCharType="begin"/>
      </w:r>
      <w:r w:rsidR="000D5F76">
        <w:instrText xml:space="preserve"> SEQ Table \* ARABIC \s 1 </w:instrText>
      </w:r>
      <w:r w:rsidR="000D5F76">
        <w:fldChar w:fldCharType="separate"/>
      </w:r>
      <w:r w:rsidR="00DA59F7">
        <w:rPr>
          <w:noProof/>
        </w:rPr>
        <w:t>1</w:t>
      </w:r>
      <w:r w:rsidR="000D5F76">
        <w:rPr>
          <w:noProof/>
        </w:rPr>
        <w:fldChar w:fldCharType="end"/>
      </w:r>
      <w:bookmarkEnd w:id="25"/>
      <w:r w:rsidRPr="005F5673">
        <w:rPr>
          <w:color w:val="FF0000"/>
        </w:rPr>
        <w:br/>
      </w:r>
      <w:r w:rsidR="009235B9" w:rsidRPr="003650D6">
        <w:t xml:space="preserve">Offshore Wind Integration Scenarios for the </w:t>
      </w:r>
      <w:r w:rsidR="00B34D11">
        <w:t xml:space="preserve">2019 </w:t>
      </w:r>
      <w:r w:rsidR="00DE6511" w:rsidRPr="003650D6">
        <w:t>A</w:t>
      </w:r>
      <w:r w:rsidR="00E94E28" w:rsidRPr="003650D6">
        <w:t xml:space="preserve">nbaric </w:t>
      </w:r>
      <w:r w:rsidR="009235B9" w:rsidRPr="003650D6">
        <w:t>Economic Study</w:t>
      </w:r>
      <w:bookmarkEnd w:id="26"/>
    </w:p>
    <w:tbl>
      <w:tblPr>
        <w:tblW w:w="10895" w:type="dxa"/>
        <w:jc w:val="center"/>
        <w:tblLayout w:type="fixed"/>
        <w:tblCellMar>
          <w:left w:w="0" w:type="dxa"/>
          <w:right w:w="0" w:type="dxa"/>
        </w:tblCellMar>
        <w:tblLook w:val="0600" w:firstRow="0" w:lastRow="0" w:firstColumn="0" w:lastColumn="0" w:noHBand="1" w:noVBand="1"/>
      </w:tblPr>
      <w:tblGrid>
        <w:gridCol w:w="1265"/>
        <w:gridCol w:w="1350"/>
        <w:gridCol w:w="1170"/>
        <w:gridCol w:w="1170"/>
        <w:gridCol w:w="1260"/>
        <w:gridCol w:w="1350"/>
        <w:gridCol w:w="1080"/>
        <w:gridCol w:w="1080"/>
        <w:gridCol w:w="1170"/>
      </w:tblGrid>
      <w:tr w:rsidR="00A00D9B" w:rsidRPr="0076511C" w14:paraId="63083A71" w14:textId="77777777" w:rsidTr="00B9571E">
        <w:trPr>
          <w:trHeight w:val="1037"/>
          <w:jc w:val="center"/>
        </w:trPr>
        <w:tc>
          <w:tcPr>
            <w:tcW w:w="1265" w:type="dxa"/>
            <w:tcBorders>
              <w:top w:val="single" w:sz="4" w:space="0" w:color="000000"/>
              <w:left w:val="single" w:sz="4" w:space="0" w:color="000000"/>
              <w:bottom w:val="single" w:sz="4" w:space="0" w:color="000000"/>
              <w:right w:val="single" w:sz="4" w:space="0" w:color="000000"/>
            </w:tcBorders>
            <w:shd w:val="clear" w:color="auto" w:fill="1795D2" w:themeFill="accent1"/>
            <w:tcMar>
              <w:top w:w="43" w:type="dxa"/>
              <w:left w:w="58" w:type="dxa"/>
              <w:bottom w:w="43" w:type="dxa"/>
              <w:right w:w="58" w:type="dxa"/>
            </w:tcMar>
            <w:vAlign w:val="center"/>
            <w:hideMark/>
          </w:tcPr>
          <w:p w14:paraId="02439E82" w14:textId="77777777" w:rsidR="0034105D" w:rsidRPr="0076511C" w:rsidRDefault="0034105D" w:rsidP="00A00D9B">
            <w:pPr>
              <w:keepNext/>
              <w:keepLines/>
              <w:adjustRightInd/>
              <w:spacing w:after="0" w:line="240" w:lineRule="auto"/>
              <w:jc w:val="center"/>
              <w:textAlignment w:val="center"/>
              <w:rPr>
                <w:rFonts w:asciiTheme="majorHAnsi" w:hAnsiTheme="majorHAnsi" w:cs="Arial"/>
                <w:color w:val="FFFFFF" w:themeColor="background1"/>
                <w:sz w:val="16"/>
                <w:szCs w:val="16"/>
              </w:rPr>
            </w:pPr>
            <w:r w:rsidRPr="0076511C">
              <w:rPr>
                <w:rFonts w:asciiTheme="majorHAnsi" w:hAnsiTheme="majorHAnsi" w:cs="Calibri"/>
                <w:b/>
                <w:bCs/>
                <w:color w:val="FFFFFF" w:themeColor="background1"/>
                <w:kern w:val="24"/>
                <w:sz w:val="16"/>
                <w:szCs w:val="16"/>
              </w:rPr>
              <w:t>Scenario</w:t>
            </w:r>
          </w:p>
        </w:tc>
        <w:tc>
          <w:tcPr>
            <w:tcW w:w="1350" w:type="dxa"/>
            <w:tcBorders>
              <w:top w:val="single" w:sz="4" w:space="0" w:color="000000"/>
              <w:left w:val="single" w:sz="4" w:space="0" w:color="000000"/>
              <w:bottom w:val="single" w:sz="4" w:space="0" w:color="000000"/>
              <w:right w:val="single" w:sz="4" w:space="0" w:color="000000"/>
            </w:tcBorders>
            <w:shd w:val="clear" w:color="auto" w:fill="1795D2" w:themeFill="accent1"/>
            <w:tcMar>
              <w:top w:w="43" w:type="dxa"/>
              <w:left w:w="58" w:type="dxa"/>
              <w:bottom w:w="43" w:type="dxa"/>
              <w:right w:w="58" w:type="dxa"/>
            </w:tcMar>
            <w:vAlign w:val="center"/>
            <w:hideMark/>
          </w:tcPr>
          <w:p w14:paraId="7724856A" w14:textId="77777777" w:rsidR="0034105D" w:rsidRPr="0076511C" w:rsidRDefault="0034105D" w:rsidP="00A00D9B">
            <w:pPr>
              <w:keepNext/>
              <w:keepLines/>
              <w:adjustRightInd/>
              <w:spacing w:after="0" w:line="240" w:lineRule="auto"/>
              <w:jc w:val="center"/>
              <w:textAlignment w:val="center"/>
              <w:rPr>
                <w:rFonts w:asciiTheme="majorHAnsi" w:hAnsiTheme="majorHAnsi" w:cs="Arial"/>
                <w:color w:val="FFFFFF" w:themeColor="background1"/>
                <w:sz w:val="16"/>
                <w:szCs w:val="16"/>
              </w:rPr>
            </w:pPr>
            <w:r w:rsidRPr="0076511C">
              <w:rPr>
                <w:rFonts w:asciiTheme="majorHAnsi" w:hAnsiTheme="majorHAnsi" w:cs="Calibri"/>
                <w:b/>
                <w:bCs/>
                <w:color w:val="FFFFFF" w:themeColor="background1"/>
                <w:kern w:val="24"/>
                <w:sz w:val="16"/>
                <w:szCs w:val="16"/>
              </w:rPr>
              <w:t>Gross Demand,</w:t>
            </w:r>
            <w:r w:rsidR="006F5A8B">
              <w:rPr>
                <w:rFonts w:asciiTheme="majorHAnsi" w:hAnsiTheme="majorHAnsi" w:cs="Calibri"/>
                <w:b/>
                <w:bCs/>
                <w:color w:val="FFFFFF" w:themeColor="background1"/>
                <w:kern w:val="24"/>
                <w:sz w:val="16"/>
                <w:szCs w:val="16"/>
              </w:rPr>
              <w:br/>
            </w:r>
            <w:r w:rsidRPr="0076511C">
              <w:rPr>
                <w:rFonts w:asciiTheme="majorHAnsi" w:hAnsiTheme="majorHAnsi" w:cs="Calibri"/>
                <w:b/>
                <w:bCs/>
                <w:color w:val="FFFFFF" w:themeColor="background1"/>
                <w:kern w:val="24"/>
                <w:sz w:val="16"/>
                <w:szCs w:val="16"/>
              </w:rPr>
              <w:t>EE</w:t>
            </w:r>
            <w:r w:rsidR="0076511C">
              <w:rPr>
                <w:rFonts w:asciiTheme="majorHAnsi" w:hAnsiTheme="majorHAnsi" w:cs="Calibri"/>
                <w:b/>
                <w:bCs/>
                <w:color w:val="FFFFFF" w:themeColor="background1"/>
                <w:kern w:val="24"/>
                <w:sz w:val="16"/>
                <w:szCs w:val="16"/>
              </w:rPr>
              <w:t>,</w:t>
            </w:r>
            <w:r w:rsidR="00FC64FA">
              <w:rPr>
                <w:rFonts w:asciiTheme="majorHAnsi" w:hAnsiTheme="majorHAnsi" w:cs="Calibri"/>
                <w:b/>
                <w:bCs/>
                <w:color w:val="FFFFFF" w:themeColor="background1"/>
                <w:kern w:val="24"/>
                <w:sz w:val="16"/>
                <w:szCs w:val="16"/>
              </w:rPr>
              <w:t xml:space="preserve"> </w:t>
            </w:r>
            <w:r w:rsidRPr="0076511C">
              <w:rPr>
                <w:rFonts w:asciiTheme="majorHAnsi" w:hAnsiTheme="majorHAnsi" w:cs="Calibri"/>
                <w:b/>
                <w:bCs/>
                <w:color w:val="FFFFFF" w:themeColor="background1"/>
                <w:kern w:val="24"/>
                <w:sz w:val="16"/>
                <w:szCs w:val="16"/>
              </w:rPr>
              <w:t>Behind-the-Meter PV (Nameplate)</w:t>
            </w:r>
            <w:r w:rsidR="0076511C">
              <w:rPr>
                <w:rFonts w:asciiTheme="majorHAnsi" w:hAnsiTheme="majorHAnsi" w:cs="Calibri"/>
                <w:b/>
                <w:bCs/>
                <w:color w:val="FFFFFF" w:themeColor="background1"/>
                <w:kern w:val="24"/>
                <w:sz w:val="16"/>
                <w:szCs w:val="16"/>
              </w:rPr>
              <w:t>,</w:t>
            </w:r>
            <w:r w:rsidR="006F5A8B">
              <w:rPr>
                <w:rFonts w:asciiTheme="majorHAnsi" w:hAnsiTheme="majorHAnsi" w:cs="Calibri"/>
                <w:b/>
                <w:bCs/>
                <w:color w:val="FFFFFF" w:themeColor="background1"/>
                <w:kern w:val="24"/>
                <w:sz w:val="16"/>
                <w:szCs w:val="16"/>
              </w:rPr>
              <w:br/>
            </w:r>
            <w:r w:rsidRPr="0076511C">
              <w:rPr>
                <w:rFonts w:asciiTheme="majorHAnsi" w:hAnsiTheme="majorHAnsi" w:cs="Calibri"/>
                <w:b/>
                <w:bCs/>
                <w:color w:val="FFFFFF" w:themeColor="background1"/>
                <w:kern w:val="24"/>
                <w:sz w:val="16"/>
                <w:szCs w:val="16"/>
              </w:rPr>
              <w:t>Utility Scale PV (Nameplate)</w:t>
            </w:r>
          </w:p>
        </w:tc>
        <w:tc>
          <w:tcPr>
            <w:tcW w:w="1170" w:type="dxa"/>
            <w:tcBorders>
              <w:top w:val="single" w:sz="4" w:space="0" w:color="000000"/>
              <w:left w:val="single" w:sz="4" w:space="0" w:color="000000"/>
              <w:bottom w:val="single" w:sz="4" w:space="0" w:color="000000"/>
              <w:right w:val="single" w:sz="4" w:space="0" w:color="000000"/>
            </w:tcBorders>
            <w:shd w:val="clear" w:color="auto" w:fill="1795D2" w:themeFill="accent1"/>
            <w:tcMar>
              <w:top w:w="43" w:type="dxa"/>
              <w:left w:w="58" w:type="dxa"/>
              <w:bottom w:w="43" w:type="dxa"/>
              <w:right w:w="58" w:type="dxa"/>
            </w:tcMar>
            <w:vAlign w:val="center"/>
            <w:hideMark/>
          </w:tcPr>
          <w:p w14:paraId="4F1F2972" w14:textId="77777777" w:rsidR="0034105D" w:rsidRPr="0076511C" w:rsidRDefault="0034105D" w:rsidP="00A00D9B">
            <w:pPr>
              <w:keepNext/>
              <w:keepLines/>
              <w:adjustRightInd/>
              <w:spacing w:after="0" w:line="240" w:lineRule="auto"/>
              <w:jc w:val="center"/>
              <w:textAlignment w:val="center"/>
              <w:rPr>
                <w:rFonts w:asciiTheme="majorHAnsi" w:hAnsiTheme="majorHAnsi" w:cs="Arial"/>
                <w:color w:val="FFFFFF" w:themeColor="background1"/>
                <w:sz w:val="16"/>
                <w:szCs w:val="16"/>
              </w:rPr>
            </w:pPr>
            <w:r w:rsidRPr="0076511C">
              <w:rPr>
                <w:rFonts w:asciiTheme="majorHAnsi" w:hAnsiTheme="majorHAnsi" w:cs="Calibri"/>
                <w:b/>
                <w:bCs/>
                <w:color w:val="FFFFFF" w:themeColor="background1"/>
                <w:kern w:val="24"/>
                <w:sz w:val="16"/>
                <w:szCs w:val="16"/>
              </w:rPr>
              <w:t xml:space="preserve">Supply </w:t>
            </w:r>
            <w:r w:rsidRPr="0076511C">
              <w:rPr>
                <w:rFonts w:asciiTheme="majorHAnsi" w:hAnsiTheme="majorHAnsi" w:cs="Calibri"/>
                <w:b/>
                <w:bCs/>
                <w:color w:val="FFFFFF" w:themeColor="background1"/>
                <w:kern w:val="24"/>
                <w:sz w:val="16"/>
                <w:szCs w:val="16"/>
              </w:rPr>
              <w:br/>
              <w:t>(incl. Demand Resources)</w:t>
            </w:r>
          </w:p>
        </w:tc>
        <w:tc>
          <w:tcPr>
            <w:tcW w:w="1170" w:type="dxa"/>
            <w:tcBorders>
              <w:top w:val="single" w:sz="4" w:space="0" w:color="000000"/>
              <w:left w:val="single" w:sz="4" w:space="0" w:color="000000"/>
              <w:bottom w:val="single" w:sz="4" w:space="0" w:color="000000"/>
              <w:right w:val="single" w:sz="4" w:space="0" w:color="000000"/>
            </w:tcBorders>
            <w:shd w:val="clear" w:color="auto" w:fill="1795D2" w:themeFill="accent1"/>
            <w:tcMar>
              <w:top w:w="43" w:type="dxa"/>
              <w:left w:w="58" w:type="dxa"/>
              <w:bottom w:w="43" w:type="dxa"/>
              <w:right w:w="58" w:type="dxa"/>
            </w:tcMar>
            <w:vAlign w:val="center"/>
            <w:hideMark/>
          </w:tcPr>
          <w:p w14:paraId="7985E795" w14:textId="77777777" w:rsidR="0034105D" w:rsidRPr="0076511C" w:rsidRDefault="0034105D" w:rsidP="00A00D9B">
            <w:pPr>
              <w:keepNext/>
              <w:keepLines/>
              <w:adjustRightInd/>
              <w:spacing w:after="0" w:line="240" w:lineRule="auto"/>
              <w:jc w:val="center"/>
              <w:textAlignment w:val="center"/>
              <w:rPr>
                <w:rFonts w:asciiTheme="majorHAnsi" w:hAnsiTheme="majorHAnsi" w:cs="Arial"/>
                <w:color w:val="FFFFFF" w:themeColor="background1"/>
                <w:sz w:val="16"/>
                <w:szCs w:val="16"/>
              </w:rPr>
            </w:pPr>
            <w:r w:rsidRPr="0076511C">
              <w:rPr>
                <w:rFonts w:asciiTheme="majorHAnsi" w:hAnsiTheme="majorHAnsi" w:cs="Calibri"/>
                <w:b/>
                <w:bCs/>
                <w:color w:val="FFFFFF" w:themeColor="background1"/>
                <w:kern w:val="24"/>
                <w:sz w:val="16"/>
                <w:szCs w:val="16"/>
              </w:rPr>
              <w:t>Retirements</w:t>
            </w:r>
          </w:p>
        </w:tc>
        <w:tc>
          <w:tcPr>
            <w:tcW w:w="1260" w:type="dxa"/>
            <w:tcBorders>
              <w:top w:val="single" w:sz="4" w:space="0" w:color="000000"/>
              <w:left w:val="single" w:sz="4" w:space="0" w:color="000000"/>
              <w:bottom w:val="single" w:sz="4" w:space="0" w:color="000000"/>
              <w:right w:val="single" w:sz="4" w:space="0" w:color="000000"/>
            </w:tcBorders>
            <w:shd w:val="clear" w:color="auto" w:fill="1795D2" w:themeFill="accent1"/>
            <w:tcMar>
              <w:top w:w="43" w:type="dxa"/>
              <w:left w:w="58" w:type="dxa"/>
              <w:bottom w:w="43" w:type="dxa"/>
              <w:right w:w="58" w:type="dxa"/>
            </w:tcMar>
            <w:vAlign w:val="center"/>
            <w:hideMark/>
          </w:tcPr>
          <w:p w14:paraId="211231EC" w14:textId="77777777" w:rsidR="0034105D" w:rsidRPr="0076511C" w:rsidRDefault="0034105D" w:rsidP="00A00D9B">
            <w:pPr>
              <w:keepNext/>
              <w:keepLines/>
              <w:adjustRightInd/>
              <w:spacing w:after="0" w:line="240" w:lineRule="auto"/>
              <w:jc w:val="center"/>
              <w:textAlignment w:val="center"/>
              <w:rPr>
                <w:rFonts w:asciiTheme="majorHAnsi" w:hAnsiTheme="majorHAnsi" w:cs="Arial"/>
                <w:color w:val="FFFFFF" w:themeColor="background1"/>
                <w:sz w:val="16"/>
                <w:szCs w:val="16"/>
              </w:rPr>
            </w:pPr>
            <w:r w:rsidRPr="0076511C">
              <w:rPr>
                <w:rFonts w:asciiTheme="majorHAnsi" w:hAnsiTheme="majorHAnsi" w:cs="Calibri"/>
                <w:b/>
                <w:bCs/>
                <w:color w:val="FFFFFF" w:themeColor="background1"/>
                <w:kern w:val="24"/>
                <w:sz w:val="16"/>
                <w:szCs w:val="16"/>
              </w:rPr>
              <w:t>RFP</w:t>
            </w:r>
            <w:r w:rsidR="0076511C">
              <w:rPr>
                <w:rFonts w:asciiTheme="majorHAnsi" w:hAnsiTheme="majorHAnsi" w:cs="Calibri"/>
                <w:b/>
                <w:bCs/>
                <w:color w:val="FFFFFF" w:themeColor="background1"/>
                <w:kern w:val="24"/>
                <w:sz w:val="16"/>
                <w:szCs w:val="16"/>
              </w:rPr>
              <w:t>-</w:t>
            </w:r>
            <w:r w:rsidRPr="0076511C">
              <w:rPr>
                <w:rFonts w:asciiTheme="majorHAnsi" w:hAnsiTheme="majorHAnsi" w:cs="Calibri"/>
                <w:b/>
                <w:bCs/>
                <w:color w:val="FFFFFF" w:themeColor="background1"/>
                <w:kern w:val="24"/>
                <w:sz w:val="16"/>
                <w:szCs w:val="16"/>
              </w:rPr>
              <w:t>Committed Generation</w:t>
            </w:r>
          </w:p>
        </w:tc>
        <w:tc>
          <w:tcPr>
            <w:tcW w:w="1350" w:type="dxa"/>
            <w:tcBorders>
              <w:top w:val="single" w:sz="4" w:space="0" w:color="000000"/>
              <w:left w:val="single" w:sz="4" w:space="0" w:color="000000"/>
              <w:bottom w:val="single" w:sz="4" w:space="0" w:color="000000"/>
              <w:right w:val="single" w:sz="4" w:space="0" w:color="000000"/>
            </w:tcBorders>
            <w:shd w:val="clear" w:color="auto" w:fill="1795D2" w:themeFill="accent1"/>
            <w:tcMar>
              <w:top w:w="43" w:type="dxa"/>
              <w:left w:w="58" w:type="dxa"/>
              <w:bottom w:w="43" w:type="dxa"/>
              <w:right w:w="58" w:type="dxa"/>
            </w:tcMar>
            <w:vAlign w:val="center"/>
            <w:hideMark/>
          </w:tcPr>
          <w:p w14:paraId="5211E8B3" w14:textId="77777777" w:rsidR="0034105D" w:rsidRPr="0076511C" w:rsidRDefault="0034105D" w:rsidP="00A00D9B">
            <w:pPr>
              <w:keepNext/>
              <w:keepLines/>
              <w:adjustRightInd/>
              <w:spacing w:after="0" w:line="240" w:lineRule="auto"/>
              <w:jc w:val="center"/>
              <w:textAlignment w:val="center"/>
              <w:rPr>
                <w:rFonts w:asciiTheme="majorHAnsi" w:hAnsiTheme="majorHAnsi" w:cs="Arial"/>
                <w:color w:val="FFFFFF" w:themeColor="background1"/>
                <w:sz w:val="16"/>
                <w:szCs w:val="16"/>
              </w:rPr>
            </w:pPr>
            <w:r w:rsidRPr="0076511C">
              <w:rPr>
                <w:rFonts w:asciiTheme="majorHAnsi" w:hAnsiTheme="majorHAnsi" w:cs="Calibri"/>
                <w:b/>
                <w:bCs/>
                <w:color w:val="FFFFFF" w:themeColor="background1"/>
                <w:kern w:val="24"/>
                <w:sz w:val="16"/>
                <w:szCs w:val="16"/>
              </w:rPr>
              <w:t xml:space="preserve">Offshore Wind Additions </w:t>
            </w:r>
            <w:r w:rsidR="00311947">
              <w:rPr>
                <w:rFonts w:asciiTheme="majorHAnsi" w:hAnsiTheme="majorHAnsi" w:cs="Calibri"/>
                <w:b/>
                <w:bCs/>
                <w:color w:val="FFFFFF" w:themeColor="background1"/>
                <w:kern w:val="24"/>
                <w:sz w:val="16"/>
                <w:szCs w:val="16"/>
              </w:rPr>
              <w:t xml:space="preserve"> Above RFP-Committed </w:t>
            </w:r>
            <w:r w:rsidRPr="0076511C">
              <w:rPr>
                <w:rFonts w:asciiTheme="majorHAnsi" w:hAnsiTheme="majorHAnsi" w:cs="Calibri"/>
                <w:b/>
                <w:bCs/>
                <w:color w:val="FFFFFF" w:themeColor="background1"/>
                <w:kern w:val="24"/>
                <w:sz w:val="16"/>
                <w:szCs w:val="16"/>
              </w:rPr>
              <w:t>(Nameplate MW)</w:t>
            </w:r>
          </w:p>
        </w:tc>
        <w:tc>
          <w:tcPr>
            <w:tcW w:w="1080" w:type="dxa"/>
            <w:tcBorders>
              <w:top w:val="single" w:sz="4" w:space="0" w:color="000000"/>
              <w:left w:val="single" w:sz="4" w:space="0" w:color="000000"/>
              <w:bottom w:val="single" w:sz="4" w:space="0" w:color="000000"/>
              <w:right w:val="single" w:sz="4" w:space="0" w:color="000000"/>
            </w:tcBorders>
            <w:shd w:val="clear" w:color="auto" w:fill="1795D2" w:themeFill="accent1"/>
            <w:tcMar>
              <w:top w:w="43" w:type="dxa"/>
              <w:left w:w="58" w:type="dxa"/>
              <w:bottom w:w="43" w:type="dxa"/>
              <w:right w:w="58" w:type="dxa"/>
            </w:tcMar>
            <w:vAlign w:val="center"/>
            <w:hideMark/>
          </w:tcPr>
          <w:p w14:paraId="1418FD30" w14:textId="77777777" w:rsidR="0034105D" w:rsidRPr="0076511C" w:rsidRDefault="0034105D" w:rsidP="00A00D9B">
            <w:pPr>
              <w:keepNext/>
              <w:keepLines/>
              <w:adjustRightInd/>
              <w:spacing w:after="0" w:line="240" w:lineRule="auto"/>
              <w:jc w:val="center"/>
              <w:textAlignment w:val="center"/>
              <w:rPr>
                <w:rFonts w:asciiTheme="majorHAnsi" w:hAnsiTheme="majorHAnsi" w:cs="Arial"/>
                <w:color w:val="FFFFFF" w:themeColor="background1"/>
                <w:sz w:val="16"/>
                <w:szCs w:val="16"/>
              </w:rPr>
            </w:pPr>
            <w:r w:rsidRPr="0076511C">
              <w:rPr>
                <w:rFonts w:asciiTheme="majorHAnsi" w:hAnsiTheme="majorHAnsi" w:cs="Calibri"/>
                <w:b/>
                <w:bCs/>
                <w:color w:val="FFFFFF" w:themeColor="background1"/>
                <w:kern w:val="24"/>
                <w:sz w:val="16"/>
                <w:szCs w:val="16"/>
              </w:rPr>
              <w:t>Demand from Heat Pumps (MW)</w:t>
            </w:r>
          </w:p>
        </w:tc>
        <w:tc>
          <w:tcPr>
            <w:tcW w:w="1080" w:type="dxa"/>
            <w:tcBorders>
              <w:top w:val="single" w:sz="4" w:space="0" w:color="000000"/>
              <w:left w:val="single" w:sz="4" w:space="0" w:color="000000"/>
              <w:bottom w:val="single" w:sz="4" w:space="0" w:color="000000"/>
              <w:right w:val="single" w:sz="4" w:space="0" w:color="000000"/>
            </w:tcBorders>
            <w:shd w:val="clear" w:color="auto" w:fill="1795D2" w:themeFill="accent1"/>
            <w:tcMar>
              <w:top w:w="43" w:type="dxa"/>
              <w:left w:w="58" w:type="dxa"/>
              <w:bottom w:w="43" w:type="dxa"/>
              <w:right w:w="58" w:type="dxa"/>
            </w:tcMar>
            <w:vAlign w:val="center"/>
            <w:hideMark/>
          </w:tcPr>
          <w:p w14:paraId="1DB5CBF8" w14:textId="77777777" w:rsidR="0034105D" w:rsidRPr="0076511C" w:rsidRDefault="0034105D" w:rsidP="00A00D9B">
            <w:pPr>
              <w:keepNext/>
              <w:keepLines/>
              <w:adjustRightInd/>
              <w:spacing w:after="0" w:line="240" w:lineRule="auto"/>
              <w:jc w:val="center"/>
              <w:textAlignment w:val="center"/>
              <w:rPr>
                <w:rFonts w:asciiTheme="majorHAnsi" w:hAnsiTheme="majorHAnsi" w:cs="Arial"/>
                <w:color w:val="FFFFFF" w:themeColor="background1"/>
                <w:sz w:val="16"/>
                <w:szCs w:val="16"/>
              </w:rPr>
            </w:pPr>
            <w:r w:rsidRPr="0076511C">
              <w:rPr>
                <w:rFonts w:asciiTheme="majorHAnsi" w:hAnsiTheme="majorHAnsi" w:cs="Calibri"/>
                <w:b/>
                <w:bCs/>
                <w:color w:val="FFFFFF" w:themeColor="background1"/>
                <w:kern w:val="24"/>
                <w:sz w:val="16"/>
                <w:szCs w:val="16"/>
              </w:rPr>
              <w:t>Demand from Electric Vehicles</w:t>
            </w:r>
          </w:p>
        </w:tc>
        <w:tc>
          <w:tcPr>
            <w:tcW w:w="1170" w:type="dxa"/>
            <w:tcBorders>
              <w:top w:val="single" w:sz="4" w:space="0" w:color="000000"/>
              <w:left w:val="single" w:sz="4" w:space="0" w:color="000000"/>
              <w:bottom w:val="single" w:sz="4" w:space="0" w:color="000000"/>
              <w:right w:val="single" w:sz="4" w:space="0" w:color="000000"/>
            </w:tcBorders>
            <w:shd w:val="clear" w:color="auto" w:fill="1795D2" w:themeFill="accent1"/>
            <w:tcMar>
              <w:top w:w="43" w:type="dxa"/>
              <w:left w:w="58" w:type="dxa"/>
              <w:bottom w:w="43" w:type="dxa"/>
              <w:right w:w="58" w:type="dxa"/>
            </w:tcMar>
            <w:vAlign w:val="center"/>
            <w:hideMark/>
          </w:tcPr>
          <w:p w14:paraId="625E9F0A" w14:textId="77777777" w:rsidR="0034105D" w:rsidRPr="0076511C" w:rsidRDefault="0034105D" w:rsidP="00A00D9B">
            <w:pPr>
              <w:keepNext/>
              <w:keepLines/>
              <w:adjustRightInd/>
              <w:spacing w:after="0" w:line="240" w:lineRule="auto"/>
              <w:jc w:val="center"/>
              <w:textAlignment w:val="center"/>
              <w:rPr>
                <w:rFonts w:asciiTheme="majorHAnsi" w:hAnsiTheme="majorHAnsi" w:cs="Arial"/>
                <w:color w:val="FFFFFF" w:themeColor="background1"/>
                <w:sz w:val="16"/>
                <w:szCs w:val="16"/>
              </w:rPr>
            </w:pPr>
            <w:r w:rsidRPr="0076511C">
              <w:rPr>
                <w:rFonts w:asciiTheme="majorHAnsi" w:hAnsiTheme="majorHAnsi" w:cs="Calibri"/>
                <w:b/>
                <w:bCs/>
                <w:color w:val="FFFFFF" w:themeColor="background1"/>
                <w:kern w:val="24"/>
                <w:sz w:val="16"/>
                <w:szCs w:val="16"/>
              </w:rPr>
              <w:t>Battery Storage Additions (MW)</w:t>
            </w:r>
          </w:p>
        </w:tc>
      </w:tr>
      <w:tr w:rsidR="00A00D9B" w:rsidRPr="0034105D" w14:paraId="7A453459" w14:textId="77777777" w:rsidTr="00B9571E">
        <w:trPr>
          <w:trHeight w:val="623"/>
          <w:jc w:val="center"/>
        </w:trPr>
        <w:tc>
          <w:tcPr>
            <w:tcW w:w="1265" w:type="dxa"/>
            <w:tcBorders>
              <w:top w:val="single" w:sz="4" w:space="0" w:color="000000"/>
              <w:left w:val="single" w:sz="4" w:space="0" w:color="000000"/>
              <w:bottom w:val="single" w:sz="4" w:space="0" w:color="000000"/>
              <w:right w:val="single" w:sz="4" w:space="0" w:color="000000"/>
            </w:tcBorders>
            <w:shd w:val="clear" w:color="auto" w:fill="9AD6F4" w:themeFill="accent1" w:themeFillTint="66"/>
            <w:tcMar>
              <w:top w:w="43" w:type="dxa"/>
              <w:left w:w="58" w:type="dxa"/>
              <w:bottom w:w="43" w:type="dxa"/>
              <w:right w:w="58" w:type="dxa"/>
            </w:tcMar>
            <w:vAlign w:val="center"/>
            <w:hideMark/>
          </w:tcPr>
          <w:p w14:paraId="4DB6EBE6" w14:textId="77777777" w:rsidR="00E94E28" w:rsidRPr="006F5A8B" w:rsidRDefault="00E94E28" w:rsidP="006F5A8B">
            <w:pPr>
              <w:keepNext/>
              <w:keepLines/>
              <w:adjustRightInd/>
              <w:spacing w:after="0" w:line="240" w:lineRule="auto"/>
              <w:jc w:val="center"/>
              <w:textAlignment w:val="center"/>
              <w:rPr>
                <w:rFonts w:asciiTheme="majorHAnsi" w:hAnsiTheme="majorHAnsi" w:cs="Arial"/>
                <w:sz w:val="16"/>
                <w:szCs w:val="16"/>
              </w:rPr>
            </w:pPr>
            <w:r w:rsidRPr="006F5A8B">
              <w:rPr>
                <w:rFonts w:asciiTheme="majorHAnsi" w:hAnsiTheme="majorHAnsi" w:cs="Calibri"/>
                <w:b/>
                <w:bCs/>
                <w:color w:val="000000"/>
                <w:kern w:val="24"/>
                <w:sz w:val="16"/>
                <w:szCs w:val="16"/>
              </w:rPr>
              <w:t>Anbaric_0</w:t>
            </w:r>
          </w:p>
          <w:p w14:paraId="7D84B124" w14:textId="77777777" w:rsidR="00E94E28" w:rsidRPr="006F5A8B" w:rsidRDefault="00E94E28" w:rsidP="006F5A8B">
            <w:pPr>
              <w:keepNext/>
              <w:keepLines/>
              <w:adjustRightInd/>
              <w:spacing w:after="0" w:line="240" w:lineRule="auto"/>
              <w:jc w:val="center"/>
              <w:textAlignment w:val="center"/>
              <w:rPr>
                <w:rFonts w:asciiTheme="majorHAnsi" w:hAnsiTheme="majorHAnsi" w:cs="Arial"/>
                <w:sz w:val="16"/>
                <w:szCs w:val="16"/>
              </w:rPr>
            </w:pPr>
            <w:r w:rsidRPr="006F5A8B">
              <w:rPr>
                <w:rFonts w:asciiTheme="majorHAnsi" w:hAnsiTheme="majorHAnsi" w:cs="Calibri"/>
                <w:b/>
                <w:bCs/>
                <w:iCs/>
                <w:color w:val="000000"/>
                <w:kern w:val="24"/>
                <w:sz w:val="16"/>
                <w:szCs w:val="16"/>
              </w:rPr>
              <w:t>(Reference)</w:t>
            </w:r>
          </w:p>
        </w:tc>
        <w:tc>
          <w:tcPr>
            <w:tcW w:w="1350" w:type="dxa"/>
            <w:vMerge w:val="restart"/>
            <w:tcBorders>
              <w:top w:val="single" w:sz="4" w:space="0" w:color="000000"/>
              <w:left w:val="single" w:sz="4" w:space="0" w:color="000000"/>
              <w:bottom w:val="single" w:sz="4" w:space="0" w:color="000000"/>
              <w:right w:val="single" w:sz="4" w:space="0" w:color="000000"/>
            </w:tcBorders>
            <w:shd w:val="clear" w:color="auto" w:fill="auto"/>
            <w:tcMar>
              <w:top w:w="43" w:type="dxa"/>
              <w:left w:w="58" w:type="dxa"/>
              <w:bottom w:w="43" w:type="dxa"/>
              <w:right w:w="58" w:type="dxa"/>
            </w:tcMar>
            <w:vAlign w:val="center"/>
            <w:hideMark/>
          </w:tcPr>
          <w:p w14:paraId="668CA311" w14:textId="77777777" w:rsidR="00E94E28" w:rsidRPr="006F5A8B" w:rsidRDefault="00E94E28" w:rsidP="00C553FE">
            <w:pPr>
              <w:keepNext/>
              <w:keepLines/>
              <w:adjustRightInd/>
              <w:spacing w:after="0" w:line="240" w:lineRule="auto"/>
              <w:jc w:val="center"/>
              <w:textAlignment w:val="center"/>
              <w:rPr>
                <w:rFonts w:asciiTheme="majorHAnsi" w:hAnsiTheme="majorHAnsi" w:cs="Arial"/>
                <w:sz w:val="16"/>
                <w:szCs w:val="16"/>
              </w:rPr>
            </w:pPr>
            <w:r w:rsidRPr="006F5A8B">
              <w:rPr>
                <w:rFonts w:asciiTheme="majorHAnsi" w:hAnsiTheme="majorHAnsi" w:cs="Calibri"/>
                <w:color w:val="000000"/>
                <w:kern w:val="24"/>
                <w:sz w:val="16"/>
                <w:szCs w:val="16"/>
              </w:rPr>
              <w:t>Based on 2019 CELT Forecast</w:t>
            </w:r>
            <w:r w:rsidR="0076511C" w:rsidRPr="003650D6">
              <w:rPr>
                <w:rFonts w:asciiTheme="majorHAnsi" w:hAnsiTheme="majorHAnsi" w:cs="Calibri"/>
                <w:color w:val="000000"/>
                <w:kern w:val="24"/>
                <w:sz w:val="16"/>
                <w:szCs w:val="16"/>
                <w:vertAlign w:val="superscript"/>
              </w:rPr>
              <w:t>(</w:t>
            </w:r>
            <w:r w:rsidR="00C553FE">
              <w:rPr>
                <w:rFonts w:asciiTheme="majorHAnsi" w:hAnsiTheme="majorHAnsi" w:cs="Calibri"/>
                <w:color w:val="000000"/>
                <w:kern w:val="24"/>
                <w:sz w:val="16"/>
                <w:szCs w:val="16"/>
                <w:vertAlign w:val="superscript"/>
              </w:rPr>
              <w:t>a</w:t>
            </w:r>
            <w:r w:rsidR="0076511C" w:rsidRPr="003650D6">
              <w:rPr>
                <w:rFonts w:asciiTheme="majorHAnsi" w:hAnsiTheme="majorHAnsi" w:cs="Calibri"/>
                <w:color w:val="000000"/>
                <w:kern w:val="24"/>
                <w:sz w:val="16"/>
                <w:szCs w:val="16"/>
                <w:vertAlign w:val="superscript"/>
              </w:rPr>
              <w:t>)</w:t>
            </w:r>
          </w:p>
        </w:tc>
        <w:tc>
          <w:tcPr>
            <w:tcW w:w="1170" w:type="dxa"/>
            <w:vMerge w:val="restart"/>
            <w:tcBorders>
              <w:top w:val="single" w:sz="4" w:space="0" w:color="000000"/>
              <w:left w:val="single" w:sz="4" w:space="0" w:color="000000"/>
              <w:bottom w:val="single" w:sz="4" w:space="0" w:color="000000"/>
              <w:right w:val="single" w:sz="4" w:space="0" w:color="000000"/>
            </w:tcBorders>
            <w:shd w:val="clear" w:color="auto" w:fill="CCEAF9" w:themeFill="accent1" w:themeFillTint="33"/>
            <w:tcMar>
              <w:top w:w="43" w:type="dxa"/>
              <w:left w:w="58" w:type="dxa"/>
              <w:bottom w:w="43" w:type="dxa"/>
              <w:right w:w="58" w:type="dxa"/>
            </w:tcMar>
            <w:vAlign w:val="center"/>
            <w:hideMark/>
          </w:tcPr>
          <w:p w14:paraId="3C58C015" w14:textId="77777777" w:rsidR="00E94E28" w:rsidRPr="006F5A8B" w:rsidRDefault="00E94E28" w:rsidP="006F5A8B">
            <w:pPr>
              <w:keepNext/>
              <w:keepLines/>
              <w:adjustRightInd/>
              <w:spacing w:after="0" w:line="240" w:lineRule="auto"/>
              <w:jc w:val="center"/>
              <w:textAlignment w:val="center"/>
              <w:rPr>
                <w:rFonts w:asciiTheme="majorHAnsi" w:hAnsiTheme="majorHAnsi" w:cs="Arial"/>
                <w:sz w:val="16"/>
                <w:szCs w:val="16"/>
              </w:rPr>
            </w:pPr>
            <w:r w:rsidRPr="006F5A8B">
              <w:rPr>
                <w:rFonts w:asciiTheme="majorHAnsi" w:hAnsiTheme="majorHAnsi" w:cs="Calibri"/>
                <w:color w:val="000000"/>
                <w:kern w:val="24"/>
                <w:sz w:val="16"/>
                <w:szCs w:val="16"/>
              </w:rPr>
              <w:t>2019 CELT generators and FCA 13 cleared resources</w:t>
            </w:r>
          </w:p>
        </w:tc>
        <w:tc>
          <w:tcPr>
            <w:tcW w:w="1170" w:type="dxa"/>
            <w:vMerge w:val="restart"/>
            <w:tcBorders>
              <w:top w:val="single" w:sz="4" w:space="0" w:color="000000"/>
              <w:left w:val="single" w:sz="4" w:space="0" w:color="000000"/>
              <w:bottom w:val="single" w:sz="4" w:space="0" w:color="000000"/>
              <w:right w:val="single" w:sz="4" w:space="0" w:color="000000"/>
            </w:tcBorders>
            <w:shd w:val="clear" w:color="auto" w:fill="auto"/>
            <w:tcMar>
              <w:top w:w="43" w:type="dxa"/>
              <w:left w:w="58" w:type="dxa"/>
              <w:bottom w:w="43" w:type="dxa"/>
              <w:right w:w="58" w:type="dxa"/>
            </w:tcMar>
            <w:vAlign w:val="center"/>
            <w:hideMark/>
          </w:tcPr>
          <w:p w14:paraId="33CDB79A" w14:textId="77777777" w:rsidR="00E94E28" w:rsidRPr="006F5A8B" w:rsidRDefault="00E94E28" w:rsidP="006F5A8B">
            <w:pPr>
              <w:keepNext/>
              <w:keepLines/>
              <w:adjustRightInd/>
              <w:spacing w:after="0" w:line="240" w:lineRule="auto"/>
              <w:jc w:val="center"/>
              <w:textAlignment w:val="center"/>
              <w:rPr>
                <w:rFonts w:asciiTheme="majorHAnsi" w:hAnsiTheme="majorHAnsi" w:cs="Arial"/>
                <w:sz w:val="16"/>
                <w:szCs w:val="16"/>
              </w:rPr>
            </w:pPr>
            <w:r w:rsidRPr="006F5A8B">
              <w:rPr>
                <w:rFonts w:asciiTheme="majorHAnsi" w:hAnsiTheme="majorHAnsi" w:cs="Calibri"/>
                <w:color w:val="000000"/>
                <w:kern w:val="24"/>
                <w:sz w:val="16"/>
                <w:szCs w:val="16"/>
              </w:rPr>
              <w:t xml:space="preserve">FCA 13, </w:t>
            </w:r>
          </w:p>
          <w:p w14:paraId="76095DD8" w14:textId="77777777" w:rsidR="00E94E28" w:rsidRPr="005E30AB" w:rsidRDefault="00E94E28" w:rsidP="005E30AB">
            <w:pPr>
              <w:keepNext/>
              <w:keepLines/>
              <w:adjustRightInd/>
              <w:spacing w:after="0" w:line="240" w:lineRule="auto"/>
              <w:jc w:val="center"/>
              <w:textAlignment w:val="center"/>
              <w:rPr>
                <w:rFonts w:asciiTheme="majorHAnsi" w:hAnsiTheme="majorHAnsi" w:cs="Arial"/>
                <w:sz w:val="16"/>
                <w:szCs w:val="16"/>
              </w:rPr>
            </w:pPr>
            <w:r w:rsidRPr="006F5A8B">
              <w:rPr>
                <w:rFonts w:asciiTheme="majorHAnsi" w:hAnsiTheme="majorHAnsi" w:cs="Calibri"/>
                <w:color w:val="000000"/>
                <w:kern w:val="24"/>
                <w:sz w:val="16"/>
                <w:szCs w:val="16"/>
              </w:rPr>
              <w:t xml:space="preserve">Mystic 8 </w:t>
            </w:r>
            <w:r w:rsidR="0034105D" w:rsidRPr="003650D6">
              <w:rPr>
                <w:rFonts w:asciiTheme="majorHAnsi" w:hAnsiTheme="majorHAnsi" w:cs="Calibri"/>
                <w:color w:val="000000"/>
                <w:kern w:val="24"/>
                <w:sz w:val="16"/>
                <w:szCs w:val="16"/>
              </w:rPr>
              <w:t>and</w:t>
            </w:r>
            <w:r w:rsidRPr="006F5A8B">
              <w:rPr>
                <w:rFonts w:asciiTheme="majorHAnsi" w:hAnsiTheme="majorHAnsi" w:cs="Calibri"/>
                <w:color w:val="000000"/>
                <w:kern w:val="24"/>
                <w:sz w:val="16"/>
                <w:szCs w:val="16"/>
              </w:rPr>
              <w:t xml:space="preserve"> 9, 2,000 M</w:t>
            </w:r>
            <w:r w:rsidRPr="005E30AB">
              <w:rPr>
                <w:rFonts w:asciiTheme="majorHAnsi" w:hAnsiTheme="majorHAnsi" w:cs="Calibri"/>
                <w:color w:val="000000"/>
                <w:kern w:val="24"/>
                <w:sz w:val="16"/>
                <w:szCs w:val="16"/>
              </w:rPr>
              <w:t>W of</w:t>
            </w:r>
            <w:r w:rsidR="00A00D9B">
              <w:rPr>
                <w:rFonts w:asciiTheme="majorHAnsi" w:hAnsiTheme="majorHAnsi" w:cs="Calibri"/>
                <w:color w:val="000000"/>
                <w:kern w:val="24"/>
                <w:sz w:val="16"/>
                <w:szCs w:val="16"/>
              </w:rPr>
              <w:br/>
            </w:r>
            <w:r w:rsidRPr="005E30AB">
              <w:rPr>
                <w:rFonts w:asciiTheme="majorHAnsi" w:hAnsiTheme="majorHAnsi" w:cs="Calibri"/>
                <w:color w:val="000000"/>
                <w:kern w:val="24"/>
                <w:sz w:val="16"/>
                <w:szCs w:val="16"/>
              </w:rPr>
              <w:t>nuclear</w:t>
            </w:r>
          </w:p>
          <w:p w14:paraId="60620B92" w14:textId="77777777" w:rsidR="003D3CC6" w:rsidRPr="005E30AB" w:rsidRDefault="00E94E28" w:rsidP="005E30AB">
            <w:pPr>
              <w:keepNext/>
              <w:keepLines/>
              <w:adjustRightInd/>
              <w:spacing w:after="0" w:line="240" w:lineRule="auto"/>
              <w:jc w:val="center"/>
              <w:textAlignment w:val="center"/>
              <w:rPr>
                <w:rFonts w:asciiTheme="majorHAnsi" w:hAnsiTheme="majorHAnsi" w:cs="Calibri"/>
                <w:color w:val="000000"/>
                <w:kern w:val="24"/>
                <w:sz w:val="16"/>
                <w:szCs w:val="16"/>
              </w:rPr>
            </w:pPr>
            <w:r w:rsidRPr="005E30AB">
              <w:rPr>
                <w:rFonts w:asciiTheme="majorHAnsi" w:hAnsiTheme="majorHAnsi" w:cs="Calibri"/>
                <w:color w:val="000000"/>
                <w:kern w:val="24"/>
                <w:sz w:val="16"/>
                <w:szCs w:val="16"/>
              </w:rPr>
              <w:t xml:space="preserve"> </w:t>
            </w:r>
            <w:r w:rsidR="0059382D">
              <w:rPr>
                <w:rFonts w:asciiTheme="majorHAnsi" w:hAnsiTheme="majorHAnsi" w:cs="Calibri"/>
                <w:color w:val="000000"/>
                <w:kern w:val="24"/>
                <w:sz w:val="16"/>
                <w:szCs w:val="16"/>
              </w:rPr>
              <w:t>g</w:t>
            </w:r>
            <w:r w:rsidRPr="005E30AB">
              <w:rPr>
                <w:rFonts w:asciiTheme="majorHAnsi" w:hAnsiTheme="majorHAnsi" w:cs="Calibri"/>
                <w:color w:val="000000"/>
                <w:kern w:val="24"/>
                <w:sz w:val="16"/>
                <w:szCs w:val="16"/>
              </w:rPr>
              <w:t>eneration</w:t>
            </w:r>
            <w:r w:rsidR="0059382D">
              <w:rPr>
                <w:rFonts w:asciiTheme="majorHAnsi" w:hAnsiTheme="majorHAnsi" w:cs="Calibri"/>
                <w:color w:val="000000"/>
                <w:kern w:val="24"/>
                <w:sz w:val="16"/>
                <w:szCs w:val="16"/>
              </w:rPr>
              <w:t>,</w:t>
            </w:r>
            <w:r w:rsidR="0059382D" w:rsidRPr="005E30AB">
              <w:rPr>
                <w:rFonts w:asciiTheme="majorHAnsi" w:hAnsiTheme="majorHAnsi" w:cs="Calibri"/>
                <w:color w:val="000000"/>
                <w:kern w:val="24"/>
                <w:sz w:val="16"/>
                <w:szCs w:val="16"/>
                <w:vertAlign w:val="superscript"/>
              </w:rPr>
              <w:t>(</w:t>
            </w:r>
            <w:r w:rsidR="0059382D">
              <w:rPr>
                <w:rFonts w:asciiTheme="majorHAnsi" w:hAnsiTheme="majorHAnsi" w:cs="Calibri"/>
                <w:color w:val="000000"/>
                <w:kern w:val="24"/>
                <w:sz w:val="16"/>
                <w:szCs w:val="16"/>
                <w:vertAlign w:val="superscript"/>
              </w:rPr>
              <w:t>b</w:t>
            </w:r>
            <w:r w:rsidR="0059382D" w:rsidRPr="005E30AB">
              <w:rPr>
                <w:rFonts w:asciiTheme="majorHAnsi" w:hAnsiTheme="majorHAnsi" w:cs="Calibri"/>
                <w:color w:val="000000"/>
                <w:kern w:val="24"/>
                <w:sz w:val="16"/>
                <w:szCs w:val="16"/>
                <w:vertAlign w:val="superscript"/>
              </w:rPr>
              <w:t>)</w:t>
            </w:r>
            <w:r w:rsidRPr="005E30AB">
              <w:rPr>
                <w:rFonts w:asciiTheme="majorHAnsi" w:hAnsiTheme="majorHAnsi" w:cs="Calibri"/>
                <w:color w:val="000000"/>
                <w:kern w:val="24"/>
                <w:sz w:val="16"/>
                <w:szCs w:val="16"/>
              </w:rPr>
              <w:t xml:space="preserve"> 2,494 MW of </w:t>
            </w:r>
          </w:p>
          <w:p w14:paraId="2C62D3A8" w14:textId="77777777" w:rsidR="00E94E28" w:rsidRPr="006F5A8B" w:rsidRDefault="00E94E28" w:rsidP="00C553FE">
            <w:pPr>
              <w:keepNext/>
              <w:keepLines/>
              <w:adjustRightInd/>
              <w:spacing w:after="0" w:line="240" w:lineRule="auto"/>
              <w:jc w:val="center"/>
              <w:textAlignment w:val="center"/>
              <w:rPr>
                <w:rFonts w:asciiTheme="majorHAnsi" w:hAnsiTheme="majorHAnsi" w:cs="Arial"/>
                <w:sz w:val="16"/>
                <w:szCs w:val="16"/>
              </w:rPr>
            </w:pPr>
            <w:r w:rsidRPr="005E30AB">
              <w:rPr>
                <w:rFonts w:asciiTheme="majorHAnsi" w:hAnsiTheme="majorHAnsi" w:cs="Calibri"/>
                <w:color w:val="000000"/>
                <w:kern w:val="24"/>
                <w:sz w:val="16"/>
                <w:szCs w:val="16"/>
              </w:rPr>
              <w:t>oil units in CT</w:t>
            </w:r>
            <w:r w:rsidR="00A00D9B">
              <w:rPr>
                <w:rFonts w:asciiTheme="majorHAnsi" w:hAnsiTheme="majorHAnsi" w:cs="Calibri"/>
                <w:color w:val="000000"/>
                <w:kern w:val="24"/>
                <w:sz w:val="16"/>
                <w:szCs w:val="16"/>
              </w:rPr>
              <w:br/>
            </w:r>
            <w:r w:rsidRPr="005E30AB">
              <w:rPr>
                <w:rFonts w:asciiTheme="majorHAnsi" w:hAnsiTheme="majorHAnsi" w:cs="Calibri"/>
                <w:color w:val="000000"/>
                <w:kern w:val="24"/>
                <w:sz w:val="16"/>
                <w:szCs w:val="16"/>
              </w:rPr>
              <w:t>and ME</w:t>
            </w:r>
            <w:r w:rsidR="0076511C" w:rsidRPr="003650D6">
              <w:rPr>
                <w:rFonts w:asciiTheme="majorHAnsi" w:hAnsiTheme="majorHAnsi" w:cs="Calibri"/>
                <w:color w:val="000000"/>
                <w:kern w:val="24"/>
                <w:sz w:val="16"/>
                <w:szCs w:val="16"/>
                <w:vertAlign w:val="superscript"/>
              </w:rPr>
              <w:t>(</w:t>
            </w:r>
            <w:r w:rsidR="00C553FE">
              <w:rPr>
                <w:rFonts w:asciiTheme="majorHAnsi" w:hAnsiTheme="majorHAnsi" w:cs="Calibri"/>
                <w:color w:val="000000"/>
                <w:kern w:val="24"/>
                <w:sz w:val="16"/>
                <w:szCs w:val="16"/>
                <w:vertAlign w:val="superscript"/>
              </w:rPr>
              <w:t>c</w:t>
            </w:r>
            <w:r w:rsidR="0076511C" w:rsidRPr="003650D6">
              <w:rPr>
                <w:rFonts w:asciiTheme="majorHAnsi" w:hAnsiTheme="majorHAnsi" w:cs="Calibri"/>
                <w:color w:val="000000"/>
                <w:kern w:val="24"/>
                <w:sz w:val="16"/>
                <w:szCs w:val="16"/>
                <w:vertAlign w:val="superscript"/>
              </w:rPr>
              <w:t>)</w:t>
            </w:r>
          </w:p>
        </w:tc>
        <w:tc>
          <w:tcPr>
            <w:tcW w:w="1260" w:type="dxa"/>
            <w:tcBorders>
              <w:top w:val="single" w:sz="4" w:space="0" w:color="000000"/>
              <w:left w:val="single" w:sz="4" w:space="0" w:color="000000"/>
              <w:bottom w:val="single" w:sz="8" w:space="0" w:color="62777F"/>
              <w:right w:val="single" w:sz="4" w:space="0" w:color="000000"/>
            </w:tcBorders>
            <w:shd w:val="clear" w:color="auto" w:fill="CCEAF9" w:themeFill="accent1" w:themeFillTint="33"/>
            <w:tcMar>
              <w:top w:w="43" w:type="dxa"/>
              <w:left w:w="58" w:type="dxa"/>
              <w:bottom w:w="43" w:type="dxa"/>
              <w:right w:w="58" w:type="dxa"/>
            </w:tcMar>
            <w:vAlign w:val="center"/>
            <w:hideMark/>
          </w:tcPr>
          <w:p w14:paraId="665E91EC" w14:textId="77777777" w:rsidR="00E94E28" w:rsidRPr="006F5A8B" w:rsidRDefault="00E94E28" w:rsidP="00C274BE">
            <w:pPr>
              <w:keepNext/>
              <w:keepLines/>
              <w:adjustRightInd/>
              <w:spacing w:after="0" w:line="240" w:lineRule="auto"/>
              <w:jc w:val="center"/>
              <w:textAlignment w:val="center"/>
              <w:rPr>
                <w:rFonts w:asciiTheme="majorHAnsi" w:hAnsiTheme="majorHAnsi" w:cs="Arial"/>
                <w:sz w:val="16"/>
                <w:szCs w:val="16"/>
              </w:rPr>
            </w:pPr>
            <w:r w:rsidRPr="00F8766C">
              <w:rPr>
                <w:rFonts w:asciiTheme="majorHAnsi" w:hAnsiTheme="majorHAnsi" w:cs="Calibri"/>
                <w:color w:val="000000"/>
                <w:kern w:val="24"/>
                <w:sz w:val="16"/>
                <w:szCs w:val="16"/>
              </w:rPr>
              <w:t>NECEC (1,</w:t>
            </w:r>
            <w:r w:rsidR="005F5673" w:rsidRPr="005F5673">
              <w:rPr>
                <w:rFonts w:asciiTheme="majorHAnsi" w:hAnsiTheme="majorHAnsi" w:cs="Calibri"/>
                <w:color w:val="000000"/>
                <w:kern w:val="24"/>
                <w:sz w:val="16"/>
                <w:szCs w:val="16"/>
              </w:rPr>
              <w:t>090</w:t>
            </w:r>
            <w:r w:rsidR="005F5673">
              <w:rPr>
                <w:rFonts w:asciiTheme="majorHAnsi" w:hAnsiTheme="majorHAnsi" w:cs="Calibri"/>
                <w:color w:val="000000"/>
                <w:kern w:val="24"/>
                <w:sz w:val="16"/>
                <w:szCs w:val="16"/>
              </w:rPr>
              <w:t> </w:t>
            </w:r>
            <w:r w:rsidRPr="005F5673">
              <w:rPr>
                <w:rFonts w:asciiTheme="majorHAnsi" w:hAnsiTheme="majorHAnsi" w:cs="Calibri"/>
                <w:color w:val="000000"/>
                <w:kern w:val="24"/>
                <w:sz w:val="16"/>
                <w:szCs w:val="16"/>
              </w:rPr>
              <w:t>MW of</w:t>
            </w:r>
            <w:r w:rsidR="00A00D9B">
              <w:rPr>
                <w:rFonts w:asciiTheme="majorHAnsi" w:hAnsiTheme="majorHAnsi" w:cs="Calibri"/>
                <w:color w:val="000000"/>
                <w:kern w:val="24"/>
                <w:sz w:val="16"/>
                <w:szCs w:val="16"/>
              </w:rPr>
              <w:br/>
            </w:r>
            <w:r w:rsidRPr="005F5673">
              <w:rPr>
                <w:rFonts w:asciiTheme="majorHAnsi" w:hAnsiTheme="majorHAnsi" w:cs="Calibri"/>
                <w:color w:val="000000"/>
                <w:kern w:val="24"/>
                <w:sz w:val="16"/>
                <w:szCs w:val="16"/>
              </w:rPr>
              <w:t>fir</w:t>
            </w:r>
            <w:r w:rsidRPr="00F8766C">
              <w:rPr>
                <w:rFonts w:asciiTheme="majorHAnsi" w:hAnsiTheme="majorHAnsi" w:cs="Calibri"/>
                <w:color w:val="000000"/>
                <w:kern w:val="24"/>
                <w:sz w:val="16"/>
                <w:szCs w:val="16"/>
              </w:rPr>
              <w:t>m import</w:t>
            </w:r>
            <w:r w:rsidR="00311947">
              <w:rPr>
                <w:rFonts w:asciiTheme="majorHAnsi" w:hAnsiTheme="majorHAnsi" w:cs="Calibri"/>
                <w:color w:val="000000"/>
                <w:kern w:val="24"/>
                <w:sz w:val="16"/>
                <w:szCs w:val="16"/>
              </w:rPr>
              <w:t>; 0 MW of offshore wind</w:t>
            </w:r>
            <w:r w:rsidR="0076511C" w:rsidRPr="003650D6">
              <w:rPr>
                <w:rFonts w:asciiTheme="majorHAnsi" w:hAnsiTheme="majorHAnsi" w:cs="Calibri"/>
                <w:color w:val="000000"/>
                <w:kern w:val="24"/>
                <w:sz w:val="16"/>
                <w:szCs w:val="16"/>
                <w:vertAlign w:val="superscript"/>
              </w:rPr>
              <w:t>(</w:t>
            </w:r>
            <w:r w:rsidR="00C553FE">
              <w:rPr>
                <w:rFonts w:asciiTheme="majorHAnsi" w:hAnsiTheme="majorHAnsi" w:cs="Calibri"/>
                <w:color w:val="000000"/>
                <w:kern w:val="24"/>
                <w:sz w:val="16"/>
                <w:szCs w:val="16"/>
                <w:vertAlign w:val="superscript"/>
              </w:rPr>
              <w:t>d</w:t>
            </w:r>
            <w:r w:rsidR="0076511C" w:rsidRPr="003650D6">
              <w:rPr>
                <w:rFonts w:asciiTheme="majorHAnsi" w:hAnsiTheme="majorHAnsi" w:cs="Calibri"/>
                <w:color w:val="000000"/>
                <w:kern w:val="24"/>
                <w:sz w:val="16"/>
                <w:szCs w:val="16"/>
                <w:vertAlign w:val="superscript"/>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43" w:type="dxa"/>
              <w:left w:w="58" w:type="dxa"/>
              <w:bottom w:w="43" w:type="dxa"/>
              <w:right w:w="58" w:type="dxa"/>
            </w:tcMar>
            <w:vAlign w:val="center"/>
            <w:hideMark/>
          </w:tcPr>
          <w:p w14:paraId="5510E5EC" w14:textId="77777777" w:rsidR="00E94E28" w:rsidRPr="006F5A8B" w:rsidRDefault="00E94E28" w:rsidP="006F5A8B">
            <w:pPr>
              <w:keepNext/>
              <w:keepLines/>
              <w:adjustRightInd/>
              <w:spacing w:after="0" w:line="240" w:lineRule="auto"/>
              <w:jc w:val="center"/>
              <w:textAlignment w:val="center"/>
              <w:rPr>
                <w:rFonts w:asciiTheme="majorHAnsi" w:hAnsiTheme="majorHAnsi" w:cs="Arial"/>
                <w:sz w:val="16"/>
                <w:szCs w:val="16"/>
              </w:rPr>
            </w:pPr>
            <w:r w:rsidRPr="006F5A8B">
              <w:rPr>
                <w:rFonts w:asciiTheme="majorHAnsi" w:hAnsiTheme="majorHAnsi" w:cs="Calibri"/>
                <w:color w:val="000000"/>
                <w:kern w:val="24"/>
                <w:sz w:val="16"/>
                <w:szCs w:val="16"/>
              </w:rPr>
              <w:t>0 MW</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CCEAF9" w:themeFill="accent1" w:themeFillTint="33"/>
            <w:tcMar>
              <w:top w:w="43" w:type="dxa"/>
              <w:left w:w="58" w:type="dxa"/>
              <w:bottom w:w="43" w:type="dxa"/>
              <w:right w:w="58" w:type="dxa"/>
            </w:tcMar>
            <w:vAlign w:val="center"/>
            <w:hideMark/>
          </w:tcPr>
          <w:p w14:paraId="04516AC0" w14:textId="77777777" w:rsidR="00E94E28" w:rsidRPr="006F5A8B" w:rsidRDefault="00E94E28" w:rsidP="006F5A8B">
            <w:pPr>
              <w:keepNext/>
              <w:keepLines/>
              <w:adjustRightInd/>
              <w:spacing w:after="0" w:line="240" w:lineRule="auto"/>
              <w:jc w:val="center"/>
              <w:textAlignment w:val="center"/>
              <w:rPr>
                <w:rFonts w:asciiTheme="majorHAnsi" w:hAnsiTheme="majorHAnsi" w:cs="Arial"/>
                <w:sz w:val="16"/>
                <w:szCs w:val="16"/>
              </w:rPr>
            </w:pPr>
            <w:r w:rsidRPr="006F5A8B">
              <w:rPr>
                <w:rFonts w:asciiTheme="majorHAnsi" w:hAnsiTheme="majorHAnsi" w:cs="Calibri"/>
                <w:color w:val="000000"/>
                <w:kern w:val="24"/>
                <w:sz w:val="16"/>
                <w:szCs w:val="16"/>
              </w:rPr>
              <w:t>None</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tcMar>
              <w:top w:w="43" w:type="dxa"/>
              <w:left w:w="58" w:type="dxa"/>
              <w:bottom w:w="43" w:type="dxa"/>
              <w:right w:w="58" w:type="dxa"/>
            </w:tcMar>
            <w:vAlign w:val="center"/>
            <w:hideMark/>
          </w:tcPr>
          <w:p w14:paraId="4278FD53" w14:textId="77777777" w:rsidR="00E94E28" w:rsidRPr="006F5A8B" w:rsidRDefault="00E94E28" w:rsidP="006F5A8B">
            <w:pPr>
              <w:keepNext/>
              <w:keepLines/>
              <w:adjustRightInd/>
              <w:spacing w:after="0" w:line="240" w:lineRule="auto"/>
              <w:jc w:val="center"/>
              <w:textAlignment w:val="center"/>
              <w:rPr>
                <w:rFonts w:asciiTheme="majorHAnsi" w:hAnsiTheme="majorHAnsi" w:cs="Arial"/>
                <w:sz w:val="16"/>
                <w:szCs w:val="16"/>
              </w:rPr>
            </w:pPr>
            <w:r w:rsidRPr="006F5A8B">
              <w:rPr>
                <w:rFonts w:asciiTheme="majorHAnsi" w:hAnsiTheme="majorHAnsi" w:cs="Calibri"/>
                <w:color w:val="000000"/>
                <w:kern w:val="24"/>
                <w:sz w:val="16"/>
                <w:szCs w:val="16"/>
              </w:rPr>
              <w:t>None</w:t>
            </w:r>
          </w:p>
        </w:tc>
        <w:tc>
          <w:tcPr>
            <w:tcW w:w="1170" w:type="dxa"/>
            <w:vMerge w:val="restart"/>
            <w:tcBorders>
              <w:top w:val="single" w:sz="4" w:space="0" w:color="000000"/>
              <w:left w:val="single" w:sz="4" w:space="0" w:color="000000"/>
              <w:bottom w:val="single" w:sz="4" w:space="0" w:color="000000"/>
              <w:right w:val="single" w:sz="4" w:space="0" w:color="000000"/>
            </w:tcBorders>
            <w:shd w:val="clear" w:color="auto" w:fill="CCEAF9" w:themeFill="accent1" w:themeFillTint="33"/>
            <w:tcMar>
              <w:top w:w="43" w:type="dxa"/>
              <w:left w:w="58" w:type="dxa"/>
              <w:bottom w:w="43" w:type="dxa"/>
              <w:right w:w="58" w:type="dxa"/>
            </w:tcMar>
            <w:vAlign w:val="center"/>
            <w:hideMark/>
          </w:tcPr>
          <w:p w14:paraId="369B2E1F" w14:textId="77777777" w:rsidR="00E94E28" w:rsidRPr="006F5A8B" w:rsidRDefault="00E94E28" w:rsidP="006F5A8B">
            <w:pPr>
              <w:keepNext/>
              <w:keepLines/>
              <w:adjustRightInd/>
              <w:spacing w:after="0" w:line="240" w:lineRule="auto"/>
              <w:jc w:val="center"/>
              <w:textAlignment w:val="center"/>
              <w:rPr>
                <w:rFonts w:asciiTheme="majorHAnsi" w:hAnsiTheme="majorHAnsi" w:cs="Arial"/>
                <w:sz w:val="16"/>
                <w:szCs w:val="16"/>
              </w:rPr>
            </w:pPr>
            <w:r w:rsidRPr="006F5A8B">
              <w:rPr>
                <w:rFonts w:asciiTheme="majorHAnsi" w:hAnsiTheme="majorHAnsi" w:cs="Calibri"/>
                <w:color w:val="000000"/>
                <w:kern w:val="24"/>
                <w:sz w:val="16"/>
                <w:szCs w:val="16"/>
              </w:rPr>
              <w:t>2,000 MW</w:t>
            </w:r>
          </w:p>
        </w:tc>
      </w:tr>
      <w:tr w:rsidR="00A00D9B" w:rsidRPr="0034105D" w14:paraId="49DC4670" w14:textId="77777777" w:rsidTr="00B9571E">
        <w:trPr>
          <w:trHeight w:val="244"/>
          <w:jc w:val="center"/>
        </w:trPr>
        <w:tc>
          <w:tcPr>
            <w:tcW w:w="1265" w:type="dxa"/>
            <w:tcBorders>
              <w:top w:val="single" w:sz="4" w:space="0" w:color="000000"/>
              <w:left w:val="single" w:sz="4" w:space="0" w:color="000000"/>
              <w:bottom w:val="single" w:sz="4" w:space="0" w:color="000000"/>
              <w:right w:val="single" w:sz="4" w:space="0" w:color="000000"/>
            </w:tcBorders>
            <w:shd w:val="clear" w:color="auto" w:fill="9AD6F4" w:themeFill="accent1" w:themeFillTint="66"/>
            <w:tcMar>
              <w:top w:w="43" w:type="dxa"/>
              <w:left w:w="58" w:type="dxa"/>
              <w:bottom w:w="43" w:type="dxa"/>
              <w:right w:w="58" w:type="dxa"/>
            </w:tcMar>
            <w:vAlign w:val="center"/>
            <w:hideMark/>
          </w:tcPr>
          <w:p w14:paraId="4BF63969" w14:textId="77777777" w:rsidR="00E94E28" w:rsidRPr="004F1E92" w:rsidRDefault="00E94E28" w:rsidP="004F1E92">
            <w:pPr>
              <w:keepNext/>
              <w:keepLines/>
              <w:adjustRightInd/>
              <w:spacing w:after="0" w:line="240" w:lineRule="auto"/>
              <w:jc w:val="center"/>
              <w:textAlignment w:val="center"/>
              <w:rPr>
                <w:rFonts w:asciiTheme="majorHAnsi" w:hAnsiTheme="majorHAnsi" w:cs="Arial"/>
                <w:sz w:val="16"/>
                <w:szCs w:val="16"/>
              </w:rPr>
            </w:pPr>
            <w:r w:rsidRPr="004F1E92">
              <w:rPr>
                <w:rFonts w:asciiTheme="majorHAnsi" w:hAnsiTheme="majorHAnsi" w:cs="Calibri"/>
                <w:b/>
                <w:bCs/>
                <w:color w:val="000000"/>
                <w:kern w:val="24"/>
                <w:sz w:val="16"/>
                <w:szCs w:val="16"/>
              </w:rPr>
              <w:t>Anbaric_8000</w:t>
            </w:r>
          </w:p>
        </w:tc>
        <w:tc>
          <w:tcPr>
            <w:tcW w:w="1350" w:type="dxa"/>
            <w:vMerge/>
            <w:tcBorders>
              <w:top w:val="single" w:sz="4" w:space="0" w:color="000000"/>
              <w:left w:val="single" w:sz="4" w:space="0" w:color="000000"/>
              <w:bottom w:val="single" w:sz="4" w:space="0" w:color="000000"/>
              <w:right w:val="single" w:sz="4" w:space="0" w:color="000000"/>
            </w:tcBorders>
            <w:tcMar>
              <w:top w:w="43" w:type="dxa"/>
              <w:left w:w="58" w:type="dxa"/>
              <w:bottom w:w="43" w:type="dxa"/>
              <w:right w:w="58" w:type="dxa"/>
            </w:tcMar>
            <w:vAlign w:val="center"/>
            <w:hideMark/>
          </w:tcPr>
          <w:p w14:paraId="40054D62" w14:textId="77777777" w:rsidR="00E94E28" w:rsidRPr="004F1E92" w:rsidRDefault="00E94E28" w:rsidP="004F1E92">
            <w:pPr>
              <w:keepNext/>
              <w:keepLines/>
              <w:adjustRightInd/>
              <w:spacing w:after="0" w:line="240" w:lineRule="auto"/>
              <w:textAlignment w:val="auto"/>
              <w:rPr>
                <w:rFonts w:asciiTheme="majorHAnsi" w:hAnsiTheme="majorHAnsi" w:cs="Arial"/>
                <w:sz w:val="16"/>
                <w:szCs w:val="16"/>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CCEAF9" w:themeFill="accent1" w:themeFillTint="33"/>
            <w:tcMar>
              <w:top w:w="43" w:type="dxa"/>
              <w:left w:w="58" w:type="dxa"/>
              <w:bottom w:w="43" w:type="dxa"/>
              <w:right w:w="58" w:type="dxa"/>
            </w:tcMar>
            <w:vAlign w:val="center"/>
            <w:hideMark/>
          </w:tcPr>
          <w:p w14:paraId="26767315" w14:textId="77777777" w:rsidR="00E94E28" w:rsidRPr="004F1E92" w:rsidRDefault="00E94E28" w:rsidP="004F1E92">
            <w:pPr>
              <w:keepNext/>
              <w:keepLines/>
              <w:adjustRightInd/>
              <w:spacing w:after="0" w:line="240" w:lineRule="auto"/>
              <w:textAlignment w:val="auto"/>
              <w:rPr>
                <w:rFonts w:asciiTheme="majorHAnsi" w:hAnsiTheme="majorHAnsi" w:cs="Arial"/>
                <w:sz w:val="16"/>
                <w:szCs w:val="16"/>
              </w:rPr>
            </w:pPr>
          </w:p>
        </w:tc>
        <w:tc>
          <w:tcPr>
            <w:tcW w:w="1170" w:type="dxa"/>
            <w:vMerge/>
            <w:tcBorders>
              <w:top w:val="single" w:sz="4" w:space="0" w:color="000000"/>
              <w:left w:val="single" w:sz="4" w:space="0" w:color="000000"/>
              <w:bottom w:val="single" w:sz="4" w:space="0" w:color="000000"/>
              <w:right w:val="single" w:sz="4" w:space="0" w:color="000000"/>
            </w:tcBorders>
            <w:tcMar>
              <w:top w:w="43" w:type="dxa"/>
              <w:left w:w="58" w:type="dxa"/>
              <w:bottom w:w="43" w:type="dxa"/>
              <w:right w:w="58" w:type="dxa"/>
            </w:tcMar>
            <w:vAlign w:val="center"/>
            <w:hideMark/>
          </w:tcPr>
          <w:p w14:paraId="2929B53C" w14:textId="77777777" w:rsidR="00E94E28" w:rsidRPr="004F1E92" w:rsidRDefault="00E94E28" w:rsidP="004F1E92">
            <w:pPr>
              <w:keepNext/>
              <w:keepLines/>
              <w:adjustRightInd/>
              <w:spacing w:after="0" w:line="240" w:lineRule="auto"/>
              <w:textAlignment w:val="auto"/>
              <w:rPr>
                <w:rFonts w:asciiTheme="majorHAnsi" w:hAnsiTheme="majorHAnsi" w:cs="Arial"/>
                <w:sz w:val="16"/>
                <w:szCs w:val="16"/>
              </w:rPr>
            </w:pPr>
          </w:p>
        </w:tc>
        <w:tc>
          <w:tcPr>
            <w:tcW w:w="1260" w:type="dxa"/>
            <w:vMerge w:val="restart"/>
            <w:tcBorders>
              <w:top w:val="single" w:sz="8" w:space="0" w:color="62777F"/>
              <w:left w:val="single" w:sz="4" w:space="0" w:color="000000"/>
              <w:bottom w:val="single" w:sz="4" w:space="0" w:color="000000"/>
              <w:right w:val="single" w:sz="4" w:space="0" w:color="000000"/>
            </w:tcBorders>
            <w:shd w:val="clear" w:color="auto" w:fill="CCEAF9" w:themeFill="accent1" w:themeFillTint="33"/>
            <w:tcMar>
              <w:top w:w="43" w:type="dxa"/>
              <w:left w:w="58" w:type="dxa"/>
              <w:bottom w:w="43" w:type="dxa"/>
              <w:right w:w="58" w:type="dxa"/>
            </w:tcMar>
            <w:vAlign w:val="center"/>
            <w:hideMark/>
          </w:tcPr>
          <w:p w14:paraId="401A9903" w14:textId="77777777" w:rsidR="00E94E28" w:rsidRPr="004F1E92" w:rsidRDefault="00E94E28" w:rsidP="00F8766C">
            <w:pPr>
              <w:keepNext/>
              <w:keepLines/>
              <w:adjustRightInd/>
              <w:spacing w:after="0" w:line="240" w:lineRule="auto"/>
              <w:jc w:val="center"/>
              <w:textAlignment w:val="center"/>
              <w:rPr>
                <w:rFonts w:asciiTheme="majorHAnsi" w:hAnsiTheme="majorHAnsi" w:cs="Arial"/>
                <w:sz w:val="16"/>
                <w:szCs w:val="16"/>
              </w:rPr>
            </w:pPr>
            <w:r w:rsidRPr="00534CC6">
              <w:rPr>
                <w:rFonts w:asciiTheme="majorHAnsi" w:hAnsiTheme="majorHAnsi" w:cs="Calibri"/>
                <w:color w:val="000000"/>
                <w:kern w:val="24"/>
                <w:sz w:val="16"/>
                <w:szCs w:val="16"/>
              </w:rPr>
              <w:t>NECEC (1,</w:t>
            </w:r>
            <w:r w:rsidR="005F5673" w:rsidRPr="00534CC6">
              <w:rPr>
                <w:rFonts w:asciiTheme="majorHAnsi" w:hAnsiTheme="majorHAnsi" w:cs="Calibri"/>
                <w:color w:val="000000"/>
                <w:kern w:val="24"/>
                <w:sz w:val="16"/>
                <w:szCs w:val="16"/>
              </w:rPr>
              <w:t>090 </w:t>
            </w:r>
            <w:r w:rsidRPr="00534CC6">
              <w:rPr>
                <w:rFonts w:asciiTheme="majorHAnsi" w:hAnsiTheme="majorHAnsi" w:cs="Calibri"/>
                <w:color w:val="000000"/>
                <w:kern w:val="24"/>
                <w:sz w:val="16"/>
                <w:szCs w:val="16"/>
              </w:rPr>
              <w:t>MW of</w:t>
            </w:r>
            <w:r w:rsidR="00A00D9B" w:rsidRPr="00534CC6">
              <w:rPr>
                <w:rFonts w:asciiTheme="majorHAnsi" w:hAnsiTheme="majorHAnsi" w:cs="Calibri"/>
                <w:color w:val="000000"/>
                <w:kern w:val="24"/>
                <w:sz w:val="16"/>
                <w:szCs w:val="16"/>
              </w:rPr>
              <w:br/>
            </w:r>
            <w:r w:rsidRPr="000B5ACD">
              <w:rPr>
                <w:rFonts w:asciiTheme="majorHAnsi" w:hAnsiTheme="majorHAnsi" w:cs="Calibri"/>
                <w:color w:val="000000"/>
                <w:kern w:val="24"/>
                <w:sz w:val="16"/>
                <w:szCs w:val="16"/>
              </w:rPr>
              <w:t>firm impo</w:t>
            </w:r>
            <w:r w:rsidRPr="00534CC6">
              <w:rPr>
                <w:rFonts w:asciiTheme="majorHAnsi" w:hAnsiTheme="majorHAnsi" w:cs="Calibri"/>
                <w:color w:val="000000"/>
                <w:kern w:val="24"/>
                <w:sz w:val="16"/>
                <w:szCs w:val="16"/>
              </w:rPr>
              <w:t>rt)</w:t>
            </w:r>
            <w:r w:rsidR="00534CC6" w:rsidRPr="00534CC6">
              <w:rPr>
                <w:rFonts w:asciiTheme="majorHAnsi" w:hAnsiTheme="majorHAnsi" w:cs="Calibri"/>
                <w:color w:val="000000"/>
                <w:kern w:val="24"/>
                <w:sz w:val="16"/>
                <w:szCs w:val="16"/>
              </w:rPr>
              <w:t>,</w:t>
            </w:r>
            <w:r w:rsidRPr="00534CC6">
              <w:rPr>
                <w:rFonts w:asciiTheme="majorHAnsi" w:hAnsiTheme="majorHAnsi" w:cs="Calibri"/>
                <w:color w:val="000000"/>
                <w:kern w:val="24"/>
                <w:sz w:val="16"/>
                <w:szCs w:val="16"/>
              </w:rPr>
              <w:br/>
              <w:t>2,300 MW of offshore wind</w:t>
            </w:r>
            <w:r w:rsidR="00F8766C" w:rsidRPr="00534CC6">
              <w:rPr>
                <w:rFonts w:asciiTheme="majorHAnsi" w:hAnsiTheme="majorHAnsi" w:cs="Calibri"/>
                <w:color w:val="000000"/>
                <w:kern w:val="24"/>
                <w:sz w:val="16"/>
                <w:szCs w:val="16"/>
              </w:rPr>
              <w:br/>
            </w:r>
            <w:r w:rsidRPr="000B5ACD">
              <w:rPr>
                <w:rFonts w:asciiTheme="majorHAnsi" w:hAnsiTheme="majorHAnsi" w:cs="Calibri"/>
                <w:color w:val="000000"/>
                <w:kern w:val="24"/>
                <w:sz w:val="16"/>
                <w:szCs w:val="16"/>
              </w:rPr>
              <w:t>(nameplate)</w:t>
            </w:r>
            <w:r w:rsidR="0076511C" w:rsidRPr="00EE6488">
              <w:rPr>
                <w:rFonts w:asciiTheme="majorHAnsi" w:hAnsiTheme="majorHAnsi" w:cs="Calibri"/>
                <w:color w:val="000000"/>
                <w:kern w:val="24"/>
                <w:position w:val="5"/>
                <w:sz w:val="16"/>
                <w:szCs w:val="16"/>
                <w:vertAlign w:val="superscript"/>
              </w:rPr>
              <w:t>(e)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43" w:type="dxa"/>
              <w:left w:w="58" w:type="dxa"/>
              <w:bottom w:w="43" w:type="dxa"/>
              <w:right w:w="58" w:type="dxa"/>
            </w:tcMar>
            <w:vAlign w:val="center"/>
            <w:hideMark/>
          </w:tcPr>
          <w:p w14:paraId="576CD63D" w14:textId="77777777" w:rsidR="00E94E28" w:rsidRPr="004F1E92" w:rsidRDefault="00E94E28" w:rsidP="004F1E92">
            <w:pPr>
              <w:keepNext/>
              <w:keepLines/>
              <w:adjustRightInd/>
              <w:spacing w:after="0" w:line="240" w:lineRule="auto"/>
              <w:jc w:val="center"/>
              <w:textAlignment w:val="center"/>
              <w:rPr>
                <w:rFonts w:asciiTheme="majorHAnsi" w:hAnsiTheme="majorHAnsi" w:cs="Arial"/>
                <w:sz w:val="16"/>
                <w:szCs w:val="16"/>
              </w:rPr>
            </w:pPr>
            <w:r w:rsidRPr="004F1E92">
              <w:rPr>
                <w:rFonts w:asciiTheme="majorHAnsi" w:hAnsiTheme="majorHAnsi" w:cs="Calibri"/>
                <w:color w:val="000000"/>
                <w:kern w:val="24"/>
                <w:sz w:val="16"/>
                <w:szCs w:val="16"/>
              </w:rPr>
              <w:t>5,700 MW</w:t>
            </w:r>
          </w:p>
        </w:tc>
        <w:tc>
          <w:tcPr>
            <w:tcW w:w="1080" w:type="dxa"/>
            <w:vMerge/>
            <w:tcBorders>
              <w:top w:val="single" w:sz="4" w:space="0" w:color="000000"/>
              <w:left w:val="single" w:sz="4" w:space="0" w:color="000000"/>
              <w:bottom w:val="single" w:sz="4" w:space="0" w:color="000000"/>
              <w:right w:val="single" w:sz="4" w:space="0" w:color="000000"/>
            </w:tcBorders>
            <w:shd w:val="clear" w:color="auto" w:fill="CCEAF9" w:themeFill="accent1" w:themeFillTint="33"/>
            <w:tcMar>
              <w:top w:w="43" w:type="dxa"/>
              <w:left w:w="58" w:type="dxa"/>
              <w:bottom w:w="43" w:type="dxa"/>
              <w:right w:w="58" w:type="dxa"/>
            </w:tcMar>
            <w:vAlign w:val="center"/>
            <w:hideMark/>
          </w:tcPr>
          <w:p w14:paraId="0563CD50" w14:textId="77777777" w:rsidR="00E94E28" w:rsidRPr="004F1E92" w:rsidRDefault="00E94E28" w:rsidP="004F1E92">
            <w:pPr>
              <w:keepNext/>
              <w:keepLines/>
              <w:adjustRightInd/>
              <w:spacing w:after="0" w:line="240" w:lineRule="auto"/>
              <w:textAlignment w:val="auto"/>
              <w:rPr>
                <w:rFonts w:asciiTheme="majorHAnsi" w:hAnsiTheme="majorHAnsi" w:cs="Arial"/>
                <w:sz w:val="16"/>
                <w:szCs w:val="16"/>
              </w:rPr>
            </w:pPr>
          </w:p>
        </w:tc>
        <w:tc>
          <w:tcPr>
            <w:tcW w:w="1080" w:type="dxa"/>
            <w:vMerge/>
            <w:tcBorders>
              <w:top w:val="single" w:sz="4" w:space="0" w:color="000000"/>
              <w:left w:val="single" w:sz="4" w:space="0" w:color="000000"/>
              <w:bottom w:val="single" w:sz="4" w:space="0" w:color="000000"/>
              <w:right w:val="single" w:sz="4" w:space="0" w:color="000000"/>
            </w:tcBorders>
            <w:tcMar>
              <w:top w:w="43" w:type="dxa"/>
              <w:left w:w="58" w:type="dxa"/>
              <w:bottom w:w="43" w:type="dxa"/>
              <w:right w:w="58" w:type="dxa"/>
            </w:tcMar>
            <w:vAlign w:val="center"/>
            <w:hideMark/>
          </w:tcPr>
          <w:p w14:paraId="60C81FCC" w14:textId="77777777" w:rsidR="00E94E28" w:rsidRPr="004F1E92" w:rsidRDefault="00E94E28" w:rsidP="004F1E92">
            <w:pPr>
              <w:keepNext/>
              <w:keepLines/>
              <w:adjustRightInd/>
              <w:spacing w:after="0" w:line="240" w:lineRule="auto"/>
              <w:textAlignment w:val="auto"/>
              <w:rPr>
                <w:rFonts w:asciiTheme="majorHAnsi" w:hAnsiTheme="majorHAnsi" w:cs="Arial"/>
                <w:sz w:val="16"/>
                <w:szCs w:val="16"/>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CCEAF9" w:themeFill="accent1" w:themeFillTint="33"/>
            <w:tcMar>
              <w:top w:w="43" w:type="dxa"/>
              <w:left w:w="58" w:type="dxa"/>
              <w:bottom w:w="43" w:type="dxa"/>
              <w:right w:w="58" w:type="dxa"/>
            </w:tcMar>
            <w:vAlign w:val="center"/>
            <w:hideMark/>
          </w:tcPr>
          <w:p w14:paraId="7878B59D" w14:textId="77777777" w:rsidR="00E94E28" w:rsidRPr="004F1E92" w:rsidRDefault="00E94E28" w:rsidP="004F1E92">
            <w:pPr>
              <w:keepNext/>
              <w:keepLines/>
              <w:adjustRightInd/>
              <w:spacing w:after="0" w:line="240" w:lineRule="auto"/>
              <w:textAlignment w:val="auto"/>
              <w:rPr>
                <w:rFonts w:asciiTheme="majorHAnsi" w:hAnsiTheme="majorHAnsi" w:cs="Arial"/>
                <w:sz w:val="16"/>
                <w:szCs w:val="16"/>
              </w:rPr>
            </w:pPr>
          </w:p>
        </w:tc>
      </w:tr>
      <w:tr w:rsidR="00A00D9B" w:rsidRPr="0034105D" w14:paraId="36D2472F" w14:textId="77777777" w:rsidTr="00B9571E">
        <w:trPr>
          <w:trHeight w:val="250"/>
          <w:jc w:val="center"/>
        </w:trPr>
        <w:tc>
          <w:tcPr>
            <w:tcW w:w="1265" w:type="dxa"/>
            <w:tcBorders>
              <w:top w:val="single" w:sz="4" w:space="0" w:color="000000"/>
              <w:left w:val="single" w:sz="4" w:space="0" w:color="000000"/>
              <w:bottom w:val="single" w:sz="4" w:space="0" w:color="000000"/>
              <w:right w:val="single" w:sz="4" w:space="0" w:color="000000"/>
            </w:tcBorders>
            <w:shd w:val="clear" w:color="auto" w:fill="9AD6F4" w:themeFill="accent1" w:themeFillTint="66"/>
            <w:tcMar>
              <w:top w:w="43" w:type="dxa"/>
              <w:left w:w="58" w:type="dxa"/>
              <w:bottom w:w="43" w:type="dxa"/>
              <w:right w:w="58" w:type="dxa"/>
            </w:tcMar>
            <w:vAlign w:val="center"/>
            <w:hideMark/>
          </w:tcPr>
          <w:p w14:paraId="22872103" w14:textId="77777777" w:rsidR="00E94E28" w:rsidRPr="004F1E92" w:rsidRDefault="00E94E28" w:rsidP="004F1E92">
            <w:pPr>
              <w:keepNext/>
              <w:keepLines/>
              <w:adjustRightInd/>
              <w:spacing w:after="0" w:line="240" w:lineRule="auto"/>
              <w:jc w:val="center"/>
              <w:textAlignment w:val="center"/>
              <w:rPr>
                <w:rFonts w:asciiTheme="majorHAnsi" w:hAnsiTheme="majorHAnsi" w:cs="Arial"/>
                <w:sz w:val="16"/>
                <w:szCs w:val="16"/>
              </w:rPr>
            </w:pPr>
            <w:r w:rsidRPr="004F1E92">
              <w:rPr>
                <w:rFonts w:asciiTheme="majorHAnsi" w:hAnsiTheme="majorHAnsi" w:cs="Calibri"/>
                <w:b/>
                <w:bCs/>
                <w:color w:val="000000"/>
                <w:kern w:val="24"/>
                <w:sz w:val="16"/>
                <w:szCs w:val="16"/>
              </w:rPr>
              <w:t>Anbaric_10000</w:t>
            </w:r>
          </w:p>
        </w:tc>
        <w:tc>
          <w:tcPr>
            <w:tcW w:w="1350" w:type="dxa"/>
            <w:vMerge/>
            <w:tcBorders>
              <w:top w:val="single" w:sz="4" w:space="0" w:color="000000"/>
              <w:left w:val="single" w:sz="4" w:space="0" w:color="000000"/>
              <w:bottom w:val="single" w:sz="4" w:space="0" w:color="000000"/>
              <w:right w:val="single" w:sz="4" w:space="0" w:color="000000"/>
            </w:tcBorders>
            <w:tcMar>
              <w:top w:w="43" w:type="dxa"/>
              <w:left w:w="58" w:type="dxa"/>
              <w:bottom w:w="43" w:type="dxa"/>
              <w:right w:w="58" w:type="dxa"/>
            </w:tcMar>
            <w:vAlign w:val="center"/>
            <w:hideMark/>
          </w:tcPr>
          <w:p w14:paraId="350A4044" w14:textId="77777777" w:rsidR="00E94E28" w:rsidRPr="004F1E92" w:rsidRDefault="00E94E28" w:rsidP="004F1E92">
            <w:pPr>
              <w:keepNext/>
              <w:keepLines/>
              <w:adjustRightInd/>
              <w:spacing w:after="0" w:line="240" w:lineRule="auto"/>
              <w:textAlignment w:val="auto"/>
              <w:rPr>
                <w:rFonts w:asciiTheme="majorHAnsi" w:hAnsiTheme="majorHAnsi" w:cs="Arial"/>
                <w:sz w:val="16"/>
                <w:szCs w:val="16"/>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CCEAF9" w:themeFill="accent1" w:themeFillTint="33"/>
            <w:tcMar>
              <w:top w:w="43" w:type="dxa"/>
              <w:left w:w="58" w:type="dxa"/>
              <w:bottom w:w="43" w:type="dxa"/>
              <w:right w:w="58" w:type="dxa"/>
            </w:tcMar>
            <w:vAlign w:val="center"/>
            <w:hideMark/>
          </w:tcPr>
          <w:p w14:paraId="655031D0" w14:textId="77777777" w:rsidR="00E94E28" w:rsidRPr="004F1E92" w:rsidRDefault="00E94E28" w:rsidP="004F1E92">
            <w:pPr>
              <w:keepNext/>
              <w:keepLines/>
              <w:adjustRightInd/>
              <w:spacing w:after="0" w:line="240" w:lineRule="auto"/>
              <w:textAlignment w:val="auto"/>
              <w:rPr>
                <w:rFonts w:asciiTheme="majorHAnsi" w:hAnsiTheme="majorHAnsi" w:cs="Arial"/>
                <w:sz w:val="16"/>
                <w:szCs w:val="16"/>
              </w:rPr>
            </w:pPr>
          </w:p>
        </w:tc>
        <w:tc>
          <w:tcPr>
            <w:tcW w:w="1170" w:type="dxa"/>
            <w:vMerge/>
            <w:tcBorders>
              <w:top w:val="single" w:sz="4" w:space="0" w:color="000000"/>
              <w:left w:val="single" w:sz="4" w:space="0" w:color="000000"/>
              <w:bottom w:val="single" w:sz="4" w:space="0" w:color="000000"/>
              <w:right w:val="single" w:sz="4" w:space="0" w:color="000000"/>
            </w:tcBorders>
            <w:tcMar>
              <w:top w:w="43" w:type="dxa"/>
              <w:left w:w="58" w:type="dxa"/>
              <w:bottom w:w="43" w:type="dxa"/>
              <w:right w:w="58" w:type="dxa"/>
            </w:tcMar>
            <w:vAlign w:val="center"/>
            <w:hideMark/>
          </w:tcPr>
          <w:p w14:paraId="5093F2D8" w14:textId="77777777" w:rsidR="00E94E28" w:rsidRPr="004F1E92" w:rsidRDefault="00E94E28" w:rsidP="004F1E92">
            <w:pPr>
              <w:keepNext/>
              <w:keepLines/>
              <w:adjustRightInd/>
              <w:spacing w:after="0" w:line="240" w:lineRule="auto"/>
              <w:textAlignment w:val="auto"/>
              <w:rPr>
                <w:rFonts w:asciiTheme="majorHAnsi" w:hAnsiTheme="majorHAnsi" w:cs="Arial"/>
                <w:sz w:val="16"/>
                <w:szCs w:val="16"/>
              </w:rPr>
            </w:pPr>
          </w:p>
        </w:tc>
        <w:tc>
          <w:tcPr>
            <w:tcW w:w="1260" w:type="dxa"/>
            <w:vMerge/>
            <w:tcBorders>
              <w:top w:val="single" w:sz="8" w:space="0" w:color="62777F"/>
              <w:left w:val="single" w:sz="4" w:space="0" w:color="000000"/>
              <w:bottom w:val="single" w:sz="4" w:space="0" w:color="000000"/>
              <w:right w:val="single" w:sz="4" w:space="0" w:color="000000"/>
            </w:tcBorders>
            <w:shd w:val="clear" w:color="auto" w:fill="CCEAF9" w:themeFill="accent1" w:themeFillTint="33"/>
            <w:tcMar>
              <w:top w:w="43" w:type="dxa"/>
              <w:left w:w="58" w:type="dxa"/>
              <w:bottom w:w="43" w:type="dxa"/>
              <w:right w:w="58" w:type="dxa"/>
            </w:tcMar>
            <w:vAlign w:val="center"/>
            <w:hideMark/>
          </w:tcPr>
          <w:p w14:paraId="56D83317" w14:textId="77777777" w:rsidR="00E94E28" w:rsidRPr="004F1E92" w:rsidRDefault="00E94E28" w:rsidP="004F1E92">
            <w:pPr>
              <w:keepNext/>
              <w:keepLines/>
              <w:adjustRightInd/>
              <w:spacing w:after="0" w:line="240" w:lineRule="auto"/>
              <w:textAlignment w:val="auto"/>
              <w:rPr>
                <w:rFonts w:asciiTheme="majorHAnsi" w:hAnsiTheme="majorHAnsi" w:cs="Arial"/>
                <w:sz w:val="16"/>
                <w:szCs w:val="16"/>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43" w:type="dxa"/>
              <w:left w:w="58" w:type="dxa"/>
              <w:bottom w:w="43" w:type="dxa"/>
              <w:right w:w="58" w:type="dxa"/>
            </w:tcMar>
            <w:vAlign w:val="center"/>
            <w:hideMark/>
          </w:tcPr>
          <w:p w14:paraId="3F2CE567" w14:textId="77777777" w:rsidR="00E94E28" w:rsidRPr="004F1E92" w:rsidRDefault="00E94E28" w:rsidP="004F1E92">
            <w:pPr>
              <w:keepNext/>
              <w:keepLines/>
              <w:adjustRightInd/>
              <w:spacing w:after="0" w:line="240" w:lineRule="auto"/>
              <w:jc w:val="center"/>
              <w:textAlignment w:val="center"/>
              <w:rPr>
                <w:rFonts w:asciiTheme="majorHAnsi" w:hAnsiTheme="majorHAnsi" w:cs="Arial"/>
                <w:sz w:val="16"/>
                <w:szCs w:val="16"/>
              </w:rPr>
            </w:pPr>
            <w:r w:rsidRPr="004F1E92">
              <w:rPr>
                <w:rFonts w:asciiTheme="majorHAnsi" w:hAnsiTheme="majorHAnsi" w:cs="Calibri"/>
                <w:color w:val="000000"/>
                <w:kern w:val="24"/>
                <w:sz w:val="16"/>
                <w:szCs w:val="16"/>
              </w:rPr>
              <w:t>7,700 MW</w:t>
            </w:r>
          </w:p>
        </w:tc>
        <w:tc>
          <w:tcPr>
            <w:tcW w:w="1080" w:type="dxa"/>
            <w:vMerge/>
            <w:tcBorders>
              <w:top w:val="single" w:sz="4" w:space="0" w:color="000000"/>
              <w:left w:val="single" w:sz="4" w:space="0" w:color="000000"/>
              <w:bottom w:val="single" w:sz="4" w:space="0" w:color="000000"/>
              <w:right w:val="single" w:sz="4" w:space="0" w:color="000000"/>
            </w:tcBorders>
            <w:shd w:val="clear" w:color="auto" w:fill="CCEAF9" w:themeFill="accent1" w:themeFillTint="33"/>
            <w:tcMar>
              <w:top w:w="43" w:type="dxa"/>
              <w:left w:w="58" w:type="dxa"/>
              <w:bottom w:w="43" w:type="dxa"/>
              <w:right w:w="58" w:type="dxa"/>
            </w:tcMar>
            <w:vAlign w:val="center"/>
            <w:hideMark/>
          </w:tcPr>
          <w:p w14:paraId="38697769" w14:textId="77777777" w:rsidR="00E94E28" w:rsidRPr="004F1E92" w:rsidRDefault="00E94E28" w:rsidP="004F1E92">
            <w:pPr>
              <w:keepNext/>
              <w:keepLines/>
              <w:adjustRightInd/>
              <w:spacing w:after="0" w:line="240" w:lineRule="auto"/>
              <w:textAlignment w:val="auto"/>
              <w:rPr>
                <w:rFonts w:asciiTheme="majorHAnsi" w:hAnsiTheme="majorHAnsi" w:cs="Arial"/>
                <w:sz w:val="16"/>
                <w:szCs w:val="16"/>
              </w:rPr>
            </w:pPr>
          </w:p>
        </w:tc>
        <w:tc>
          <w:tcPr>
            <w:tcW w:w="1080" w:type="dxa"/>
            <w:vMerge/>
            <w:tcBorders>
              <w:top w:val="single" w:sz="4" w:space="0" w:color="000000"/>
              <w:left w:val="single" w:sz="4" w:space="0" w:color="000000"/>
              <w:bottom w:val="single" w:sz="4" w:space="0" w:color="000000"/>
              <w:right w:val="single" w:sz="4" w:space="0" w:color="000000"/>
            </w:tcBorders>
            <w:tcMar>
              <w:top w:w="43" w:type="dxa"/>
              <w:left w:w="58" w:type="dxa"/>
              <w:bottom w:w="43" w:type="dxa"/>
              <w:right w:w="58" w:type="dxa"/>
            </w:tcMar>
            <w:vAlign w:val="center"/>
            <w:hideMark/>
          </w:tcPr>
          <w:p w14:paraId="4116CC90" w14:textId="77777777" w:rsidR="00E94E28" w:rsidRPr="004F1E92" w:rsidRDefault="00E94E28" w:rsidP="004F1E92">
            <w:pPr>
              <w:keepNext/>
              <w:keepLines/>
              <w:adjustRightInd/>
              <w:spacing w:after="0" w:line="240" w:lineRule="auto"/>
              <w:textAlignment w:val="auto"/>
              <w:rPr>
                <w:rFonts w:asciiTheme="majorHAnsi" w:hAnsiTheme="majorHAnsi" w:cs="Arial"/>
                <w:sz w:val="16"/>
                <w:szCs w:val="16"/>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CCEAF9" w:themeFill="accent1" w:themeFillTint="33"/>
            <w:tcMar>
              <w:top w:w="43" w:type="dxa"/>
              <w:left w:w="58" w:type="dxa"/>
              <w:bottom w:w="43" w:type="dxa"/>
              <w:right w:w="58" w:type="dxa"/>
            </w:tcMar>
            <w:vAlign w:val="center"/>
            <w:hideMark/>
          </w:tcPr>
          <w:p w14:paraId="22B28CDA" w14:textId="77777777" w:rsidR="00E94E28" w:rsidRPr="004F1E92" w:rsidRDefault="00E94E28" w:rsidP="004F1E92">
            <w:pPr>
              <w:keepNext/>
              <w:keepLines/>
              <w:adjustRightInd/>
              <w:spacing w:after="0" w:line="240" w:lineRule="auto"/>
              <w:textAlignment w:val="auto"/>
              <w:rPr>
                <w:rFonts w:asciiTheme="majorHAnsi" w:hAnsiTheme="majorHAnsi" w:cs="Arial"/>
                <w:sz w:val="16"/>
                <w:szCs w:val="16"/>
              </w:rPr>
            </w:pPr>
          </w:p>
        </w:tc>
      </w:tr>
      <w:tr w:rsidR="00A00D9B" w:rsidRPr="0034105D" w14:paraId="432DAF69" w14:textId="77777777" w:rsidTr="00B9571E">
        <w:trPr>
          <w:trHeight w:val="340"/>
          <w:jc w:val="center"/>
        </w:trPr>
        <w:tc>
          <w:tcPr>
            <w:tcW w:w="1265" w:type="dxa"/>
            <w:tcBorders>
              <w:top w:val="single" w:sz="4" w:space="0" w:color="000000"/>
              <w:left w:val="single" w:sz="4" w:space="0" w:color="000000"/>
              <w:bottom w:val="single" w:sz="4" w:space="0" w:color="000000"/>
              <w:right w:val="single" w:sz="4" w:space="0" w:color="000000"/>
            </w:tcBorders>
            <w:shd w:val="clear" w:color="auto" w:fill="9AD6F4" w:themeFill="accent1" w:themeFillTint="66"/>
            <w:tcMar>
              <w:top w:w="43" w:type="dxa"/>
              <w:left w:w="58" w:type="dxa"/>
              <w:bottom w:w="43" w:type="dxa"/>
              <w:right w:w="58" w:type="dxa"/>
            </w:tcMar>
            <w:vAlign w:val="center"/>
            <w:hideMark/>
          </w:tcPr>
          <w:p w14:paraId="3C01B48F" w14:textId="77777777" w:rsidR="00E94E28" w:rsidRPr="004F1E92" w:rsidRDefault="00E94E28" w:rsidP="004F1E92">
            <w:pPr>
              <w:keepNext/>
              <w:keepLines/>
              <w:adjustRightInd/>
              <w:spacing w:after="0" w:line="240" w:lineRule="auto"/>
              <w:jc w:val="center"/>
              <w:textAlignment w:val="center"/>
              <w:rPr>
                <w:rFonts w:asciiTheme="majorHAnsi" w:hAnsiTheme="majorHAnsi" w:cs="Arial"/>
                <w:sz w:val="16"/>
                <w:szCs w:val="16"/>
              </w:rPr>
            </w:pPr>
            <w:r w:rsidRPr="004F1E92">
              <w:rPr>
                <w:rFonts w:asciiTheme="majorHAnsi" w:hAnsiTheme="majorHAnsi" w:cs="Calibri"/>
                <w:b/>
                <w:bCs/>
                <w:color w:val="000000"/>
                <w:kern w:val="24"/>
                <w:sz w:val="16"/>
                <w:szCs w:val="16"/>
              </w:rPr>
              <w:t>Anbaric_12000</w:t>
            </w:r>
          </w:p>
        </w:tc>
        <w:tc>
          <w:tcPr>
            <w:tcW w:w="1350" w:type="dxa"/>
            <w:vMerge/>
            <w:tcBorders>
              <w:top w:val="single" w:sz="4" w:space="0" w:color="000000"/>
              <w:left w:val="single" w:sz="4" w:space="0" w:color="000000"/>
              <w:bottom w:val="single" w:sz="4" w:space="0" w:color="000000"/>
              <w:right w:val="single" w:sz="4" w:space="0" w:color="000000"/>
            </w:tcBorders>
            <w:tcMar>
              <w:top w:w="43" w:type="dxa"/>
              <w:left w:w="58" w:type="dxa"/>
              <w:bottom w:w="43" w:type="dxa"/>
              <w:right w:w="58" w:type="dxa"/>
            </w:tcMar>
            <w:vAlign w:val="center"/>
            <w:hideMark/>
          </w:tcPr>
          <w:p w14:paraId="2878ADAA" w14:textId="77777777" w:rsidR="00E94E28" w:rsidRPr="004F1E92" w:rsidRDefault="00E94E28" w:rsidP="004F1E92">
            <w:pPr>
              <w:keepNext/>
              <w:keepLines/>
              <w:adjustRightInd/>
              <w:spacing w:after="0" w:line="240" w:lineRule="auto"/>
              <w:textAlignment w:val="auto"/>
              <w:rPr>
                <w:rFonts w:asciiTheme="majorHAnsi" w:hAnsiTheme="majorHAnsi" w:cs="Arial"/>
                <w:sz w:val="16"/>
                <w:szCs w:val="16"/>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CCEAF9" w:themeFill="accent1" w:themeFillTint="33"/>
            <w:tcMar>
              <w:top w:w="43" w:type="dxa"/>
              <w:left w:w="58" w:type="dxa"/>
              <w:bottom w:w="43" w:type="dxa"/>
              <w:right w:w="58" w:type="dxa"/>
            </w:tcMar>
            <w:vAlign w:val="center"/>
            <w:hideMark/>
          </w:tcPr>
          <w:p w14:paraId="38AB12D3" w14:textId="77777777" w:rsidR="00E94E28" w:rsidRPr="004F1E92" w:rsidRDefault="00E94E28" w:rsidP="004F1E92">
            <w:pPr>
              <w:keepNext/>
              <w:keepLines/>
              <w:adjustRightInd/>
              <w:spacing w:after="0" w:line="240" w:lineRule="auto"/>
              <w:textAlignment w:val="auto"/>
              <w:rPr>
                <w:rFonts w:asciiTheme="majorHAnsi" w:hAnsiTheme="majorHAnsi" w:cs="Arial"/>
                <w:sz w:val="16"/>
                <w:szCs w:val="16"/>
              </w:rPr>
            </w:pPr>
          </w:p>
        </w:tc>
        <w:tc>
          <w:tcPr>
            <w:tcW w:w="1170" w:type="dxa"/>
            <w:vMerge/>
            <w:tcBorders>
              <w:top w:val="single" w:sz="4" w:space="0" w:color="000000"/>
              <w:left w:val="single" w:sz="4" w:space="0" w:color="000000"/>
              <w:bottom w:val="single" w:sz="4" w:space="0" w:color="000000"/>
              <w:right w:val="single" w:sz="4" w:space="0" w:color="000000"/>
            </w:tcBorders>
            <w:tcMar>
              <w:top w:w="43" w:type="dxa"/>
              <w:left w:w="58" w:type="dxa"/>
              <w:bottom w:w="43" w:type="dxa"/>
              <w:right w:w="58" w:type="dxa"/>
            </w:tcMar>
            <w:vAlign w:val="center"/>
            <w:hideMark/>
          </w:tcPr>
          <w:p w14:paraId="15FDE7BF" w14:textId="77777777" w:rsidR="00E94E28" w:rsidRPr="004F1E92" w:rsidRDefault="00E94E28" w:rsidP="004F1E92">
            <w:pPr>
              <w:keepNext/>
              <w:keepLines/>
              <w:adjustRightInd/>
              <w:spacing w:after="0" w:line="240" w:lineRule="auto"/>
              <w:textAlignment w:val="auto"/>
              <w:rPr>
                <w:rFonts w:asciiTheme="majorHAnsi" w:hAnsiTheme="majorHAnsi" w:cs="Arial"/>
                <w:sz w:val="16"/>
                <w:szCs w:val="16"/>
              </w:rPr>
            </w:pPr>
          </w:p>
        </w:tc>
        <w:tc>
          <w:tcPr>
            <w:tcW w:w="1260" w:type="dxa"/>
            <w:vMerge/>
            <w:tcBorders>
              <w:top w:val="single" w:sz="8" w:space="0" w:color="62777F"/>
              <w:left w:val="single" w:sz="4" w:space="0" w:color="000000"/>
              <w:bottom w:val="single" w:sz="4" w:space="0" w:color="000000"/>
              <w:right w:val="single" w:sz="4" w:space="0" w:color="000000"/>
            </w:tcBorders>
            <w:shd w:val="clear" w:color="auto" w:fill="CCEAF9" w:themeFill="accent1" w:themeFillTint="33"/>
            <w:tcMar>
              <w:top w:w="43" w:type="dxa"/>
              <w:left w:w="58" w:type="dxa"/>
              <w:bottom w:w="43" w:type="dxa"/>
              <w:right w:w="58" w:type="dxa"/>
            </w:tcMar>
            <w:vAlign w:val="center"/>
            <w:hideMark/>
          </w:tcPr>
          <w:p w14:paraId="48B03B9D" w14:textId="77777777" w:rsidR="00E94E28" w:rsidRPr="004F1E92" w:rsidRDefault="00E94E28" w:rsidP="004F1E92">
            <w:pPr>
              <w:keepNext/>
              <w:keepLines/>
              <w:adjustRightInd/>
              <w:spacing w:after="0" w:line="240" w:lineRule="auto"/>
              <w:textAlignment w:val="auto"/>
              <w:rPr>
                <w:rFonts w:asciiTheme="majorHAnsi" w:hAnsiTheme="majorHAnsi" w:cs="Arial"/>
                <w:sz w:val="16"/>
                <w:szCs w:val="16"/>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43" w:type="dxa"/>
              <w:left w:w="58" w:type="dxa"/>
              <w:bottom w:w="43" w:type="dxa"/>
              <w:right w:w="58" w:type="dxa"/>
            </w:tcMar>
            <w:vAlign w:val="center"/>
            <w:hideMark/>
          </w:tcPr>
          <w:p w14:paraId="2BEBDCD7" w14:textId="77777777" w:rsidR="00E94E28" w:rsidRPr="004F1E92" w:rsidRDefault="00E94E28" w:rsidP="004F1E92">
            <w:pPr>
              <w:keepNext/>
              <w:keepLines/>
              <w:adjustRightInd/>
              <w:spacing w:after="0" w:line="240" w:lineRule="auto"/>
              <w:jc w:val="center"/>
              <w:textAlignment w:val="center"/>
              <w:rPr>
                <w:rFonts w:asciiTheme="majorHAnsi" w:hAnsiTheme="majorHAnsi" w:cs="Arial"/>
                <w:sz w:val="16"/>
                <w:szCs w:val="16"/>
              </w:rPr>
            </w:pPr>
            <w:r w:rsidRPr="004F1E92">
              <w:rPr>
                <w:rFonts w:asciiTheme="majorHAnsi" w:hAnsiTheme="majorHAnsi" w:cs="Calibri"/>
                <w:color w:val="000000"/>
                <w:kern w:val="24"/>
                <w:sz w:val="16"/>
                <w:szCs w:val="16"/>
              </w:rPr>
              <w:t>9,700 MW</w:t>
            </w:r>
          </w:p>
        </w:tc>
        <w:tc>
          <w:tcPr>
            <w:tcW w:w="1080" w:type="dxa"/>
            <w:vMerge/>
            <w:tcBorders>
              <w:top w:val="single" w:sz="4" w:space="0" w:color="000000"/>
              <w:left w:val="single" w:sz="4" w:space="0" w:color="000000"/>
              <w:bottom w:val="single" w:sz="4" w:space="0" w:color="000000"/>
              <w:right w:val="single" w:sz="4" w:space="0" w:color="000000"/>
            </w:tcBorders>
            <w:shd w:val="clear" w:color="auto" w:fill="CCEAF9" w:themeFill="accent1" w:themeFillTint="33"/>
            <w:tcMar>
              <w:top w:w="43" w:type="dxa"/>
              <w:left w:w="58" w:type="dxa"/>
              <w:bottom w:w="43" w:type="dxa"/>
              <w:right w:w="58" w:type="dxa"/>
            </w:tcMar>
            <w:vAlign w:val="center"/>
            <w:hideMark/>
          </w:tcPr>
          <w:p w14:paraId="1283DFAD" w14:textId="77777777" w:rsidR="00E94E28" w:rsidRPr="004F1E92" w:rsidRDefault="00E94E28" w:rsidP="004F1E92">
            <w:pPr>
              <w:keepNext/>
              <w:keepLines/>
              <w:adjustRightInd/>
              <w:spacing w:after="0" w:line="240" w:lineRule="auto"/>
              <w:textAlignment w:val="auto"/>
              <w:rPr>
                <w:rFonts w:asciiTheme="majorHAnsi" w:hAnsiTheme="majorHAnsi" w:cs="Arial"/>
                <w:sz w:val="16"/>
                <w:szCs w:val="16"/>
              </w:rPr>
            </w:pPr>
          </w:p>
        </w:tc>
        <w:tc>
          <w:tcPr>
            <w:tcW w:w="1080" w:type="dxa"/>
            <w:vMerge/>
            <w:tcBorders>
              <w:top w:val="single" w:sz="4" w:space="0" w:color="000000"/>
              <w:left w:val="single" w:sz="4" w:space="0" w:color="000000"/>
              <w:bottom w:val="single" w:sz="4" w:space="0" w:color="000000"/>
              <w:right w:val="single" w:sz="4" w:space="0" w:color="000000"/>
            </w:tcBorders>
            <w:tcMar>
              <w:top w:w="43" w:type="dxa"/>
              <w:left w:w="58" w:type="dxa"/>
              <w:bottom w:w="43" w:type="dxa"/>
              <w:right w:w="58" w:type="dxa"/>
            </w:tcMar>
            <w:vAlign w:val="center"/>
            <w:hideMark/>
          </w:tcPr>
          <w:p w14:paraId="6828B2D5" w14:textId="77777777" w:rsidR="00E94E28" w:rsidRPr="004F1E92" w:rsidRDefault="00E94E28" w:rsidP="004F1E92">
            <w:pPr>
              <w:keepNext/>
              <w:keepLines/>
              <w:adjustRightInd/>
              <w:spacing w:after="0" w:line="240" w:lineRule="auto"/>
              <w:textAlignment w:val="auto"/>
              <w:rPr>
                <w:rFonts w:asciiTheme="majorHAnsi" w:hAnsiTheme="majorHAnsi" w:cs="Arial"/>
                <w:sz w:val="16"/>
                <w:szCs w:val="16"/>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CCEAF9" w:themeFill="accent1" w:themeFillTint="33"/>
            <w:tcMar>
              <w:top w:w="43" w:type="dxa"/>
              <w:left w:w="58" w:type="dxa"/>
              <w:bottom w:w="43" w:type="dxa"/>
              <w:right w:w="58" w:type="dxa"/>
            </w:tcMar>
            <w:vAlign w:val="center"/>
            <w:hideMark/>
          </w:tcPr>
          <w:p w14:paraId="7C617E0D" w14:textId="77777777" w:rsidR="00E94E28" w:rsidRPr="004F1E92" w:rsidRDefault="00E94E28" w:rsidP="004F1E92">
            <w:pPr>
              <w:keepNext/>
              <w:keepLines/>
              <w:adjustRightInd/>
              <w:spacing w:after="0" w:line="240" w:lineRule="auto"/>
              <w:textAlignment w:val="auto"/>
              <w:rPr>
                <w:rFonts w:asciiTheme="majorHAnsi" w:hAnsiTheme="majorHAnsi" w:cs="Arial"/>
                <w:sz w:val="16"/>
                <w:szCs w:val="16"/>
              </w:rPr>
            </w:pPr>
          </w:p>
        </w:tc>
      </w:tr>
      <w:tr w:rsidR="00A00D9B" w:rsidRPr="0034105D" w14:paraId="2F203D50" w14:textId="77777777" w:rsidTr="00B9571E">
        <w:trPr>
          <w:trHeight w:val="682"/>
          <w:jc w:val="center"/>
        </w:trPr>
        <w:tc>
          <w:tcPr>
            <w:tcW w:w="1265" w:type="dxa"/>
            <w:tcBorders>
              <w:top w:val="single" w:sz="4" w:space="0" w:color="000000"/>
              <w:left w:val="single" w:sz="4" w:space="0" w:color="000000"/>
              <w:bottom w:val="single" w:sz="4" w:space="0" w:color="000000"/>
              <w:right w:val="single" w:sz="4" w:space="0" w:color="000000"/>
            </w:tcBorders>
            <w:shd w:val="clear" w:color="auto" w:fill="9AD6F4" w:themeFill="accent1" w:themeFillTint="66"/>
            <w:tcMar>
              <w:top w:w="43" w:type="dxa"/>
              <w:left w:w="58" w:type="dxa"/>
              <w:bottom w:w="43" w:type="dxa"/>
              <w:right w:w="58" w:type="dxa"/>
            </w:tcMar>
            <w:vAlign w:val="center"/>
            <w:hideMark/>
          </w:tcPr>
          <w:p w14:paraId="4AAF1E32" w14:textId="77777777" w:rsidR="00E94E28" w:rsidRPr="006F5A8B" w:rsidRDefault="00E94E28" w:rsidP="006F5A8B">
            <w:pPr>
              <w:keepNext/>
              <w:keepLines/>
              <w:adjustRightInd/>
              <w:spacing w:after="0" w:line="240" w:lineRule="auto"/>
              <w:jc w:val="center"/>
              <w:textAlignment w:val="center"/>
              <w:rPr>
                <w:rFonts w:asciiTheme="majorHAnsi" w:hAnsiTheme="majorHAnsi" w:cs="Arial"/>
                <w:sz w:val="16"/>
                <w:szCs w:val="16"/>
              </w:rPr>
            </w:pPr>
            <w:r w:rsidRPr="006F5A8B">
              <w:rPr>
                <w:rFonts w:asciiTheme="majorHAnsi" w:hAnsiTheme="majorHAnsi" w:cs="Calibri"/>
                <w:b/>
                <w:bCs/>
                <w:color w:val="000000"/>
                <w:kern w:val="24"/>
                <w:sz w:val="16"/>
                <w:szCs w:val="16"/>
              </w:rPr>
              <w:t>Anbaric_10000_Sen</w:t>
            </w:r>
          </w:p>
          <w:p w14:paraId="3B262FD8" w14:textId="77777777" w:rsidR="00E94E28" w:rsidRPr="006F5A8B" w:rsidRDefault="00E94E28" w:rsidP="006F5A8B">
            <w:pPr>
              <w:keepNext/>
              <w:keepLines/>
              <w:adjustRightInd/>
              <w:spacing w:after="0" w:line="240" w:lineRule="auto"/>
              <w:jc w:val="center"/>
              <w:textAlignment w:val="center"/>
              <w:rPr>
                <w:rFonts w:asciiTheme="majorHAnsi" w:hAnsiTheme="majorHAnsi" w:cs="Arial"/>
                <w:sz w:val="16"/>
                <w:szCs w:val="16"/>
              </w:rPr>
            </w:pPr>
            <w:r w:rsidRPr="006F5A8B">
              <w:rPr>
                <w:rFonts w:asciiTheme="majorHAnsi" w:hAnsiTheme="majorHAnsi" w:cs="Calibri"/>
                <w:b/>
                <w:bCs/>
                <w:color w:val="000000"/>
                <w:kern w:val="24"/>
                <w:sz w:val="16"/>
                <w:szCs w:val="16"/>
              </w:rPr>
              <w:t>(Electrification)</w:t>
            </w:r>
          </w:p>
        </w:tc>
        <w:tc>
          <w:tcPr>
            <w:tcW w:w="1350" w:type="dxa"/>
            <w:vMerge/>
            <w:tcBorders>
              <w:top w:val="single" w:sz="4" w:space="0" w:color="000000"/>
              <w:left w:val="single" w:sz="4" w:space="0" w:color="000000"/>
              <w:bottom w:val="single" w:sz="4" w:space="0" w:color="000000"/>
              <w:right w:val="single" w:sz="4" w:space="0" w:color="000000"/>
            </w:tcBorders>
            <w:tcMar>
              <w:top w:w="43" w:type="dxa"/>
              <w:left w:w="58" w:type="dxa"/>
              <w:bottom w:w="43" w:type="dxa"/>
              <w:right w:w="58" w:type="dxa"/>
            </w:tcMar>
            <w:vAlign w:val="center"/>
            <w:hideMark/>
          </w:tcPr>
          <w:p w14:paraId="4306367A" w14:textId="77777777" w:rsidR="00E94E28" w:rsidRPr="006F5A8B" w:rsidRDefault="00E94E28" w:rsidP="006F5A8B">
            <w:pPr>
              <w:keepNext/>
              <w:keepLines/>
              <w:adjustRightInd/>
              <w:spacing w:after="0" w:line="240" w:lineRule="auto"/>
              <w:textAlignment w:val="auto"/>
              <w:rPr>
                <w:rFonts w:asciiTheme="majorHAnsi" w:hAnsiTheme="majorHAnsi" w:cs="Arial"/>
                <w:sz w:val="16"/>
                <w:szCs w:val="16"/>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CCEAF9" w:themeFill="accent1" w:themeFillTint="33"/>
            <w:tcMar>
              <w:top w:w="43" w:type="dxa"/>
              <w:left w:w="58" w:type="dxa"/>
              <w:bottom w:w="43" w:type="dxa"/>
              <w:right w:w="58" w:type="dxa"/>
            </w:tcMar>
            <w:vAlign w:val="center"/>
            <w:hideMark/>
          </w:tcPr>
          <w:p w14:paraId="6064CB52" w14:textId="77777777" w:rsidR="00E94E28" w:rsidRPr="006F5A8B" w:rsidRDefault="00E94E28" w:rsidP="006F5A8B">
            <w:pPr>
              <w:keepNext/>
              <w:keepLines/>
              <w:adjustRightInd/>
              <w:spacing w:after="0" w:line="240" w:lineRule="auto"/>
              <w:textAlignment w:val="auto"/>
              <w:rPr>
                <w:rFonts w:asciiTheme="majorHAnsi" w:hAnsiTheme="majorHAnsi" w:cs="Arial"/>
                <w:sz w:val="16"/>
                <w:szCs w:val="16"/>
              </w:rPr>
            </w:pPr>
          </w:p>
        </w:tc>
        <w:tc>
          <w:tcPr>
            <w:tcW w:w="1170" w:type="dxa"/>
            <w:vMerge/>
            <w:tcBorders>
              <w:top w:val="single" w:sz="4" w:space="0" w:color="000000"/>
              <w:left w:val="single" w:sz="4" w:space="0" w:color="000000"/>
              <w:bottom w:val="single" w:sz="4" w:space="0" w:color="000000"/>
              <w:right w:val="single" w:sz="4" w:space="0" w:color="000000"/>
            </w:tcBorders>
            <w:tcMar>
              <w:top w:w="43" w:type="dxa"/>
              <w:left w:w="58" w:type="dxa"/>
              <w:bottom w:w="43" w:type="dxa"/>
              <w:right w:w="58" w:type="dxa"/>
            </w:tcMar>
            <w:vAlign w:val="center"/>
            <w:hideMark/>
          </w:tcPr>
          <w:p w14:paraId="15D9034D" w14:textId="77777777" w:rsidR="00E94E28" w:rsidRPr="006F5A8B" w:rsidRDefault="00E94E28" w:rsidP="006F5A8B">
            <w:pPr>
              <w:keepNext/>
              <w:keepLines/>
              <w:adjustRightInd/>
              <w:spacing w:after="0" w:line="240" w:lineRule="auto"/>
              <w:textAlignment w:val="auto"/>
              <w:rPr>
                <w:rFonts w:asciiTheme="majorHAnsi" w:hAnsiTheme="majorHAnsi" w:cs="Arial"/>
                <w:sz w:val="16"/>
                <w:szCs w:val="16"/>
              </w:rPr>
            </w:pPr>
          </w:p>
        </w:tc>
        <w:tc>
          <w:tcPr>
            <w:tcW w:w="1260" w:type="dxa"/>
            <w:vMerge/>
            <w:tcBorders>
              <w:top w:val="single" w:sz="8" w:space="0" w:color="62777F"/>
              <w:left w:val="single" w:sz="4" w:space="0" w:color="000000"/>
              <w:bottom w:val="single" w:sz="4" w:space="0" w:color="000000"/>
              <w:right w:val="single" w:sz="4" w:space="0" w:color="000000"/>
            </w:tcBorders>
            <w:shd w:val="clear" w:color="auto" w:fill="CCEAF9" w:themeFill="accent1" w:themeFillTint="33"/>
            <w:tcMar>
              <w:top w:w="43" w:type="dxa"/>
              <w:left w:w="58" w:type="dxa"/>
              <w:bottom w:w="43" w:type="dxa"/>
              <w:right w:w="58" w:type="dxa"/>
            </w:tcMar>
            <w:vAlign w:val="center"/>
            <w:hideMark/>
          </w:tcPr>
          <w:p w14:paraId="416053C6" w14:textId="77777777" w:rsidR="00E94E28" w:rsidRPr="006F5A8B" w:rsidRDefault="00E94E28" w:rsidP="006F5A8B">
            <w:pPr>
              <w:keepNext/>
              <w:keepLines/>
              <w:adjustRightInd/>
              <w:spacing w:after="0" w:line="240" w:lineRule="auto"/>
              <w:textAlignment w:val="auto"/>
              <w:rPr>
                <w:rFonts w:asciiTheme="majorHAnsi" w:hAnsiTheme="majorHAnsi" w:cs="Arial"/>
                <w:sz w:val="16"/>
                <w:szCs w:val="16"/>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43" w:type="dxa"/>
              <w:left w:w="58" w:type="dxa"/>
              <w:bottom w:w="43" w:type="dxa"/>
              <w:right w:w="58" w:type="dxa"/>
            </w:tcMar>
            <w:vAlign w:val="center"/>
            <w:hideMark/>
          </w:tcPr>
          <w:p w14:paraId="277AB29D" w14:textId="77777777" w:rsidR="00E94E28" w:rsidRPr="006F5A8B" w:rsidRDefault="00E94E28" w:rsidP="006F5A8B">
            <w:pPr>
              <w:keepNext/>
              <w:keepLines/>
              <w:adjustRightInd/>
              <w:spacing w:after="0" w:line="240" w:lineRule="auto"/>
              <w:jc w:val="center"/>
              <w:textAlignment w:val="center"/>
              <w:rPr>
                <w:rFonts w:asciiTheme="majorHAnsi" w:hAnsiTheme="majorHAnsi" w:cs="Arial"/>
                <w:sz w:val="16"/>
                <w:szCs w:val="16"/>
              </w:rPr>
            </w:pPr>
            <w:r w:rsidRPr="006F5A8B">
              <w:rPr>
                <w:rFonts w:asciiTheme="majorHAnsi" w:hAnsiTheme="majorHAnsi" w:cs="Calibri"/>
                <w:color w:val="000000"/>
                <w:kern w:val="24"/>
                <w:sz w:val="16"/>
                <w:szCs w:val="16"/>
              </w:rPr>
              <w:t>7,700 MW</w:t>
            </w:r>
          </w:p>
        </w:tc>
        <w:tc>
          <w:tcPr>
            <w:tcW w:w="1080" w:type="dxa"/>
            <w:tcBorders>
              <w:top w:val="single" w:sz="4" w:space="0" w:color="000000"/>
              <w:left w:val="single" w:sz="4" w:space="0" w:color="000000"/>
              <w:bottom w:val="single" w:sz="4" w:space="0" w:color="000000"/>
              <w:right w:val="single" w:sz="4" w:space="0" w:color="000000"/>
            </w:tcBorders>
            <w:shd w:val="clear" w:color="auto" w:fill="CCEAF9" w:themeFill="accent1" w:themeFillTint="33"/>
            <w:tcMar>
              <w:top w:w="43" w:type="dxa"/>
              <w:left w:w="58" w:type="dxa"/>
              <w:bottom w:w="43" w:type="dxa"/>
              <w:right w:w="58" w:type="dxa"/>
            </w:tcMar>
            <w:vAlign w:val="center"/>
            <w:hideMark/>
          </w:tcPr>
          <w:p w14:paraId="29230927" w14:textId="77777777" w:rsidR="00E94E28" w:rsidRPr="006F5A8B" w:rsidRDefault="00E94E28" w:rsidP="006F5A8B">
            <w:pPr>
              <w:keepNext/>
              <w:keepLines/>
              <w:adjustRightInd/>
              <w:spacing w:after="0" w:line="240" w:lineRule="auto"/>
              <w:jc w:val="center"/>
              <w:textAlignment w:val="center"/>
              <w:rPr>
                <w:rFonts w:asciiTheme="majorHAnsi" w:hAnsiTheme="majorHAnsi" w:cs="Arial"/>
                <w:sz w:val="16"/>
                <w:szCs w:val="16"/>
              </w:rPr>
            </w:pPr>
            <w:r w:rsidRPr="006F5A8B">
              <w:rPr>
                <w:rFonts w:asciiTheme="majorHAnsi" w:hAnsiTheme="majorHAnsi" w:cs="Calibri"/>
                <w:color w:val="000000"/>
                <w:kern w:val="24"/>
                <w:sz w:val="16"/>
                <w:szCs w:val="16"/>
              </w:rPr>
              <w:t>2,050 MW</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43" w:type="dxa"/>
              <w:left w:w="58" w:type="dxa"/>
              <w:bottom w:w="43" w:type="dxa"/>
              <w:right w:w="58" w:type="dxa"/>
            </w:tcMar>
            <w:vAlign w:val="center"/>
            <w:hideMark/>
          </w:tcPr>
          <w:p w14:paraId="4022E806" w14:textId="77777777" w:rsidR="00E94E28" w:rsidRPr="006F5A8B" w:rsidRDefault="00E94E28" w:rsidP="005E30AB">
            <w:pPr>
              <w:keepNext/>
              <w:keepLines/>
              <w:adjustRightInd/>
              <w:spacing w:after="0" w:line="240" w:lineRule="auto"/>
              <w:jc w:val="center"/>
              <w:textAlignment w:val="center"/>
              <w:rPr>
                <w:rFonts w:asciiTheme="majorHAnsi" w:hAnsiTheme="majorHAnsi" w:cs="Arial"/>
                <w:sz w:val="16"/>
                <w:szCs w:val="16"/>
              </w:rPr>
            </w:pPr>
            <w:r w:rsidRPr="005E30AB">
              <w:rPr>
                <w:rFonts w:asciiTheme="majorHAnsi" w:hAnsiTheme="majorHAnsi" w:cs="Calibri"/>
                <w:color w:val="000000"/>
                <w:kern w:val="24"/>
                <w:sz w:val="16"/>
                <w:szCs w:val="16"/>
              </w:rPr>
              <w:t>550,000</w:t>
            </w:r>
            <w:r w:rsidR="005E30AB">
              <w:rPr>
                <w:rFonts w:asciiTheme="majorHAnsi" w:hAnsiTheme="majorHAnsi" w:cs="Calibri"/>
                <w:color w:val="000000"/>
                <w:kern w:val="24"/>
                <w:sz w:val="16"/>
                <w:szCs w:val="16"/>
              </w:rPr>
              <w:br/>
            </w:r>
            <w:r w:rsidRPr="005E30AB">
              <w:rPr>
                <w:rFonts w:asciiTheme="majorHAnsi" w:hAnsiTheme="majorHAnsi" w:cs="Calibri"/>
                <w:color w:val="000000"/>
                <w:kern w:val="24"/>
                <w:sz w:val="16"/>
                <w:szCs w:val="16"/>
              </w:rPr>
              <w:t>vehicles</w:t>
            </w:r>
            <w:r w:rsidR="0076511C" w:rsidRPr="005E30AB">
              <w:rPr>
                <w:rFonts w:asciiTheme="majorHAnsi" w:hAnsiTheme="majorHAnsi" w:cs="Calibri"/>
                <w:color w:val="000000"/>
                <w:kern w:val="24"/>
                <w:sz w:val="16"/>
                <w:szCs w:val="16"/>
                <w:vertAlign w:val="superscript"/>
              </w:rPr>
              <w:t>(f)</w:t>
            </w:r>
          </w:p>
        </w:tc>
        <w:tc>
          <w:tcPr>
            <w:tcW w:w="1170" w:type="dxa"/>
            <w:tcBorders>
              <w:top w:val="single" w:sz="4" w:space="0" w:color="000000"/>
              <w:left w:val="single" w:sz="4" w:space="0" w:color="000000"/>
              <w:bottom w:val="single" w:sz="4" w:space="0" w:color="000000"/>
              <w:right w:val="single" w:sz="4" w:space="0" w:color="000000"/>
            </w:tcBorders>
            <w:shd w:val="clear" w:color="auto" w:fill="CCEAF9" w:themeFill="accent1" w:themeFillTint="33"/>
            <w:tcMar>
              <w:top w:w="43" w:type="dxa"/>
              <w:left w:w="58" w:type="dxa"/>
              <w:bottom w:w="43" w:type="dxa"/>
              <w:right w:w="58" w:type="dxa"/>
            </w:tcMar>
            <w:vAlign w:val="center"/>
            <w:hideMark/>
          </w:tcPr>
          <w:p w14:paraId="162BF344" w14:textId="77777777" w:rsidR="00E94E28" w:rsidRPr="006F5A8B" w:rsidRDefault="00E94E28" w:rsidP="006F5A8B">
            <w:pPr>
              <w:keepNext/>
              <w:keepLines/>
              <w:adjustRightInd/>
              <w:spacing w:after="0" w:line="240" w:lineRule="auto"/>
              <w:jc w:val="center"/>
              <w:textAlignment w:val="center"/>
              <w:rPr>
                <w:rFonts w:asciiTheme="majorHAnsi" w:hAnsiTheme="majorHAnsi" w:cs="Arial"/>
                <w:sz w:val="16"/>
                <w:szCs w:val="16"/>
              </w:rPr>
            </w:pPr>
            <w:r w:rsidRPr="006F5A8B">
              <w:rPr>
                <w:rFonts w:asciiTheme="majorHAnsi" w:hAnsiTheme="majorHAnsi" w:cs="Calibri"/>
                <w:color w:val="000000"/>
                <w:kern w:val="24"/>
                <w:sz w:val="16"/>
                <w:szCs w:val="16"/>
              </w:rPr>
              <w:t>4,000 MW</w:t>
            </w:r>
          </w:p>
        </w:tc>
      </w:tr>
    </w:tbl>
    <w:p w14:paraId="02DCF617" w14:textId="77777777" w:rsidR="001B3A6E" w:rsidRPr="00192C65" w:rsidRDefault="001B3A6E" w:rsidP="00C553FE">
      <w:pPr>
        <w:pStyle w:val="NormalWeb"/>
        <w:keepNext/>
        <w:keepLines/>
        <w:spacing w:before="120" w:beforeAutospacing="0" w:after="80" w:afterAutospacing="0"/>
        <w:ind w:left="-446" w:right="-720" w:hanging="274"/>
        <w:textAlignment w:val="center"/>
        <w:rPr>
          <w:rFonts w:asciiTheme="minorHAnsi" w:hAnsiTheme="minorHAnsi"/>
          <w:sz w:val="16"/>
          <w:szCs w:val="16"/>
        </w:rPr>
      </w:pPr>
      <w:r w:rsidRPr="006F5A8B">
        <w:rPr>
          <w:rFonts w:asciiTheme="minorHAnsi" w:hAnsiTheme="minorHAnsi" w:cstheme="minorBidi"/>
          <w:color w:val="000000"/>
          <w:kern w:val="24"/>
          <w:sz w:val="16"/>
          <w:szCs w:val="16"/>
        </w:rPr>
        <w:t>(</w:t>
      </w:r>
      <w:r w:rsidR="00C553FE">
        <w:rPr>
          <w:rFonts w:asciiTheme="minorHAnsi" w:hAnsiTheme="minorHAnsi" w:cstheme="minorBidi"/>
          <w:color w:val="000000"/>
          <w:kern w:val="24"/>
          <w:sz w:val="16"/>
          <w:szCs w:val="16"/>
        </w:rPr>
        <w:t>a</w:t>
      </w:r>
      <w:r w:rsidRPr="006F5A8B">
        <w:rPr>
          <w:rFonts w:asciiTheme="minorHAnsi" w:hAnsiTheme="minorHAnsi" w:cstheme="minorBidi"/>
          <w:color w:val="000000"/>
          <w:kern w:val="24"/>
          <w:sz w:val="16"/>
          <w:szCs w:val="16"/>
        </w:rPr>
        <w:t>)</w:t>
      </w:r>
      <w:r w:rsidRPr="006F5A8B">
        <w:rPr>
          <w:rFonts w:asciiTheme="minorHAnsi" w:hAnsiTheme="minorHAnsi"/>
          <w:sz w:val="16"/>
          <w:szCs w:val="16"/>
        </w:rPr>
        <w:t xml:space="preserve"> </w:t>
      </w:r>
      <w:r w:rsidR="005E30AB">
        <w:rPr>
          <w:rFonts w:asciiTheme="minorHAnsi" w:hAnsiTheme="minorHAnsi"/>
          <w:sz w:val="16"/>
          <w:szCs w:val="16"/>
        </w:rPr>
        <w:tab/>
      </w:r>
      <w:r w:rsidRPr="006F5A8B">
        <w:rPr>
          <w:rFonts w:asciiTheme="minorHAnsi" w:hAnsiTheme="minorHAnsi"/>
          <w:sz w:val="16"/>
          <w:szCs w:val="16"/>
        </w:rPr>
        <w:t xml:space="preserve">For all scenarios, the ISO’s </w:t>
      </w:r>
      <w:r w:rsidRPr="006F5A8B">
        <w:rPr>
          <w:rFonts w:asciiTheme="minorHAnsi" w:hAnsiTheme="minorHAnsi"/>
          <w:i/>
          <w:sz w:val="16"/>
          <w:szCs w:val="16"/>
        </w:rPr>
        <w:t>2019 Forecast Report of Capacity, Energy, Loads, and Transmission</w:t>
      </w:r>
      <w:r w:rsidRPr="006F5A8B">
        <w:rPr>
          <w:rFonts w:asciiTheme="minorHAnsi" w:hAnsiTheme="minorHAnsi"/>
          <w:sz w:val="16"/>
          <w:szCs w:val="16"/>
        </w:rPr>
        <w:t xml:space="preserve"> (CELT Report) (</w:t>
      </w:r>
      <w:hyperlink r:id="rId25" w:history="1">
        <w:r w:rsidRPr="006F5A8B">
          <w:rPr>
            <w:rStyle w:val="Hyperlink"/>
            <w:rFonts w:asciiTheme="minorHAnsi" w:hAnsiTheme="minorHAnsi"/>
            <w:sz w:val="16"/>
            <w:szCs w:val="16"/>
          </w:rPr>
          <w:t>https://www.iso-ne.com/static-assets/documents/2019/04/2019_celt_report.xls</w:t>
        </w:r>
      </w:hyperlink>
      <w:r w:rsidRPr="006F5A8B">
        <w:rPr>
          <w:rFonts w:asciiTheme="minorHAnsi" w:hAnsiTheme="minorHAnsi"/>
          <w:sz w:val="16"/>
          <w:szCs w:val="16"/>
        </w:rPr>
        <w:t>) was the source for data on gross demand, energy efficiency (EE), and behind-the-meter photovoltaics (BTM PV) (April</w:t>
      </w:r>
      <w:r w:rsidR="005F5673">
        <w:rPr>
          <w:rFonts w:asciiTheme="minorHAnsi" w:hAnsiTheme="minorHAnsi"/>
          <w:sz w:val="16"/>
          <w:szCs w:val="16"/>
        </w:rPr>
        <w:t> </w:t>
      </w:r>
      <w:r w:rsidRPr="006F5A8B">
        <w:rPr>
          <w:rFonts w:asciiTheme="minorHAnsi" w:hAnsiTheme="minorHAnsi"/>
          <w:sz w:val="16"/>
          <w:szCs w:val="16"/>
        </w:rPr>
        <w:t>30, 2019),</w:t>
      </w:r>
      <w:hyperlink r:id="rId26" w:history="1">
        <w:r w:rsidRPr="006F5A8B">
          <w:rPr>
            <w:rStyle w:val="Hyperlink"/>
            <w:rFonts w:asciiTheme="minorHAnsi" w:hAnsiTheme="minorHAnsi"/>
            <w:sz w:val="16"/>
            <w:szCs w:val="16"/>
          </w:rPr>
          <w:t xml:space="preserve"> https://www.iso-ne.com/static-assets/documents/2019/04/2019_celt_report.xls</w:t>
        </w:r>
      </w:hyperlink>
      <w:r w:rsidRPr="006F5A8B">
        <w:rPr>
          <w:rFonts w:asciiTheme="minorHAnsi" w:hAnsiTheme="minorHAnsi"/>
          <w:sz w:val="16"/>
          <w:szCs w:val="16"/>
        </w:rPr>
        <w:t xml:space="preserve">. Supply-side resource capacity (for new and existing generation </w:t>
      </w:r>
      <w:r w:rsidRPr="00192C65">
        <w:rPr>
          <w:rFonts w:asciiTheme="minorHAnsi" w:hAnsiTheme="minorHAnsi"/>
          <w:sz w:val="16"/>
          <w:szCs w:val="16"/>
        </w:rPr>
        <w:t xml:space="preserve">and demand) was based on the results of the thirteenth Forward Capacity Auction (FCA 13) for the 2022-23 capacity commitment period; see </w:t>
      </w:r>
      <w:r w:rsidRPr="00192C65">
        <w:rPr>
          <w:rFonts w:asciiTheme="minorHAnsi" w:hAnsiTheme="minorHAnsi"/>
          <w:i/>
          <w:sz w:val="16"/>
          <w:szCs w:val="16"/>
        </w:rPr>
        <w:t>ISO New England Inc., Docket No. ER19-___-000</w:t>
      </w:r>
      <w:r w:rsidRPr="00192C65">
        <w:rPr>
          <w:rFonts w:asciiTheme="minorHAnsi" w:hAnsiTheme="minorHAnsi"/>
          <w:sz w:val="16"/>
          <w:szCs w:val="16"/>
        </w:rPr>
        <w:t xml:space="preserve">, FERC filing (February 28, 2019), </w:t>
      </w:r>
      <w:hyperlink r:id="rId27" w:history="1">
        <w:r w:rsidRPr="00192C65">
          <w:rPr>
            <w:rStyle w:val="Hyperlink"/>
            <w:rFonts w:asciiTheme="minorHAnsi" w:hAnsiTheme="minorHAnsi"/>
            <w:sz w:val="16"/>
            <w:szCs w:val="16"/>
          </w:rPr>
          <w:t>https://www.iso-ne.com/static-assets/documents/2019/02/fca_13_results_filing.pdf</w:t>
        </w:r>
      </w:hyperlink>
      <w:r w:rsidRPr="00192C65">
        <w:rPr>
          <w:rFonts w:asciiTheme="minorHAnsi" w:hAnsiTheme="minorHAnsi"/>
          <w:sz w:val="16"/>
          <w:szCs w:val="16"/>
        </w:rPr>
        <w:t>.</w:t>
      </w:r>
    </w:p>
    <w:p w14:paraId="71D98387" w14:textId="77777777" w:rsidR="00E94E28" w:rsidRPr="00192C65" w:rsidRDefault="005F5673" w:rsidP="005E30AB">
      <w:pPr>
        <w:pStyle w:val="NormalWeb"/>
        <w:keepNext/>
        <w:keepLines/>
        <w:spacing w:before="0" w:beforeAutospacing="0" w:after="80" w:afterAutospacing="0"/>
        <w:ind w:left="-446" w:right="-810" w:hanging="274"/>
        <w:textAlignment w:val="center"/>
        <w:rPr>
          <w:rFonts w:asciiTheme="minorHAnsi" w:hAnsiTheme="minorHAnsi" w:cstheme="minorBidi"/>
          <w:color w:val="000000"/>
          <w:kern w:val="24"/>
          <w:sz w:val="16"/>
          <w:szCs w:val="16"/>
        </w:rPr>
      </w:pPr>
      <w:r w:rsidRPr="00192C65">
        <w:rPr>
          <w:rFonts w:asciiTheme="minorHAnsi" w:hAnsiTheme="minorHAnsi" w:cstheme="minorBidi"/>
          <w:color w:val="000000"/>
          <w:kern w:val="24"/>
          <w:sz w:val="16"/>
          <w:szCs w:val="16"/>
        </w:rPr>
        <w:t>(</w:t>
      </w:r>
      <w:r w:rsidR="00C553FE" w:rsidRPr="00192C65">
        <w:rPr>
          <w:rFonts w:asciiTheme="minorHAnsi" w:hAnsiTheme="minorHAnsi" w:cstheme="minorBidi"/>
          <w:color w:val="000000"/>
          <w:kern w:val="24"/>
          <w:sz w:val="16"/>
          <w:szCs w:val="16"/>
        </w:rPr>
        <w:t>b</w:t>
      </w:r>
      <w:r w:rsidRPr="00192C65">
        <w:rPr>
          <w:rFonts w:asciiTheme="minorHAnsi" w:hAnsiTheme="minorHAnsi" w:cstheme="minorBidi"/>
          <w:color w:val="000000"/>
          <w:kern w:val="24"/>
          <w:sz w:val="16"/>
          <w:szCs w:val="16"/>
        </w:rPr>
        <w:t xml:space="preserve">) </w:t>
      </w:r>
      <w:r w:rsidR="005E30AB" w:rsidRPr="00192C65">
        <w:rPr>
          <w:rFonts w:asciiTheme="minorHAnsi" w:hAnsiTheme="minorHAnsi" w:cstheme="minorBidi"/>
          <w:color w:val="000000"/>
          <w:kern w:val="24"/>
          <w:sz w:val="16"/>
          <w:szCs w:val="16"/>
        </w:rPr>
        <w:tab/>
      </w:r>
      <w:r w:rsidR="00E94E28" w:rsidRPr="00192C65">
        <w:rPr>
          <w:rFonts w:asciiTheme="minorHAnsi" w:hAnsiTheme="minorHAnsi" w:cstheme="minorBidi"/>
          <w:color w:val="000000"/>
          <w:kern w:val="24"/>
          <w:sz w:val="16"/>
          <w:szCs w:val="16"/>
        </w:rPr>
        <w:t xml:space="preserve">Generation at Seabrook and Millstone reduced by a total of 2,000 MW, proportionally to their </w:t>
      </w:r>
      <w:r w:rsidR="001B3A6E" w:rsidRPr="00192C65">
        <w:rPr>
          <w:rFonts w:asciiTheme="minorHAnsi" w:hAnsiTheme="minorHAnsi" w:cstheme="minorBidi"/>
          <w:color w:val="000000"/>
          <w:kern w:val="24"/>
          <w:sz w:val="16"/>
          <w:szCs w:val="16"/>
        </w:rPr>
        <w:t>s</w:t>
      </w:r>
      <w:r w:rsidR="00E94E28" w:rsidRPr="00192C65">
        <w:rPr>
          <w:rFonts w:asciiTheme="minorHAnsi" w:hAnsiTheme="minorHAnsi" w:cstheme="minorBidi"/>
          <w:color w:val="000000"/>
          <w:kern w:val="24"/>
          <w:sz w:val="16"/>
          <w:szCs w:val="16"/>
        </w:rPr>
        <w:t xml:space="preserve">easonal </w:t>
      </w:r>
      <w:r w:rsidR="001B3A6E" w:rsidRPr="00192C65">
        <w:rPr>
          <w:rFonts w:asciiTheme="minorHAnsi" w:hAnsiTheme="minorHAnsi" w:cstheme="minorBidi"/>
          <w:color w:val="000000"/>
          <w:kern w:val="24"/>
          <w:sz w:val="16"/>
          <w:szCs w:val="16"/>
        </w:rPr>
        <w:t>c</w:t>
      </w:r>
      <w:r w:rsidR="00E94E28" w:rsidRPr="00192C65">
        <w:rPr>
          <w:rFonts w:asciiTheme="minorHAnsi" w:hAnsiTheme="minorHAnsi" w:cstheme="minorBidi"/>
          <w:color w:val="000000"/>
          <w:kern w:val="24"/>
          <w:sz w:val="16"/>
          <w:szCs w:val="16"/>
        </w:rPr>
        <w:t xml:space="preserve">laimed </w:t>
      </w:r>
      <w:r w:rsidR="001B3A6E" w:rsidRPr="00192C65">
        <w:rPr>
          <w:rFonts w:asciiTheme="minorHAnsi" w:hAnsiTheme="minorHAnsi" w:cstheme="minorBidi"/>
          <w:color w:val="000000"/>
          <w:kern w:val="24"/>
          <w:sz w:val="16"/>
          <w:szCs w:val="16"/>
        </w:rPr>
        <w:t>c</w:t>
      </w:r>
      <w:r w:rsidR="00E94E28" w:rsidRPr="00192C65">
        <w:rPr>
          <w:rFonts w:asciiTheme="minorHAnsi" w:hAnsiTheme="minorHAnsi" w:cstheme="minorBidi"/>
          <w:color w:val="000000"/>
          <w:kern w:val="24"/>
          <w:sz w:val="16"/>
          <w:szCs w:val="16"/>
        </w:rPr>
        <w:t>apa</w:t>
      </w:r>
      <w:r w:rsidR="001B3A6E" w:rsidRPr="00192C65">
        <w:rPr>
          <w:rFonts w:asciiTheme="minorHAnsi" w:hAnsiTheme="minorHAnsi" w:cstheme="minorBidi"/>
          <w:color w:val="000000"/>
          <w:kern w:val="24"/>
          <w:sz w:val="16"/>
          <w:szCs w:val="16"/>
        </w:rPr>
        <w:t>bility</w:t>
      </w:r>
      <w:r w:rsidR="00E94E28" w:rsidRPr="00192C65">
        <w:rPr>
          <w:rFonts w:asciiTheme="minorHAnsi" w:hAnsiTheme="minorHAnsi" w:cstheme="minorBidi"/>
          <w:color w:val="000000"/>
          <w:kern w:val="24"/>
          <w:sz w:val="16"/>
          <w:szCs w:val="16"/>
        </w:rPr>
        <w:t>.</w:t>
      </w:r>
    </w:p>
    <w:p w14:paraId="4097D492" w14:textId="77777777" w:rsidR="00E94E28" w:rsidRPr="00192C65" w:rsidRDefault="005F5673" w:rsidP="005E30AB">
      <w:pPr>
        <w:pStyle w:val="NormalWeb"/>
        <w:keepNext/>
        <w:keepLines/>
        <w:spacing w:before="0" w:beforeAutospacing="0" w:after="80" w:afterAutospacing="0"/>
        <w:ind w:left="-446" w:right="-810" w:hanging="274"/>
        <w:textAlignment w:val="center"/>
        <w:rPr>
          <w:rFonts w:asciiTheme="minorHAnsi" w:hAnsiTheme="minorHAnsi" w:cstheme="minorBidi"/>
          <w:color w:val="000000"/>
          <w:kern w:val="24"/>
          <w:sz w:val="16"/>
          <w:szCs w:val="16"/>
        </w:rPr>
      </w:pPr>
      <w:r w:rsidRPr="00192C65">
        <w:rPr>
          <w:rFonts w:asciiTheme="minorHAnsi" w:hAnsiTheme="minorHAnsi" w:cstheme="minorBidi"/>
          <w:color w:val="000000"/>
          <w:kern w:val="24"/>
          <w:sz w:val="16"/>
          <w:szCs w:val="16"/>
        </w:rPr>
        <w:t>(</w:t>
      </w:r>
      <w:r w:rsidR="00C553FE" w:rsidRPr="00192C65">
        <w:rPr>
          <w:rFonts w:asciiTheme="minorHAnsi" w:hAnsiTheme="minorHAnsi" w:cstheme="minorBidi"/>
          <w:color w:val="000000"/>
          <w:kern w:val="24"/>
          <w:sz w:val="16"/>
          <w:szCs w:val="16"/>
        </w:rPr>
        <w:t>c</w:t>
      </w:r>
      <w:r w:rsidRPr="00192C65">
        <w:rPr>
          <w:rFonts w:asciiTheme="minorHAnsi" w:hAnsiTheme="minorHAnsi" w:cstheme="minorBidi"/>
          <w:color w:val="000000"/>
          <w:kern w:val="24"/>
          <w:sz w:val="16"/>
          <w:szCs w:val="16"/>
        </w:rPr>
        <w:t xml:space="preserve">) </w:t>
      </w:r>
      <w:r w:rsidR="005E30AB" w:rsidRPr="00192C65">
        <w:rPr>
          <w:rFonts w:asciiTheme="minorHAnsi" w:hAnsiTheme="minorHAnsi" w:cstheme="minorBidi"/>
          <w:color w:val="000000"/>
          <w:kern w:val="24"/>
          <w:sz w:val="16"/>
          <w:szCs w:val="16"/>
        </w:rPr>
        <w:tab/>
      </w:r>
      <w:r w:rsidR="00E94E28" w:rsidRPr="00192C65">
        <w:rPr>
          <w:rFonts w:asciiTheme="minorHAnsi" w:hAnsiTheme="minorHAnsi" w:cstheme="minorBidi"/>
          <w:color w:val="000000"/>
          <w:kern w:val="24"/>
          <w:sz w:val="16"/>
          <w:szCs w:val="16"/>
        </w:rPr>
        <w:t xml:space="preserve">No more </w:t>
      </w:r>
      <w:r w:rsidR="0059382D" w:rsidRPr="00192C65">
        <w:rPr>
          <w:rFonts w:asciiTheme="minorHAnsi" w:hAnsiTheme="minorHAnsi" w:cstheme="minorBidi"/>
          <w:color w:val="000000"/>
          <w:kern w:val="24"/>
          <w:sz w:val="16"/>
          <w:szCs w:val="16"/>
        </w:rPr>
        <w:t>oil</w:t>
      </w:r>
      <w:r w:rsidR="00E94E28" w:rsidRPr="00192C65">
        <w:rPr>
          <w:rFonts w:asciiTheme="minorHAnsi" w:hAnsiTheme="minorHAnsi" w:cstheme="minorBidi"/>
          <w:color w:val="000000"/>
          <w:kern w:val="24"/>
          <w:sz w:val="16"/>
          <w:szCs w:val="16"/>
        </w:rPr>
        <w:t xml:space="preserve"> units </w:t>
      </w:r>
      <w:r w:rsidR="001B3A6E" w:rsidRPr="00192C65">
        <w:rPr>
          <w:rFonts w:asciiTheme="minorHAnsi" w:hAnsiTheme="minorHAnsi" w:cstheme="minorBidi"/>
          <w:color w:val="000000"/>
          <w:kern w:val="24"/>
          <w:sz w:val="16"/>
          <w:szCs w:val="16"/>
        </w:rPr>
        <w:t xml:space="preserve">assumed to be </w:t>
      </w:r>
      <w:r w:rsidR="00E94E28" w:rsidRPr="00192C65">
        <w:rPr>
          <w:rFonts w:asciiTheme="minorHAnsi" w:hAnsiTheme="minorHAnsi" w:cstheme="minorBidi"/>
          <w:color w:val="000000"/>
          <w:kern w:val="24"/>
          <w:sz w:val="16"/>
          <w:szCs w:val="16"/>
        </w:rPr>
        <w:t xml:space="preserve">in Connecticut and Maine. All remaining </w:t>
      </w:r>
      <w:r w:rsidR="0059382D" w:rsidRPr="00192C65">
        <w:rPr>
          <w:rFonts w:asciiTheme="minorHAnsi" w:hAnsiTheme="minorHAnsi" w:cstheme="minorBidi"/>
          <w:color w:val="000000"/>
          <w:kern w:val="24"/>
          <w:sz w:val="16"/>
          <w:szCs w:val="16"/>
        </w:rPr>
        <w:t>oil</w:t>
      </w:r>
      <w:r w:rsidR="00E94E28" w:rsidRPr="00192C65">
        <w:rPr>
          <w:rFonts w:asciiTheme="minorHAnsi" w:hAnsiTheme="minorHAnsi" w:cstheme="minorBidi"/>
          <w:color w:val="000000"/>
          <w:kern w:val="24"/>
          <w:sz w:val="16"/>
          <w:szCs w:val="16"/>
        </w:rPr>
        <w:t xml:space="preserve"> units are located in New Hampshire. </w:t>
      </w:r>
    </w:p>
    <w:p w14:paraId="1BC2BFA1" w14:textId="77777777" w:rsidR="00C553FE" w:rsidRPr="00192C65" w:rsidRDefault="00C553FE" w:rsidP="00C553FE">
      <w:pPr>
        <w:pStyle w:val="NormalWeb"/>
        <w:keepNext/>
        <w:keepLines/>
        <w:spacing w:before="0" w:beforeAutospacing="0" w:after="80" w:afterAutospacing="0"/>
        <w:ind w:left="-446" w:right="-720" w:hanging="274"/>
        <w:textAlignment w:val="center"/>
        <w:rPr>
          <w:rFonts w:asciiTheme="minorHAnsi" w:hAnsiTheme="minorHAnsi" w:cstheme="minorBidi"/>
          <w:color w:val="000000"/>
          <w:kern w:val="24"/>
          <w:sz w:val="16"/>
          <w:szCs w:val="16"/>
        </w:rPr>
      </w:pPr>
      <w:r w:rsidRPr="00192C65">
        <w:rPr>
          <w:rFonts w:asciiTheme="minorHAnsi" w:hAnsiTheme="minorHAnsi" w:cstheme="minorBidi"/>
          <w:color w:val="000000"/>
          <w:kern w:val="24"/>
          <w:sz w:val="16"/>
          <w:szCs w:val="16"/>
        </w:rPr>
        <w:t xml:space="preserve">(d) </w:t>
      </w:r>
      <w:r w:rsidRPr="00192C65">
        <w:rPr>
          <w:rFonts w:asciiTheme="minorHAnsi" w:hAnsiTheme="minorHAnsi" w:cstheme="minorBidi"/>
          <w:color w:val="000000"/>
          <w:kern w:val="24"/>
          <w:sz w:val="16"/>
          <w:szCs w:val="16"/>
        </w:rPr>
        <w:tab/>
        <w:t>The transfer limit of the Surowiec South interface is kept at 1,500 MW in the Anbaric study.</w:t>
      </w:r>
    </w:p>
    <w:p w14:paraId="193E4E1F" w14:textId="77777777" w:rsidR="00E94E28" w:rsidRPr="00192C65" w:rsidRDefault="005E30AB" w:rsidP="00461B5D">
      <w:pPr>
        <w:pStyle w:val="NormalWeb"/>
        <w:keepNext/>
        <w:keepLines/>
        <w:spacing w:before="0" w:beforeAutospacing="0" w:after="80" w:afterAutospacing="0"/>
        <w:ind w:left="-446" w:right="-806" w:hanging="274"/>
        <w:textAlignment w:val="center"/>
        <w:rPr>
          <w:rFonts w:asciiTheme="minorHAnsi" w:hAnsiTheme="minorHAnsi"/>
          <w:sz w:val="16"/>
          <w:szCs w:val="16"/>
        </w:rPr>
      </w:pPr>
      <w:r w:rsidRPr="00192C65">
        <w:rPr>
          <w:rFonts w:asciiTheme="minorHAnsi" w:hAnsiTheme="minorHAnsi" w:cstheme="minorBidi"/>
          <w:color w:val="000000"/>
          <w:kern w:val="24"/>
          <w:sz w:val="16"/>
          <w:szCs w:val="16"/>
        </w:rPr>
        <w:t xml:space="preserve">(e) </w:t>
      </w:r>
      <w:r w:rsidR="00192C65" w:rsidRPr="00192C65">
        <w:rPr>
          <w:rFonts w:asciiTheme="minorHAnsi" w:hAnsiTheme="minorHAnsi" w:cstheme="minorBidi"/>
          <w:color w:val="000000"/>
          <w:kern w:val="24"/>
          <w:sz w:val="16"/>
          <w:szCs w:val="16"/>
        </w:rPr>
        <w:tab/>
      </w:r>
      <w:r w:rsidR="00461B5D">
        <w:rPr>
          <w:rFonts w:asciiTheme="minorHAnsi" w:hAnsiTheme="minorHAnsi" w:cstheme="minorBidi"/>
          <w:color w:val="000000"/>
          <w:kern w:val="24"/>
          <w:sz w:val="16"/>
          <w:szCs w:val="16"/>
        </w:rPr>
        <w:t>The total i</w:t>
      </w:r>
      <w:r w:rsidR="0065236C" w:rsidRPr="00192C65">
        <w:rPr>
          <w:rFonts w:asciiTheme="minorHAnsi" w:hAnsiTheme="minorHAnsi" w:cstheme="minorBidi"/>
          <w:color w:val="000000"/>
          <w:kern w:val="24"/>
          <w:sz w:val="16"/>
          <w:szCs w:val="16"/>
        </w:rPr>
        <w:t>ncludes Massachusetts</w:t>
      </w:r>
      <w:r w:rsidR="00461B5D">
        <w:rPr>
          <w:rFonts w:asciiTheme="minorHAnsi" w:hAnsiTheme="minorHAnsi" w:cstheme="minorBidi"/>
          <w:color w:val="000000"/>
          <w:kern w:val="24"/>
          <w:sz w:val="16"/>
          <w:szCs w:val="16"/>
        </w:rPr>
        <w:t>’</w:t>
      </w:r>
      <w:r w:rsidR="0065236C" w:rsidRPr="00192C65">
        <w:rPr>
          <w:rFonts w:asciiTheme="minorHAnsi" w:hAnsiTheme="minorHAnsi" w:cstheme="minorBidi"/>
          <w:color w:val="000000"/>
          <w:kern w:val="24"/>
          <w:sz w:val="16"/>
          <w:szCs w:val="16"/>
        </w:rPr>
        <w:t xml:space="preserve"> request for proposal</w:t>
      </w:r>
      <w:r w:rsidR="00192C65" w:rsidRPr="00192C65">
        <w:rPr>
          <w:rFonts w:asciiTheme="minorHAnsi" w:hAnsiTheme="minorHAnsi" w:cstheme="minorBidi"/>
          <w:color w:val="000000"/>
          <w:kern w:val="24"/>
          <w:sz w:val="16"/>
          <w:szCs w:val="16"/>
        </w:rPr>
        <w:t>s</w:t>
      </w:r>
      <w:r w:rsidR="0065236C" w:rsidRPr="00192C65">
        <w:rPr>
          <w:rFonts w:asciiTheme="minorHAnsi" w:hAnsiTheme="minorHAnsi" w:cstheme="minorBidi"/>
          <w:color w:val="000000"/>
          <w:kern w:val="24"/>
          <w:sz w:val="16"/>
          <w:szCs w:val="16"/>
        </w:rPr>
        <w:t xml:space="preserve"> (RFPs) from Vineyard Wind I (800 MW by 2023) and Mayflower Wind (80</w:t>
      </w:r>
      <w:r w:rsidR="008D06BF" w:rsidRPr="00192C65">
        <w:rPr>
          <w:rFonts w:asciiTheme="minorHAnsi" w:hAnsiTheme="minorHAnsi" w:cstheme="minorBidi"/>
          <w:color w:val="000000"/>
          <w:kern w:val="24"/>
          <w:sz w:val="16"/>
          <w:szCs w:val="16"/>
        </w:rPr>
        <w:t>0</w:t>
      </w:r>
      <w:r w:rsidR="0065236C" w:rsidRPr="00192C65">
        <w:rPr>
          <w:rFonts w:asciiTheme="minorHAnsi" w:hAnsiTheme="minorHAnsi" w:cstheme="minorBidi"/>
          <w:color w:val="000000"/>
          <w:kern w:val="24"/>
          <w:sz w:val="16"/>
          <w:szCs w:val="16"/>
        </w:rPr>
        <w:t xml:space="preserve"> MW by 2025)</w:t>
      </w:r>
      <w:r w:rsidR="00461B5D">
        <w:rPr>
          <w:rFonts w:asciiTheme="minorHAnsi" w:hAnsiTheme="minorHAnsi" w:cstheme="minorBidi"/>
          <w:color w:val="000000"/>
          <w:kern w:val="24"/>
          <w:sz w:val="16"/>
          <w:szCs w:val="16"/>
        </w:rPr>
        <w:t>,</w:t>
      </w:r>
      <w:r w:rsidR="0065236C" w:rsidRPr="00192C65">
        <w:rPr>
          <w:rFonts w:asciiTheme="minorHAnsi" w:hAnsiTheme="minorHAnsi" w:cstheme="minorBidi"/>
          <w:color w:val="000000"/>
          <w:kern w:val="24"/>
          <w:sz w:val="16"/>
          <w:szCs w:val="16"/>
        </w:rPr>
        <w:t xml:space="preserve"> Connecticut RFPs from Revolution Wind (300 MW by 2023)</w:t>
      </w:r>
      <w:r w:rsidR="00461B5D">
        <w:rPr>
          <w:rFonts w:asciiTheme="minorHAnsi" w:hAnsiTheme="minorHAnsi" w:cstheme="minorBidi"/>
          <w:color w:val="000000"/>
          <w:kern w:val="24"/>
          <w:sz w:val="16"/>
          <w:szCs w:val="16"/>
        </w:rPr>
        <w:t>,</w:t>
      </w:r>
      <w:r w:rsidR="0065236C" w:rsidRPr="00192C65">
        <w:rPr>
          <w:rFonts w:asciiTheme="minorHAnsi" w:hAnsiTheme="minorHAnsi" w:cstheme="minorBidi"/>
          <w:color w:val="000000"/>
          <w:kern w:val="24"/>
          <w:sz w:val="16"/>
          <w:szCs w:val="16"/>
        </w:rPr>
        <w:t xml:space="preserve"> and Rhode Island RFPs from Revolution Wind (400 MW by 2023). Park City Wind (804 MW by 2025) from Connecticut was not included because it was procured in December 2019 after the study assumptions were finalized.</w:t>
      </w:r>
    </w:p>
    <w:p w14:paraId="0647AB72" w14:textId="77777777" w:rsidR="003D3CC6" w:rsidRPr="006F5A8B" w:rsidRDefault="005E30AB" w:rsidP="00B34D81">
      <w:pPr>
        <w:pStyle w:val="NormalWeb"/>
        <w:spacing w:before="0" w:beforeAutospacing="0" w:after="240" w:afterAutospacing="0"/>
        <w:ind w:left="-446" w:right="-806" w:hanging="274"/>
        <w:textAlignment w:val="center"/>
        <w:rPr>
          <w:rFonts w:asciiTheme="minorHAnsi" w:hAnsiTheme="minorHAnsi" w:cstheme="minorBidi"/>
          <w:color w:val="000000"/>
          <w:kern w:val="24"/>
          <w:sz w:val="16"/>
          <w:szCs w:val="16"/>
        </w:rPr>
      </w:pPr>
      <w:r w:rsidRPr="00192C65">
        <w:rPr>
          <w:rFonts w:asciiTheme="minorHAnsi" w:hAnsiTheme="minorHAnsi" w:cstheme="minorBidi"/>
          <w:color w:val="000000"/>
          <w:kern w:val="24"/>
          <w:sz w:val="16"/>
          <w:szCs w:val="16"/>
        </w:rPr>
        <w:t xml:space="preserve">(f) </w:t>
      </w:r>
      <w:r w:rsidRPr="00192C65">
        <w:rPr>
          <w:rFonts w:asciiTheme="minorHAnsi" w:hAnsiTheme="minorHAnsi" w:cstheme="minorBidi"/>
          <w:color w:val="000000"/>
          <w:kern w:val="24"/>
          <w:sz w:val="16"/>
          <w:szCs w:val="16"/>
        </w:rPr>
        <w:tab/>
      </w:r>
      <w:r w:rsidR="00E94E28" w:rsidRPr="00192C65">
        <w:rPr>
          <w:rFonts w:asciiTheme="minorHAnsi" w:hAnsiTheme="minorHAnsi" w:cstheme="minorBidi"/>
          <w:color w:val="000000"/>
          <w:kern w:val="24"/>
          <w:sz w:val="16"/>
          <w:szCs w:val="16"/>
        </w:rPr>
        <w:t>See</w:t>
      </w:r>
      <w:r w:rsidR="00662649" w:rsidRPr="00192C65">
        <w:rPr>
          <w:rFonts w:asciiTheme="minorHAnsi" w:hAnsiTheme="minorHAnsi" w:cstheme="minorBidi"/>
          <w:color w:val="000000"/>
          <w:kern w:val="24"/>
          <w:sz w:val="16"/>
          <w:szCs w:val="16"/>
        </w:rPr>
        <w:t xml:space="preserve"> S</w:t>
      </w:r>
      <w:r w:rsidR="00E94E28" w:rsidRPr="00192C65">
        <w:rPr>
          <w:rFonts w:asciiTheme="minorHAnsi" w:hAnsiTheme="minorHAnsi" w:cstheme="minorBidi"/>
          <w:color w:val="000000"/>
          <w:kern w:val="24"/>
          <w:sz w:val="16"/>
          <w:szCs w:val="16"/>
        </w:rPr>
        <w:t>ection</w:t>
      </w:r>
      <w:r w:rsidR="0066055E" w:rsidRPr="00192C65">
        <w:rPr>
          <w:rFonts w:asciiTheme="minorHAnsi" w:hAnsiTheme="minorHAnsi" w:cstheme="minorBidi"/>
          <w:color w:val="000000"/>
          <w:kern w:val="24"/>
          <w:sz w:val="16"/>
          <w:szCs w:val="16"/>
        </w:rPr>
        <w:t xml:space="preserve"> 5.2.4</w:t>
      </w:r>
      <w:r w:rsidR="001B3A6E" w:rsidRPr="00192C65">
        <w:rPr>
          <w:rFonts w:asciiTheme="minorHAnsi" w:hAnsiTheme="minorHAnsi" w:cstheme="minorBidi"/>
          <w:color w:val="000000"/>
          <w:kern w:val="24"/>
          <w:sz w:val="16"/>
          <w:szCs w:val="16"/>
        </w:rPr>
        <w:t>,</w:t>
      </w:r>
      <w:r w:rsidR="0066055E" w:rsidRPr="00192C65">
        <w:rPr>
          <w:rFonts w:asciiTheme="minorHAnsi" w:hAnsiTheme="minorHAnsi" w:cstheme="minorBidi"/>
          <w:color w:val="000000"/>
          <w:kern w:val="24"/>
          <w:sz w:val="16"/>
          <w:szCs w:val="16"/>
        </w:rPr>
        <w:t xml:space="preserve"> </w:t>
      </w:r>
      <w:r w:rsidR="00A00D9B" w:rsidRPr="00192C65">
        <w:rPr>
          <w:rFonts w:asciiTheme="minorHAnsi" w:hAnsiTheme="minorHAnsi" w:cstheme="minorBidi"/>
          <w:color w:val="000000"/>
          <w:kern w:val="24"/>
          <w:sz w:val="16"/>
          <w:szCs w:val="16"/>
        </w:rPr>
        <w:t>for the l</w:t>
      </w:r>
      <w:r w:rsidR="0066055E" w:rsidRPr="00192C65">
        <w:rPr>
          <w:rFonts w:asciiTheme="minorHAnsi" w:hAnsiTheme="minorHAnsi" w:cstheme="minorBidi"/>
          <w:color w:val="000000"/>
          <w:kern w:val="24"/>
          <w:sz w:val="16"/>
          <w:szCs w:val="16"/>
        </w:rPr>
        <w:t xml:space="preserve">oad </w:t>
      </w:r>
      <w:r w:rsidR="00A00D9B" w:rsidRPr="00192C65">
        <w:rPr>
          <w:rFonts w:asciiTheme="minorHAnsi" w:hAnsiTheme="minorHAnsi" w:cstheme="minorBidi"/>
          <w:color w:val="000000"/>
          <w:kern w:val="24"/>
          <w:sz w:val="16"/>
          <w:szCs w:val="16"/>
        </w:rPr>
        <w:t>a</w:t>
      </w:r>
      <w:r w:rsidR="0066055E" w:rsidRPr="00192C65">
        <w:rPr>
          <w:rFonts w:asciiTheme="minorHAnsi" w:hAnsiTheme="minorHAnsi" w:cstheme="minorBidi"/>
          <w:color w:val="000000"/>
          <w:kern w:val="24"/>
          <w:sz w:val="16"/>
          <w:szCs w:val="16"/>
        </w:rPr>
        <w:t xml:space="preserve">ssumptions </w:t>
      </w:r>
      <w:r w:rsidR="00E94E28" w:rsidRPr="00192C65">
        <w:rPr>
          <w:rFonts w:asciiTheme="minorHAnsi" w:hAnsiTheme="minorHAnsi" w:cstheme="minorBidi"/>
          <w:color w:val="000000"/>
          <w:kern w:val="24"/>
          <w:sz w:val="16"/>
          <w:szCs w:val="16"/>
        </w:rPr>
        <w:t>for electric vehicle</w:t>
      </w:r>
      <w:r w:rsidR="001B3A6E" w:rsidRPr="00192C65">
        <w:rPr>
          <w:rFonts w:asciiTheme="minorHAnsi" w:hAnsiTheme="minorHAnsi" w:cstheme="minorBidi"/>
          <w:color w:val="000000"/>
          <w:kern w:val="24"/>
          <w:sz w:val="16"/>
          <w:szCs w:val="16"/>
        </w:rPr>
        <w:t>s</w:t>
      </w:r>
      <w:r w:rsidR="00E94E28" w:rsidRPr="00192C65">
        <w:rPr>
          <w:rFonts w:asciiTheme="minorHAnsi" w:hAnsiTheme="minorHAnsi" w:cstheme="minorBidi"/>
          <w:color w:val="000000"/>
          <w:kern w:val="24"/>
          <w:sz w:val="16"/>
          <w:szCs w:val="16"/>
        </w:rPr>
        <w:t>.</w:t>
      </w:r>
    </w:p>
    <w:p w14:paraId="0688E007" w14:textId="77777777" w:rsidR="00244700" w:rsidRPr="00CF080D" w:rsidRDefault="009B39DE" w:rsidP="00A00D9B">
      <w:r w:rsidRPr="00CF080D">
        <w:t>The primary location</w:t>
      </w:r>
      <w:r w:rsidR="00E84288" w:rsidRPr="00CF080D">
        <w:t>s</w:t>
      </w:r>
      <w:r w:rsidRPr="00CF080D">
        <w:t xml:space="preserve"> of new offshore wind resources</w:t>
      </w:r>
      <w:r w:rsidR="004C0C16" w:rsidRPr="00CF080D">
        <w:t xml:space="preserve"> </w:t>
      </w:r>
      <w:r w:rsidRPr="00CF080D">
        <w:t xml:space="preserve">were in </w:t>
      </w:r>
      <w:r w:rsidR="00F54B74" w:rsidRPr="00CF080D">
        <w:t xml:space="preserve">US </w:t>
      </w:r>
      <w:r w:rsidR="00EB24C9" w:rsidRPr="00CF080D">
        <w:t>Bureau of Ocean Energy Management (BOEM) lease areas</w:t>
      </w:r>
      <w:r w:rsidR="00E84288" w:rsidRPr="00CF080D">
        <w:t>, off the shores of</w:t>
      </w:r>
      <w:r w:rsidR="00EB24C9" w:rsidRPr="00CF080D">
        <w:t xml:space="preserve"> </w:t>
      </w:r>
      <w:r w:rsidRPr="00CF080D">
        <w:t>Massachu</w:t>
      </w:r>
      <w:r w:rsidR="00E84288" w:rsidRPr="00CF080D">
        <w:t xml:space="preserve">setts and Rhode Island, and in </w:t>
      </w:r>
      <w:r w:rsidRPr="00CF080D">
        <w:t>Wind Energy Areas (WEA</w:t>
      </w:r>
      <w:r w:rsidR="008B19BD" w:rsidRPr="00CF080D">
        <w:t>s</w:t>
      </w:r>
      <w:r w:rsidRPr="00CF080D">
        <w:t xml:space="preserve">) on the </w:t>
      </w:r>
      <w:r w:rsidR="008B19BD" w:rsidRPr="00CF080D">
        <w:t>O</w:t>
      </w:r>
      <w:r w:rsidRPr="00CF080D">
        <w:t xml:space="preserve">uter </w:t>
      </w:r>
      <w:r w:rsidRPr="00483372">
        <w:t>Contin</w:t>
      </w:r>
      <w:r w:rsidRPr="00CF080D">
        <w:t>ental Shelf</w:t>
      </w:r>
      <w:r w:rsidR="008B19BD" w:rsidRPr="00CF080D">
        <w:t xml:space="preserve"> (s</w:t>
      </w:r>
      <w:r w:rsidR="00D66C8F" w:rsidRPr="00CF080D">
        <w:t xml:space="preserve">ee </w:t>
      </w:r>
      <w:r w:rsidR="009E7A62">
        <w:fldChar w:fldCharType="begin"/>
      </w:r>
      <w:r w:rsidR="009E7A62">
        <w:instrText xml:space="preserve"> REF _Ref42523723 \h </w:instrText>
      </w:r>
      <w:r w:rsidR="009E7A62">
        <w:fldChar w:fldCharType="separate"/>
      </w:r>
      <w:r w:rsidR="00F725B2" w:rsidRPr="00E712DA">
        <w:t xml:space="preserve">Figure </w:t>
      </w:r>
      <w:r w:rsidR="00F725B2">
        <w:rPr>
          <w:noProof/>
        </w:rPr>
        <w:t>4</w:t>
      </w:r>
      <w:r w:rsidR="00F725B2">
        <w:noBreakHyphen/>
      </w:r>
      <w:r w:rsidR="00F725B2">
        <w:rPr>
          <w:noProof/>
        </w:rPr>
        <w:t>1</w:t>
      </w:r>
      <w:r w:rsidR="009E7A62">
        <w:fldChar w:fldCharType="end"/>
      </w:r>
      <w:r w:rsidR="008B19BD" w:rsidRPr="00CF080D">
        <w:t>)</w:t>
      </w:r>
      <w:r w:rsidR="00BF1EA7" w:rsidRPr="00CF080D">
        <w:t>.</w:t>
      </w:r>
      <w:r w:rsidR="008B19BD" w:rsidRPr="00CF080D">
        <w:rPr>
          <w:rStyle w:val="FootnoteReference"/>
        </w:rPr>
        <w:footnoteReference w:id="16"/>
      </w:r>
      <w:r w:rsidR="008B19BD" w:rsidRPr="00CF080D">
        <w:t xml:space="preserve"> </w:t>
      </w:r>
    </w:p>
    <w:p w14:paraId="4C071514" w14:textId="77777777" w:rsidR="00D6308C" w:rsidRDefault="00D6308C" w:rsidP="00D6308C">
      <w:pPr>
        <w:spacing w:after="0" w:line="240" w:lineRule="auto"/>
        <w:jc w:val="center"/>
      </w:pPr>
      <w:r w:rsidRPr="00D6308C">
        <w:rPr>
          <w:noProof/>
        </w:rPr>
        <w:drawing>
          <wp:inline distT="0" distB="0" distL="0" distR="0" wp14:anchorId="3CC993EE" wp14:editId="1C3CE0E3">
            <wp:extent cx="5378450" cy="4010025"/>
            <wp:effectExtent l="19050" t="19050" r="12700"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8450" cy="4010025"/>
                    </a:xfrm>
                    <a:prstGeom prst="rect">
                      <a:avLst/>
                    </a:prstGeom>
                    <a:noFill/>
                    <a:ln w="3175">
                      <a:solidFill>
                        <a:srgbClr val="000000"/>
                      </a:solidFill>
                    </a:ln>
                  </pic:spPr>
                </pic:pic>
              </a:graphicData>
            </a:graphic>
          </wp:inline>
        </w:drawing>
      </w:r>
    </w:p>
    <w:p w14:paraId="46C0845F" w14:textId="77777777" w:rsidR="001A68A0" w:rsidRPr="001A68A0" w:rsidRDefault="008B19BD" w:rsidP="00D939AB">
      <w:pPr>
        <w:pStyle w:val="Caption"/>
        <w:spacing w:before="120" w:after="240"/>
        <w:ind w:left="450" w:right="450"/>
      </w:pPr>
      <w:bookmarkStart w:id="27" w:name="_Ref42523723"/>
      <w:bookmarkStart w:id="28" w:name="_Ref42523717"/>
      <w:bookmarkStart w:id="29" w:name="_Toc52533805"/>
      <w:r w:rsidRPr="00E712DA">
        <w:t xml:space="preserve">Figure </w:t>
      </w:r>
      <w:r w:rsidR="000D5F76">
        <w:fldChar w:fldCharType="begin"/>
      </w:r>
      <w:r w:rsidR="000D5F76">
        <w:instrText xml:space="preserve"> STYLEREF 1 \s </w:instrText>
      </w:r>
      <w:r w:rsidR="000D5F76">
        <w:fldChar w:fldCharType="separate"/>
      </w:r>
      <w:r w:rsidR="00F725B2">
        <w:rPr>
          <w:noProof/>
        </w:rPr>
        <w:t>4</w:t>
      </w:r>
      <w:r w:rsidR="000D5F76">
        <w:rPr>
          <w:noProof/>
        </w:rPr>
        <w:fldChar w:fldCharType="end"/>
      </w:r>
      <w:r w:rsidR="00702E16">
        <w:noBreakHyphen/>
      </w:r>
      <w:r w:rsidR="000D5F76">
        <w:fldChar w:fldCharType="begin"/>
      </w:r>
      <w:r w:rsidR="000D5F76">
        <w:instrText xml:space="preserve"> SEQ Figure \* ARABIC \s 1 </w:instrText>
      </w:r>
      <w:r w:rsidR="000D5F76">
        <w:fldChar w:fldCharType="separate"/>
      </w:r>
      <w:r w:rsidR="00F725B2">
        <w:rPr>
          <w:noProof/>
        </w:rPr>
        <w:t>1</w:t>
      </w:r>
      <w:r w:rsidR="000D5F76">
        <w:rPr>
          <w:noProof/>
        </w:rPr>
        <w:fldChar w:fldCharType="end"/>
      </w:r>
      <w:bookmarkEnd w:id="27"/>
      <w:r w:rsidRPr="00E712DA">
        <w:t>: US Bureau of Ocean Energy Managemen</w:t>
      </w:r>
      <w:r w:rsidRPr="00D939AB">
        <w:t xml:space="preserve">t </w:t>
      </w:r>
      <w:r w:rsidR="00CF080D">
        <w:t>l</w:t>
      </w:r>
      <w:r w:rsidRPr="00D939AB">
        <w:t xml:space="preserve">ease </w:t>
      </w:r>
      <w:r w:rsidR="00CF080D">
        <w:t>a</w:t>
      </w:r>
      <w:r w:rsidRPr="00D939AB">
        <w:t>r</w:t>
      </w:r>
      <w:r w:rsidRPr="00E712DA">
        <w:t>eas</w:t>
      </w:r>
      <w:r w:rsidR="00CF080D" w:rsidRPr="00E712DA">
        <w:t xml:space="preserve"> showing the l</w:t>
      </w:r>
      <w:bookmarkEnd w:id="28"/>
      <w:r w:rsidR="001A68A0" w:rsidRPr="00CF080D">
        <w:t xml:space="preserve">ocation of offshore wind sites and </w:t>
      </w:r>
      <w:r w:rsidR="001D5AD5" w:rsidRPr="00CF080D">
        <w:t>i</w:t>
      </w:r>
      <w:r w:rsidR="001A68A0" w:rsidRPr="00CF080D">
        <w:t>nterconnection points used for</w:t>
      </w:r>
      <w:r w:rsidR="00CF080D" w:rsidRPr="00E712DA">
        <w:t xml:space="preserve"> the</w:t>
      </w:r>
      <w:r w:rsidR="001A68A0" w:rsidRPr="00CF080D">
        <w:t xml:space="preserve"> preliminary results</w:t>
      </w:r>
      <w:r w:rsidR="001D5AD5" w:rsidRPr="00CF080D">
        <w:t>.</w:t>
      </w:r>
      <w:bookmarkEnd w:id="29"/>
    </w:p>
    <w:p w14:paraId="62A2FDC3" w14:textId="77777777" w:rsidR="00935718" w:rsidRDefault="002D05A2" w:rsidP="00935718">
      <w:r w:rsidRPr="00CF080D">
        <w:t>T</w:t>
      </w:r>
      <w:r>
        <w:t xml:space="preserve">he ISO contemplated onshore interconnection points for offshore wind based on the results of several interconnection </w:t>
      </w:r>
      <w:r w:rsidRPr="009C02EB">
        <w:t xml:space="preserve">studies </w:t>
      </w:r>
      <w:r>
        <w:t xml:space="preserve">conducted </w:t>
      </w:r>
      <w:r w:rsidRPr="009C02EB">
        <w:t>for projects in the ISO Interconnection Request Queue.</w:t>
      </w:r>
      <w:r w:rsidRPr="009C02EB">
        <w:rPr>
          <w:rStyle w:val="FootnoteReference"/>
        </w:rPr>
        <w:footnoteReference w:id="17"/>
      </w:r>
      <w:r w:rsidRPr="009C02EB">
        <w:t xml:space="preserve"> </w:t>
      </w:r>
      <w:r>
        <w:t>Proposed locations are anticipated to use either AC cable connections or HVDC submarine transmission from the wind farm lease areas to coastal 345 kV substations. A detailed discussion regarding offshore wind interconnection points are available as part of the 2019 NESCOE Economic Study</w:t>
      </w:r>
      <w:r w:rsidR="00FF3EB1">
        <w:t xml:space="preserve">. </w:t>
      </w:r>
      <w:r w:rsidR="001927FF" w:rsidRPr="00135F16">
        <w:t xml:space="preserve">For </w:t>
      </w:r>
      <w:r w:rsidR="00BB1435">
        <w:t xml:space="preserve">the </w:t>
      </w:r>
      <w:r w:rsidR="001927FF">
        <w:t xml:space="preserve">production cost </w:t>
      </w:r>
      <w:r w:rsidR="001927FF" w:rsidRPr="00135F16">
        <w:t>scenarios</w:t>
      </w:r>
      <w:r w:rsidR="00BB1435">
        <w:t>,</w:t>
      </w:r>
      <w:r w:rsidR="001927FF" w:rsidRPr="00135F16">
        <w:t xml:space="preserve"> </w:t>
      </w:r>
      <w:r w:rsidR="001927FF" w:rsidRPr="00E712DA">
        <w:t xml:space="preserve">varying </w:t>
      </w:r>
      <w:r w:rsidR="001927FF" w:rsidRPr="00135F16">
        <w:t>amount</w:t>
      </w:r>
      <w:r w:rsidR="00BB1435">
        <w:t>s</w:t>
      </w:r>
      <w:r w:rsidR="001927FF" w:rsidRPr="00135F16">
        <w:t xml:space="preserve"> of offshore wind </w:t>
      </w:r>
      <w:r w:rsidR="0038192C" w:rsidRPr="00135F16">
        <w:t>additions</w:t>
      </w:r>
      <w:r w:rsidR="001927FF" w:rsidRPr="00135F16">
        <w:t xml:space="preserve"> </w:t>
      </w:r>
      <w:r w:rsidR="00BB1435">
        <w:t>were studied</w:t>
      </w:r>
      <w:r w:rsidR="00241793">
        <w:t xml:space="preserve">. </w:t>
      </w:r>
      <w:r w:rsidR="00D13443">
        <w:fldChar w:fldCharType="begin"/>
      </w:r>
      <w:r w:rsidR="00D13443">
        <w:instrText xml:space="preserve"> REF _Ref43225274 \h </w:instrText>
      </w:r>
      <w:r w:rsidR="00D13443">
        <w:fldChar w:fldCharType="separate"/>
      </w:r>
      <w:r w:rsidR="00F725B2" w:rsidRPr="00E712DA">
        <w:t xml:space="preserve">Table </w:t>
      </w:r>
      <w:r w:rsidR="00F725B2">
        <w:rPr>
          <w:noProof/>
        </w:rPr>
        <w:t>4</w:t>
      </w:r>
      <w:r w:rsidR="00F725B2">
        <w:noBreakHyphen/>
      </w:r>
      <w:r w:rsidR="00F725B2">
        <w:rPr>
          <w:noProof/>
        </w:rPr>
        <w:t>2</w:t>
      </w:r>
      <w:r w:rsidR="00D13443">
        <w:fldChar w:fldCharType="end"/>
      </w:r>
      <w:r w:rsidR="00241793">
        <w:t xml:space="preserve"> shows the interconnection points for the offshore wind scenarios</w:t>
      </w:r>
      <w:r w:rsidR="00FF7C50">
        <w:t>.</w:t>
      </w:r>
    </w:p>
    <w:p w14:paraId="21EE0619" w14:textId="77777777" w:rsidR="00B1286A" w:rsidRDefault="00B1286A" w:rsidP="00A73CF6">
      <w:pPr>
        <w:pStyle w:val="Caption"/>
        <w:jc w:val="center"/>
      </w:pPr>
      <w:bookmarkStart w:id="30" w:name="_Ref43225274"/>
      <w:bookmarkStart w:id="31" w:name="_Toc52533819"/>
      <w:r w:rsidRPr="00604D72">
        <w:t xml:space="preserve">Table </w:t>
      </w:r>
      <w:r w:rsidR="00604D72" w:rsidRPr="00604D72">
        <w:fldChar w:fldCharType="begin"/>
      </w:r>
      <w:r w:rsidR="00604D72" w:rsidRPr="00E45FAD">
        <w:instrText xml:space="preserve"> STYLEREF 1 \s </w:instrText>
      </w:r>
      <w:r w:rsidR="00604D72" w:rsidRPr="00604D72">
        <w:fldChar w:fldCharType="separate"/>
      </w:r>
      <w:r w:rsidR="00F725B2" w:rsidRPr="00604D72">
        <w:rPr>
          <w:noProof/>
        </w:rPr>
        <w:t>4</w:t>
      </w:r>
      <w:r w:rsidR="00604D72" w:rsidRPr="00604D72">
        <w:rPr>
          <w:noProof/>
        </w:rPr>
        <w:fldChar w:fldCharType="end"/>
      </w:r>
      <w:r w:rsidR="00D7214A" w:rsidRPr="00604D72">
        <w:noBreakHyphen/>
      </w:r>
      <w:r w:rsidR="00604D72" w:rsidRPr="00604D72">
        <w:fldChar w:fldCharType="begin"/>
      </w:r>
      <w:r w:rsidR="00604D72" w:rsidRPr="00E45FAD">
        <w:instrText xml:space="preserve"> SEQ Table \* ARABIC \s 1 </w:instrText>
      </w:r>
      <w:r w:rsidR="00604D72" w:rsidRPr="00604D72">
        <w:fldChar w:fldCharType="separate"/>
      </w:r>
      <w:r w:rsidR="00F725B2" w:rsidRPr="00604D72">
        <w:rPr>
          <w:noProof/>
        </w:rPr>
        <w:t>2</w:t>
      </w:r>
      <w:r w:rsidR="00604D72" w:rsidRPr="00604D72">
        <w:rPr>
          <w:noProof/>
        </w:rPr>
        <w:fldChar w:fldCharType="end"/>
      </w:r>
      <w:bookmarkEnd w:id="30"/>
      <w:r w:rsidRPr="00604D72">
        <w:br/>
      </w:r>
      <w:r w:rsidRPr="00607050">
        <w:t xml:space="preserve">Interconnection </w:t>
      </w:r>
      <w:r w:rsidR="001934E9" w:rsidRPr="00607050">
        <w:t>Poin</w:t>
      </w:r>
      <w:r w:rsidR="00241793">
        <w:t>t</w:t>
      </w:r>
      <w:r w:rsidR="001934E9" w:rsidRPr="00607050">
        <w:t xml:space="preserve">s for </w:t>
      </w:r>
      <w:r w:rsidRPr="00607050">
        <w:t xml:space="preserve">Offshore Wind </w:t>
      </w:r>
      <w:r w:rsidRPr="00F93F55">
        <w:t>Scenario</w:t>
      </w:r>
      <w:r w:rsidR="00241793">
        <w:t>s</w:t>
      </w:r>
      <w:r w:rsidR="00C808EF" w:rsidRPr="00F93F55">
        <w:t xml:space="preserve"> (MW)</w:t>
      </w:r>
      <w:bookmarkEnd w:id="31"/>
    </w:p>
    <w:tbl>
      <w:tblPr>
        <w:tblW w:w="1039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686"/>
        <w:gridCol w:w="1244"/>
        <w:gridCol w:w="1244"/>
        <w:gridCol w:w="1244"/>
        <w:gridCol w:w="1245"/>
        <w:gridCol w:w="1244"/>
        <w:gridCol w:w="1244"/>
        <w:gridCol w:w="1245"/>
      </w:tblGrid>
      <w:tr w:rsidR="00BB1435" w:rsidRPr="003650D6" w14:paraId="49F6BA0B" w14:textId="77777777" w:rsidTr="006F5A8B">
        <w:trPr>
          <w:trHeight w:val="600"/>
          <w:jc w:val="center"/>
        </w:trPr>
        <w:tc>
          <w:tcPr>
            <w:tcW w:w="1686" w:type="dxa"/>
            <w:vMerge w:val="restart"/>
            <w:shd w:val="clear" w:color="auto" w:fill="1795D2"/>
            <w:tcMar>
              <w:top w:w="15" w:type="dxa"/>
              <w:left w:w="58" w:type="dxa"/>
              <w:bottom w:w="0" w:type="dxa"/>
              <w:right w:w="58" w:type="dxa"/>
            </w:tcMar>
            <w:vAlign w:val="center"/>
            <w:hideMark/>
          </w:tcPr>
          <w:p w14:paraId="436CA1E8" w14:textId="77777777" w:rsidR="00BB1435" w:rsidRPr="006F5A8B" w:rsidRDefault="00BB1435" w:rsidP="00F0617A">
            <w:pPr>
              <w:keepNext/>
              <w:keepLines/>
              <w:adjustRightInd/>
              <w:spacing w:after="0" w:line="240" w:lineRule="auto"/>
              <w:jc w:val="center"/>
              <w:textAlignment w:val="auto"/>
              <w:rPr>
                <w:rFonts w:asciiTheme="minorHAnsi" w:hAnsiTheme="minorHAnsi" w:cs="Arial"/>
                <w:sz w:val="18"/>
                <w:szCs w:val="18"/>
              </w:rPr>
            </w:pPr>
            <w:r w:rsidRPr="006F5A8B">
              <w:rPr>
                <w:rFonts w:asciiTheme="minorHAnsi" w:hAnsiTheme="minorHAnsi" w:cs="Calibri"/>
                <w:b/>
                <w:bCs/>
                <w:color w:val="FFFFFF"/>
                <w:kern w:val="24"/>
                <w:sz w:val="18"/>
                <w:szCs w:val="18"/>
              </w:rPr>
              <w:t xml:space="preserve">Anbaric </w:t>
            </w:r>
          </w:p>
          <w:p w14:paraId="398C1D4B" w14:textId="77777777" w:rsidR="00BB1435" w:rsidRPr="006F5A8B" w:rsidRDefault="00BB1435" w:rsidP="00F0617A">
            <w:pPr>
              <w:keepNext/>
              <w:keepLines/>
              <w:adjustRightInd/>
              <w:spacing w:after="0" w:line="240" w:lineRule="auto"/>
              <w:jc w:val="center"/>
              <w:textAlignment w:val="auto"/>
              <w:rPr>
                <w:rFonts w:asciiTheme="minorHAnsi" w:hAnsiTheme="minorHAnsi" w:cs="Arial"/>
                <w:sz w:val="18"/>
                <w:szCs w:val="18"/>
              </w:rPr>
            </w:pPr>
            <w:r w:rsidRPr="006F5A8B">
              <w:rPr>
                <w:rFonts w:asciiTheme="minorHAnsi" w:hAnsiTheme="minorHAnsi" w:cs="Calibri"/>
                <w:b/>
                <w:bCs/>
                <w:color w:val="FFFFFF"/>
                <w:kern w:val="24"/>
                <w:sz w:val="18"/>
                <w:szCs w:val="18"/>
              </w:rPr>
              <w:t>Scenario</w:t>
            </w:r>
          </w:p>
        </w:tc>
        <w:tc>
          <w:tcPr>
            <w:tcW w:w="8710" w:type="dxa"/>
            <w:gridSpan w:val="7"/>
            <w:shd w:val="clear" w:color="auto" w:fill="1795D2"/>
            <w:tcMar>
              <w:top w:w="15" w:type="dxa"/>
              <w:left w:w="58" w:type="dxa"/>
              <w:bottom w:w="0" w:type="dxa"/>
              <w:right w:w="58" w:type="dxa"/>
            </w:tcMar>
            <w:vAlign w:val="center"/>
            <w:hideMark/>
          </w:tcPr>
          <w:p w14:paraId="4F4CA22F" w14:textId="77777777" w:rsidR="00BB1435" w:rsidRPr="006F5A8B" w:rsidRDefault="00BB1435" w:rsidP="00F0617A">
            <w:pPr>
              <w:keepNext/>
              <w:keepLines/>
              <w:adjustRightInd/>
              <w:spacing w:after="0" w:line="240" w:lineRule="auto"/>
              <w:jc w:val="center"/>
              <w:textAlignment w:val="auto"/>
              <w:rPr>
                <w:rFonts w:asciiTheme="minorHAnsi" w:hAnsiTheme="minorHAnsi" w:cs="Arial"/>
                <w:sz w:val="18"/>
                <w:szCs w:val="18"/>
              </w:rPr>
            </w:pPr>
            <w:r w:rsidRPr="006F5A8B">
              <w:rPr>
                <w:rFonts w:asciiTheme="minorHAnsi" w:hAnsiTheme="minorHAnsi" w:cs="Calibri"/>
                <w:b/>
                <w:bCs/>
                <w:color w:val="FFFFFF"/>
                <w:kern w:val="24"/>
                <w:sz w:val="18"/>
                <w:szCs w:val="18"/>
              </w:rPr>
              <w:t>Interconnection Points (MW)</w:t>
            </w:r>
            <w:r w:rsidR="00760C87" w:rsidRPr="006F5A8B">
              <w:rPr>
                <w:rFonts w:asciiTheme="minorHAnsi" w:hAnsiTheme="minorHAnsi" w:cs="Calibri"/>
                <w:b/>
                <w:bCs/>
                <w:color w:val="FFFFFF"/>
                <w:kern w:val="24"/>
                <w:sz w:val="18"/>
                <w:szCs w:val="18"/>
                <w:vertAlign w:val="superscript"/>
              </w:rPr>
              <w:t>(a)</w:t>
            </w:r>
          </w:p>
        </w:tc>
      </w:tr>
      <w:tr w:rsidR="00EC7731" w:rsidRPr="00EC7731" w14:paraId="70F7761D" w14:textId="77777777" w:rsidTr="00561154">
        <w:trPr>
          <w:trHeight w:val="600"/>
          <w:jc w:val="center"/>
        </w:trPr>
        <w:tc>
          <w:tcPr>
            <w:tcW w:w="1686" w:type="dxa"/>
            <w:vMerge/>
            <w:tcMar>
              <w:left w:w="58" w:type="dxa"/>
              <w:right w:w="58" w:type="dxa"/>
            </w:tcMar>
            <w:vAlign w:val="center"/>
            <w:hideMark/>
          </w:tcPr>
          <w:p w14:paraId="194C1117" w14:textId="77777777" w:rsidR="00BB1435" w:rsidRPr="00561154" w:rsidRDefault="00BB1435" w:rsidP="00F0617A">
            <w:pPr>
              <w:keepNext/>
              <w:keepLines/>
              <w:adjustRightInd/>
              <w:spacing w:after="0" w:line="240" w:lineRule="auto"/>
              <w:textAlignment w:val="auto"/>
              <w:rPr>
                <w:rFonts w:asciiTheme="minorHAnsi" w:hAnsiTheme="minorHAnsi" w:cs="Arial"/>
                <w:sz w:val="18"/>
                <w:szCs w:val="18"/>
              </w:rPr>
            </w:pPr>
          </w:p>
        </w:tc>
        <w:tc>
          <w:tcPr>
            <w:tcW w:w="1244" w:type="dxa"/>
            <w:shd w:val="clear" w:color="auto" w:fill="1795D2"/>
            <w:tcMar>
              <w:top w:w="14" w:type="dxa"/>
              <w:left w:w="58" w:type="dxa"/>
              <w:bottom w:w="0" w:type="dxa"/>
              <w:right w:w="58" w:type="dxa"/>
            </w:tcMar>
            <w:vAlign w:val="center"/>
            <w:hideMark/>
          </w:tcPr>
          <w:p w14:paraId="163851B6" w14:textId="77777777" w:rsidR="00BB1435" w:rsidRPr="00561154" w:rsidRDefault="00BB1435" w:rsidP="00F0617A">
            <w:pPr>
              <w:keepNext/>
              <w:keepLines/>
              <w:adjustRightInd/>
              <w:spacing w:after="0" w:line="240" w:lineRule="auto"/>
              <w:jc w:val="center"/>
              <w:textAlignment w:val="bottom"/>
              <w:rPr>
                <w:rFonts w:asciiTheme="minorHAnsi" w:hAnsiTheme="minorHAnsi" w:cs="Arial"/>
                <w:sz w:val="18"/>
                <w:szCs w:val="18"/>
              </w:rPr>
            </w:pPr>
            <w:r w:rsidRPr="00561154">
              <w:rPr>
                <w:rFonts w:asciiTheme="minorHAnsi" w:hAnsiTheme="minorHAnsi" w:cs="Calibri"/>
                <w:b/>
                <w:bCs/>
                <w:color w:val="FFFFFF"/>
                <w:kern w:val="24"/>
                <w:sz w:val="18"/>
                <w:szCs w:val="18"/>
              </w:rPr>
              <w:t>Montville</w:t>
            </w:r>
          </w:p>
          <w:p w14:paraId="09A368FF" w14:textId="77777777" w:rsidR="00BB1435" w:rsidRPr="00561154" w:rsidRDefault="00BB1435" w:rsidP="00F0617A">
            <w:pPr>
              <w:keepNext/>
              <w:keepLines/>
              <w:adjustRightInd/>
              <w:spacing w:after="0" w:line="240" w:lineRule="auto"/>
              <w:jc w:val="center"/>
              <w:textAlignment w:val="bottom"/>
              <w:rPr>
                <w:rFonts w:asciiTheme="minorHAnsi" w:hAnsiTheme="minorHAnsi" w:cs="Arial"/>
                <w:sz w:val="18"/>
                <w:szCs w:val="18"/>
              </w:rPr>
            </w:pPr>
            <w:r w:rsidRPr="00561154">
              <w:rPr>
                <w:rFonts w:asciiTheme="minorHAnsi" w:hAnsiTheme="minorHAnsi" w:cs="Calibri"/>
                <w:b/>
                <w:bCs/>
                <w:color w:val="FFFFFF"/>
                <w:kern w:val="24"/>
                <w:sz w:val="18"/>
                <w:szCs w:val="18"/>
              </w:rPr>
              <w:t xml:space="preserve"> (CT)</w:t>
            </w:r>
          </w:p>
        </w:tc>
        <w:tc>
          <w:tcPr>
            <w:tcW w:w="1244" w:type="dxa"/>
            <w:shd w:val="clear" w:color="auto" w:fill="1795D2"/>
            <w:tcMar>
              <w:top w:w="14" w:type="dxa"/>
              <w:left w:w="58" w:type="dxa"/>
              <w:bottom w:w="0" w:type="dxa"/>
              <w:right w:w="58" w:type="dxa"/>
            </w:tcMar>
            <w:vAlign w:val="center"/>
            <w:hideMark/>
          </w:tcPr>
          <w:p w14:paraId="5CFFA2C0" w14:textId="77777777" w:rsidR="00BB1435" w:rsidRPr="00561154" w:rsidRDefault="00BB1435" w:rsidP="00F0617A">
            <w:pPr>
              <w:keepNext/>
              <w:keepLines/>
              <w:adjustRightInd/>
              <w:spacing w:after="0" w:line="240" w:lineRule="auto"/>
              <w:jc w:val="center"/>
              <w:textAlignment w:val="bottom"/>
              <w:rPr>
                <w:rFonts w:asciiTheme="minorHAnsi" w:hAnsiTheme="minorHAnsi" w:cs="Arial"/>
                <w:sz w:val="18"/>
                <w:szCs w:val="18"/>
              </w:rPr>
            </w:pPr>
            <w:r w:rsidRPr="00561154">
              <w:rPr>
                <w:rFonts w:asciiTheme="minorHAnsi" w:hAnsiTheme="minorHAnsi" w:cs="Calibri"/>
                <w:b/>
                <w:bCs/>
                <w:color w:val="FFFFFF"/>
                <w:kern w:val="24"/>
                <w:sz w:val="18"/>
                <w:szCs w:val="18"/>
              </w:rPr>
              <w:t xml:space="preserve">Millstone </w:t>
            </w:r>
          </w:p>
          <w:p w14:paraId="56138EB8" w14:textId="77777777" w:rsidR="00BB1435" w:rsidRPr="00561154" w:rsidRDefault="00BB1435" w:rsidP="00F0617A">
            <w:pPr>
              <w:keepNext/>
              <w:keepLines/>
              <w:adjustRightInd/>
              <w:spacing w:after="0" w:line="240" w:lineRule="auto"/>
              <w:jc w:val="center"/>
              <w:textAlignment w:val="bottom"/>
              <w:rPr>
                <w:rFonts w:asciiTheme="minorHAnsi" w:hAnsiTheme="minorHAnsi" w:cs="Arial"/>
                <w:sz w:val="18"/>
                <w:szCs w:val="18"/>
              </w:rPr>
            </w:pPr>
            <w:r w:rsidRPr="00561154">
              <w:rPr>
                <w:rFonts w:asciiTheme="minorHAnsi" w:hAnsiTheme="minorHAnsi" w:cs="Calibri"/>
                <w:b/>
                <w:bCs/>
                <w:color w:val="FFFFFF"/>
                <w:kern w:val="24"/>
                <w:sz w:val="18"/>
                <w:szCs w:val="18"/>
              </w:rPr>
              <w:t>(CT)</w:t>
            </w:r>
          </w:p>
        </w:tc>
        <w:tc>
          <w:tcPr>
            <w:tcW w:w="1244" w:type="dxa"/>
            <w:shd w:val="clear" w:color="auto" w:fill="1795D2"/>
            <w:tcMar>
              <w:top w:w="14" w:type="dxa"/>
              <w:left w:w="58" w:type="dxa"/>
              <w:bottom w:w="0" w:type="dxa"/>
              <w:right w:w="58" w:type="dxa"/>
            </w:tcMar>
            <w:vAlign w:val="center"/>
            <w:hideMark/>
          </w:tcPr>
          <w:p w14:paraId="4757030F" w14:textId="77777777" w:rsidR="00BB1435" w:rsidRPr="00561154" w:rsidRDefault="00BB1435" w:rsidP="00F0617A">
            <w:pPr>
              <w:keepNext/>
              <w:keepLines/>
              <w:adjustRightInd/>
              <w:spacing w:after="0" w:line="240" w:lineRule="auto"/>
              <w:jc w:val="center"/>
              <w:textAlignment w:val="bottom"/>
              <w:rPr>
                <w:rFonts w:asciiTheme="minorHAnsi" w:hAnsiTheme="minorHAnsi" w:cs="Arial"/>
                <w:sz w:val="18"/>
                <w:szCs w:val="18"/>
              </w:rPr>
            </w:pPr>
            <w:r w:rsidRPr="00561154">
              <w:rPr>
                <w:rFonts w:asciiTheme="minorHAnsi" w:hAnsiTheme="minorHAnsi" w:cs="Calibri"/>
                <w:b/>
                <w:bCs/>
                <w:color w:val="FFFFFF"/>
                <w:kern w:val="24"/>
                <w:sz w:val="18"/>
                <w:szCs w:val="18"/>
              </w:rPr>
              <w:t xml:space="preserve">Kent County </w:t>
            </w:r>
          </w:p>
          <w:p w14:paraId="701D2499" w14:textId="77777777" w:rsidR="00BB1435" w:rsidRPr="00561154" w:rsidRDefault="00BB1435" w:rsidP="00F0617A">
            <w:pPr>
              <w:keepNext/>
              <w:keepLines/>
              <w:adjustRightInd/>
              <w:spacing w:after="0" w:line="240" w:lineRule="auto"/>
              <w:jc w:val="center"/>
              <w:textAlignment w:val="bottom"/>
              <w:rPr>
                <w:rFonts w:asciiTheme="minorHAnsi" w:hAnsiTheme="minorHAnsi" w:cs="Arial"/>
                <w:sz w:val="18"/>
                <w:szCs w:val="18"/>
              </w:rPr>
            </w:pPr>
            <w:r w:rsidRPr="00561154">
              <w:rPr>
                <w:rFonts w:asciiTheme="minorHAnsi" w:hAnsiTheme="minorHAnsi" w:cs="Calibri"/>
                <w:b/>
                <w:bCs/>
                <w:color w:val="FFFFFF"/>
                <w:kern w:val="24"/>
                <w:sz w:val="18"/>
                <w:szCs w:val="18"/>
              </w:rPr>
              <w:t>(RI)</w:t>
            </w:r>
          </w:p>
        </w:tc>
        <w:tc>
          <w:tcPr>
            <w:tcW w:w="1245" w:type="dxa"/>
            <w:shd w:val="clear" w:color="auto" w:fill="1795D2"/>
            <w:tcMar>
              <w:top w:w="14" w:type="dxa"/>
              <w:left w:w="58" w:type="dxa"/>
              <w:bottom w:w="0" w:type="dxa"/>
              <w:right w:w="58" w:type="dxa"/>
            </w:tcMar>
            <w:vAlign w:val="center"/>
            <w:hideMark/>
          </w:tcPr>
          <w:p w14:paraId="2911ECBB" w14:textId="77777777" w:rsidR="00BB1435" w:rsidRPr="00561154" w:rsidRDefault="00BB1435" w:rsidP="00F0617A">
            <w:pPr>
              <w:keepNext/>
              <w:keepLines/>
              <w:adjustRightInd/>
              <w:spacing w:after="0" w:line="240" w:lineRule="auto"/>
              <w:jc w:val="center"/>
              <w:textAlignment w:val="bottom"/>
              <w:rPr>
                <w:rFonts w:asciiTheme="minorHAnsi" w:hAnsiTheme="minorHAnsi" w:cs="Arial"/>
                <w:sz w:val="18"/>
                <w:szCs w:val="18"/>
              </w:rPr>
            </w:pPr>
            <w:r w:rsidRPr="00561154">
              <w:rPr>
                <w:rFonts w:asciiTheme="minorHAnsi" w:hAnsiTheme="minorHAnsi" w:cs="Calibri"/>
                <w:b/>
                <w:bCs/>
                <w:color w:val="FFFFFF"/>
                <w:kern w:val="24"/>
                <w:sz w:val="18"/>
                <w:szCs w:val="18"/>
              </w:rPr>
              <w:t>Brayton Point (SEMA)</w:t>
            </w:r>
          </w:p>
        </w:tc>
        <w:tc>
          <w:tcPr>
            <w:tcW w:w="1244" w:type="dxa"/>
            <w:shd w:val="clear" w:color="auto" w:fill="1795D2"/>
            <w:tcMar>
              <w:top w:w="14" w:type="dxa"/>
              <w:left w:w="58" w:type="dxa"/>
              <w:bottom w:w="0" w:type="dxa"/>
              <w:right w:w="58" w:type="dxa"/>
            </w:tcMar>
            <w:vAlign w:val="center"/>
            <w:hideMark/>
          </w:tcPr>
          <w:p w14:paraId="2FB3922F" w14:textId="77777777" w:rsidR="00BB1435" w:rsidRPr="00561154" w:rsidRDefault="00BB1435" w:rsidP="00F0617A">
            <w:pPr>
              <w:keepNext/>
              <w:keepLines/>
              <w:adjustRightInd/>
              <w:spacing w:after="0" w:line="240" w:lineRule="auto"/>
              <w:jc w:val="center"/>
              <w:textAlignment w:val="bottom"/>
              <w:rPr>
                <w:rFonts w:asciiTheme="minorHAnsi" w:hAnsiTheme="minorHAnsi" w:cs="Arial"/>
                <w:sz w:val="18"/>
                <w:szCs w:val="18"/>
              </w:rPr>
            </w:pPr>
            <w:r w:rsidRPr="00561154">
              <w:rPr>
                <w:rFonts w:asciiTheme="minorHAnsi" w:hAnsiTheme="minorHAnsi" w:cs="Calibri"/>
                <w:b/>
                <w:bCs/>
                <w:color w:val="FFFFFF"/>
                <w:kern w:val="24"/>
                <w:sz w:val="18"/>
                <w:szCs w:val="18"/>
              </w:rPr>
              <w:t>Barnstable (SEMA)</w:t>
            </w:r>
          </w:p>
        </w:tc>
        <w:tc>
          <w:tcPr>
            <w:tcW w:w="1244" w:type="dxa"/>
            <w:shd w:val="clear" w:color="auto" w:fill="1795D2"/>
            <w:tcMar>
              <w:top w:w="14" w:type="dxa"/>
              <w:left w:w="58" w:type="dxa"/>
              <w:bottom w:w="0" w:type="dxa"/>
              <w:right w:w="58" w:type="dxa"/>
            </w:tcMar>
            <w:vAlign w:val="center"/>
            <w:hideMark/>
          </w:tcPr>
          <w:p w14:paraId="16FBDD28" w14:textId="77777777" w:rsidR="00BB1435" w:rsidRPr="00561154" w:rsidRDefault="00BB1435" w:rsidP="00F0617A">
            <w:pPr>
              <w:keepNext/>
              <w:keepLines/>
              <w:adjustRightInd/>
              <w:spacing w:after="0" w:line="240" w:lineRule="auto"/>
              <w:jc w:val="center"/>
              <w:textAlignment w:val="bottom"/>
              <w:rPr>
                <w:rFonts w:asciiTheme="minorHAnsi" w:hAnsiTheme="minorHAnsi" w:cs="Arial"/>
                <w:sz w:val="18"/>
                <w:szCs w:val="18"/>
              </w:rPr>
            </w:pPr>
            <w:r w:rsidRPr="00561154">
              <w:rPr>
                <w:rFonts w:asciiTheme="minorHAnsi" w:hAnsiTheme="minorHAnsi" w:cs="Calibri"/>
                <w:b/>
                <w:bCs/>
                <w:color w:val="FFFFFF"/>
                <w:kern w:val="24"/>
                <w:sz w:val="18"/>
                <w:szCs w:val="18"/>
              </w:rPr>
              <w:t>Mystic</w:t>
            </w:r>
          </w:p>
          <w:p w14:paraId="57601754" w14:textId="77777777" w:rsidR="00BB1435" w:rsidRPr="00561154" w:rsidRDefault="00BB1435" w:rsidP="00F0617A">
            <w:pPr>
              <w:keepNext/>
              <w:keepLines/>
              <w:adjustRightInd/>
              <w:spacing w:after="0" w:line="240" w:lineRule="auto"/>
              <w:jc w:val="center"/>
              <w:textAlignment w:val="bottom"/>
              <w:rPr>
                <w:rFonts w:asciiTheme="minorHAnsi" w:hAnsiTheme="minorHAnsi" w:cs="Arial"/>
                <w:sz w:val="18"/>
                <w:szCs w:val="18"/>
              </w:rPr>
            </w:pPr>
            <w:r w:rsidRPr="00561154">
              <w:rPr>
                <w:rFonts w:asciiTheme="minorHAnsi" w:hAnsiTheme="minorHAnsi" w:cs="Calibri"/>
                <w:b/>
                <w:bCs/>
                <w:color w:val="FFFFFF"/>
                <w:kern w:val="24"/>
                <w:sz w:val="18"/>
                <w:szCs w:val="18"/>
              </w:rPr>
              <w:t>(Boston)</w:t>
            </w:r>
          </w:p>
        </w:tc>
        <w:tc>
          <w:tcPr>
            <w:tcW w:w="1245" w:type="dxa"/>
            <w:shd w:val="clear" w:color="auto" w:fill="1795D2"/>
            <w:tcMar>
              <w:top w:w="14" w:type="dxa"/>
              <w:left w:w="58" w:type="dxa"/>
              <w:bottom w:w="0" w:type="dxa"/>
              <w:right w:w="58" w:type="dxa"/>
            </w:tcMar>
            <w:vAlign w:val="center"/>
            <w:hideMark/>
          </w:tcPr>
          <w:p w14:paraId="1C6BDC84" w14:textId="77777777" w:rsidR="00BB1435" w:rsidRPr="00561154" w:rsidRDefault="00BB1435" w:rsidP="00F0617A">
            <w:pPr>
              <w:keepNext/>
              <w:keepLines/>
              <w:adjustRightInd/>
              <w:spacing w:after="0" w:line="240" w:lineRule="auto"/>
              <w:jc w:val="center"/>
              <w:textAlignment w:val="bottom"/>
              <w:rPr>
                <w:rFonts w:asciiTheme="minorHAnsi" w:hAnsiTheme="minorHAnsi" w:cs="Arial"/>
                <w:sz w:val="18"/>
                <w:szCs w:val="18"/>
              </w:rPr>
            </w:pPr>
            <w:r w:rsidRPr="00561154">
              <w:rPr>
                <w:rFonts w:asciiTheme="minorHAnsi" w:hAnsiTheme="minorHAnsi" w:cs="Calibri"/>
                <w:b/>
                <w:bCs/>
                <w:color w:val="FFFFFF"/>
                <w:kern w:val="24"/>
                <w:sz w:val="18"/>
                <w:szCs w:val="18"/>
              </w:rPr>
              <w:t>Total</w:t>
            </w:r>
          </w:p>
        </w:tc>
      </w:tr>
      <w:tr w:rsidR="00EC7731" w:rsidRPr="003650D6" w14:paraId="59C3923A" w14:textId="77777777" w:rsidTr="00561154">
        <w:trPr>
          <w:trHeight w:val="450"/>
          <w:jc w:val="center"/>
        </w:trPr>
        <w:tc>
          <w:tcPr>
            <w:tcW w:w="1686" w:type="dxa"/>
            <w:shd w:val="clear" w:color="auto" w:fill="auto"/>
            <w:tcMar>
              <w:top w:w="15" w:type="dxa"/>
              <w:left w:w="58" w:type="dxa"/>
              <w:bottom w:w="0" w:type="dxa"/>
              <w:right w:w="58" w:type="dxa"/>
            </w:tcMar>
            <w:vAlign w:val="center"/>
            <w:hideMark/>
          </w:tcPr>
          <w:p w14:paraId="607B1F49" w14:textId="77777777" w:rsidR="00BB1435" w:rsidRPr="00561154" w:rsidRDefault="00BB1435" w:rsidP="00F0617A">
            <w:pPr>
              <w:keepNext/>
              <w:keepLines/>
              <w:adjustRightInd/>
              <w:spacing w:after="0" w:line="240" w:lineRule="auto"/>
              <w:textAlignment w:val="bottom"/>
              <w:rPr>
                <w:rFonts w:asciiTheme="minorHAnsi" w:hAnsiTheme="minorHAnsi" w:cs="Arial"/>
                <w:sz w:val="18"/>
                <w:szCs w:val="18"/>
              </w:rPr>
            </w:pPr>
            <w:r w:rsidRPr="00561154">
              <w:rPr>
                <w:rFonts w:asciiTheme="minorHAnsi" w:hAnsiTheme="minorHAnsi" w:cs="Calibri"/>
                <w:b/>
                <w:bCs/>
                <w:kern w:val="24"/>
                <w:sz w:val="18"/>
                <w:szCs w:val="18"/>
              </w:rPr>
              <w:t>Anbaric_8000</w:t>
            </w:r>
          </w:p>
        </w:tc>
        <w:tc>
          <w:tcPr>
            <w:tcW w:w="1244" w:type="dxa"/>
            <w:shd w:val="clear" w:color="auto" w:fill="auto"/>
            <w:tcMar>
              <w:top w:w="14" w:type="dxa"/>
              <w:left w:w="58" w:type="dxa"/>
              <w:bottom w:w="0" w:type="dxa"/>
              <w:right w:w="58" w:type="dxa"/>
            </w:tcMar>
            <w:vAlign w:val="center"/>
            <w:hideMark/>
          </w:tcPr>
          <w:p w14:paraId="6E6C0AF5" w14:textId="77777777" w:rsidR="00BB1435" w:rsidRPr="00561154" w:rsidRDefault="00BB1435" w:rsidP="00F0617A">
            <w:pPr>
              <w:keepNext/>
              <w:keepLines/>
              <w:adjustRightInd/>
              <w:spacing w:after="0" w:line="240" w:lineRule="auto"/>
              <w:jc w:val="center"/>
              <w:textAlignment w:val="bottom"/>
              <w:rPr>
                <w:rFonts w:asciiTheme="minorHAnsi" w:hAnsiTheme="minorHAnsi" w:cs="Arial"/>
                <w:sz w:val="18"/>
                <w:szCs w:val="18"/>
              </w:rPr>
            </w:pPr>
            <w:r w:rsidRPr="00561154">
              <w:rPr>
                <w:rFonts w:asciiTheme="minorHAnsi" w:hAnsiTheme="minorHAnsi" w:cs="Calibri"/>
                <w:color w:val="313C3F"/>
                <w:kern w:val="24"/>
                <w:sz w:val="18"/>
                <w:szCs w:val="18"/>
              </w:rPr>
              <w:t>800</w:t>
            </w:r>
          </w:p>
        </w:tc>
        <w:tc>
          <w:tcPr>
            <w:tcW w:w="1244" w:type="dxa"/>
            <w:shd w:val="clear" w:color="auto" w:fill="auto"/>
            <w:tcMar>
              <w:top w:w="14" w:type="dxa"/>
              <w:left w:w="58" w:type="dxa"/>
              <w:bottom w:w="0" w:type="dxa"/>
              <w:right w:w="58" w:type="dxa"/>
            </w:tcMar>
            <w:vAlign w:val="center"/>
            <w:hideMark/>
          </w:tcPr>
          <w:p w14:paraId="41ED583B" w14:textId="77777777" w:rsidR="00BB1435" w:rsidRPr="00561154" w:rsidRDefault="00BB1435" w:rsidP="00F0617A">
            <w:pPr>
              <w:keepNext/>
              <w:keepLines/>
              <w:adjustRightInd/>
              <w:spacing w:after="0" w:line="240" w:lineRule="auto"/>
              <w:jc w:val="center"/>
              <w:textAlignment w:val="bottom"/>
              <w:rPr>
                <w:rFonts w:asciiTheme="minorHAnsi" w:hAnsiTheme="minorHAnsi" w:cs="Arial"/>
                <w:sz w:val="18"/>
                <w:szCs w:val="18"/>
              </w:rPr>
            </w:pPr>
            <w:r w:rsidRPr="00561154">
              <w:rPr>
                <w:rFonts w:asciiTheme="minorHAnsi" w:hAnsiTheme="minorHAnsi" w:cs="Calibri"/>
                <w:color w:val="313C3F"/>
                <w:kern w:val="24"/>
                <w:sz w:val="18"/>
                <w:szCs w:val="18"/>
              </w:rPr>
              <w:t>_</w:t>
            </w:r>
          </w:p>
        </w:tc>
        <w:tc>
          <w:tcPr>
            <w:tcW w:w="1244" w:type="dxa"/>
            <w:shd w:val="clear" w:color="auto" w:fill="auto"/>
            <w:tcMar>
              <w:top w:w="14" w:type="dxa"/>
              <w:left w:w="58" w:type="dxa"/>
              <w:bottom w:w="0" w:type="dxa"/>
              <w:right w:w="58" w:type="dxa"/>
            </w:tcMar>
            <w:vAlign w:val="center"/>
            <w:hideMark/>
          </w:tcPr>
          <w:p w14:paraId="495EB9C2" w14:textId="77777777" w:rsidR="00BB1435" w:rsidRPr="00561154" w:rsidRDefault="00BB1435" w:rsidP="00F0617A">
            <w:pPr>
              <w:keepNext/>
              <w:keepLines/>
              <w:adjustRightInd/>
              <w:spacing w:after="0" w:line="240" w:lineRule="auto"/>
              <w:jc w:val="center"/>
              <w:textAlignment w:val="bottom"/>
              <w:rPr>
                <w:rFonts w:asciiTheme="minorHAnsi" w:hAnsiTheme="minorHAnsi" w:cs="Arial"/>
                <w:sz w:val="18"/>
                <w:szCs w:val="18"/>
              </w:rPr>
            </w:pPr>
            <w:r w:rsidRPr="00561154">
              <w:rPr>
                <w:rFonts w:asciiTheme="minorHAnsi" w:hAnsiTheme="minorHAnsi" w:cs="Calibri"/>
                <w:color w:val="313C3F"/>
                <w:kern w:val="24"/>
                <w:sz w:val="18"/>
                <w:szCs w:val="18"/>
              </w:rPr>
              <w:t>1,000</w:t>
            </w:r>
          </w:p>
        </w:tc>
        <w:tc>
          <w:tcPr>
            <w:tcW w:w="1245" w:type="dxa"/>
            <w:shd w:val="clear" w:color="auto" w:fill="auto"/>
            <w:tcMar>
              <w:top w:w="14" w:type="dxa"/>
              <w:left w:w="58" w:type="dxa"/>
              <w:bottom w:w="0" w:type="dxa"/>
              <w:right w:w="58" w:type="dxa"/>
            </w:tcMar>
            <w:vAlign w:val="center"/>
            <w:hideMark/>
          </w:tcPr>
          <w:p w14:paraId="520917A6" w14:textId="77777777" w:rsidR="00BB1435" w:rsidRPr="00561154" w:rsidRDefault="00BB1435" w:rsidP="00F0617A">
            <w:pPr>
              <w:keepNext/>
              <w:keepLines/>
              <w:adjustRightInd/>
              <w:spacing w:after="0" w:line="240" w:lineRule="auto"/>
              <w:jc w:val="center"/>
              <w:textAlignment w:val="bottom"/>
              <w:rPr>
                <w:rFonts w:asciiTheme="minorHAnsi" w:hAnsiTheme="minorHAnsi" w:cs="Arial"/>
                <w:sz w:val="18"/>
                <w:szCs w:val="18"/>
              </w:rPr>
            </w:pPr>
            <w:r w:rsidRPr="00561154">
              <w:rPr>
                <w:rFonts w:asciiTheme="minorHAnsi" w:hAnsiTheme="minorHAnsi" w:cs="Calibri"/>
                <w:color w:val="313C3F"/>
                <w:kern w:val="24"/>
                <w:sz w:val="18"/>
                <w:szCs w:val="18"/>
              </w:rPr>
              <w:t>1,600</w:t>
            </w:r>
          </w:p>
        </w:tc>
        <w:tc>
          <w:tcPr>
            <w:tcW w:w="1244" w:type="dxa"/>
            <w:shd w:val="clear" w:color="auto" w:fill="auto"/>
            <w:tcMar>
              <w:top w:w="14" w:type="dxa"/>
              <w:left w:w="58" w:type="dxa"/>
              <w:bottom w:w="0" w:type="dxa"/>
              <w:right w:w="58" w:type="dxa"/>
            </w:tcMar>
            <w:vAlign w:val="center"/>
            <w:hideMark/>
          </w:tcPr>
          <w:p w14:paraId="41DD22C8" w14:textId="77777777" w:rsidR="00BB1435" w:rsidRPr="00561154" w:rsidRDefault="00BB1435" w:rsidP="00F0617A">
            <w:pPr>
              <w:keepNext/>
              <w:keepLines/>
              <w:adjustRightInd/>
              <w:spacing w:after="0" w:line="240" w:lineRule="auto"/>
              <w:jc w:val="center"/>
              <w:textAlignment w:val="bottom"/>
              <w:rPr>
                <w:rFonts w:asciiTheme="minorHAnsi" w:hAnsiTheme="minorHAnsi" w:cs="Arial"/>
                <w:sz w:val="18"/>
                <w:szCs w:val="18"/>
              </w:rPr>
            </w:pPr>
            <w:r w:rsidRPr="00561154">
              <w:rPr>
                <w:rFonts w:asciiTheme="minorHAnsi" w:hAnsiTheme="minorHAnsi" w:cs="Calibri"/>
                <w:color w:val="313C3F"/>
                <w:kern w:val="24"/>
                <w:sz w:val="18"/>
                <w:szCs w:val="18"/>
              </w:rPr>
              <w:t>3,400</w:t>
            </w:r>
          </w:p>
        </w:tc>
        <w:tc>
          <w:tcPr>
            <w:tcW w:w="1244" w:type="dxa"/>
            <w:shd w:val="clear" w:color="auto" w:fill="auto"/>
            <w:tcMar>
              <w:top w:w="14" w:type="dxa"/>
              <w:left w:w="58" w:type="dxa"/>
              <w:bottom w:w="0" w:type="dxa"/>
              <w:right w:w="58" w:type="dxa"/>
            </w:tcMar>
            <w:vAlign w:val="center"/>
            <w:hideMark/>
          </w:tcPr>
          <w:p w14:paraId="5B8C2693" w14:textId="77777777" w:rsidR="00BB1435" w:rsidRPr="00561154" w:rsidRDefault="00BB1435" w:rsidP="00F0617A">
            <w:pPr>
              <w:keepNext/>
              <w:keepLines/>
              <w:adjustRightInd/>
              <w:spacing w:after="0" w:line="240" w:lineRule="auto"/>
              <w:jc w:val="center"/>
              <w:textAlignment w:val="bottom"/>
              <w:rPr>
                <w:rFonts w:asciiTheme="minorHAnsi" w:hAnsiTheme="minorHAnsi" w:cs="Arial"/>
                <w:sz w:val="18"/>
                <w:szCs w:val="18"/>
              </w:rPr>
            </w:pPr>
            <w:r w:rsidRPr="00561154">
              <w:rPr>
                <w:rFonts w:asciiTheme="minorHAnsi" w:hAnsiTheme="minorHAnsi" w:cs="Calibri"/>
                <w:color w:val="313C3F"/>
                <w:kern w:val="24"/>
                <w:sz w:val="18"/>
                <w:szCs w:val="18"/>
              </w:rPr>
              <w:t>1,200</w:t>
            </w:r>
          </w:p>
        </w:tc>
        <w:tc>
          <w:tcPr>
            <w:tcW w:w="1245" w:type="dxa"/>
            <w:shd w:val="clear" w:color="auto" w:fill="auto"/>
            <w:tcMar>
              <w:top w:w="14" w:type="dxa"/>
              <w:left w:w="58" w:type="dxa"/>
              <w:bottom w:w="0" w:type="dxa"/>
              <w:right w:w="58" w:type="dxa"/>
            </w:tcMar>
            <w:vAlign w:val="center"/>
            <w:hideMark/>
          </w:tcPr>
          <w:p w14:paraId="2AB0C007" w14:textId="77777777" w:rsidR="00BB1435" w:rsidRPr="00561154" w:rsidRDefault="00BB1435" w:rsidP="00F0617A">
            <w:pPr>
              <w:keepNext/>
              <w:keepLines/>
              <w:adjustRightInd/>
              <w:spacing w:after="0" w:line="240" w:lineRule="auto"/>
              <w:jc w:val="center"/>
              <w:textAlignment w:val="bottom"/>
              <w:rPr>
                <w:rFonts w:asciiTheme="minorHAnsi" w:hAnsiTheme="minorHAnsi" w:cs="Arial"/>
                <w:sz w:val="18"/>
                <w:szCs w:val="18"/>
              </w:rPr>
            </w:pPr>
            <w:r w:rsidRPr="00561154">
              <w:rPr>
                <w:rFonts w:asciiTheme="minorHAnsi" w:hAnsiTheme="minorHAnsi" w:cs="Calibri"/>
                <w:color w:val="313C3F"/>
                <w:kern w:val="24"/>
                <w:sz w:val="18"/>
                <w:szCs w:val="18"/>
              </w:rPr>
              <w:t>8,000</w:t>
            </w:r>
          </w:p>
        </w:tc>
      </w:tr>
      <w:tr w:rsidR="00EC7731" w:rsidRPr="003650D6" w14:paraId="0997298D" w14:textId="77777777" w:rsidTr="00561154">
        <w:trPr>
          <w:trHeight w:val="450"/>
          <w:jc w:val="center"/>
        </w:trPr>
        <w:tc>
          <w:tcPr>
            <w:tcW w:w="1686" w:type="dxa"/>
            <w:shd w:val="clear" w:color="auto" w:fill="CCEAF9" w:themeFill="accent1" w:themeFillTint="33"/>
            <w:tcMar>
              <w:top w:w="15" w:type="dxa"/>
              <w:left w:w="58" w:type="dxa"/>
              <w:bottom w:w="0" w:type="dxa"/>
              <w:right w:w="58" w:type="dxa"/>
            </w:tcMar>
            <w:vAlign w:val="center"/>
            <w:hideMark/>
          </w:tcPr>
          <w:p w14:paraId="3ECD9210" w14:textId="77777777" w:rsidR="00BB1435" w:rsidRPr="00561154" w:rsidRDefault="00BB1435" w:rsidP="00F0617A">
            <w:pPr>
              <w:keepNext/>
              <w:keepLines/>
              <w:adjustRightInd/>
              <w:spacing w:after="0" w:line="240" w:lineRule="auto"/>
              <w:textAlignment w:val="auto"/>
              <w:rPr>
                <w:rFonts w:asciiTheme="minorHAnsi" w:hAnsiTheme="minorHAnsi" w:cs="Arial"/>
                <w:sz w:val="18"/>
                <w:szCs w:val="18"/>
              </w:rPr>
            </w:pPr>
            <w:r w:rsidRPr="00561154">
              <w:rPr>
                <w:rFonts w:asciiTheme="minorHAnsi" w:hAnsiTheme="minorHAnsi" w:cs="Calibri"/>
                <w:b/>
                <w:bCs/>
                <w:kern w:val="24"/>
                <w:sz w:val="18"/>
                <w:szCs w:val="18"/>
              </w:rPr>
              <w:t xml:space="preserve">Anbaric_10000 </w:t>
            </w:r>
          </w:p>
        </w:tc>
        <w:tc>
          <w:tcPr>
            <w:tcW w:w="1244" w:type="dxa"/>
            <w:shd w:val="clear" w:color="auto" w:fill="CCEAF9" w:themeFill="accent1" w:themeFillTint="33"/>
            <w:tcMar>
              <w:top w:w="14" w:type="dxa"/>
              <w:left w:w="58" w:type="dxa"/>
              <w:bottom w:w="0" w:type="dxa"/>
              <w:right w:w="58" w:type="dxa"/>
            </w:tcMar>
            <w:vAlign w:val="center"/>
            <w:hideMark/>
          </w:tcPr>
          <w:p w14:paraId="6F69453A" w14:textId="77777777" w:rsidR="00BB1435" w:rsidRPr="00561154" w:rsidRDefault="00BB1435" w:rsidP="00F0617A">
            <w:pPr>
              <w:keepNext/>
              <w:keepLines/>
              <w:adjustRightInd/>
              <w:spacing w:after="0" w:line="240" w:lineRule="auto"/>
              <w:jc w:val="center"/>
              <w:textAlignment w:val="bottom"/>
              <w:rPr>
                <w:rFonts w:asciiTheme="minorHAnsi" w:hAnsiTheme="minorHAnsi" w:cs="Arial"/>
                <w:sz w:val="18"/>
                <w:szCs w:val="18"/>
              </w:rPr>
            </w:pPr>
            <w:r w:rsidRPr="00561154">
              <w:rPr>
                <w:rFonts w:asciiTheme="minorHAnsi" w:hAnsiTheme="minorHAnsi" w:cs="Calibri"/>
                <w:color w:val="313C3F"/>
                <w:kern w:val="24"/>
                <w:sz w:val="18"/>
                <w:szCs w:val="18"/>
              </w:rPr>
              <w:t>1,300</w:t>
            </w:r>
          </w:p>
        </w:tc>
        <w:tc>
          <w:tcPr>
            <w:tcW w:w="1244" w:type="dxa"/>
            <w:shd w:val="clear" w:color="auto" w:fill="CCEAF9" w:themeFill="accent1" w:themeFillTint="33"/>
            <w:tcMar>
              <w:top w:w="14" w:type="dxa"/>
              <w:left w:w="58" w:type="dxa"/>
              <w:bottom w:w="0" w:type="dxa"/>
              <w:right w:w="58" w:type="dxa"/>
            </w:tcMar>
            <w:vAlign w:val="center"/>
            <w:hideMark/>
          </w:tcPr>
          <w:p w14:paraId="3491C4F9" w14:textId="77777777" w:rsidR="00BB1435" w:rsidRPr="00561154" w:rsidRDefault="00BB1435" w:rsidP="00F0617A">
            <w:pPr>
              <w:keepNext/>
              <w:keepLines/>
              <w:adjustRightInd/>
              <w:spacing w:after="0" w:line="240" w:lineRule="auto"/>
              <w:jc w:val="center"/>
              <w:textAlignment w:val="bottom"/>
              <w:rPr>
                <w:rFonts w:asciiTheme="minorHAnsi" w:hAnsiTheme="minorHAnsi" w:cs="Arial"/>
                <w:sz w:val="18"/>
                <w:szCs w:val="18"/>
              </w:rPr>
            </w:pPr>
            <w:r w:rsidRPr="00561154">
              <w:rPr>
                <w:rFonts w:asciiTheme="minorHAnsi" w:hAnsiTheme="minorHAnsi" w:cs="Calibri"/>
                <w:color w:val="313C3F"/>
                <w:kern w:val="24"/>
                <w:sz w:val="18"/>
                <w:szCs w:val="18"/>
              </w:rPr>
              <w:t>_</w:t>
            </w:r>
          </w:p>
        </w:tc>
        <w:tc>
          <w:tcPr>
            <w:tcW w:w="1244" w:type="dxa"/>
            <w:shd w:val="clear" w:color="auto" w:fill="CCEAF9" w:themeFill="accent1" w:themeFillTint="33"/>
            <w:tcMar>
              <w:top w:w="14" w:type="dxa"/>
              <w:left w:w="58" w:type="dxa"/>
              <w:bottom w:w="0" w:type="dxa"/>
              <w:right w:w="58" w:type="dxa"/>
            </w:tcMar>
            <w:vAlign w:val="center"/>
            <w:hideMark/>
          </w:tcPr>
          <w:p w14:paraId="573E4485" w14:textId="77777777" w:rsidR="00BB1435" w:rsidRPr="00561154" w:rsidRDefault="00BB1435" w:rsidP="00F0617A">
            <w:pPr>
              <w:keepNext/>
              <w:keepLines/>
              <w:adjustRightInd/>
              <w:spacing w:after="0" w:line="240" w:lineRule="auto"/>
              <w:jc w:val="center"/>
              <w:textAlignment w:val="bottom"/>
              <w:rPr>
                <w:rFonts w:asciiTheme="minorHAnsi" w:hAnsiTheme="minorHAnsi" w:cs="Arial"/>
                <w:sz w:val="18"/>
                <w:szCs w:val="18"/>
              </w:rPr>
            </w:pPr>
            <w:r w:rsidRPr="00561154">
              <w:rPr>
                <w:rFonts w:asciiTheme="minorHAnsi" w:hAnsiTheme="minorHAnsi" w:cs="Calibri"/>
                <w:color w:val="313C3F"/>
                <w:kern w:val="24"/>
                <w:sz w:val="18"/>
                <w:szCs w:val="18"/>
              </w:rPr>
              <w:t>1,500</w:t>
            </w:r>
          </w:p>
        </w:tc>
        <w:tc>
          <w:tcPr>
            <w:tcW w:w="1245" w:type="dxa"/>
            <w:shd w:val="clear" w:color="auto" w:fill="CCEAF9" w:themeFill="accent1" w:themeFillTint="33"/>
            <w:tcMar>
              <w:top w:w="14" w:type="dxa"/>
              <w:left w:w="58" w:type="dxa"/>
              <w:bottom w:w="0" w:type="dxa"/>
              <w:right w:w="58" w:type="dxa"/>
            </w:tcMar>
            <w:vAlign w:val="center"/>
            <w:hideMark/>
          </w:tcPr>
          <w:p w14:paraId="0AD787C6" w14:textId="77777777" w:rsidR="00BB1435" w:rsidRPr="00561154" w:rsidRDefault="00BB1435" w:rsidP="00F0617A">
            <w:pPr>
              <w:keepNext/>
              <w:keepLines/>
              <w:adjustRightInd/>
              <w:spacing w:after="0" w:line="240" w:lineRule="auto"/>
              <w:jc w:val="center"/>
              <w:textAlignment w:val="bottom"/>
              <w:rPr>
                <w:rFonts w:asciiTheme="minorHAnsi" w:hAnsiTheme="minorHAnsi" w:cs="Arial"/>
                <w:sz w:val="18"/>
                <w:szCs w:val="18"/>
              </w:rPr>
            </w:pPr>
            <w:r w:rsidRPr="00561154">
              <w:rPr>
                <w:rFonts w:asciiTheme="minorHAnsi" w:hAnsiTheme="minorHAnsi" w:cs="Calibri"/>
                <w:color w:val="313C3F"/>
                <w:kern w:val="24"/>
                <w:sz w:val="18"/>
                <w:szCs w:val="18"/>
              </w:rPr>
              <w:t>2,600</w:t>
            </w:r>
          </w:p>
        </w:tc>
        <w:tc>
          <w:tcPr>
            <w:tcW w:w="1244" w:type="dxa"/>
            <w:shd w:val="clear" w:color="auto" w:fill="CCEAF9" w:themeFill="accent1" w:themeFillTint="33"/>
            <w:tcMar>
              <w:top w:w="14" w:type="dxa"/>
              <w:left w:w="58" w:type="dxa"/>
              <w:bottom w:w="0" w:type="dxa"/>
              <w:right w:w="58" w:type="dxa"/>
            </w:tcMar>
            <w:vAlign w:val="center"/>
            <w:hideMark/>
          </w:tcPr>
          <w:p w14:paraId="09806829" w14:textId="77777777" w:rsidR="00BB1435" w:rsidRPr="00561154" w:rsidRDefault="00BB1435" w:rsidP="00F0617A">
            <w:pPr>
              <w:keepNext/>
              <w:keepLines/>
              <w:adjustRightInd/>
              <w:spacing w:after="0" w:line="240" w:lineRule="auto"/>
              <w:jc w:val="center"/>
              <w:textAlignment w:val="bottom"/>
              <w:rPr>
                <w:rFonts w:asciiTheme="minorHAnsi" w:hAnsiTheme="minorHAnsi" w:cs="Arial"/>
                <w:sz w:val="18"/>
                <w:szCs w:val="18"/>
              </w:rPr>
            </w:pPr>
            <w:r w:rsidRPr="00561154">
              <w:rPr>
                <w:rFonts w:asciiTheme="minorHAnsi" w:hAnsiTheme="minorHAnsi" w:cs="Calibri"/>
                <w:color w:val="313C3F"/>
                <w:kern w:val="24"/>
                <w:sz w:val="18"/>
                <w:szCs w:val="18"/>
              </w:rPr>
              <w:t>3,400</w:t>
            </w:r>
          </w:p>
        </w:tc>
        <w:tc>
          <w:tcPr>
            <w:tcW w:w="1244" w:type="dxa"/>
            <w:shd w:val="clear" w:color="auto" w:fill="CCEAF9" w:themeFill="accent1" w:themeFillTint="33"/>
            <w:tcMar>
              <w:top w:w="14" w:type="dxa"/>
              <w:left w:w="58" w:type="dxa"/>
              <w:bottom w:w="0" w:type="dxa"/>
              <w:right w:w="58" w:type="dxa"/>
            </w:tcMar>
            <w:vAlign w:val="center"/>
            <w:hideMark/>
          </w:tcPr>
          <w:p w14:paraId="1E28AD56" w14:textId="77777777" w:rsidR="00BB1435" w:rsidRPr="00561154" w:rsidRDefault="00BB1435" w:rsidP="00F0617A">
            <w:pPr>
              <w:keepNext/>
              <w:keepLines/>
              <w:adjustRightInd/>
              <w:spacing w:after="0" w:line="240" w:lineRule="auto"/>
              <w:jc w:val="center"/>
              <w:textAlignment w:val="bottom"/>
              <w:rPr>
                <w:rFonts w:asciiTheme="minorHAnsi" w:hAnsiTheme="minorHAnsi" w:cs="Arial"/>
                <w:sz w:val="18"/>
                <w:szCs w:val="18"/>
              </w:rPr>
            </w:pPr>
            <w:r w:rsidRPr="00561154">
              <w:rPr>
                <w:rFonts w:asciiTheme="minorHAnsi" w:hAnsiTheme="minorHAnsi" w:cs="Calibri"/>
                <w:color w:val="313C3F"/>
                <w:kern w:val="24"/>
                <w:sz w:val="18"/>
                <w:szCs w:val="18"/>
              </w:rPr>
              <w:t>1,200</w:t>
            </w:r>
          </w:p>
        </w:tc>
        <w:tc>
          <w:tcPr>
            <w:tcW w:w="1245" w:type="dxa"/>
            <w:shd w:val="clear" w:color="auto" w:fill="CCEAF9" w:themeFill="accent1" w:themeFillTint="33"/>
            <w:tcMar>
              <w:top w:w="14" w:type="dxa"/>
              <w:left w:w="58" w:type="dxa"/>
              <w:bottom w:w="0" w:type="dxa"/>
              <w:right w:w="58" w:type="dxa"/>
            </w:tcMar>
            <w:vAlign w:val="center"/>
            <w:hideMark/>
          </w:tcPr>
          <w:p w14:paraId="198E77D0" w14:textId="77777777" w:rsidR="00BB1435" w:rsidRPr="00561154" w:rsidRDefault="00BB1435" w:rsidP="00F0617A">
            <w:pPr>
              <w:keepNext/>
              <w:keepLines/>
              <w:adjustRightInd/>
              <w:spacing w:after="0" w:line="240" w:lineRule="auto"/>
              <w:jc w:val="center"/>
              <w:textAlignment w:val="bottom"/>
              <w:rPr>
                <w:rFonts w:asciiTheme="minorHAnsi" w:hAnsiTheme="minorHAnsi" w:cs="Arial"/>
                <w:sz w:val="18"/>
                <w:szCs w:val="18"/>
              </w:rPr>
            </w:pPr>
            <w:r w:rsidRPr="00561154">
              <w:rPr>
                <w:rFonts w:asciiTheme="minorHAnsi" w:hAnsiTheme="minorHAnsi" w:cs="Calibri"/>
                <w:color w:val="313C3F"/>
                <w:kern w:val="24"/>
                <w:sz w:val="18"/>
                <w:szCs w:val="18"/>
              </w:rPr>
              <w:t>10,000</w:t>
            </w:r>
          </w:p>
        </w:tc>
      </w:tr>
      <w:tr w:rsidR="00EC7731" w:rsidRPr="003650D6" w14:paraId="730451F7" w14:textId="77777777" w:rsidTr="006F5A8B">
        <w:trPr>
          <w:trHeight w:val="450"/>
          <w:jc w:val="center"/>
        </w:trPr>
        <w:tc>
          <w:tcPr>
            <w:tcW w:w="1686" w:type="dxa"/>
            <w:shd w:val="clear" w:color="auto" w:fill="auto"/>
            <w:tcMar>
              <w:top w:w="15" w:type="dxa"/>
              <w:left w:w="58" w:type="dxa"/>
              <w:bottom w:w="0" w:type="dxa"/>
              <w:right w:w="58" w:type="dxa"/>
            </w:tcMar>
            <w:vAlign w:val="center"/>
            <w:hideMark/>
          </w:tcPr>
          <w:p w14:paraId="0721C88A" w14:textId="77777777" w:rsidR="00BB1435" w:rsidRPr="006F5A8B" w:rsidRDefault="00BB1435" w:rsidP="00F0617A">
            <w:pPr>
              <w:keepNext/>
              <w:keepLines/>
              <w:adjustRightInd/>
              <w:spacing w:after="0" w:line="240" w:lineRule="auto"/>
              <w:textAlignment w:val="auto"/>
              <w:rPr>
                <w:rFonts w:asciiTheme="minorHAnsi" w:hAnsiTheme="minorHAnsi" w:cs="Arial"/>
                <w:sz w:val="18"/>
                <w:szCs w:val="18"/>
              </w:rPr>
            </w:pPr>
            <w:r w:rsidRPr="006F5A8B">
              <w:rPr>
                <w:rFonts w:asciiTheme="minorHAnsi" w:hAnsiTheme="minorHAnsi" w:cs="Calibri"/>
                <w:b/>
                <w:bCs/>
                <w:kern w:val="24"/>
                <w:sz w:val="18"/>
                <w:szCs w:val="18"/>
              </w:rPr>
              <w:t xml:space="preserve">Anbaric_12000 </w:t>
            </w:r>
          </w:p>
        </w:tc>
        <w:tc>
          <w:tcPr>
            <w:tcW w:w="1244" w:type="dxa"/>
            <w:shd w:val="clear" w:color="auto" w:fill="auto"/>
            <w:tcMar>
              <w:top w:w="14" w:type="dxa"/>
              <w:left w:w="58" w:type="dxa"/>
              <w:bottom w:w="0" w:type="dxa"/>
              <w:right w:w="58" w:type="dxa"/>
            </w:tcMar>
            <w:vAlign w:val="center"/>
            <w:hideMark/>
          </w:tcPr>
          <w:p w14:paraId="36170018" w14:textId="77777777" w:rsidR="00BB1435" w:rsidRPr="00561154" w:rsidRDefault="00BB1435" w:rsidP="00F0617A">
            <w:pPr>
              <w:keepNext/>
              <w:keepLines/>
              <w:adjustRightInd/>
              <w:spacing w:after="0" w:line="240" w:lineRule="auto"/>
              <w:jc w:val="center"/>
              <w:textAlignment w:val="bottom"/>
              <w:rPr>
                <w:rFonts w:asciiTheme="minorHAnsi" w:hAnsiTheme="minorHAnsi" w:cs="Arial"/>
                <w:sz w:val="18"/>
                <w:szCs w:val="18"/>
              </w:rPr>
            </w:pPr>
            <w:r w:rsidRPr="00561154">
              <w:rPr>
                <w:rFonts w:asciiTheme="minorHAnsi" w:hAnsiTheme="minorHAnsi" w:cs="Calibri"/>
                <w:color w:val="313C3F"/>
                <w:kern w:val="24"/>
                <w:sz w:val="18"/>
                <w:szCs w:val="18"/>
              </w:rPr>
              <w:t>1,300</w:t>
            </w:r>
          </w:p>
        </w:tc>
        <w:tc>
          <w:tcPr>
            <w:tcW w:w="1244" w:type="dxa"/>
            <w:shd w:val="clear" w:color="auto" w:fill="auto"/>
            <w:tcMar>
              <w:top w:w="14" w:type="dxa"/>
              <w:left w:w="58" w:type="dxa"/>
              <w:bottom w:w="0" w:type="dxa"/>
              <w:right w:w="58" w:type="dxa"/>
            </w:tcMar>
            <w:vAlign w:val="center"/>
            <w:hideMark/>
          </w:tcPr>
          <w:p w14:paraId="2B6B67C5" w14:textId="77777777" w:rsidR="00BB1435" w:rsidRPr="00561154" w:rsidRDefault="00BB1435" w:rsidP="00F0617A">
            <w:pPr>
              <w:keepNext/>
              <w:keepLines/>
              <w:adjustRightInd/>
              <w:spacing w:after="0" w:line="240" w:lineRule="auto"/>
              <w:jc w:val="center"/>
              <w:textAlignment w:val="bottom"/>
              <w:rPr>
                <w:rFonts w:asciiTheme="minorHAnsi" w:hAnsiTheme="minorHAnsi" w:cs="Arial"/>
                <w:sz w:val="18"/>
                <w:szCs w:val="18"/>
              </w:rPr>
            </w:pPr>
            <w:r w:rsidRPr="00561154">
              <w:rPr>
                <w:rFonts w:asciiTheme="minorHAnsi" w:hAnsiTheme="minorHAnsi" w:cs="Calibri"/>
                <w:color w:val="313C3F"/>
                <w:kern w:val="24"/>
                <w:sz w:val="18"/>
                <w:szCs w:val="18"/>
              </w:rPr>
              <w:t>1,000</w:t>
            </w:r>
          </w:p>
        </w:tc>
        <w:tc>
          <w:tcPr>
            <w:tcW w:w="1244" w:type="dxa"/>
            <w:shd w:val="clear" w:color="auto" w:fill="auto"/>
            <w:tcMar>
              <w:top w:w="14" w:type="dxa"/>
              <w:left w:w="58" w:type="dxa"/>
              <w:bottom w:w="0" w:type="dxa"/>
              <w:right w:w="58" w:type="dxa"/>
            </w:tcMar>
            <w:vAlign w:val="center"/>
            <w:hideMark/>
          </w:tcPr>
          <w:p w14:paraId="5278BC3E" w14:textId="77777777" w:rsidR="00BB1435" w:rsidRPr="00561154" w:rsidRDefault="00BB1435" w:rsidP="00F0617A">
            <w:pPr>
              <w:keepNext/>
              <w:keepLines/>
              <w:adjustRightInd/>
              <w:spacing w:after="0" w:line="240" w:lineRule="auto"/>
              <w:jc w:val="center"/>
              <w:textAlignment w:val="bottom"/>
              <w:rPr>
                <w:rFonts w:asciiTheme="minorHAnsi" w:hAnsiTheme="minorHAnsi" w:cs="Arial"/>
                <w:sz w:val="18"/>
                <w:szCs w:val="18"/>
              </w:rPr>
            </w:pPr>
            <w:r w:rsidRPr="00561154">
              <w:rPr>
                <w:rFonts w:asciiTheme="minorHAnsi" w:hAnsiTheme="minorHAnsi" w:cs="Calibri"/>
                <w:color w:val="313C3F"/>
                <w:kern w:val="24"/>
                <w:sz w:val="18"/>
                <w:szCs w:val="18"/>
              </w:rPr>
              <w:t>1,500</w:t>
            </w:r>
          </w:p>
        </w:tc>
        <w:tc>
          <w:tcPr>
            <w:tcW w:w="1245" w:type="dxa"/>
            <w:shd w:val="clear" w:color="auto" w:fill="auto"/>
            <w:tcMar>
              <w:top w:w="14" w:type="dxa"/>
              <w:left w:w="58" w:type="dxa"/>
              <w:bottom w:w="0" w:type="dxa"/>
              <w:right w:w="58" w:type="dxa"/>
            </w:tcMar>
            <w:vAlign w:val="center"/>
            <w:hideMark/>
          </w:tcPr>
          <w:p w14:paraId="7CDA81E4" w14:textId="77777777" w:rsidR="00BB1435" w:rsidRPr="00561154" w:rsidRDefault="00BB1435" w:rsidP="00F0617A">
            <w:pPr>
              <w:keepNext/>
              <w:keepLines/>
              <w:adjustRightInd/>
              <w:spacing w:after="0" w:line="240" w:lineRule="auto"/>
              <w:jc w:val="center"/>
              <w:textAlignment w:val="bottom"/>
              <w:rPr>
                <w:rFonts w:asciiTheme="minorHAnsi" w:hAnsiTheme="minorHAnsi" w:cs="Arial"/>
                <w:sz w:val="18"/>
                <w:szCs w:val="18"/>
              </w:rPr>
            </w:pPr>
            <w:r w:rsidRPr="00561154">
              <w:rPr>
                <w:rFonts w:asciiTheme="minorHAnsi" w:hAnsiTheme="minorHAnsi" w:cs="Calibri"/>
                <w:color w:val="313C3F"/>
                <w:kern w:val="24"/>
                <w:sz w:val="18"/>
                <w:szCs w:val="18"/>
              </w:rPr>
              <w:t>2,600</w:t>
            </w:r>
          </w:p>
        </w:tc>
        <w:tc>
          <w:tcPr>
            <w:tcW w:w="1244" w:type="dxa"/>
            <w:shd w:val="clear" w:color="auto" w:fill="auto"/>
            <w:tcMar>
              <w:top w:w="14" w:type="dxa"/>
              <w:left w:w="58" w:type="dxa"/>
              <w:bottom w:w="0" w:type="dxa"/>
              <w:right w:w="58" w:type="dxa"/>
            </w:tcMar>
            <w:vAlign w:val="center"/>
            <w:hideMark/>
          </w:tcPr>
          <w:p w14:paraId="65B61331" w14:textId="77777777" w:rsidR="00BB1435" w:rsidRPr="00561154" w:rsidRDefault="00BB1435" w:rsidP="00F0617A">
            <w:pPr>
              <w:keepNext/>
              <w:keepLines/>
              <w:adjustRightInd/>
              <w:spacing w:after="0" w:line="240" w:lineRule="auto"/>
              <w:jc w:val="center"/>
              <w:textAlignment w:val="bottom"/>
              <w:rPr>
                <w:rFonts w:asciiTheme="minorHAnsi" w:hAnsiTheme="minorHAnsi" w:cs="Arial"/>
                <w:sz w:val="18"/>
                <w:szCs w:val="18"/>
              </w:rPr>
            </w:pPr>
            <w:r w:rsidRPr="00561154">
              <w:rPr>
                <w:rFonts w:asciiTheme="minorHAnsi" w:hAnsiTheme="minorHAnsi" w:cs="Calibri"/>
                <w:color w:val="313C3F"/>
                <w:kern w:val="24"/>
                <w:sz w:val="18"/>
                <w:szCs w:val="18"/>
              </w:rPr>
              <w:t>3,400</w:t>
            </w:r>
          </w:p>
        </w:tc>
        <w:tc>
          <w:tcPr>
            <w:tcW w:w="1244" w:type="dxa"/>
            <w:shd w:val="clear" w:color="auto" w:fill="auto"/>
            <w:tcMar>
              <w:top w:w="14" w:type="dxa"/>
              <w:left w:w="58" w:type="dxa"/>
              <w:bottom w:w="0" w:type="dxa"/>
              <w:right w:w="58" w:type="dxa"/>
            </w:tcMar>
            <w:vAlign w:val="center"/>
            <w:hideMark/>
          </w:tcPr>
          <w:p w14:paraId="150B3950" w14:textId="77777777" w:rsidR="00BB1435" w:rsidRPr="00561154" w:rsidRDefault="00BB1435" w:rsidP="00F0617A">
            <w:pPr>
              <w:keepNext/>
              <w:keepLines/>
              <w:adjustRightInd/>
              <w:spacing w:after="0" w:line="240" w:lineRule="auto"/>
              <w:jc w:val="center"/>
              <w:textAlignment w:val="bottom"/>
              <w:rPr>
                <w:rFonts w:asciiTheme="minorHAnsi" w:hAnsiTheme="minorHAnsi" w:cs="Arial"/>
                <w:sz w:val="18"/>
                <w:szCs w:val="18"/>
              </w:rPr>
            </w:pPr>
            <w:r w:rsidRPr="00561154">
              <w:rPr>
                <w:rFonts w:asciiTheme="minorHAnsi" w:hAnsiTheme="minorHAnsi" w:cs="Calibri"/>
                <w:color w:val="313C3F"/>
                <w:kern w:val="24"/>
                <w:sz w:val="18"/>
                <w:szCs w:val="18"/>
              </w:rPr>
              <w:t>2,200</w:t>
            </w:r>
          </w:p>
        </w:tc>
        <w:tc>
          <w:tcPr>
            <w:tcW w:w="1245" w:type="dxa"/>
            <w:shd w:val="clear" w:color="auto" w:fill="auto"/>
            <w:tcMar>
              <w:top w:w="14" w:type="dxa"/>
              <w:left w:w="58" w:type="dxa"/>
              <w:bottom w:w="0" w:type="dxa"/>
              <w:right w:w="58" w:type="dxa"/>
            </w:tcMar>
            <w:vAlign w:val="center"/>
            <w:hideMark/>
          </w:tcPr>
          <w:p w14:paraId="6AA264DD" w14:textId="77777777" w:rsidR="00BB1435" w:rsidRPr="00561154" w:rsidRDefault="00BB1435" w:rsidP="00F0617A">
            <w:pPr>
              <w:keepNext/>
              <w:keepLines/>
              <w:adjustRightInd/>
              <w:spacing w:after="0" w:line="240" w:lineRule="auto"/>
              <w:jc w:val="center"/>
              <w:textAlignment w:val="bottom"/>
              <w:rPr>
                <w:rFonts w:asciiTheme="minorHAnsi" w:hAnsiTheme="minorHAnsi" w:cs="Arial"/>
                <w:sz w:val="18"/>
                <w:szCs w:val="18"/>
              </w:rPr>
            </w:pPr>
            <w:r w:rsidRPr="00561154">
              <w:rPr>
                <w:rFonts w:asciiTheme="minorHAnsi" w:hAnsiTheme="minorHAnsi" w:cs="Calibri"/>
                <w:color w:val="313C3F"/>
                <w:kern w:val="24"/>
                <w:sz w:val="18"/>
                <w:szCs w:val="18"/>
              </w:rPr>
              <w:t>12,000</w:t>
            </w:r>
          </w:p>
        </w:tc>
      </w:tr>
      <w:tr w:rsidR="00EC7731" w:rsidRPr="00623DCF" w14:paraId="13E0BC89" w14:textId="77777777" w:rsidTr="00561154">
        <w:trPr>
          <w:trHeight w:val="450"/>
          <w:jc w:val="center"/>
        </w:trPr>
        <w:tc>
          <w:tcPr>
            <w:tcW w:w="1686" w:type="dxa"/>
            <w:shd w:val="clear" w:color="auto" w:fill="CCEAF9" w:themeFill="accent1" w:themeFillTint="33"/>
            <w:tcMar>
              <w:top w:w="15" w:type="dxa"/>
              <w:left w:w="58" w:type="dxa"/>
              <w:bottom w:w="0" w:type="dxa"/>
              <w:right w:w="58" w:type="dxa"/>
            </w:tcMar>
            <w:vAlign w:val="center"/>
            <w:hideMark/>
          </w:tcPr>
          <w:p w14:paraId="07C96F37" w14:textId="77777777" w:rsidR="00BB1435" w:rsidRPr="005C45C6" w:rsidRDefault="00BB1435" w:rsidP="00F0617A">
            <w:pPr>
              <w:keepNext/>
              <w:keepLines/>
              <w:adjustRightInd/>
              <w:spacing w:after="0" w:line="240" w:lineRule="auto"/>
              <w:textAlignment w:val="auto"/>
              <w:rPr>
                <w:rFonts w:asciiTheme="majorHAnsi" w:hAnsiTheme="majorHAnsi" w:cstheme="majorHAnsi"/>
                <w:sz w:val="16"/>
                <w:szCs w:val="16"/>
              </w:rPr>
            </w:pPr>
            <w:r w:rsidRPr="005C45C6">
              <w:rPr>
                <w:rFonts w:asciiTheme="majorHAnsi" w:hAnsiTheme="majorHAnsi" w:cstheme="majorHAnsi"/>
                <w:b/>
                <w:bCs/>
                <w:kern w:val="24"/>
                <w:sz w:val="16"/>
                <w:szCs w:val="16"/>
              </w:rPr>
              <w:t xml:space="preserve">Anbaric_10000_Sen </w:t>
            </w:r>
          </w:p>
          <w:p w14:paraId="55BC3578" w14:textId="77777777" w:rsidR="00BB1435" w:rsidRPr="005C45C6" w:rsidRDefault="00BB1435" w:rsidP="00F0617A">
            <w:pPr>
              <w:keepNext/>
              <w:keepLines/>
              <w:adjustRightInd/>
              <w:spacing w:after="0" w:line="240" w:lineRule="auto"/>
              <w:textAlignment w:val="auto"/>
              <w:rPr>
                <w:rFonts w:asciiTheme="majorHAnsi" w:hAnsiTheme="majorHAnsi" w:cstheme="majorHAnsi"/>
                <w:sz w:val="16"/>
                <w:szCs w:val="16"/>
              </w:rPr>
            </w:pPr>
            <w:r w:rsidRPr="005C45C6">
              <w:rPr>
                <w:rFonts w:asciiTheme="majorHAnsi" w:eastAsia="Calibri" w:hAnsiTheme="majorHAnsi" w:cstheme="majorHAnsi"/>
                <w:b/>
                <w:bCs/>
                <w:kern w:val="24"/>
                <w:sz w:val="16"/>
                <w:szCs w:val="16"/>
              </w:rPr>
              <w:t>(Electrification)</w:t>
            </w:r>
          </w:p>
        </w:tc>
        <w:tc>
          <w:tcPr>
            <w:tcW w:w="1244" w:type="dxa"/>
            <w:shd w:val="clear" w:color="auto" w:fill="CCEAF9" w:themeFill="accent1" w:themeFillTint="33"/>
            <w:tcMar>
              <w:top w:w="14" w:type="dxa"/>
              <w:left w:w="58" w:type="dxa"/>
              <w:bottom w:w="0" w:type="dxa"/>
              <w:right w:w="58" w:type="dxa"/>
            </w:tcMar>
            <w:vAlign w:val="center"/>
            <w:hideMark/>
          </w:tcPr>
          <w:p w14:paraId="305C280B" w14:textId="77777777" w:rsidR="00BB1435" w:rsidRPr="00561154" w:rsidRDefault="00BB1435" w:rsidP="00F0617A">
            <w:pPr>
              <w:keepNext/>
              <w:keepLines/>
              <w:adjustRightInd/>
              <w:spacing w:after="0" w:line="240" w:lineRule="auto"/>
              <w:jc w:val="center"/>
              <w:textAlignment w:val="bottom"/>
              <w:rPr>
                <w:rFonts w:asciiTheme="majorHAnsi" w:hAnsiTheme="majorHAnsi" w:cstheme="majorHAnsi"/>
                <w:sz w:val="18"/>
                <w:szCs w:val="18"/>
              </w:rPr>
            </w:pPr>
            <w:r w:rsidRPr="00561154">
              <w:rPr>
                <w:rFonts w:asciiTheme="majorHAnsi" w:hAnsiTheme="majorHAnsi" w:cstheme="majorHAnsi"/>
                <w:color w:val="313C3F"/>
                <w:kern w:val="24"/>
                <w:sz w:val="18"/>
                <w:szCs w:val="18"/>
              </w:rPr>
              <w:t>1,300</w:t>
            </w:r>
          </w:p>
        </w:tc>
        <w:tc>
          <w:tcPr>
            <w:tcW w:w="1244" w:type="dxa"/>
            <w:shd w:val="clear" w:color="auto" w:fill="CCEAF9" w:themeFill="accent1" w:themeFillTint="33"/>
            <w:tcMar>
              <w:top w:w="14" w:type="dxa"/>
              <w:left w:w="58" w:type="dxa"/>
              <w:bottom w:w="0" w:type="dxa"/>
              <w:right w:w="58" w:type="dxa"/>
            </w:tcMar>
            <w:vAlign w:val="center"/>
            <w:hideMark/>
          </w:tcPr>
          <w:p w14:paraId="5A78F39A" w14:textId="77777777" w:rsidR="00BB1435" w:rsidRPr="00561154" w:rsidRDefault="00BB1435" w:rsidP="00F0617A">
            <w:pPr>
              <w:keepNext/>
              <w:keepLines/>
              <w:adjustRightInd/>
              <w:spacing w:after="0" w:line="240" w:lineRule="auto"/>
              <w:jc w:val="center"/>
              <w:textAlignment w:val="bottom"/>
              <w:rPr>
                <w:rFonts w:asciiTheme="majorHAnsi" w:hAnsiTheme="majorHAnsi" w:cstheme="majorHAnsi"/>
                <w:sz w:val="18"/>
                <w:szCs w:val="18"/>
              </w:rPr>
            </w:pPr>
            <w:r w:rsidRPr="00561154">
              <w:rPr>
                <w:rFonts w:asciiTheme="majorHAnsi" w:hAnsiTheme="majorHAnsi" w:cstheme="majorHAnsi"/>
                <w:color w:val="313C3F"/>
                <w:kern w:val="24"/>
                <w:sz w:val="18"/>
                <w:szCs w:val="18"/>
              </w:rPr>
              <w:t>_</w:t>
            </w:r>
          </w:p>
        </w:tc>
        <w:tc>
          <w:tcPr>
            <w:tcW w:w="1244" w:type="dxa"/>
            <w:shd w:val="clear" w:color="auto" w:fill="CCEAF9" w:themeFill="accent1" w:themeFillTint="33"/>
            <w:tcMar>
              <w:top w:w="14" w:type="dxa"/>
              <w:left w:w="58" w:type="dxa"/>
              <w:bottom w:w="0" w:type="dxa"/>
              <w:right w:w="58" w:type="dxa"/>
            </w:tcMar>
            <w:vAlign w:val="center"/>
            <w:hideMark/>
          </w:tcPr>
          <w:p w14:paraId="6D265154" w14:textId="77777777" w:rsidR="00BB1435" w:rsidRPr="00561154" w:rsidRDefault="00BB1435" w:rsidP="00F0617A">
            <w:pPr>
              <w:keepNext/>
              <w:keepLines/>
              <w:adjustRightInd/>
              <w:spacing w:after="0" w:line="240" w:lineRule="auto"/>
              <w:jc w:val="center"/>
              <w:textAlignment w:val="bottom"/>
              <w:rPr>
                <w:rFonts w:asciiTheme="majorHAnsi" w:hAnsiTheme="majorHAnsi" w:cstheme="majorHAnsi"/>
                <w:sz w:val="18"/>
                <w:szCs w:val="18"/>
              </w:rPr>
            </w:pPr>
            <w:r w:rsidRPr="00561154">
              <w:rPr>
                <w:rFonts w:asciiTheme="majorHAnsi" w:hAnsiTheme="majorHAnsi" w:cstheme="majorHAnsi"/>
                <w:color w:val="313C3F"/>
                <w:kern w:val="24"/>
                <w:sz w:val="18"/>
                <w:szCs w:val="18"/>
              </w:rPr>
              <w:t>1,500</w:t>
            </w:r>
          </w:p>
        </w:tc>
        <w:tc>
          <w:tcPr>
            <w:tcW w:w="1245" w:type="dxa"/>
            <w:shd w:val="clear" w:color="auto" w:fill="CCEAF9" w:themeFill="accent1" w:themeFillTint="33"/>
            <w:tcMar>
              <w:top w:w="14" w:type="dxa"/>
              <w:left w:w="58" w:type="dxa"/>
              <w:bottom w:w="0" w:type="dxa"/>
              <w:right w:w="58" w:type="dxa"/>
            </w:tcMar>
            <w:vAlign w:val="center"/>
            <w:hideMark/>
          </w:tcPr>
          <w:p w14:paraId="720B036A" w14:textId="77777777" w:rsidR="00BB1435" w:rsidRPr="00561154" w:rsidRDefault="00BB1435" w:rsidP="00F0617A">
            <w:pPr>
              <w:keepNext/>
              <w:keepLines/>
              <w:adjustRightInd/>
              <w:spacing w:after="0" w:line="240" w:lineRule="auto"/>
              <w:jc w:val="center"/>
              <w:textAlignment w:val="bottom"/>
              <w:rPr>
                <w:rFonts w:asciiTheme="majorHAnsi" w:hAnsiTheme="majorHAnsi" w:cstheme="majorHAnsi"/>
                <w:sz w:val="18"/>
                <w:szCs w:val="18"/>
              </w:rPr>
            </w:pPr>
            <w:r w:rsidRPr="00561154">
              <w:rPr>
                <w:rFonts w:asciiTheme="majorHAnsi" w:hAnsiTheme="majorHAnsi" w:cstheme="majorHAnsi"/>
                <w:color w:val="313C3F"/>
                <w:kern w:val="24"/>
                <w:sz w:val="18"/>
                <w:szCs w:val="18"/>
              </w:rPr>
              <w:t>2,600</w:t>
            </w:r>
          </w:p>
        </w:tc>
        <w:tc>
          <w:tcPr>
            <w:tcW w:w="1244" w:type="dxa"/>
            <w:shd w:val="clear" w:color="auto" w:fill="CCEAF9" w:themeFill="accent1" w:themeFillTint="33"/>
            <w:tcMar>
              <w:top w:w="14" w:type="dxa"/>
              <w:left w:w="58" w:type="dxa"/>
              <w:bottom w:w="0" w:type="dxa"/>
              <w:right w:w="58" w:type="dxa"/>
            </w:tcMar>
            <w:vAlign w:val="center"/>
            <w:hideMark/>
          </w:tcPr>
          <w:p w14:paraId="2B8EFC1C" w14:textId="77777777" w:rsidR="00BB1435" w:rsidRPr="00561154" w:rsidRDefault="00BB1435" w:rsidP="00F0617A">
            <w:pPr>
              <w:keepNext/>
              <w:keepLines/>
              <w:adjustRightInd/>
              <w:spacing w:after="0" w:line="240" w:lineRule="auto"/>
              <w:jc w:val="center"/>
              <w:textAlignment w:val="bottom"/>
              <w:rPr>
                <w:rFonts w:asciiTheme="majorHAnsi" w:hAnsiTheme="majorHAnsi" w:cstheme="majorHAnsi"/>
                <w:sz w:val="18"/>
                <w:szCs w:val="18"/>
              </w:rPr>
            </w:pPr>
            <w:r w:rsidRPr="00561154">
              <w:rPr>
                <w:rFonts w:asciiTheme="majorHAnsi" w:hAnsiTheme="majorHAnsi" w:cstheme="majorHAnsi"/>
                <w:color w:val="313C3F"/>
                <w:kern w:val="24"/>
                <w:sz w:val="18"/>
                <w:szCs w:val="18"/>
              </w:rPr>
              <w:t>3,400</w:t>
            </w:r>
          </w:p>
        </w:tc>
        <w:tc>
          <w:tcPr>
            <w:tcW w:w="1244" w:type="dxa"/>
            <w:shd w:val="clear" w:color="auto" w:fill="CCEAF9" w:themeFill="accent1" w:themeFillTint="33"/>
            <w:tcMar>
              <w:top w:w="14" w:type="dxa"/>
              <w:left w:w="58" w:type="dxa"/>
              <w:bottom w:w="0" w:type="dxa"/>
              <w:right w:w="58" w:type="dxa"/>
            </w:tcMar>
            <w:vAlign w:val="center"/>
            <w:hideMark/>
          </w:tcPr>
          <w:p w14:paraId="276A88BA" w14:textId="77777777" w:rsidR="00BB1435" w:rsidRPr="00561154" w:rsidRDefault="00BB1435" w:rsidP="00F0617A">
            <w:pPr>
              <w:keepNext/>
              <w:keepLines/>
              <w:adjustRightInd/>
              <w:spacing w:after="0" w:line="240" w:lineRule="auto"/>
              <w:jc w:val="center"/>
              <w:textAlignment w:val="bottom"/>
              <w:rPr>
                <w:rFonts w:asciiTheme="majorHAnsi" w:hAnsiTheme="majorHAnsi" w:cstheme="majorHAnsi"/>
                <w:sz w:val="18"/>
                <w:szCs w:val="18"/>
              </w:rPr>
            </w:pPr>
            <w:r w:rsidRPr="00561154">
              <w:rPr>
                <w:rFonts w:asciiTheme="majorHAnsi" w:hAnsiTheme="majorHAnsi" w:cstheme="majorHAnsi"/>
                <w:color w:val="313C3F"/>
                <w:kern w:val="24"/>
                <w:sz w:val="18"/>
                <w:szCs w:val="18"/>
              </w:rPr>
              <w:t>1,200</w:t>
            </w:r>
          </w:p>
        </w:tc>
        <w:tc>
          <w:tcPr>
            <w:tcW w:w="1245" w:type="dxa"/>
            <w:shd w:val="clear" w:color="auto" w:fill="CCEAF9" w:themeFill="accent1" w:themeFillTint="33"/>
            <w:tcMar>
              <w:top w:w="14" w:type="dxa"/>
              <w:left w:w="58" w:type="dxa"/>
              <w:bottom w:w="0" w:type="dxa"/>
              <w:right w:w="58" w:type="dxa"/>
            </w:tcMar>
            <w:vAlign w:val="center"/>
            <w:hideMark/>
          </w:tcPr>
          <w:p w14:paraId="3D0C1725" w14:textId="77777777" w:rsidR="00BB1435" w:rsidRPr="00561154" w:rsidRDefault="00BB1435" w:rsidP="00F0617A">
            <w:pPr>
              <w:keepNext/>
              <w:keepLines/>
              <w:adjustRightInd/>
              <w:spacing w:after="0" w:line="240" w:lineRule="auto"/>
              <w:jc w:val="center"/>
              <w:textAlignment w:val="bottom"/>
              <w:rPr>
                <w:rFonts w:asciiTheme="majorHAnsi" w:hAnsiTheme="majorHAnsi" w:cstheme="majorHAnsi"/>
                <w:sz w:val="18"/>
                <w:szCs w:val="18"/>
              </w:rPr>
            </w:pPr>
            <w:r w:rsidRPr="00561154">
              <w:rPr>
                <w:rFonts w:asciiTheme="majorHAnsi" w:hAnsiTheme="majorHAnsi" w:cstheme="majorHAnsi"/>
                <w:color w:val="313C3F"/>
                <w:kern w:val="24"/>
                <w:sz w:val="18"/>
                <w:szCs w:val="18"/>
              </w:rPr>
              <w:t>10,000</w:t>
            </w:r>
          </w:p>
        </w:tc>
      </w:tr>
    </w:tbl>
    <w:p w14:paraId="2FADA24C" w14:textId="77777777" w:rsidR="00760C87" w:rsidRPr="00561154" w:rsidRDefault="00760C87" w:rsidP="00F0617A">
      <w:pPr>
        <w:pStyle w:val="ListParagraph"/>
        <w:keepNext/>
        <w:keepLines/>
        <w:numPr>
          <w:ilvl w:val="0"/>
          <w:numId w:val="6"/>
        </w:numPr>
        <w:spacing w:before="120" w:after="240" w:line="240" w:lineRule="auto"/>
        <w:ind w:left="-273" w:hanging="274"/>
        <w:jc w:val="both"/>
        <w:textAlignment w:val="bottom"/>
        <w:rPr>
          <w:rFonts w:asciiTheme="majorHAnsi" w:hAnsiTheme="majorHAnsi" w:cstheme="majorHAnsi"/>
          <w:color w:val="313C3F"/>
          <w:kern w:val="24"/>
          <w:sz w:val="16"/>
          <w:szCs w:val="16"/>
        </w:rPr>
      </w:pPr>
      <w:r w:rsidRPr="005C45C6">
        <w:rPr>
          <w:rFonts w:asciiTheme="majorHAnsi" w:hAnsiTheme="majorHAnsi" w:cstheme="majorHAnsi"/>
          <w:sz w:val="16"/>
          <w:szCs w:val="16"/>
        </w:rPr>
        <w:t xml:space="preserve">CT </w:t>
      </w:r>
      <w:r w:rsidR="003A41E6" w:rsidRPr="005C45C6">
        <w:rPr>
          <w:rFonts w:asciiTheme="majorHAnsi" w:hAnsiTheme="majorHAnsi" w:cstheme="majorHAnsi"/>
          <w:sz w:val="16"/>
          <w:szCs w:val="16"/>
        </w:rPr>
        <w:t xml:space="preserve">refers to </w:t>
      </w:r>
      <w:r w:rsidRPr="005C45C6">
        <w:rPr>
          <w:rFonts w:asciiTheme="majorHAnsi" w:hAnsiTheme="majorHAnsi" w:cstheme="majorHAnsi"/>
          <w:sz w:val="16"/>
          <w:szCs w:val="16"/>
        </w:rPr>
        <w:t>th</w:t>
      </w:r>
      <w:r w:rsidRPr="00561154">
        <w:rPr>
          <w:rFonts w:asciiTheme="majorHAnsi" w:hAnsiTheme="majorHAnsi" w:cstheme="majorHAnsi"/>
          <w:sz w:val="16"/>
          <w:szCs w:val="16"/>
        </w:rPr>
        <w:t xml:space="preserve">e Connecticut subarea; RI, </w:t>
      </w:r>
      <w:r w:rsidR="00C1327F" w:rsidRPr="00561154">
        <w:rPr>
          <w:rFonts w:asciiTheme="majorHAnsi" w:hAnsiTheme="majorHAnsi" w:cstheme="majorHAnsi"/>
          <w:sz w:val="16"/>
          <w:szCs w:val="16"/>
        </w:rPr>
        <w:t xml:space="preserve">the </w:t>
      </w:r>
      <w:r w:rsidRPr="00561154">
        <w:rPr>
          <w:rFonts w:asciiTheme="majorHAnsi" w:hAnsiTheme="majorHAnsi" w:cstheme="majorHAnsi"/>
          <w:sz w:val="16"/>
          <w:szCs w:val="16"/>
        </w:rPr>
        <w:t xml:space="preserve">Rhode Island subarea; SEMA, </w:t>
      </w:r>
      <w:r w:rsidR="003A41E6" w:rsidRPr="00561154">
        <w:rPr>
          <w:rFonts w:asciiTheme="majorHAnsi" w:hAnsiTheme="majorHAnsi" w:cstheme="majorHAnsi"/>
          <w:sz w:val="16"/>
          <w:szCs w:val="16"/>
        </w:rPr>
        <w:t xml:space="preserve">the </w:t>
      </w:r>
      <w:r w:rsidRPr="00561154">
        <w:rPr>
          <w:rFonts w:asciiTheme="majorHAnsi" w:hAnsiTheme="majorHAnsi" w:cstheme="majorHAnsi"/>
          <w:sz w:val="16"/>
          <w:szCs w:val="16"/>
        </w:rPr>
        <w:t>Southeast Massachusetts subarea; and Boston, the Boston subarea.</w:t>
      </w:r>
    </w:p>
    <w:p w14:paraId="3337FEDF" w14:textId="77777777" w:rsidR="0066269A" w:rsidRPr="004C0C16" w:rsidRDefault="004C0C16" w:rsidP="002C2A63">
      <w:pPr>
        <w:pStyle w:val="Heading1"/>
      </w:pPr>
      <w:r w:rsidRPr="004C0C16">
        <w:br/>
      </w:r>
      <w:bookmarkStart w:id="32" w:name="_Ref52475458"/>
      <w:bookmarkStart w:id="33" w:name="_Toc52533789"/>
      <w:r w:rsidR="009E28C2" w:rsidRPr="004C0C16">
        <w:t>Methodol</w:t>
      </w:r>
      <w:r w:rsidR="009E28C2" w:rsidRPr="00E76F3A">
        <w:t>o</w:t>
      </w:r>
      <w:r w:rsidR="009E28C2" w:rsidRPr="00DA59F7">
        <w:t>gy</w:t>
      </w:r>
      <w:r w:rsidR="000613FD" w:rsidRPr="00DA59F7">
        <w:t xml:space="preserve"> </w:t>
      </w:r>
      <w:r w:rsidR="00FF76B8" w:rsidRPr="00DA59F7">
        <w:t>an</w:t>
      </w:r>
      <w:r w:rsidR="00FF76B8" w:rsidRPr="00E76F3A">
        <w:t>d</w:t>
      </w:r>
      <w:r w:rsidR="00FF76B8" w:rsidRPr="004C0C16">
        <w:t xml:space="preserve"> Assumptions</w:t>
      </w:r>
      <w:bookmarkEnd w:id="32"/>
      <w:bookmarkEnd w:id="33"/>
      <w:r w:rsidR="00015ECB" w:rsidRPr="004C0C16">
        <w:t xml:space="preserve"> </w:t>
      </w:r>
    </w:p>
    <w:p w14:paraId="063992DF" w14:textId="77777777" w:rsidR="00901753" w:rsidRDefault="006F5A8B" w:rsidP="00901753">
      <w:r>
        <w:t>Assumptions drive the s</w:t>
      </w:r>
      <w:r w:rsidR="00901753">
        <w:t>tudy results</w:t>
      </w:r>
      <w:r>
        <w:t>,</w:t>
      </w:r>
      <w:r w:rsidR="00901753">
        <w:t xml:space="preserve"> </w:t>
      </w:r>
      <w:r w:rsidR="004D09B8">
        <w:t>and s</w:t>
      </w:r>
      <w:r w:rsidR="004D09B8" w:rsidRPr="001111C9">
        <w:t>ome assumptions have a greater impact on the results than others (i.e., threshold p</w:t>
      </w:r>
      <w:r w:rsidR="004D09B8">
        <w:t>rices for various resource types)</w:t>
      </w:r>
      <w:r w:rsidR="00901753">
        <w:t xml:space="preserve">. </w:t>
      </w:r>
      <w:r w:rsidR="00D61DF6">
        <w:t xml:space="preserve">To gain efficiencies, </w:t>
      </w:r>
      <w:r w:rsidR="00D24022">
        <w:t xml:space="preserve">the </w:t>
      </w:r>
      <w:r w:rsidR="00D61DF6">
        <w:t xml:space="preserve">assumptions </w:t>
      </w:r>
      <w:r w:rsidR="00466D29">
        <w:t xml:space="preserve">for all three economic studies submitted in 2019 </w:t>
      </w:r>
      <w:r w:rsidR="00D61DF6">
        <w:t xml:space="preserve">were determined in concert. </w:t>
      </w:r>
      <w:r w:rsidR="00D24022">
        <w:t xml:space="preserve">At the </w:t>
      </w:r>
      <w:r w:rsidR="004301A0" w:rsidRPr="004301A0">
        <w:t>May 21, 2019</w:t>
      </w:r>
      <w:r w:rsidR="00D24022" w:rsidRPr="004301A0">
        <w:rPr>
          <w:rStyle w:val="Hyperlink"/>
        </w:rPr>
        <w:t>,</w:t>
      </w:r>
      <w:r w:rsidR="00901753" w:rsidRPr="004301A0">
        <w:t xml:space="preserve"> and </w:t>
      </w:r>
      <w:r w:rsidR="004301A0" w:rsidRPr="004301A0">
        <w:t>August 8, 201</w:t>
      </w:r>
      <w:r w:rsidR="004301A0" w:rsidRPr="0061012A">
        <w:t>9</w:t>
      </w:r>
      <w:r w:rsidR="00D24022" w:rsidRPr="00E712DA">
        <w:rPr>
          <w:rStyle w:val="Hyperlink"/>
          <w:color w:val="auto"/>
          <w:u w:val="none"/>
        </w:rPr>
        <w:t>, PAC meetings</w:t>
      </w:r>
      <w:r w:rsidR="00C55A92" w:rsidRPr="00E712DA">
        <w:rPr>
          <w:rStyle w:val="Hyperlink"/>
          <w:color w:val="auto"/>
          <w:u w:val="none"/>
        </w:rPr>
        <w:t>,</w:t>
      </w:r>
      <w:r w:rsidR="00D24022" w:rsidRPr="00E712DA">
        <w:rPr>
          <w:rStyle w:val="Hyperlink"/>
          <w:color w:val="auto"/>
          <w:u w:val="none"/>
        </w:rPr>
        <w:t xml:space="preserve"> the ISO reviewed in detail the</w:t>
      </w:r>
      <w:r w:rsidR="00C55A92" w:rsidRPr="00E712DA">
        <w:rPr>
          <w:rStyle w:val="Hyperlink"/>
          <w:color w:val="auto"/>
          <w:u w:val="none"/>
        </w:rPr>
        <w:t xml:space="preserve"> assumptions associated with the 2019 </w:t>
      </w:r>
      <w:r w:rsidR="00D835AE">
        <w:rPr>
          <w:rStyle w:val="Hyperlink"/>
          <w:color w:val="auto"/>
          <w:u w:val="none"/>
        </w:rPr>
        <w:t>Anbaric</w:t>
      </w:r>
      <w:r w:rsidR="00C55A92" w:rsidRPr="00E712DA">
        <w:rPr>
          <w:rStyle w:val="Hyperlink"/>
          <w:color w:val="auto"/>
          <w:u w:val="none"/>
        </w:rPr>
        <w:t xml:space="preserve"> Economic Study</w:t>
      </w:r>
      <w:r w:rsidR="00901753" w:rsidRPr="00E712DA">
        <w:t>.</w:t>
      </w:r>
      <w:r w:rsidR="00D24022" w:rsidRPr="00E712DA">
        <w:rPr>
          <w:rStyle w:val="FootnoteReference"/>
        </w:rPr>
        <w:footnoteReference w:id="18"/>
      </w:r>
      <w:r w:rsidR="00901753" w:rsidRPr="00E712DA">
        <w:t xml:space="preserve"> </w:t>
      </w:r>
      <w:r w:rsidR="00901753" w:rsidRPr="001111C9">
        <w:t xml:space="preserve">A status update was given on </w:t>
      </w:r>
      <w:r w:rsidR="004301A0" w:rsidRPr="004301A0">
        <w:t>November 20, 2019</w:t>
      </w:r>
      <w:r w:rsidR="00901753" w:rsidRPr="001111C9">
        <w:t>.</w:t>
      </w:r>
      <w:r w:rsidR="00D24022" w:rsidRPr="001111C9">
        <w:rPr>
          <w:rStyle w:val="FootnoteReference"/>
        </w:rPr>
        <w:footnoteReference w:id="19"/>
      </w:r>
      <w:r w:rsidR="00901753" w:rsidRPr="001111C9">
        <w:t xml:space="preserve"> </w:t>
      </w:r>
      <w:r w:rsidR="009B39DE">
        <w:t xml:space="preserve">This section </w:t>
      </w:r>
      <w:r w:rsidR="0038192C">
        <w:t>highlights</w:t>
      </w:r>
      <w:r w:rsidR="009B39DE">
        <w:t xml:space="preserve"> the importance of certain assumptions and how modeling was performe</w:t>
      </w:r>
      <w:r w:rsidR="009B39DE" w:rsidRPr="00F22055">
        <w:t xml:space="preserve">d for the 2019 </w:t>
      </w:r>
      <w:r w:rsidR="00D835AE" w:rsidRPr="00F22055">
        <w:t xml:space="preserve">Anbaric </w:t>
      </w:r>
      <w:r w:rsidR="009B39DE" w:rsidRPr="00F22055">
        <w:t>Economic Study.</w:t>
      </w:r>
    </w:p>
    <w:p w14:paraId="69C43107" w14:textId="77777777" w:rsidR="00C55A92" w:rsidRDefault="00C55A92" w:rsidP="0061012A">
      <w:pPr>
        <w:pStyle w:val="Heading2"/>
      </w:pPr>
      <w:bookmarkStart w:id="34" w:name="_Toc52533790"/>
      <w:r>
        <w:t>Modeling Tools and Methodology</w:t>
      </w:r>
      <w:bookmarkEnd w:id="34"/>
    </w:p>
    <w:p w14:paraId="2699C657" w14:textId="77777777" w:rsidR="00DA59F7" w:rsidRPr="00E76F3A" w:rsidRDefault="00147DA2" w:rsidP="00740FBD">
      <w:r>
        <w:t xml:space="preserve">The analyses were conducted using </w:t>
      </w:r>
      <w:r w:rsidR="00740FBD">
        <w:t>ABB’s</w:t>
      </w:r>
      <w:r>
        <w:t xml:space="preserve"> </w:t>
      </w:r>
      <w:r w:rsidRPr="00357388">
        <w:t>Grid</w:t>
      </w:r>
      <w:r w:rsidR="002C0C8F">
        <w:t>V</w:t>
      </w:r>
      <w:r w:rsidRPr="00357388">
        <w:t xml:space="preserve">iew </w:t>
      </w:r>
      <w:r w:rsidR="008B7B57">
        <w:t>economic</w:t>
      </w:r>
      <w:r w:rsidR="00C55A92">
        <w:t>-</w:t>
      </w:r>
      <w:r w:rsidR="008B7B57">
        <w:t xml:space="preserve">dispatch program. </w:t>
      </w:r>
      <w:r w:rsidR="00C55A92">
        <w:t xml:space="preserve">The </w:t>
      </w:r>
      <w:r w:rsidR="00740FBD">
        <w:t>program</w:t>
      </w:r>
      <w:r w:rsidR="00C55A92">
        <w:t xml:space="preserve"> is</w:t>
      </w:r>
      <w:r w:rsidR="00740FBD">
        <w:t xml:space="preserve"> </w:t>
      </w:r>
      <w:r w:rsidR="00740FBD" w:rsidRPr="001A11D5">
        <w:t xml:space="preserve">a </w:t>
      </w:r>
      <w:r w:rsidR="00F73B39">
        <w:t xml:space="preserve">complex </w:t>
      </w:r>
      <w:r w:rsidR="00740FBD" w:rsidRPr="00E5063C">
        <w:t>simulation tool</w:t>
      </w:r>
      <w:r w:rsidR="00740FBD">
        <w:t xml:space="preserve"> that</w:t>
      </w:r>
      <w:r w:rsidR="00740FBD" w:rsidRPr="00A60F9F">
        <w:t xml:space="preserve"> </w:t>
      </w:r>
      <w:r w:rsidR="00740FBD">
        <w:t>calculates least-cost</w:t>
      </w:r>
      <w:r w:rsidR="007041C8">
        <w:t>,</w:t>
      </w:r>
      <w:r w:rsidR="00740FBD">
        <w:t xml:space="preserve"> </w:t>
      </w:r>
      <w:r w:rsidR="00740FBD" w:rsidRPr="00F43291">
        <w:t>transmission</w:t>
      </w:r>
      <w:r w:rsidR="00740FBD" w:rsidRPr="00241D31">
        <w:t>-</w:t>
      </w:r>
      <w:r w:rsidR="00740FBD" w:rsidRPr="00F43291">
        <w:t>security</w:t>
      </w:r>
      <w:r w:rsidR="00740FBD">
        <w:t>-</w:t>
      </w:r>
      <w:r w:rsidR="00740FBD" w:rsidRPr="00241D31">
        <w:t>c</w:t>
      </w:r>
      <w:r w:rsidR="00740FBD" w:rsidRPr="00F43291">
        <w:t>onstrain</w:t>
      </w:r>
      <w:r w:rsidR="00740FBD" w:rsidRPr="00241D31">
        <w:t xml:space="preserve">ed </w:t>
      </w:r>
      <w:r w:rsidR="00740FBD" w:rsidRPr="00F43291">
        <w:t>unit</w:t>
      </w:r>
      <w:r w:rsidR="00740FBD">
        <w:t xml:space="preserve"> commitment and economic dispatch under differing sets of assumptions and </w:t>
      </w:r>
      <w:r w:rsidR="00740FBD" w:rsidRPr="00147DA2">
        <w:t>minimize</w:t>
      </w:r>
      <w:r w:rsidR="00740FBD">
        <w:t>s</w:t>
      </w:r>
      <w:r w:rsidR="00740FBD" w:rsidRPr="00147DA2">
        <w:t xml:space="preserve"> production costs </w:t>
      </w:r>
      <w:r w:rsidR="00740FBD">
        <w:t xml:space="preserve">for a </w:t>
      </w:r>
      <w:r w:rsidR="00740FBD" w:rsidRPr="00147DA2">
        <w:t>given set of unit characteristics</w:t>
      </w:r>
      <w:r w:rsidR="00BF1EA7" w:rsidRPr="001C20B1">
        <w:t>.</w:t>
      </w:r>
      <w:r w:rsidR="00A73CF6">
        <w:t xml:space="preserve"> </w:t>
      </w:r>
      <w:r w:rsidR="00E23572" w:rsidRPr="002D5261">
        <w:t>The progra</w:t>
      </w:r>
      <w:r w:rsidR="00E23572" w:rsidRPr="000E237F">
        <w:t>m explicitly models a full network</w:t>
      </w:r>
      <w:r w:rsidR="00E76344" w:rsidRPr="000E237F">
        <w:t xml:space="preserve">, </w:t>
      </w:r>
      <w:r w:rsidR="00E23572" w:rsidRPr="000E237F">
        <w:t xml:space="preserve">and </w:t>
      </w:r>
      <w:r w:rsidR="005F0CB1" w:rsidRPr="00827085">
        <w:t>N</w:t>
      </w:r>
      <w:r w:rsidR="005F0CB1" w:rsidRPr="00080481">
        <w:t xml:space="preserve">ew England was modeled as a </w:t>
      </w:r>
      <w:r w:rsidR="005F0CB1" w:rsidRPr="00DA59F7">
        <w:t xml:space="preserve">constrained single area for </w:t>
      </w:r>
      <w:r w:rsidR="005F0CB1" w:rsidRPr="00E76F3A">
        <w:t>unit commitment</w:t>
      </w:r>
      <w:r w:rsidR="00F73B39" w:rsidRPr="00E76F3A">
        <w:t>.</w:t>
      </w:r>
      <w:r w:rsidR="00A73CF6" w:rsidRPr="00E76F3A">
        <w:rPr>
          <w:rStyle w:val="FootnoteReference"/>
        </w:rPr>
        <w:footnoteReference w:id="20"/>
      </w:r>
      <w:r w:rsidR="00A73CF6" w:rsidRPr="00E76F3A">
        <w:t xml:space="preserve"> </w:t>
      </w:r>
    </w:p>
    <w:p w14:paraId="745AC78D" w14:textId="0E54EE74" w:rsidR="00E23572" w:rsidRDefault="00A12CCC" w:rsidP="00740FBD">
      <w:r w:rsidRPr="00DA59F7">
        <w:t>However, GridView is not a nodal load</w:t>
      </w:r>
      <w:r w:rsidR="005A1CBA" w:rsidRPr="00DA59F7">
        <w:t>-</w:t>
      </w:r>
      <w:r w:rsidRPr="00DA59F7">
        <w:t xml:space="preserve">flow program, and </w:t>
      </w:r>
      <w:r w:rsidR="005A1CBA" w:rsidRPr="00DA59F7">
        <w:t xml:space="preserve">it </w:t>
      </w:r>
      <w:r w:rsidRPr="00DA59F7">
        <w:t>does not show more detailed system issues that may arise with</w:t>
      </w:r>
      <w:r w:rsidRPr="00B34D81">
        <w:t xml:space="preserve">in </w:t>
      </w:r>
      <w:r w:rsidR="00DA59F7" w:rsidRPr="00B34D81">
        <w:t>areas</w:t>
      </w:r>
      <w:r w:rsidRPr="00B34D81">
        <w:t>. Rather</w:t>
      </w:r>
      <w:r w:rsidR="005A1CBA" w:rsidRPr="00B34D81">
        <w:t>,</w:t>
      </w:r>
      <w:r w:rsidRPr="00B34D81">
        <w:t xml:space="preserve"> it is a </w:t>
      </w:r>
      <w:r w:rsidR="005A1CBA" w:rsidRPr="00B34D81">
        <w:t>“</w:t>
      </w:r>
      <w:r w:rsidRPr="00B34D81">
        <w:t>pipe-and-bubble</w:t>
      </w:r>
      <w:r w:rsidR="00EF5A9F" w:rsidRPr="00B34D81">
        <w:t>”</w:t>
      </w:r>
      <w:r w:rsidRPr="00B34D81">
        <w:t xml:space="preserve"> tool (see Section</w:t>
      </w:r>
      <w:r w:rsidR="00DA59F7" w:rsidRPr="00B34D81">
        <w:t xml:space="preserve"> </w:t>
      </w:r>
      <w:r w:rsidR="00DA59F7" w:rsidRPr="00B34D81">
        <w:fldChar w:fldCharType="begin"/>
      </w:r>
      <w:r w:rsidR="00DA59F7" w:rsidRPr="00B34D81">
        <w:instrText xml:space="preserve"> REF _Ref42679720 \w \h </w:instrText>
      </w:r>
      <w:r w:rsidR="00B34D81">
        <w:instrText xml:space="preserve"> \* MERGEFORMAT </w:instrText>
      </w:r>
      <w:r w:rsidR="00DA59F7" w:rsidRPr="00B34D81">
        <w:fldChar w:fldCharType="separate"/>
      </w:r>
      <w:r w:rsidR="00DA59F7" w:rsidRPr="00B34D81">
        <w:t>4.2.1</w:t>
      </w:r>
      <w:r w:rsidR="00DA59F7" w:rsidRPr="00B34D81">
        <w:fldChar w:fldCharType="end"/>
      </w:r>
      <w:r w:rsidRPr="00B34D81">
        <w:t xml:space="preserve">) that primarily identifies system-transfer issues between RSP </w:t>
      </w:r>
      <w:r w:rsidR="00DA59F7" w:rsidRPr="00B34D81">
        <w:t>subareas</w:t>
      </w:r>
      <w:r w:rsidRPr="00B34D81">
        <w:t xml:space="preserve">. Therefore, </w:t>
      </w:r>
      <w:r w:rsidR="00DA59F7" w:rsidRPr="00B34D81">
        <w:t>it does not i</w:t>
      </w:r>
      <w:r w:rsidR="00EF5A9F" w:rsidRPr="00B34D81">
        <w:t xml:space="preserve">dentify </w:t>
      </w:r>
      <w:r w:rsidRPr="00B34D81">
        <w:t>transmission system upgrades needed in the SEM</w:t>
      </w:r>
      <w:r w:rsidR="00EF5A9F" w:rsidRPr="00B34D81">
        <w:t>A/</w:t>
      </w:r>
      <w:r w:rsidRPr="00B34D81">
        <w:t xml:space="preserve">RI area to move </w:t>
      </w:r>
      <w:r w:rsidR="00EF5A9F" w:rsidRPr="00B34D81">
        <w:t xml:space="preserve">the </w:t>
      </w:r>
      <w:r w:rsidRPr="00B34D81">
        <w:t xml:space="preserve">amounts of wind studied into and within the </w:t>
      </w:r>
      <w:r w:rsidR="00DA59F7" w:rsidRPr="00B34D81">
        <w:t>area</w:t>
      </w:r>
      <w:r w:rsidRPr="00B34D81">
        <w:t>. These c</w:t>
      </w:r>
      <w:r w:rsidRPr="00DA59F7">
        <w:t>osts may be significant and influence where the optimal points of offshore wind interconnection should be</w:t>
      </w:r>
      <w:r w:rsidR="00DA59F7">
        <w:t>.</w:t>
      </w:r>
    </w:p>
    <w:p w14:paraId="59A66528" w14:textId="77777777" w:rsidR="0053728E" w:rsidRDefault="00860A8C" w:rsidP="00740FBD">
      <w:r w:rsidRPr="002B1E0C">
        <w:t xml:space="preserve">The as-planned transmission system was used for estimating the system’s transfer limits for internal and external interfaces. The 2030 </w:t>
      </w:r>
      <w:r w:rsidR="00C55A92" w:rsidRPr="002B1E0C">
        <w:t xml:space="preserve">transfer capabilities </w:t>
      </w:r>
      <w:r w:rsidR="00C55A92">
        <w:t xml:space="preserve">for </w:t>
      </w:r>
      <w:r w:rsidRPr="002B1E0C">
        <w:t>internal and external transmission</w:t>
      </w:r>
      <w:r w:rsidR="00C55A92">
        <w:t xml:space="preserve"> </w:t>
      </w:r>
      <w:r w:rsidRPr="002B1E0C">
        <w:t>interface</w:t>
      </w:r>
      <w:r w:rsidR="00C55A92">
        <w:t>s</w:t>
      </w:r>
      <w:r w:rsidRPr="002B1E0C">
        <w:t xml:space="preserve"> were based on the values </w:t>
      </w:r>
      <w:r w:rsidRPr="009235B9">
        <w:t>established for 2025 for</w:t>
      </w:r>
      <w:r w:rsidRPr="002B1E0C">
        <w:t xml:space="preserve"> </w:t>
      </w:r>
      <w:r w:rsidR="00F5108A">
        <w:t xml:space="preserve">FCM </w:t>
      </w:r>
      <w:r w:rsidR="000F2E7D">
        <w:t xml:space="preserve">and </w:t>
      </w:r>
      <w:r w:rsidRPr="002B1E0C">
        <w:t>regional planning studies.</w:t>
      </w:r>
      <w:r w:rsidRPr="001C20B1">
        <w:rPr>
          <w:rStyle w:val="FootnoteReference"/>
        </w:rPr>
        <w:footnoteReference w:id="21"/>
      </w:r>
      <w:r w:rsidR="00EA37C5" w:rsidRPr="0061012A">
        <w:t xml:space="preserve"> Regional resources were economically dispatched in the simulations to respect the assumed “normal” transmission</w:t>
      </w:r>
      <w:r w:rsidR="00EA37C5" w:rsidRPr="00E712DA">
        <w:t xml:space="preserve"> system transfer lim</w:t>
      </w:r>
      <w:r w:rsidR="00EA37C5" w:rsidRPr="001C4DAF">
        <w:t>its.</w:t>
      </w:r>
      <w:r w:rsidR="00EA37C5" w:rsidRPr="001C4DAF">
        <w:rPr>
          <w:rStyle w:val="FootnoteReference"/>
        </w:rPr>
        <w:footnoteReference w:id="22"/>
      </w:r>
      <w:r w:rsidR="00401026">
        <w:t xml:space="preserve"> The amount of resources assumed for each scenario </w:t>
      </w:r>
      <w:r w:rsidR="00855A62">
        <w:t>was</w:t>
      </w:r>
      <w:r w:rsidR="00401026">
        <w:t xml:space="preserve"> adequate to meet the systemwide energy requirements</w:t>
      </w:r>
      <w:r w:rsidR="00855A62">
        <w:t>.</w:t>
      </w:r>
    </w:p>
    <w:p w14:paraId="5F838FF6" w14:textId="77777777" w:rsidR="009C02EB" w:rsidRDefault="009C02EB" w:rsidP="001C4DAF">
      <w:pPr>
        <w:pStyle w:val="Heading2"/>
      </w:pPr>
      <w:bookmarkStart w:id="35" w:name="_Ref42689949"/>
      <w:bookmarkStart w:id="36" w:name="_Toc52533791"/>
      <w:r>
        <w:t>Assumptions</w:t>
      </w:r>
      <w:bookmarkEnd w:id="35"/>
      <w:bookmarkEnd w:id="36"/>
    </w:p>
    <w:p w14:paraId="5536C7CD" w14:textId="77777777" w:rsidR="00E306F0" w:rsidRDefault="004D09B8" w:rsidP="00740FBD">
      <w:r w:rsidRPr="001C4DAF">
        <w:t xml:space="preserve">This </w:t>
      </w:r>
      <w:r w:rsidR="0061012A">
        <w:t>section</w:t>
      </w:r>
      <w:r w:rsidRPr="001C4DAF">
        <w:t xml:space="preserve"> summarizes the </w:t>
      </w:r>
      <w:r w:rsidR="00D55828">
        <w:t xml:space="preserve">key </w:t>
      </w:r>
      <w:r w:rsidRPr="001C4DAF">
        <w:t>assumptions made for the following parameters:</w:t>
      </w:r>
    </w:p>
    <w:p w14:paraId="319BF1D8" w14:textId="77777777" w:rsidR="00E76344" w:rsidRDefault="00E76344" w:rsidP="005C45C6">
      <w:pPr>
        <w:pStyle w:val="ListParagraph"/>
        <w:numPr>
          <w:ilvl w:val="0"/>
          <w:numId w:val="5"/>
        </w:numPr>
      </w:pPr>
      <w:r w:rsidRPr="00E76344">
        <w:t xml:space="preserve">Unconstrained and </w:t>
      </w:r>
      <w:r w:rsidR="004D09B8">
        <w:t>c</w:t>
      </w:r>
      <w:r w:rsidRPr="00E76344">
        <w:t xml:space="preserve">onstrained </w:t>
      </w:r>
      <w:r w:rsidR="004D09B8">
        <w:t>t</w:t>
      </w:r>
      <w:r w:rsidRPr="00E76344">
        <w:t>ransmission</w:t>
      </w:r>
    </w:p>
    <w:p w14:paraId="4699B44D" w14:textId="77777777" w:rsidR="00E76344" w:rsidRDefault="004D09B8" w:rsidP="005C45C6">
      <w:pPr>
        <w:pStyle w:val="ListParagraph"/>
        <w:numPr>
          <w:ilvl w:val="0"/>
          <w:numId w:val="5"/>
        </w:numPr>
      </w:pPr>
      <w:r>
        <w:t>I</w:t>
      </w:r>
      <w:r w:rsidR="00E76344">
        <w:t>nter</w:t>
      </w:r>
      <w:r w:rsidR="005E52AC">
        <w:t>changes</w:t>
      </w:r>
      <w:r>
        <w:t xml:space="preserve"> with neighboring systems</w:t>
      </w:r>
    </w:p>
    <w:p w14:paraId="11A6B6BB" w14:textId="77777777" w:rsidR="005E52AC" w:rsidRDefault="005E52AC" w:rsidP="005C45C6">
      <w:pPr>
        <w:pStyle w:val="ListParagraph"/>
        <w:numPr>
          <w:ilvl w:val="0"/>
          <w:numId w:val="5"/>
        </w:numPr>
      </w:pPr>
      <w:r>
        <w:t>Weather</w:t>
      </w:r>
      <w:r w:rsidR="001934E9">
        <w:t xml:space="preserve"> year</w:t>
      </w:r>
    </w:p>
    <w:p w14:paraId="43BCE5B9" w14:textId="77777777" w:rsidR="00C55711" w:rsidRPr="00C55711" w:rsidRDefault="00C55711" w:rsidP="00C55711">
      <w:pPr>
        <w:pStyle w:val="ListParagraph"/>
        <w:numPr>
          <w:ilvl w:val="0"/>
          <w:numId w:val="5"/>
        </w:numPr>
      </w:pPr>
      <w:r w:rsidRPr="00C55711">
        <w:t xml:space="preserve">Energy </w:t>
      </w:r>
      <w:r>
        <w:t>s</w:t>
      </w:r>
      <w:r w:rsidRPr="00C55711">
        <w:t xml:space="preserve">torage and </w:t>
      </w:r>
      <w:r>
        <w:t>e</w:t>
      </w:r>
      <w:r w:rsidRPr="00C55711">
        <w:t xml:space="preserve">lectrification </w:t>
      </w:r>
      <w:r>
        <w:t>load a</w:t>
      </w:r>
      <w:r w:rsidRPr="00C55711">
        <w:t xml:space="preserve">ssumptions </w:t>
      </w:r>
    </w:p>
    <w:p w14:paraId="40C5B01E" w14:textId="77777777" w:rsidR="005E52AC" w:rsidRDefault="004D09B8" w:rsidP="005C45C6">
      <w:pPr>
        <w:pStyle w:val="ListParagraph"/>
        <w:numPr>
          <w:ilvl w:val="0"/>
          <w:numId w:val="5"/>
        </w:numPr>
        <w:spacing w:after="240"/>
      </w:pPr>
      <w:r>
        <w:t>Resource t</w:t>
      </w:r>
      <w:r w:rsidR="005E52AC">
        <w:t>hreshold prices</w:t>
      </w:r>
      <w:r>
        <w:t xml:space="preserve"> ($/MWh)</w:t>
      </w:r>
    </w:p>
    <w:p w14:paraId="7B02346E" w14:textId="77777777" w:rsidR="009C02EB" w:rsidRDefault="009C02EB" w:rsidP="002A68EB">
      <w:pPr>
        <w:pStyle w:val="Heading3"/>
      </w:pPr>
      <w:bookmarkStart w:id="37" w:name="_Ref42679720"/>
      <w:bookmarkStart w:id="38" w:name="_Toc52533792"/>
      <w:r>
        <w:t>Parameters for Unconstrained and Constrained Transmission Simulations</w:t>
      </w:r>
      <w:bookmarkEnd w:id="37"/>
      <w:bookmarkEnd w:id="38"/>
    </w:p>
    <w:p w14:paraId="1EA24F62" w14:textId="77777777" w:rsidR="00616756" w:rsidRDefault="00740FBD" w:rsidP="00740FBD">
      <w:r>
        <w:t>P</w:t>
      </w:r>
      <w:r w:rsidRPr="0050799C">
        <w:t>roduction cost</w:t>
      </w:r>
      <w:r w:rsidR="009D3C5C">
        <w:t>s were</w:t>
      </w:r>
      <w:r w:rsidRPr="0050799C">
        <w:t xml:space="preserve"> simulat</w:t>
      </w:r>
      <w:r w:rsidR="009D3C5C">
        <w:t xml:space="preserve">ed </w:t>
      </w:r>
      <w:r w:rsidR="00616756">
        <w:t xml:space="preserve">and analyzed </w:t>
      </w:r>
      <w:r w:rsidRPr="0050799C">
        <w:t xml:space="preserve">under </w:t>
      </w:r>
      <w:r w:rsidR="00E306F0">
        <w:t>u</w:t>
      </w:r>
      <w:r w:rsidRPr="0050799C">
        <w:t xml:space="preserve">nconstrained and </w:t>
      </w:r>
      <w:r w:rsidR="00E306F0">
        <w:t>c</w:t>
      </w:r>
      <w:r w:rsidRPr="0050799C">
        <w:t>onstrained</w:t>
      </w:r>
      <w:r w:rsidR="004D09B8">
        <w:t xml:space="preserve"> conditions</w:t>
      </w:r>
      <w:r w:rsidR="00BF1EA7">
        <w:t xml:space="preserve">. </w:t>
      </w:r>
      <w:r w:rsidR="004803CA">
        <w:t>Under u</w:t>
      </w:r>
      <w:r w:rsidRPr="0050799C">
        <w:t>nconstrained transmission</w:t>
      </w:r>
      <w:r w:rsidR="004803CA">
        <w:t>,</w:t>
      </w:r>
      <w:r w:rsidRPr="0050799C">
        <w:t xml:space="preserve"> </w:t>
      </w:r>
      <w:r>
        <w:t xml:space="preserve">the New England transmission system </w:t>
      </w:r>
      <w:r w:rsidR="00EA37C5">
        <w:t>wa</w:t>
      </w:r>
      <w:r w:rsidR="004803CA">
        <w:t xml:space="preserve">s modeled </w:t>
      </w:r>
      <w:r>
        <w:t>as a single</w:t>
      </w:r>
      <w:r w:rsidRPr="0050799C">
        <w:t>-bus system</w:t>
      </w:r>
      <w:r w:rsidR="004803CA">
        <w:t xml:space="preserve">. Under </w:t>
      </w:r>
      <w:r w:rsidRPr="0050799C">
        <w:t>constrained transmission</w:t>
      </w:r>
      <w:r w:rsidR="007110DD">
        <w:t xml:space="preserve"> scenarios</w:t>
      </w:r>
      <w:r w:rsidR="004803CA">
        <w:t>, the system</w:t>
      </w:r>
      <w:r w:rsidRPr="0050799C">
        <w:t xml:space="preserve"> </w:t>
      </w:r>
      <w:r w:rsidR="00EA37C5">
        <w:t>wa</w:t>
      </w:r>
      <w:r w:rsidRPr="0050799C">
        <w:t>s modeled using the “</w:t>
      </w:r>
      <w:r w:rsidR="00E306F0">
        <w:t>p</w:t>
      </w:r>
      <w:r w:rsidRPr="0050799C">
        <w:t>ipe</w:t>
      </w:r>
      <w:r w:rsidR="001C4DAF">
        <w:t>”</w:t>
      </w:r>
      <w:r w:rsidRPr="0050799C">
        <w:t xml:space="preserve"> and </w:t>
      </w:r>
      <w:r w:rsidR="00E306F0">
        <w:t>Regional System Plan (</w:t>
      </w:r>
      <w:r w:rsidRPr="0050799C">
        <w:t>RSP</w:t>
      </w:r>
      <w:r w:rsidR="00E306F0">
        <w:t>)</w:t>
      </w:r>
      <w:r w:rsidRPr="0050799C">
        <w:t xml:space="preserve"> </w:t>
      </w:r>
      <w:r w:rsidR="001C4DAF">
        <w:t>“</w:t>
      </w:r>
      <w:r w:rsidR="00E306F0">
        <w:t>b</w:t>
      </w:r>
      <w:r w:rsidRPr="0050799C">
        <w:t>ubble” configuration</w:t>
      </w:r>
      <w:r w:rsidR="00E306F0">
        <w:t>,</w:t>
      </w:r>
      <w:r w:rsidR="00E306F0" w:rsidRPr="00E306F0">
        <w:t xml:space="preserve"> with “pipes” representing transmission interfaces </w:t>
      </w:r>
      <w:r w:rsidR="004803CA">
        <w:t xml:space="preserve">that </w:t>
      </w:r>
      <w:r w:rsidR="00E306F0" w:rsidRPr="00E306F0">
        <w:t>connect the “bubbles</w:t>
      </w:r>
      <w:r w:rsidR="004803CA">
        <w:t>,</w:t>
      </w:r>
      <w:r w:rsidR="00E306F0" w:rsidRPr="00E306F0">
        <w:t xml:space="preserve">” </w:t>
      </w:r>
      <w:r w:rsidR="004803CA">
        <w:t xml:space="preserve">which </w:t>
      </w:r>
      <w:r w:rsidR="00E306F0" w:rsidRPr="00E306F0">
        <w:t xml:space="preserve">represent the </w:t>
      </w:r>
      <w:r w:rsidR="00E306F0" w:rsidRPr="00C274BE">
        <w:t>va</w:t>
      </w:r>
      <w:r w:rsidR="00E306F0" w:rsidRPr="009C199B">
        <w:t xml:space="preserve">rious </w:t>
      </w:r>
      <w:r w:rsidR="00A73CF6" w:rsidRPr="009C199B">
        <w:t>RSP sub</w:t>
      </w:r>
      <w:r w:rsidR="00E306F0" w:rsidRPr="009C199B">
        <w:t>areas.</w:t>
      </w:r>
      <w:r w:rsidR="009D3C5C" w:rsidRPr="009C199B">
        <w:rPr>
          <w:rStyle w:val="FootnoteReference"/>
        </w:rPr>
        <w:footnoteReference w:id="23"/>
      </w:r>
      <w:r w:rsidR="00E306F0" w:rsidRPr="009C199B">
        <w:t xml:space="preserve"> </w:t>
      </w:r>
      <w:r w:rsidR="00E306F0" w:rsidRPr="00C274BE">
        <w:t>See</w:t>
      </w:r>
      <w:r w:rsidR="00E306F0" w:rsidRPr="00E306F0">
        <w:t xml:space="preserve"> </w:t>
      </w:r>
      <w:r w:rsidR="0026318A">
        <w:fldChar w:fldCharType="begin"/>
      </w:r>
      <w:r w:rsidR="0026318A">
        <w:instrText xml:space="preserve"> REF _Ref42588683 \h </w:instrText>
      </w:r>
      <w:r w:rsidR="0026318A">
        <w:fldChar w:fldCharType="separate"/>
      </w:r>
      <w:r w:rsidR="005061EC" w:rsidRPr="000B5ACD">
        <w:t xml:space="preserve">Figure </w:t>
      </w:r>
      <w:r w:rsidR="005061EC">
        <w:rPr>
          <w:noProof/>
        </w:rPr>
        <w:t>4</w:t>
      </w:r>
      <w:r w:rsidR="005061EC" w:rsidRPr="000B5ACD">
        <w:noBreakHyphen/>
      </w:r>
      <w:r w:rsidR="005061EC">
        <w:rPr>
          <w:noProof/>
        </w:rPr>
        <w:t>1</w:t>
      </w:r>
      <w:r w:rsidR="0026318A">
        <w:fldChar w:fldCharType="end"/>
      </w:r>
      <w:r w:rsidR="001C4DAF">
        <w:t>.</w:t>
      </w:r>
    </w:p>
    <w:p w14:paraId="53CC19F9" w14:textId="77777777" w:rsidR="00342AAB" w:rsidRDefault="0065304A" w:rsidP="005061EC">
      <w:pPr>
        <w:keepNext/>
        <w:keepLines/>
        <w:spacing w:after="0" w:line="240" w:lineRule="auto"/>
        <w:jc w:val="center"/>
      </w:pPr>
      <w:r w:rsidRPr="0065304A">
        <w:rPr>
          <w:noProof/>
        </w:rPr>
        <w:drawing>
          <wp:inline distT="0" distB="0" distL="0" distR="0" wp14:anchorId="668C2C9E" wp14:editId="2A98A688">
            <wp:extent cx="5567113" cy="3072911"/>
            <wp:effectExtent l="19050" t="19050" r="14605" b="133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72545" cy="3075909"/>
                    </a:xfrm>
                    <a:prstGeom prst="rect">
                      <a:avLst/>
                    </a:prstGeom>
                    <a:noFill/>
                    <a:ln w="3175">
                      <a:solidFill>
                        <a:srgbClr val="000000"/>
                      </a:solidFill>
                    </a:ln>
                  </pic:spPr>
                </pic:pic>
              </a:graphicData>
            </a:graphic>
          </wp:inline>
        </w:drawing>
      </w:r>
    </w:p>
    <w:p w14:paraId="580D4836" w14:textId="77777777" w:rsidR="00E306F0" w:rsidRPr="00A25A32" w:rsidRDefault="00E306F0" w:rsidP="005061EC">
      <w:pPr>
        <w:pStyle w:val="Caption"/>
        <w:spacing w:before="120" w:after="80"/>
        <w:ind w:left="270" w:right="270"/>
      </w:pPr>
      <w:bookmarkStart w:id="39" w:name="_Ref42588683"/>
      <w:bookmarkStart w:id="40" w:name="_Toc52533806"/>
      <w:r w:rsidRPr="000B5ACD">
        <w:t xml:space="preserve">Figure </w:t>
      </w:r>
      <w:r w:rsidR="000D5F76">
        <w:fldChar w:fldCharType="begin"/>
      </w:r>
      <w:r w:rsidR="000D5F76">
        <w:instrText xml:space="preserve"> STYLEREF 1 \s </w:instrText>
      </w:r>
      <w:r w:rsidR="000D5F76">
        <w:fldChar w:fldCharType="separate"/>
      </w:r>
      <w:r w:rsidR="005061EC">
        <w:rPr>
          <w:noProof/>
        </w:rPr>
        <w:t>4</w:t>
      </w:r>
      <w:r w:rsidR="000D5F76">
        <w:rPr>
          <w:noProof/>
        </w:rPr>
        <w:fldChar w:fldCharType="end"/>
      </w:r>
      <w:r w:rsidR="00702E16" w:rsidRPr="000B5ACD">
        <w:noBreakHyphen/>
      </w:r>
      <w:r w:rsidR="000D5F76">
        <w:fldChar w:fldCharType="begin"/>
      </w:r>
      <w:r w:rsidR="000D5F76">
        <w:instrText xml:space="preserve"> SEQ Figure \* ARABIC \s 1 </w:instrText>
      </w:r>
      <w:r w:rsidR="000D5F76">
        <w:fldChar w:fldCharType="separate"/>
      </w:r>
      <w:r w:rsidR="005061EC">
        <w:rPr>
          <w:noProof/>
        </w:rPr>
        <w:t>1</w:t>
      </w:r>
      <w:r w:rsidR="000D5F76">
        <w:rPr>
          <w:noProof/>
        </w:rPr>
        <w:fldChar w:fldCharType="end"/>
      </w:r>
      <w:bookmarkEnd w:id="39"/>
      <w:r w:rsidRPr="000B5ACD">
        <w:t>: Assumed New England system representation for the 2030 study year.</w:t>
      </w:r>
      <w:r w:rsidR="00592864" w:rsidRPr="000B5ACD">
        <w:rPr>
          <w:vertAlign w:val="superscript"/>
        </w:rPr>
        <w:t>(a)</w:t>
      </w:r>
      <w:bookmarkEnd w:id="40"/>
    </w:p>
    <w:p w14:paraId="109828E5" w14:textId="77777777" w:rsidR="002A68EB" w:rsidRDefault="00BB415A" w:rsidP="005061EC">
      <w:pPr>
        <w:keepNext/>
        <w:keepLines/>
        <w:spacing w:after="80" w:line="240" w:lineRule="auto"/>
        <w:ind w:left="274" w:right="274"/>
        <w:rPr>
          <w:rFonts w:eastAsiaTheme="minorEastAsia" w:cstheme="minorBidi"/>
          <w:b/>
          <w:bCs/>
          <w:sz w:val="16"/>
          <w:szCs w:val="16"/>
        </w:rPr>
      </w:pPr>
      <w:r w:rsidRPr="00A25A32">
        <w:rPr>
          <w:rFonts w:asciiTheme="minorHAnsi" w:hAnsiTheme="minorHAnsi" w:cstheme="minorHAnsi"/>
          <w:b/>
          <w:sz w:val="16"/>
          <w:szCs w:val="16"/>
        </w:rPr>
        <w:t>Note</w:t>
      </w:r>
      <w:r w:rsidR="004826D9" w:rsidRPr="00A25A32">
        <w:rPr>
          <w:rFonts w:asciiTheme="minorHAnsi" w:hAnsiTheme="minorHAnsi" w:cstheme="minorHAnsi"/>
          <w:b/>
          <w:sz w:val="16"/>
          <w:szCs w:val="16"/>
        </w:rPr>
        <w:t>s</w:t>
      </w:r>
      <w:r w:rsidRPr="00A25A32">
        <w:rPr>
          <w:rFonts w:asciiTheme="minorHAnsi" w:hAnsiTheme="minorHAnsi" w:cstheme="minorHAnsi"/>
          <w:b/>
          <w:sz w:val="16"/>
          <w:szCs w:val="16"/>
        </w:rPr>
        <w:t xml:space="preserve">: </w:t>
      </w:r>
      <w:r w:rsidR="00342666" w:rsidRPr="00A25A32">
        <w:rPr>
          <w:rFonts w:asciiTheme="minorHAnsi" w:hAnsiTheme="minorHAnsi" w:cstheme="minorHAnsi"/>
          <w:sz w:val="16"/>
          <w:szCs w:val="16"/>
        </w:rPr>
        <w:t>BHE</w:t>
      </w:r>
      <w:r w:rsidR="006C4900" w:rsidRPr="00A25A32">
        <w:rPr>
          <w:rFonts w:asciiTheme="minorHAnsi" w:hAnsiTheme="minorHAnsi" w:cstheme="minorHAnsi"/>
          <w:sz w:val="16"/>
          <w:szCs w:val="16"/>
        </w:rPr>
        <w:t xml:space="preserve"> = Northeastern Maine</w:t>
      </w:r>
      <w:r w:rsidR="00342666" w:rsidRPr="00A25A32">
        <w:rPr>
          <w:rFonts w:asciiTheme="minorHAnsi" w:hAnsiTheme="minorHAnsi" w:cstheme="minorHAnsi"/>
          <w:sz w:val="16"/>
          <w:szCs w:val="16"/>
        </w:rPr>
        <w:t>; CMA/NEMA</w:t>
      </w:r>
      <w:r w:rsidR="006C4900" w:rsidRPr="00A25A32">
        <w:rPr>
          <w:rFonts w:asciiTheme="minorHAnsi" w:hAnsiTheme="minorHAnsi" w:cstheme="minorHAnsi"/>
          <w:sz w:val="16"/>
          <w:szCs w:val="16"/>
        </w:rPr>
        <w:t xml:space="preserve"> = Central Massachusetts/Northeast Massachusetts</w:t>
      </w:r>
      <w:r w:rsidR="00342666" w:rsidRPr="00A25A32">
        <w:rPr>
          <w:rFonts w:asciiTheme="minorHAnsi" w:hAnsiTheme="minorHAnsi" w:cstheme="minorHAnsi"/>
          <w:sz w:val="16"/>
          <w:szCs w:val="16"/>
        </w:rPr>
        <w:t xml:space="preserve">; CSC = Cross-Sound Cable; </w:t>
      </w:r>
      <w:r w:rsidR="006C4900" w:rsidRPr="00A25A32">
        <w:rPr>
          <w:rFonts w:asciiTheme="minorHAnsi" w:hAnsiTheme="minorHAnsi" w:cstheme="minorHAnsi"/>
          <w:sz w:val="16"/>
          <w:szCs w:val="16"/>
        </w:rPr>
        <w:t xml:space="preserve">CT = Connecticut; </w:t>
      </w:r>
      <w:r w:rsidR="00342666" w:rsidRPr="00A25A32">
        <w:rPr>
          <w:rFonts w:asciiTheme="minorHAnsi" w:hAnsiTheme="minorHAnsi" w:cstheme="minorHAnsi"/>
          <w:sz w:val="16"/>
          <w:szCs w:val="16"/>
        </w:rPr>
        <w:t>NB = New Brunswi</w:t>
      </w:r>
      <w:r w:rsidR="002D5261" w:rsidRPr="00A25A32">
        <w:rPr>
          <w:rFonts w:asciiTheme="minorHAnsi" w:hAnsiTheme="minorHAnsi" w:cstheme="minorHAnsi"/>
          <w:sz w:val="16"/>
          <w:szCs w:val="16"/>
        </w:rPr>
        <w:t>c</w:t>
      </w:r>
      <w:r w:rsidR="00342666" w:rsidRPr="00A25A32">
        <w:rPr>
          <w:rFonts w:asciiTheme="minorHAnsi" w:hAnsiTheme="minorHAnsi" w:cstheme="minorHAnsi"/>
          <w:sz w:val="16"/>
          <w:szCs w:val="16"/>
        </w:rPr>
        <w:t>k, C</w:t>
      </w:r>
      <w:r w:rsidR="002D5261" w:rsidRPr="00A25A32">
        <w:rPr>
          <w:rFonts w:asciiTheme="minorHAnsi" w:hAnsiTheme="minorHAnsi" w:cstheme="minorHAnsi"/>
          <w:sz w:val="16"/>
          <w:szCs w:val="16"/>
        </w:rPr>
        <w:t>anada</w:t>
      </w:r>
      <w:r w:rsidR="00342666" w:rsidRPr="00A25A32">
        <w:rPr>
          <w:rFonts w:asciiTheme="minorHAnsi" w:hAnsiTheme="minorHAnsi" w:cstheme="minorHAnsi"/>
          <w:sz w:val="16"/>
          <w:szCs w:val="16"/>
        </w:rPr>
        <w:t xml:space="preserve">; NE = New England; </w:t>
      </w:r>
      <w:r w:rsidR="006C4900" w:rsidRPr="00A25A32">
        <w:rPr>
          <w:rFonts w:asciiTheme="minorHAnsi" w:hAnsiTheme="minorHAnsi" w:cstheme="minorHAnsi"/>
          <w:sz w:val="16"/>
          <w:szCs w:val="16"/>
        </w:rPr>
        <w:t xml:space="preserve">NH = New Hampshire; </w:t>
      </w:r>
      <w:r w:rsidR="00342666" w:rsidRPr="00A25A32">
        <w:rPr>
          <w:rFonts w:asciiTheme="minorHAnsi" w:hAnsiTheme="minorHAnsi" w:cstheme="minorHAnsi"/>
          <w:sz w:val="16"/>
          <w:szCs w:val="16"/>
        </w:rPr>
        <w:t>NOR = Norwalk; NY = New York; SEMA/RI = Southeast Massachusetts/Rhode Island; SME</w:t>
      </w:r>
      <w:r w:rsidR="006C4900" w:rsidRPr="00A25A32">
        <w:rPr>
          <w:rFonts w:asciiTheme="minorHAnsi" w:hAnsiTheme="minorHAnsi" w:cstheme="minorHAnsi"/>
          <w:sz w:val="16"/>
          <w:szCs w:val="16"/>
        </w:rPr>
        <w:t xml:space="preserve"> = Southern Maine; Southeast Massachusetts</w:t>
      </w:r>
      <w:r w:rsidR="00342666" w:rsidRPr="00A25A32">
        <w:rPr>
          <w:rFonts w:asciiTheme="minorHAnsi" w:hAnsiTheme="minorHAnsi" w:cstheme="minorHAnsi"/>
          <w:sz w:val="16"/>
          <w:szCs w:val="16"/>
        </w:rPr>
        <w:t>; SWCT</w:t>
      </w:r>
      <w:r w:rsidR="006C4900" w:rsidRPr="00A25A32">
        <w:rPr>
          <w:rFonts w:asciiTheme="minorHAnsi" w:hAnsiTheme="minorHAnsi" w:cstheme="minorHAnsi"/>
          <w:sz w:val="16"/>
          <w:szCs w:val="16"/>
        </w:rPr>
        <w:t xml:space="preserve"> = Southwest</w:t>
      </w:r>
      <w:r w:rsidR="002D5261" w:rsidRPr="00A25A32">
        <w:rPr>
          <w:rFonts w:asciiTheme="minorHAnsi" w:hAnsiTheme="minorHAnsi" w:cstheme="minorHAnsi"/>
          <w:sz w:val="16"/>
          <w:szCs w:val="16"/>
        </w:rPr>
        <w:t xml:space="preserve"> </w:t>
      </w:r>
      <w:r w:rsidR="006C4900" w:rsidRPr="00A25A32">
        <w:rPr>
          <w:rFonts w:asciiTheme="minorHAnsi" w:hAnsiTheme="minorHAnsi" w:cstheme="minorHAnsi"/>
          <w:sz w:val="16"/>
          <w:szCs w:val="16"/>
        </w:rPr>
        <w:t>Massachusetts</w:t>
      </w:r>
      <w:r w:rsidR="00342666" w:rsidRPr="00A25A32">
        <w:rPr>
          <w:rFonts w:asciiTheme="minorHAnsi" w:hAnsiTheme="minorHAnsi" w:cstheme="minorHAnsi"/>
          <w:sz w:val="16"/>
          <w:szCs w:val="16"/>
        </w:rPr>
        <w:t xml:space="preserve">; OSW = offshore wind; VT = Vermont; WMA = </w:t>
      </w:r>
      <w:r w:rsidR="006C4900" w:rsidRPr="00A25A32">
        <w:rPr>
          <w:rFonts w:asciiTheme="minorHAnsi" w:hAnsiTheme="minorHAnsi" w:cstheme="minorHAnsi"/>
          <w:sz w:val="16"/>
          <w:szCs w:val="16"/>
        </w:rPr>
        <w:t>W</w:t>
      </w:r>
      <w:r w:rsidR="00342666" w:rsidRPr="00A25A32">
        <w:rPr>
          <w:rFonts w:asciiTheme="minorHAnsi" w:hAnsiTheme="minorHAnsi" w:cstheme="minorHAnsi"/>
          <w:sz w:val="16"/>
          <w:szCs w:val="16"/>
        </w:rPr>
        <w:t>estern Massachusetts</w:t>
      </w:r>
      <w:r w:rsidR="006C4900" w:rsidRPr="00A25A32">
        <w:rPr>
          <w:rFonts w:asciiTheme="minorHAnsi" w:hAnsiTheme="minorHAnsi" w:cstheme="minorHAnsi"/>
          <w:sz w:val="16"/>
          <w:szCs w:val="16"/>
        </w:rPr>
        <w:t xml:space="preserve">. </w:t>
      </w:r>
      <w:r w:rsidR="002D5261" w:rsidRPr="00A25A32">
        <w:rPr>
          <w:rFonts w:asciiTheme="minorHAnsi" w:hAnsiTheme="minorHAnsi" w:cstheme="minorHAnsi"/>
          <w:sz w:val="16"/>
          <w:szCs w:val="16"/>
        </w:rPr>
        <w:t xml:space="preserve">Refer to </w:t>
      </w:r>
      <w:r w:rsidR="006C4900" w:rsidRPr="00A25A32">
        <w:rPr>
          <w:rFonts w:asciiTheme="minorHAnsi" w:hAnsiTheme="minorHAnsi" w:cstheme="minorHAnsi"/>
          <w:sz w:val="16"/>
          <w:szCs w:val="16"/>
        </w:rPr>
        <w:t xml:space="preserve">the System Planning Subareas map at this </w:t>
      </w:r>
      <w:r w:rsidR="002D5261" w:rsidRPr="00A25A32">
        <w:rPr>
          <w:rFonts w:asciiTheme="minorHAnsi" w:hAnsiTheme="minorHAnsi" w:cstheme="minorHAnsi"/>
          <w:sz w:val="16"/>
          <w:szCs w:val="16"/>
        </w:rPr>
        <w:t xml:space="preserve">ISO </w:t>
      </w:r>
      <w:r w:rsidR="006C4900" w:rsidRPr="00A25A32">
        <w:rPr>
          <w:rFonts w:asciiTheme="minorHAnsi" w:hAnsiTheme="minorHAnsi" w:cstheme="minorHAnsi"/>
          <w:sz w:val="16"/>
          <w:szCs w:val="16"/>
        </w:rPr>
        <w:t xml:space="preserve">link: </w:t>
      </w:r>
      <w:hyperlink r:id="rId30" w:history="1">
        <w:r w:rsidR="001C4DAF" w:rsidRPr="00A25A32">
          <w:rPr>
            <w:rStyle w:val="Hyperlink"/>
            <w:rFonts w:asciiTheme="minorHAnsi" w:hAnsiTheme="minorHAnsi" w:cstheme="minorHAnsi"/>
            <w:sz w:val="16"/>
            <w:szCs w:val="16"/>
          </w:rPr>
          <w:t>https://www.iso-ne.com/about/key-stats/maps-and-diagrams/</w:t>
        </w:r>
      </w:hyperlink>
      <w:r w:rsidR="006C4900" w:rsidRPr="00A25A32">
        <w:rPr>
          <w:rFonts w:asciiTheme="minorHAnsi" w:hAnsiTheme="minorHAnsi" w:cstheme="minorHAnsi"/>
          <w:sz w:val="16"/>
          <w:szCs w:val="16"/>
        </w:rPr>
        <w:t>.</w:t>
      </w:r>
      <w:r w:rsidR="001C4DAF" w:rsidRPr="00F22055">
        <w:rPr>
          <w:rFonts w:eastAsiaTheme="minorEastAsia" w:cstheme="minorBidi"/>
          <w:b/>
          <w:bCs/>
          <w:sz w:val="16"/>
          <w:szCs w:val="16"/>
        </w:rPr>
        <w:t xml:space="preserve"> </w:t>
      </w:r>
    </w:p>
    <w:p w14:paraId="38659489" w14:textId="77777777" w:rsidR="002A68EB" w:rsidRPr="00965653" w:rsidRDefault="00592864" w:rsidP="005061EC">
      <w:pPr>
        <w:keepNext/>
        <w:keepLines/>
        <w:spacing w:line="240" w:lineRule="auto"/>
        <w:ind w:left="274" w:right="274"/>
        <w:rPr>
          <w:rFonts w:asciiTheme="majorHAnsi" w:hAnsiTheme="majorHAnsi" w:cstheme="majorHAnsi"/>
          <w:sz w:val="16"/>
          <w:szCs w:val="16"/>
        </w:rPr>
      </w:pPr>
      <w:r w:rsidRPr="00965653">
        <w:rPr>
          <w:rFonts w:asciiTheme="majorHAnsi" w:eastAsiaTheme="minorEastAsia" w:hAnsiTheme="majorHAnsi" w:cstheme="majorHAnsi"/>
          <w:bCs/>
          <w:sz w:val="16"/>
          <w:szCs w:val="16"/>
        </w:rPr>
        <w:t xml:space="preserve">(a) </w:t>
      </w:r>
      <w:r w:rsidR="00967222" w:rsidRPr="00965653">
        <w:rPr>
          <w:rFonts w:asciiTheme="majorHAnsi" w:eastAsiaTheme="minorEastAsia" w:hAnsiTheme="majorHAnsi" w:cstheme="majorHAnsi"/>
          <w:bCs/>
          <w:sz w:val="16"/>
          <w:szCs w:val="16"/>
        </w:rPr>
        <w:t>The r</w:t>
      </w:r>
      <w:r w:rsidRPr="00965653">
        <w:rPr>
          <w:rFonts w:asciiTheme="majorHAnsi" w:hAnsiTheme="majorHAnsi" w:cstheme="majorHAnsi"/>
          <w:sz w:val="16"/>
          <w:szCs w:val="16"/>
        </w:rPr>
        <w:t xml:space="preserve">atings are a function of unit availabilities, area loads, or both. </w:t>
      </w:r>
    </w:p>
    <w:p w14:paraId="2C002037" w14:textId="77777777" w:rsidR="009C02EB" w:rsidRDefault="009C02EB" w:rsidP="002A68EB">
      <w:pPr>
        <w:pStyle w:val="Heading3"/>
      </w:pPr>
      <w:bookmarkStart w:id="41" w:name="_Toc52533793"/>
      <w:r>
        <w:t>Interchanges</w:t>
      </w:r>
      <w:r w:rsidR="00965653">
        <w:t xml:space="preserve"> with Neighboring Systems</w:t>
      </w:r>
      <w:bookmarkEnd w:id="41"/>
    </w:p>
    <w:p w14:paraId="1BE0ACA8" w14:textId="77777777" w:rsidR="00740FBD" w:rsidRDefault="00F5108A" w:rsidP="00740FBD">
      <w:r w:rsidRPr="00343A52">
        <w:fldChar w:fldCharType="begin"/>
      </w:r>
      <w:r w:rsidRPr="001C20B1">
        <w:instrText xml:space="preserve"> REF _Ref42591006 \h  \* MERGEFORMAT </w:instrText>
      </w:r>
      <w:r w:rsidRPr="00343A52">
        <w:fldChar w:fldCharType="separate"/>
      </w:r>
      <w:r w:rsidR="005061EC" w:rsidRPr="00923778">
        <w:t xml:space="preserve">Table </w:t>
      </w:r>
      <w:r w:rsidR="005061EC">
        <w:rPr>
          <w:noProof/>
        </w:rPr>
        <w:t>4</w:t>
      </w:r>
      <w:r w:rsidR="005061EC">
        <w:rPr>
          <w:noProof/>
        </w:rPr>
        <w:noBreakHyphen/>
        <w:t>1</w:t>
      </w:r>
      <w:r w:rsidRPr="00343A52">
        <w:fldChar w:fldCharType="end"/>
      </w:r>
      <w:r w:rsidR="00740FBD">
        <w:t xml:space="preserve"> </w:t>
      </w:r>
      <w:r w:rsidR="00740FBD" w:rsidRPr="003B0588">
        <w:t xml:space="preserve">shows the </w:t>
      </w:r>
      <w:r w:rsidR="00740FBD">
        <w:t xml:space="preserve">assumed </w:t>
      </w:r>
      <w:r w:rsidR="00740FBD" w:rsidRPr="003B0588">
        <w:t>2030 external interchanges with neighboring sys</w:t>
      </w:r>
      <w:r w:rsidR="00740FBD" w:rsidRPr="00607050">
        <w:t xml:space="preserve">tems, including the new </w:t>
      </w:r>
      <w:r w:rsidR="00607050" w:rsidRPr="000B5ACD">
        <w:t>state-contracted transmission line</w:t>
      </w:r>
      <w:r w:rsidR="00740FBD" w:rsidRPr="00607050">
        <w:t xml:space="preserve"> from Québec (</w:t>
      </w:r>
      <w:r w:rsidR="00FF79C4" w:rsidRPr="00607050">
        <w:t xml:space="preserve">i.e., the </w:t>
      </w:r>
      <w:r w:rsidR="00740FBD" w:rsidRPr="00607050">
        <w:t>NECEC)</w:t>
      </w:r>
      <w:r w:rsidR="00BF1EA7" w:rsidRPr="00607050">
        <w:t xml:space="preserve">. </w:t>
      </w:r>
      <w:r w:rsidR="00740FBD" w:rsidRPr="00607050">
        <w:t>The same</w:t>
      </w:r>
      <w:r w:rsidR="009C199B" w:rsidRPr="00607050">
        <w:t xml:space="preserve"> internal and external</w:t>
      </w:r>
      <w:r w:rsidR="00740FBD" w:rsidRPr="00607050">
        <w:t xml:space="preserve"> interface capabilities were assumed for all scenarios. </w:t>
      </w:r>
      <w:r w:rsidR="009C199B" w:rsidRPr="00607050">
        <w:t>H</w:t>
      </w:r>
      <w:r w:rsidR="00740FBD" w:rsidRPr="00607050">
        <w:t>istorical profiles</w:t>
      </w:r>
      <w:r w:rsidR="009C199B" w:rsidRPr="00607050">
        <w:t xml:space="preserve"> were used to ref</w:t>
      </w:r>
      <w:r w:rsidR="009C199B">
        <w:t xml:space="preserve">lect both FCM capacity imports and opportunity-based </w:t>
      </w:r>
      <w:r w:rsidR="00740FBD">
        <w:t>energy</w:t>
      </w:r>
      <w:r w:rsidR="009C199B">
        <w:t xml:space="preserve"> </w:t>
      </w:r>
      <w:r w:rsidR="00740FBD">
        <w:t>import</w:t>
      </w:r>
      <w:r w:rsidR="009C199B">
        <w:t xml:space="preserve">s that respected </w:t>
      </w:r>
      <w:r w:rsidR="00740FBD">
        <w:t>the import-transfer capability of the ties.</w:t>
      </w:r>
      <w:r w:rsidR="001934E9">
        <w:t xml:space="preserve"> </w:t>
      </w:r>
    </w:p>
    <w:p w14:paraId="154C783C" w14:textId="77777777" w:rsidR="00740FBD" w:rsidRDefault="004803CA" w:rsidP="00923778">
      <w:pPr>
        <w:pStyle w:val="Caption"/>
        <w:jc w:val="center"/>
      </w:pPr>
      <w:bookmarkStart w:id="42" w:name="_Ref42591006"/>
      <w:bookmarkStart w:id="43" w:name="_Toc52533820"/>
      <w:r w:rsidRPr="00923778">
        <w:t xml:space="preserve">Table </w:t>
      </w:r>
      <w:r w:rsidR="000D5F76">
        <w:fldChar w:fldCharType="begin"/>
      </w:r>
      <w:r w:rsidR="000D5F76">
        <w:instrText xml:space="preserve"> STYLEREF 1 \s </w:instrText>
      </w:r>
      <w:r w:rsidR="000D5F76">
        <w:fldChar w:fldCharType="separate"/>
      </w:r>
      <w:r w:rsidR="005061EC">
        <w:rPr>
          <w:noProof/>
        </w:rPr>
        <w:t>4</w:t>
      </w:r>
      <w:r w:rsidR="000D5F76">
        <w:rPr>
          <w:noProof/>
        </w:rPr>
        <w:fldChar w:fldCharType="end"/>
      </w:r>
      <w:r w:rsidR="00D7214A">
        <w:noBreakHyphen/>
      </w:r>
      <w:r w:rsidR="000D5F76">
        <w:fldChar w:fldCharType="begin"/>
      </w:r>
      <w:r w:rsidR="000D5F76">
        <w:instrText xml:space="preserve"> SEQ Tab</w:instrText>
      </w:r>
      <w:r w:rsidR="000D5F76">
        <w:instrText xml:space="preserve">le \* ARABIC \s 1 </w:instrText>
      </w:r>
      <w:r w:rsidR="000D5F76">
        <w:fldChar w:fldCharType="separate"/>
      </w:r>
      <w:r w:rsidR="005061EC">
        <w:rPr>
          <w:noProof/>
        </w:rPr>
        <w:t>1</w:t>
      </w:r>
      <w:r w:rsidR="000D5F76">
        <w:rPr>
          <w:noProof/>
        </w:rPr>
        <w:fldChar w:fldCharType="end"/>
      </w:r>
      <w:bookmarkEnd w:id="42"/>
      <w:r w:rsidRPr="00923778">
        <w:br/>
      </w:r>
      <w:r w:rsidR="00740FBD" w:rsidRPr="00923778">
        <w:t>Interchange with Neighboring Systems</w:t>
      </w:r>
      <w:r w:rsidR="009C02EB" w:rsidRPr="00923778">
        <w:t xml:space="preserve"> (MW)</w:t>
      </w:r>
      <w:bookmarkEnd w:id="43"/>
    </w:p>
    <w:tbl>
      <w:tblPr>
        <w:tblStyle w:val="TableGrid"/>
        <w:tblW w:w="0" w:type="auto"/>
        <w:jc w:val="center"/>
        <w:tblLook w:val="04A0" w:firstRow="1" w:lastRow="0" w:firstColumn="1" w:lastColumn="0" w:noHBand="0" w:noVBand="1"/>
      </w:tblPr>
      <w:tblGrid>
        <w:gridCol w:w="1797"/>
        <w:gridCol w:w="2070"/>
        <w:gridCol w:w="4950"/>
      </w:tblGrid>
      <w:tr w:rsidR="005C44FB" w:rsidRPr="00923778" w14:paraId="529B695C" w14:textId="77777777" w:rsidTr="00561154">
        <w:trPr>
          <w:jc w:val="center"/>
        </w:trPr>
        <w:tc>
          <w:tcPr>
            <w:tcW w:w="1797" w:type="dxa"/>
            <w:tcBorders>
              <w:top w:val="single" w:sz="2" w:space="0" w:color="auto"/>
              <w:left w:val="single" w:sz="2" w:space="0" w:color="auto"/>
              <w:bottom w:val="single" w:sz="2" w:space="0" w:color="auto"/>
              <w:right w:val="single" w:sz="2" w:space="0" w:color="auto"/>
            </w:tcBorders>
            <w:shd w:val="clear" w:color="auto" w:fill="1795D2" w:themeFill="accent1"/>
            <w:vAlign w:val="center"/>
          </w:tcPr>
          <w:p w14:paraId="31AD490D" w14:textId="77777777" w:rsidR="00E86673" w:rsidRPr="00736446" w:rsidRDefault="005C44FB" w:rsidP="00E712DA">
            <w:pPr>
              <w:keepNext/>
              <w:keepLines/>
              <w:spacing w:before="40" w:after="40" w:line="240" w:lineRule="auto"/>
              <w:jc w:val="center"/>
              <w:rPr>
                <w:rFonts w:asciiTheme="majorHAnsi" w:hAnsiTheme="majorHAnsi" w:cstheme="majorHAnsi"/>
                <w:b/>
                <w:color w:val="FFFFFF" w:themeColor="background1"/>
                <w:sz w:val="18"/>
                <w:szCs w:val="18"/>
              </w:rPr>
            </w:pPr>
            <w:r w:rsidRPr="007110DD">
              <w:rPr>
                <w:rFonts w:asciiTheme="majorHAnsi" w:hAnsiTheme="majorHAnsi" w:cstheme="majorHAnsi"/>
                <w:b/>
                <w:color w:val="FFFFFF" w:themeColor="background1"/>
                <w:sz w:val="18"/>
                <w:szCs w:val="18"/>
              </w:rPr>
              <w:t>Interconnection</w:t>
            </w:r>
          </w:p>
        </w:tc>
        <w:tc>
          <w:tcPr>
            <w:tcW w:w="2070" w:type="dxa"/>
            <w:tcBorders>
              <w:top w:val="single" w:sz="2" w:space="0" w:color="auto"/>
              <w:left w:val="single" w:sz="2" w:space="0" w:color="auto"/>
              <w:bottom w:val="single" w:sz="2" w:space="0" w:color="auto"/>
              <w:right w:val="single" w:sz="2" w:space="0" w:color="auto"/>
            </w:tcBorders>
            <w:shd w:val="clear" w:color="auto" w:fill="1795D2" w:themeFill="accent1"/>
            <w:tcMar>
              <w:left w:w="115" w:type="dxa"/>
              <w:right w:w="115" w:type="dxa"/>
            </w:tcMar>
            <w:vAlign w:val="center"/>
          </w:tcPr>
          <w:p w14:paraId="5FD8347D" w14:textId="77777777" w:rsidR="00E86673" w:rsidRPr="00736446" w:rsidRDefault="005C44FB" w:rsidP="009C199B">
            <w:pPr>
              <w:keepNext/>
              <w:keepLines/>
              <w:spacing w:before="40" w:after="40" w:line="240" w:lineRule="auto"/>
              <w:jc w:val="center"/>
              <w:rPr>
                <w:rFonts w:asciiTheme="majorHAnsi" w:hAnsiTheme="majorHAnsi" w:cstheme="majorHAnsi"/>
                <w:b/>
                <w:color w:val="FFFFFF" w:themeColor="background1"/>
                <w:sz w:val="18"/>
                <w:szCs w:val="18"/>
              </w:rPr>
            </w:pPr>
            <w:r w:rsidRPr="00736446">
              <w:rPr>
                <w:rFonts w:asciiTheme="majorHAnsi" w:hAnsiTheme="majorHAnsi" w:cstheme="majorHAnsi"/>
                <w:b/>
                <w:color w:val="FFFFFF" w:themeColor="background1"/>
                <w:sz w:val="18"/>
                <w:szCs w:val="18"/>
              </w:rPr>
              <w:t>Import</w:t>
            </w:r>
            <w:r w:rsidR="009C199B">
              <w:rPr>
                <w:rFonts w:asciiTheme="majorHAnsi" w:hAnsiTheme="majorHAnsi" w:cstheme="majorHAnsi"/>
                <w:b/>
                <w:color w:val="FFFFFF" w:themeColor="background1"/>
                <w:sz w:val="18"/>
                <w:szCs w:val="18"/>
              </w:rPr>
              <w:t>-Transfer</w:t>
            </w:r>
            <w:r w:rsidR="009C199B">
              <w:rPr>
                <w:rFonts w:asciiTheme="majorHAnsi" w:hAnsiTheme="majorHAnsi" w:cstheme="majorHAnsi"/>
                <w:b/>
                <w:color w:val="FFFFFF" w:themeColor="background1"/>
                <w:sz w:val="18"/>
                <w:szCs w:val="18"/>
              </w:rPr>
              <w:br/>
            </w:r>
            <w:r w:rsidRPr="00736446">
              <w:rPr>
                <w:rFonts w:asciiTheme="majorHAnsi" w:hAnsiTheme="majorHAnsi" w:cstheme="majorHAnsi"/>
                <w:b/>
                <w:color w:val="FFFFFF" w:themeColor="background1"/>
                <w:sz w:val="18"/>
                <w:szCs w:val="18"/>
              </w:rPr>
              <w:t>Capability (MW)</w:t>
            </w:r>
            <w:r w:rsidR="008D06BF" w:rsidRPr="008D06BF">
              <w:rPr>
                <w:rFonts w:asciiTheme="majorHAnsi" w:hAnsiTheme="majorHAnsi" w:cstheme="majorHAnsi"/>
                <w:b/>
                <w:color w:val="FFFFFF" w:themeColor="background1"/>
                <w:sz w:val="18"/>
                <w:szCs w:val="18"/>
                <w:vertAlign w:val="superscript"/>
              </w:rPr>
              <w:t>(a)</w:t>
            </w:r>
          </w:p>
        </w:tc>
        <w:tc>
          <w:tcPr>
            <w:tcW w:w="4950" w:type="dxa"/>
            <w:tcBorders>
              <w:top w:val="single" w:sz="2" w:space="0" w:color="auto"/>
              <w:left w:val="single" w:sz="2" w:space="0" w:color="auto"/>
              <w:bottom w:val="single" w:sz="2" w:space="0" w:color="auto"/>
              <w:right w:val="single" w:sz="2" w:space="0" w:color="auto"/>
            </w:tcBorders>
            <w:shd w:val="clear" w:color="auto" w:fill="1795D2" w:themeFill="accent1"/>
            <w:vAlign w:val="center"/>
          </w:tcPr>
          <w:p w14:paraId="0462852B" w14:textId="77777777" w:rsidR="00E86673" w:rsidRPr="00736446" w:rsidRDefault="005C44FB" w:rsidP="00E712DA">
            <w:pPr>
              <w:keepNext/>
              <w:keepLines/>
              <w:spacing w:before="40" w:after="40" w:line="240" w:lineRule="auto"/>
              <w:jc w:val="center"/>
              <w:rPr>
                <w:rFonts w:asciiTheme="majorHAnsi" w:hAnsiTheme="majorHAnsi" w:cstheme="majorHAnsi"/>
                <w:b/>
                <w:color w:val="FFFFFF" w:themeColor="background1"/>
                <w:sz w:val="18"/>
                <w:szCs w:val="18"/>
              </w:rPr>
            </w:pPr>
            <w:r w:rsidRPr="00736446">
              <w:rPr>
                <w:rFonts w:asciiTheme="majorHAnsi" w:hAnsiTheme="majorHAnsi" w:cstheme="majorHAnsi"/>
                <w:b/>
                <w:color w:val="FFFFFF" w:themeColor="background1"/>
                <w:sz w:val="18"/>
                <w:szCs w:val="18"/>
              </w:rPr>
              <w:t>Interchange Modeling</w:t>
            </w:r>
          </w:p>
        </w:tc>
      </w:tr>
      <w:tr w:rsidR="00E86673" w:rsidRPr="007110DD" w14:paraId="5E94C361" w14:textId="77777777" w:rsidTr="00561154">
        <w:trPr>
          <w:jc w:val="center"/>
        </w:trPr>
        <w:tc>
          <w:tcPr>
            <w:tcW w:w="1797" w:type="dxa"/>
            <w:tcBorders>
              <w:top w:val="single" w:sz="2" w:space="0" w:color="auto"/>
              <w:left w:val="single" w:sz="2" w:space="0" w:color="auto"/>
              <w:bottom w:val="single" w:sz="2" w:space="0" w:color="auto"/>
              <w:right w:val="single" w:sz="2" w:space="0" w:color="auto"/>
            </w:tcBorders>
            <w:vAlign w:val="center"/>
          </w:tcPr>
          <w:p w14:paraId="2F25C4BE" w14:textId="77777777" w:rsidR="00E86673" w:rsidRPr="00561154" w:rsidRDefault="005C44FB" w:rsidP="004826D9">
            <w:pPr>
              <w:keepNext/>
              <w:keepLines/>
              <w:spacing w:before="40" w:after="40" w:line="240" w:lineRule="auto"/>
              <w:rPr>
                <w:rFonts w:asciiTheme="majorHAnsi" w:hAnsiTheme="majorHAnsi" w:cstheme="majorHAnsi"/>
                <w:b/>
                <w:sz w:val="18"/>
                <w:szCs w:val="18"/>
              </w:rPr>
            </w:pPr>
            <w:r w:rsidRPr="00561154">
              <w:rPr>
                <w:rFonts w:asciiTheme="majorHAnsi" w:hAnsiTheme="majorHAnsi" w:cstheme="majorHAnsi"/>
                <w:b/>
                <w:sz w:val="18"/>
                <w:szCs w:val="18"/>
              </w:rPr>
              <w:t>H</w:t>
            </w:r>
            <w:r w:rsidR="00DC45CA" w:rsidRPr="00561154">
              <w:rPr>
                <w:rFonts w:asciiTheme="majorHAnsi" w:hAnsiTheme="majorHAnsi" w:cstheme="majorHAnsi"/>
                <w:b/>
                <w:sz w:val="18"/>
                <w:szCs w:val="18"/>
              </w:rPr>
              <w:t>i</w:t>
            </w:r>
            <w:r w:rsidRPr="00561154">
              <w:rPr>
                <w:rFonts w:asciiTheme="majorHAnsi" w:hAnsiTheme="majorHAnsi" w:cstheme="majorHAnsi"/>
                <w:b/>
                <w:sz w:val="18"/>
                <w:szCs w:val="18"/>
              </w:rPr>
              <w:t>ghgate</w:t>
            </w:r>
          </w:p>
        </w:tc>
        <w:tc>
          <w:tcPr>
            <w:tcW w:w="2070" w:type="dxa"/>
            <w:tcBorders>
              <w:top w:val="single" w:sz="2" w:space="0" w:color="auto"/>
              <w:left w:val="single" w:sz="2" w:space="0" w:color="auto"/>
              <w:bottom w:val="single" w:sz="2" w:space="0" w:color="auto"/>
              <w:right w:val="single" w:sz="2" w:space="0" w:color="auto"/>
            </w:tcBorders>
            <w:tcMar>
              <w:left w:w="115" w:type="dxa"/>
              <w:right w:w="115" w:type="dxa"/>
            </w:tcMar>
            <w:vAlign w:val="center"/>
          </w:tcPr>
          <w:p w14:paraId="56F96A17" w14:textId="77777777" w:rsidR="00E86673" w:rsidRPr="007110DD" w:rsidRDefault="00561154" w:rsidP="00561154">
            <w:pPr>
              <w:keepNext/>
              <w:keepLines/>
              <w:spacing w:before="40" w:after="40" w:line="240" w:lineRule="auto"/>
              <w:jc w:val="center"/>
              <w:rPr>
                <w:rFonts w:asciiTheme="majorHAnsi" w:hAnsiTheme="majorHAnsi" w:cstheme="majorHAnsi"/>
                <w:sz w:val="18"/>
                <w:szCs w:val="18"/>
              </w:rPr>
            </w:pPr>
            <w:r>
              <w:rPr>
                <w:rFonts w:asciiTheme="majorHAnsi" w:hAnsiTheme="majorHAnsi" w:cstheme="majorHAnsi"/>
                <w:sz w:val="18"/>
                <w:szCs w:val="18"/>
              </w:rPr>
              <w:t xml:space="preserve"> </w:t>
            </w:r>
            <w:r w:rsidR="003B1CA7">
              <w:rPr>
                <w:rFonts w:asciiTheme="majorHAnsi" w:hAnsiTheme="majorHAnsi" w:cstheme="majorHAnsi"/>
                <w:sz w:val="18"/>
                <w:szCs w:val="18"/>
              </w:rPr>
              <w:t xml:space="preserve"> </w:t>
            </w:r>
            <w:r>
              <w:rPr>
                <w:rFonts w:asciiTheme="majorHAnsi" w:hAnsiTheme="majorHAnsi" w:cstheme="majorHAnsi"/>
                <w:sz w:val="18"/>
                <w:szCs w:val="18"/>
              </w:rPr>
              <w:t xml:space="preserve"> </w:t>
            </w:r>
            <w:r w:rsidR="00923778" w:rsidRPr="007110DD">
              <w:rPr>
                <w:rFonts w:asciiTheme="majorHAnsi" w:hAnsiTheme="majorHAnsi" w:cstheme="majorHAnsi"/>
                <w:sz w:val="18"/>
                <w:szCs w:val="18"/>
              </w:rPr>
              <w:t>217</w:t>
            </w:r>
            <w:r w:rsidR="00923778" w:rsidRPr="007110DD">
              <w:rPr>
                <w:rFonts w:asciiTheme="majorHAnsi" w:hAnsiTheme="majorHAnsi" w:cstheme="majorHAnsi"/>
                <w:sz w:val="18"/>
                <w:szCs w:val="18"/>
                <w:vertAlign w:val="superscript"/>
              </w:rPr>
              <w:t>(</w:t>
            </w:r>
            <w:r w:rsidR="008D06BF">
              <w:rPr>
                <w:rFonts w:asciiTheme="majorHAnsi" w:hAnsiTheme="majorHAnsi" w:cstheme="majorHAnsi"/>
                <w:sz w:val="18"/>
                <w:szCs w:val="18"/>
                <w:vertAlign w:val="superscript"/>
              </w:rPr>
              <w:t>b</w:t>
            </w:r>
            <w:r w:rsidR="00923778" w:rsidRPr="007110DD">
              <w:rPr>
                <w:rFonts w:asciiTheme="majorHAnsi" w:hAnsiTheme="majorHAnsi" w:cstheme="majorHAnsi"/>
                <w:sz w:val="18"/>
                <w:szCs w:val="18"/>
                <w:vertAlign w:val="superscript"/>
              </w:rPr>
              <w:t>)</w:t>
            </w:r>
          </w:p>
        </w:tc>
        <w:tc>
          <w:tcPr>
            <w:tcW w:w="4950" w:type="dxa"/>
            <w:tcBorders>
              <w:top w:val="single" w:sz="2" w:space="0" w:color="auto"/>
              <w:left w:val="single" w:sz="2" w:space="0" w:color="auto"/>
              <w:bottom w:val="single" w:sz="2" w:space="0" w:color="auto"/>
              <w:right w:val="single" w:sz="2" w:space="0" w:color="auto"/>
            </w:tcBorders>
            <w:vAlign w:val="center"/>
          </w:tcPr>
          <w:p w14:paraId="3967CF9E" w14:textId="77777777" w:rsidR="00E86673" w:rsidRPr="007110DD" w:rsidRDefault="00923778" w:rsidP="004826D9">
            <w:pPr>
              <w:keepNext/>
              <w:keepLines/>
              <w:spacing w:before="40" w:after="40" w:line="240" w:lineRule="auto"/>
              <w:rPr>
                <w:rFonts w:asciiTheme="majorHAnsi" w:hAnsiTheme="majorHAnsi" w:cstheme="majorHAnsi"/>
                <w:sz w:val="18"/>
                <w:szCs w:val="18"/>
              </w:rPr>
            </w:pPr>
            <w:r w:rsidRPr="007110DD">
              <w:rPr>
                <w:rFonts w:asciiTheme="majorHAnsi" w:hAnsiTheme="majorHAnsi" w:cstheme="majorHAnsi"/>
                <w:sz w:val="18"/>
                <w:szCs w:val="18"/>
              </w:rPr>
              <w:t>Historical diurnal profile averaged over 2016 through 2018</w:t>
            </w:r>
          </w:p>
        </w:tc>
      </w:tr>
      <w:tr w:rsidR="00923778" w:rsidRPr="007110DD" w14:paraId="75758883" w14:textId="77777777" w:rsidTr="00561154">
        <w:trPr>
          <w:jc w:val="center"/>
        </w:trPr>
        <w:tc>
          <w:tcPr>
            <w:tcW w:w="1797"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tcPr>
          <w:p w14:paraId="0C18380F" w14:textId="77777777" w:rsidR="00923778" w:rsidRPr="00561154" w:rsidRDefault="00923778" w:rsidP="004826D9">
            <w:pPr>
              <w:keepNext/>
              <w:keepLines/>
              <w:spacing w:before="40" w:after="40" w:line="240" w:lineRule="auto"/>
              <w:rPr>
                <w:rFonts w:asciiTheme="majorHAnsi" w:hAnsiTheme="majorHAnsi" w:cstheme="majorHAnsi"/>
                <w:b/>
                <w:sz w:val="18"/>
                <w:szCs w:val="18"/>
              </w:rPr>
            </w:pPr>
            <w:r w:rsidRPr="00561154">
              <w:rPr>
                <w:rFonts w:asciiTheme="majorHAnsi" w:hAnsiTheme="majorHAnsi" w:cstheme="majorHAnsi"/>
                <w:b/>
                <w:sz w:val="18"/>
                <w:szCs w:val="18"/>
              </w:rPr>
              <w:t>Hydro-Québec (HQ) Phase II</w:t>
            </w:r>
          </w:p>
        </w:tc>
        <w:tc>
          <w:tcPr>
            <w:tcW w:w="2070" w:type="dxa"/>
            <w:tcBorders>
              <w:top w:val="single" w:sz="2" w:space="0" w:color="auto"/>
              <w:left w:val="single" w:sz="2" w:space="0" w:color="auto"/>
              <w:bottom w:val="single" w:sz="2" w:space="0" w:color="auto"/>
              <w:right w:val="single" w:sz="2" w:space="0" w:color="auto"/>
            </w:tcBorders>
            <w:shd w:val="clear" w:color="auto" w:fill="CCEAF9" w:themeFill="accent1" w:themeFillTint="33"/>
            <w:tcMar>
              <w:left w:w="115" w:type="dxa"/>
              <w:right w:w="115" w:type="dxa"/>
            </w:tcMar>
            <w:vAlign w:val="center"/>
          </w:tcPr>
          <w:p w14:paraId="182B466F" w14:textId="77777777" w:rsidR="00923778" w:rsidRPr="007110DD" w:rsidRDefault="00923778" w:rsidP="00561154">
            <w:pPr>
              <w:keepNext/>
              <w:keepLines/>
              <w:spacing w:before="40" w:after="40" w:line="240" w:lineRule="auto"/>
              <w:jc w:val="center"/>
              <w:rPr>
                <w:rFonts w:asciiTheme="majorHAnsi" w:hAnsiTheme="majorHAnsi" w:cstheme="majorHAnsi"/>
                <w:sz w:val="18"/>
                <w:szCs w:val="18"/>
              </w:rPr>
            </w:pPr>
            <w:r w:rsidRPr="007110DD">
              <w:rPr>
                <w:rFonts w:asciiTheme="majorHAnsi" w:hAnsiTheme="majorHAnsi" w:cstheme="majorHAnsi"/>
                <w:sz w:val="18"/>
                <w:szCs w:val="18"/>
              </w:rPr>
              <w:t>2,000</w:t>
            </w:r>
            <w:r w:rsidRPr="007110DD">
              <w:rPr>
                <w:rFonts w:asciiTheme="majorHAnsi" w:hAnsiTheme="majorHAnsi" w:cstheme="majorHAnsi"/>
                <w:sz w:val="18"/>
                <w:szCs w:val="18"/>
                <w:vertAlign w:val="superscript"/>
              </w:rPr>
              <w:t>(</w:t>
            </w:r>
            <w:r w:rsidR="008D06BF">
              <w:rPr>
                <w:rFonts w:asciiTheme="majorHAnsi" w:hAnsiTheme="majorHAnsi" w:cstheme="majorHAnsi"/>
                <w:sz w:val="18"/>
                <w:szCs w:val="18"/>
                <w:vertAlign w:val="superscript"/>
              </w:rPr>
              <w:t>b</w:t>
            </w:r>
            <w:r w:rsidRPr="007110DD">
              <w:rPr>
                <w:rFonts w:asciiTheme="majorHAnsi" w:hAnsiTheme="majorHAnsi" w:cstheme="majorHAnsi"/>
                <w:sz w:val="18"/>
                <w:szCs w:val="18"/>
                <w:vertAlign w:val="superscript"/>
              </w:rPr>
              <w:t>)</w:t>
            </w:r>
          </w:p>
        </w:tc>
        <w:tc>
          <w:tcPr>
            <w:tcW w:w="4950"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tcPr>
          <w:p w14:paraId="4F39BF87" w14:textId="77777777" w:rsidR="00923778" w:rsidRPr="007110DD" w:rsidRDefault="00923778" w:rsidP="004826D9">
            <w:pPr>
              <w:keepNext/>
              <w:keepLines/>
              <w:spacing w:before="40" w:after="40" w:line="240" w:lineRule="auto"/>
              <w:rPr>
                <w:rFonts w:asciiTheme="majorHAnsi" w:hAnsiTheme="majorHAnsi" w:cstheme="majorHAnsi"/>
                <w:sz w:val="18"/>
                <w:szCs w:val="18"/>
              </w:rPr>
            </w:pPr>
            <w:r w:rsidRPr="007110DD">
              <w:rPr>
                <w:rFonts w:asciiTheme="majorHAnsi" w:hAnsiTheme="majorHAnsi" w:cstheme="majorHAnsi"/>
                <w:sz w:val="18"/>
                <w:szCs w:val="18"/>
              </w:rPr>
              <w:t>Historical diurnal profile averaged over 2016 through 2018</w:t>
            </w:r>
          </w:p>
        </w:tc>
      </w:tr>
      <w:tr w:rsidR="00923778" w:rsidRPr="007110DD" w14:paraId="2531E020" w14:textId="77777777" w:rsidTr="00561154">
        <w:trPr>
          <w:jc w:val="center"/>
        </w:trPr>
        <w:tc>
          <w:tcPr>
            <w:tcW w:w="1797" w:type="dxa"/>
            <w:tcBorders>
              <w:top w:val="single" w:sz="2" w:space="0" w:color="auto"/>
              <w:left w:val="single" w:sz="2" w:space="0" w:color="auto"/>
              <w:bottom w:val="single" w:sz="2" w:space="0" w:color="auto"/>
              <w:right w:val="single" w:sz="2" w:space="0" w:color="auto"/>
            </w:tcBorders>
            <w:vAlign w:val="center"/>
          </w:tcPr>
          <w:p w14:paraId="39030E10" w14:textId="77777777" w:rsidR="00923778" w:rsidRPr="00561154" w:rsidRDefault="00923778" w:rsidP="00E712DA">
            <w:pPr>
              <w:keepNext/>
              <w:keepLines/>
              <w:spacing w:before="40" w:after="40" w:line="240" w:lineRule="auto"/>
              <w:rPr>
                <w:rFonts w:asciiTheme="majorHAnsi" w:hAnsiTheme="majorHAnsi" w:cstheme="majorHAnsi"/>
                <w:b/>
                <w:sz w:val="18"/>
                <w:szCs w:val="18"/>
              </w:rPr>
            </w:pPr>
            <w:r w:rsidRPr="00561154">
              <w:rPr>
                <w:rFonts w:asciiTheme="majorHAnsi" w:hAnsiTheme="majorHAnsi" w:cstheme="majorHAnsi"/>
                <w:b/>
                <w:sz w:val="18"/>
                <w:szCs w:val="18"/>
              </w:rPr>
              <w:t>HQ-NECEC</w:t>
            </w:r>
          </w:p>
        </w:tc>
        <w:tc>
          <w:tcPr>
            <w:tcW w:w="2070" w:type="dxa"/>
            <w:tcBorders>
              <w:top w:val="single" w:sz="2" w:space="0" w:color="auto"/>
              <w:left w:val="single" w:sz="2" w:space="0" w:color="auto"/>
              <w:bottom w:val="single" w:sz="2" w:space="0" w:color="auto"/>
              <w:right w:val="single" w:sz="2" w:space="0" w:color="auto"/>
            </w:tcBorders>
            <w:tcMar>
              <w:left w:w="115" w:type="dxa"/>
              <w:right w:w="115" w:type="dxa"/>
            </w:tcMar>
            <w:vAlign w:val="center"/>
          </w:tcPr>
          <w:p w14:paraId="453F5B0C" w14:textId="77777777" w:rsidR="00923778" w:rsidRPr="007110DD" w:rsidRDefault="00561154" w:rsidP="00561154">
            <w:pPr>
              <w:keepNext/>
              <w:keepLines/>
              <w:spacing w:before="40" w:after="40" w:line="240" w:lineRule="auto"/>
              <w:rPr>
                <w:rFonts w:asciiTheme="majorHAnsi" w:hAnsiTheme="majorHAnsi" w:cstheme="majorHAnsi"/>
                <w:sz w:val="18"/>
                <w:szCs w:val="18"/>
              </w:rPr>
            </w:pPr>
            <w:r>
              <w:rPr>
                <w:rFonts w:asciiTheme="majorHAnsi" w:hAnsiTheme="majorHAnsi" w:cstheme="majorHAnsi"/>
                <w:sz w:val="18"/>
                <w:szCs w:val="18"/>
              </w:rPr>
              <w:t xml:space="preserve">                </w:t>
            </w:r>
            <w:r w:rsidR="00923778" w:rsidRPr="007110DD">
              <w:rPr>
                <w:rFonts w:asciiTheme="majorHAnsi" w:hAnsiTheme="majorHAnsi" w:cstheme="majorHAnsi"/>
                <w:sz w:val="18"/>
                <w:szCs w:val="18"/>
              </w:rPr>
              <w:t>1,200</w:t>
            </w:r>
          </w:p>
        </w:tc>
        <w:tc>
          <w:tcPr>
            <w:tcW w:w="4950" w:type="dxa"/>
            <w:tcBorders>
              <w:top w:val="single" w:sz="2" w:space="0" w:color="auto"/>
              <w:left w:val="single" w:sz="2" w:space="0" w:color="auto"/>
              <w:bottom w:val="single" w:sz="2" w:space="0" w:color="auto"/>
              <w:right w:val="single" w:sz="2" w:space="0" w:color="auto"/>
            </w:tcBorders>
            <w:vAlign w:val="center"/>
          </w:tcPr>
          <w:p w14:paraId="2A94B008" w14:textId="77777777" w:rsidR="00923778" w:rsidRPr="007110DD" w:rsidRDefault="00923778" w:rsidP="00815C84">
            <w:pPr>
              <w:keepNext/>
              <w:keepLines/>
              <w:spacing w:before="40" w:after="40" w:line="240" w:lineRule="auto"/>
              <w:rPr>
                <w:rFonts w:asciiTheme="majorHAnsi" w:hAnsiTheme="majorHAnsi" w:cstheme="majorHAnsi"/>
                <w:sz w:val="18"/>
                <w:szCs w:val="18"/>
              </w:rPr>
            </w:pPr>
            <w:r w:rsidRPr="007110DD">
              <w:rPr>
                <w:rFonts w:asciiTheme="majorHAnsi" w:hAnsiTheme="majorHAnsi" w:cstheme="majorHAnsi"/>
                <w:sz w:val="18"/>
                <w:szCs w:val="18"/>
              </w:rPr>
              <w:t>Assumed firm energy delivery of 1,</w:t>
            </w:r>
            <w:r w:rsidR="00815C84" w:rsidRPr="007110DD">
              <w:rPr>
                <w:rFonts w:asciiTheme="majorHAnsi" w:hAnsiTheme="majorHAnsi" w:cstheme="majorHAnsi"/>
                <w:sz w:val="18"/>
                <w:szCs w:val="18"/>
              </w:rPr>
              <w:t>090 </w:t>
            </w:r>
            <w:r w:rsidRPr="007110DD">
              <w:rPr>
                <w:rFonts w:asciiTheme="majorHAnsi" w:hAnsiTheme="majorHAnsi" w:cstheme="majorHAnsi"/>
                <w:sz w:val="18"/>
                <w:szCs w:val="18"/>
              </w:rPr>
              <w:t>MW across all hours</w:t>
            </w:r>
          </w:p>
        </w:tc>
      </w:tr>
      <w:tr w:rsidR="00923778" w:rsidRPr="00342AAB" w14:paraId="163320AE" w14:textId="77777777" w:rsidTr="00561154">
        <w:trPr>
          <w:jc w:val="center"/>
        </w:trPr>
        <w:tc>
          <w:tcPr>
            <w:tcW w:w="1797"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tcPr>
          <w:p w14:paraId="056FEE77" w14:textId="77777777" w:rsidR="00923778" w:rsidRPr="00342AAB" w:rsidRDefault="00923778" w:rsidP="00E712DA">
            <w:pPr>
              <w:keepNext/>
              <w:keepLines/>
              <w:spacing w:before="40" w:after="40" w:line="240" w:lineRule="auto"/>
              <w:rPr>
                <w:rFonts w:asciiTheme="majorHAnsi" w:hAnsiTheme="majorHAnsi" w:cstheme="majorHAnsi"/>
                <w:b/>
                <w:sz w:val="18"/>
                <w:szCs w:val="18"/>
              </w:rPr>
            </w:pPr>
            <w:r w:rsidRPr="00342AAB">
              <w:rPr>
                <w:rFonts w:asciiTheme="majorHAnsi" w:hAnsiTheme="majorHAnsi" w:cstheme="majorHAnsi"/>
                <w:b/>
                <w:sz w:val="18"/>
                <w:szCs w:val="18"/>
              </w:rPr>
              <w:t>New Brunswick</w:t>
            </w:r>
          </w:p>
        </w:tc>
        <w:tc>
          <w:tcPr>
            <w:tcW w:w="2070" w:type="dxa"/>
            <w:tcBorders>
              <w:top w:val="single" w:sz="2" w:space="0" w:color="auto"/>
              <w:left w:val="single" w:sz="2" w:space="0" w:color="auto"/>
              <w:bottom w:val="single" w:sz="2" w:space="0" w:color="auto"/>
              <w:right w:val="single" w:sz="2" w:space="0" w:color="auto"/>
            </w:tcBorders>
            <w:shd w:val="clear" w:color="auto" w:fill="CCEAF9" w:themeFill="accent1" w:themeFillTint="33"/>
            <w:tcMar>
              <w:left w:w="115" w:type="dxa"/>
              <w:right w:w="115" w:type="dxa"/>
            </w:tcMar>
            <w:vAlign w:val="center"/>
          </w:tcPr>
          <w:p w14:paraId="321BFF9B" w14:textId="77777777" w:rsidR="00923778" w:rsidRPr="00342AAB" w:rsidRDefault="00923778" w:rsidP="00561154">
            <w:pPr>
              <w:keepNext/>
              <w:keepLines/>
              <w:spacing w:before="40" w:after="40" w:line="240" w:lineRule="auto"/>
              <w:jc w:val="center"/>
              <w:rPr>
                <w:rFonts w:asciiTheme="majorHAnsi" w:hAnsiTheme="majorHAnsi" w:cstheme="majorHAnsi"/>
                <w:sz w:val="18"/>
                <w:szCs w:val="18"/>
              </w:rPr>
            </w:pPr>
            <w:r w:rsidRPr="00342AAB">
              <w:rPr>
                <w:rFonts w:asciiTheme="majorHAnsi" w:hAnsiTheme="majorHAnsi" w:cstheme="majorHAnsi"/>
                <w:sz w:val="18"/>
                <w:szCs w:val="18"/>
              </w:rPr>
              <w:t>1,000</w:t>
            </w:r>
            <w:r w:rsidRPr="00342AAB">
              <w:rPr>
                <w:rFonts w:asciiTheme="majorHAnsi" w:hAnsiTheme="majorHAnsi" w:cstheme="majorHAnsi"/>
                <w:sz w:val="18"/>
                <w:szCs w:val="18"/>
                <w:vertAlign w:val="superscript"/>
              </w:rPr>
              <w:t>(</w:t>
            </w:r>
            <w:r w:rsidR="008D06BF" w:rsidRPr="00342AAB">
              <w:rPr>
                <w:rFonts w:asciiTheme="majorHAnsi" w:hAnsiTheme="majorHAnsi" w:cstheme="majorHAnsi"/>
                <w:sz w:val="18"/>
                <w:szCs w:val="18"/>
                <w:vertAlign w:val="superscript"/>
              </w:rPr>
              <w:t>b</w:t>
            </w:r>
            <w:r w:rsidRPr="00342AAB">
              <w:rPr>
                <w:rFonts w:asciiTheme="majorHAnsi" w:hAnsiTheme="majorHAnsi" w:cstheme="majorHAnsi"/>
                <w:sz w:val="18"/>
                <w:szCs w:val="18"/>
                <w:vertAlign w:val="superscript"/>
              </w:rPr>
              <w:t>)</w:t>
            </w:r>
          </w:p>
        </w:tc>
        <w:tc>
          <w:tcPr>
            <w:tcW w:w="4950" w:type="dxa"/>
            <w:tcBorders>
              <w:top w:val="single" w:sz="2" w:space="0" w:color="auto"/>
              <w:left w:val="single" w:sz="2" w:space="0" w:color="auto"/>
              <w:bottom w:val="single" w:sz="2" w:space="0" w:color="auto"/>
              <w:right w:val="single" w:sz="2" w:space="0" w:color="auto"/>
            </w:tcBorders>
            <w:vAlign w:val="center"/>
          </w:tcPr>
          <w:p w14:paraId="7729B5DF" w14:textId="77777777" w:rsidR="00923778" w:rsidRPr="00342AAB" w:rsidRDefault="00923778" w:rsidP="00E712DA">
            <w:pPr>
              <w:keepNext/>
              <w:keepLines/>
              <w:spacing w:before="40" w:after="40" w:line="240" w:lineRule="auto"/>
              <w:rPr>
                <w:rFonts w:asciiTheme="majorHAnsi" w:hAnsiTheme="majorHAnsi" w:cstheme="majorHAnsi"/>
                <w:sz w:val="18"/>
                <w:szCs w:val="18"/>
              </w:rPr>
            </w:pPr>
            <w:r w:rsidRPr="00342AAB">
              <w:rPr>
                <w:rFonts w:asciiTheme="majorHAnsi" w:hAnsiTheme="majorHAnsi" w:cstheme="majorHAnsi"/>
                <w:sz w:val="18"/>
                <w:szCs w:val="18"/>
              </w:rPr>
              <w:t>Historical diurnal profile averaged over 2016 through 2018</w:t>
            </w:r>
          </w:p>
        </w:tc>
      </w:tr>
      <w:tr w:rsidR="00923778" w:rsidRPr="00342AAB" w14:paraId="27D049FB" w14:textId="77777777" w:rsidTr="00561154">
        <w:trPr>
          <w:jc w:val="center"/>
        </w:trPr>
        <w:tc>
          <w:tcPr>
            <w:tcW w:w="1797" w:type="dxa"/>
            <w:tcBorders>
              <w:top w:val="single" w:sz="2" w:space="0" w:color="auto"/>
              <w:left w:val="single" w:sz="2" w:space="0" w:color="auto"/>
              <w:bottom w:val="single" w:sz="2" w:space="0" w:color="auto"/>
              <w:right w:val="single" w:sz="2" w:space="0" w:color="auto"/>
            </w:tcBorders>
            <w:vAlign w:val="center"/>
          </w:tcPr>
          <w:p w14:paraId="42795FA5" w14:textId="77777777" w:rsidR="00923778" w:rsidRPr="00342AAB" w:rsidRDefault="00923778" w:rsidP="00E712DA">
            <w:pPr>
              <w:keepNext/>
              <w:keepLines/>
              <w:spacing w:before="40" w:after="40" w:line="240" w:lineRule="auto"/>
              <w:rPr>
                <w:rFonts w:asciiTheme="majorHAnsi" w:hAnsiTheme="majorHAnsi" w:cstheme="majorHAnsi"/>
                <w:b/>
                <w:sz w:val="18"/>
                <w:szCs w:val="18"/>
              </w:rPr>
            </w:pPr>
            <w:r w:rsidRPr="00342AAB">
              <w:rPr>
                <w:rFonts w:asciiTheme="majorHAnsi" w:hAnsiTheme="majorHAnsi" w:cstheme="majorHAnsi"/>
                <w:b/>
                <w:sz w:val="18"/>
                <w:szCs w:val="18"/>
              </w:rPr>
              <w:t>New York AC</w:t>
            </w:r>
          </w:p>
        </w:tc>
        <w:tc>
          <w:tcPr>
            <w:tcW w:w="2070" w:type="dxa"/>
            <w:tcBorders>
              <w:top w:val="single" w:sz="2" w:space="0" w:color="auto"/>
              <w:left w:val="single" w:sz="2" w:space="0" w:color="auto"/>
              <w:bottom w:val="single" w:sz="2" w:space="0" w:color="auto"/>
              <w:right w:val="single" w:sz="2" w:space="0" w:color="auto"/>
            </w:tcBorders>
            <w:tcMar>
              <w:left w:w="115" w:type="dxa"/>
              <w:right w:w="115" w:type="dxa"/>
            </w:tcMar>
            <w:vAlign w:val="center"/>
          </w:tcPr>
          <w:p w14:paraId="45570BC4" w14:textId="77777777" w:rsidR="00923778" w:rsidRPr="00342AAB" w:rsidRDefault="00923778" w:rsidP="00561154">
            <w:pPr>
              <w:keepNext/>
              <w:keepLines/>
              <w:spacing w:before="40" w:after="40" w:line="240" w:lineRule="auto"/>
              <w:jc w:val="center"/>
              <w:rPr>
                <w:rFonts w:asciiTheme="majorHAnsi" w:hAnsiTheme="majorHAnsi" w:cstheme="majorHAnsi"/>
                <w:sz w:val="18"/>
                <w:szCs w:val="18"/>
              </w:rPr>
            </w:pPr>
            <w:r w:rsidRPr="00342AAB">
              <w:rPr>
                <w:rFonts w:asciiTheme="majorHAnsi" w:hAnsiTheme="majorHAnsi" w:cstheme="majorHAnsi"/>
                <w:sz w:val="18"/>
                <w:szCs w:val="18"/>
              </w:rPr>
              <w:t>1,400</w:t>
            </w:r>
            <w:r w:rsidRPr="00342AAB">
              <w:rPr>
                <w:rFonts w:asciiTheme="majorHAnsi" w:hAnsiTheme="majorHAnsi" w:cstheme="majorHAnsi"/>
                <w:sz w:val="18"/>
                <w:szCs w:val="18"/>
                <w:vertAlign w:val="superscript"/>
              </w:rPr>
              <w:t>(</w:t>
            </w:r>
            <w:r w:rsidR="008D06BF" w:rsidRPr="00342AAB">
              <w:rPr>
                <w:rFonts w:asciiTheme="majorHAnsi" w:hAnsiTheme="majorHAnsi" w:cstheme="majorHAnsi"/>
                <w:sz w:val="18"/>
                <w:szCs w:val="18"/>
                <w:vertAlign w:val="superscript"/>
              </w:rPr>
              <w:t>b</w:t>
            </w:r>
            <w:r w:rsidRPr="00342AAB">
              <w:rPr>
                <w:rFonts w:asciiTheme="majorHAnsi" w:hAnsiTheme="majorHAnsi" w:cstheme="majorHAnsi"/>
                <w:sz w:val="18"/>
                <w:szCs w:val="18"/>
                <w:vertAlign w:val="superscript"/>
              </w:rPr>
              <w:t>)</w:t>
            </w:r>
          </w:p>
        </w:tc>
        <w:tc>
          <w:tcPr>
            <w:tcW w:w="4950" w:type="dxa"/>
            <w:tcBorders>
              <w:top w:val="single" w:sz="2" w:space="0" w:color="auto"/>
              <w:left w:val="single" w:sz="2" w:space="0" w:color="auto"/>
              <w:bottom w:val="single" w:sz="2" w:space="0" w:color="auto"/>
              <w:right w:val="single" w:sz="2" w:space="0" w:color="auto"/>
            </w:tcBorders>
            <w:vAlign w:val="center"/>
          </w:tcPr>
          <w:p w14:paraId="376B3B57" w14:textId="77777777" w:rsidR="00923778" w:rsidRPr="00342AAB" w:rsidRDefault="00923778" w:rsidP="00E712DA">
            <w:pPr>
              <w:keepNext/>
              <w:keepLines/>
              <w:spacing w:before="40" w:after="40" w:line="240" w:lineRule="auto"/>
              <w:rPr>
                <w:rFonts w:asciiTheme="majorHAnsi" w:hAnsiTheme="majorHAnsi" w:cstheme="majorHAnsi"/>
                <w:sz w:val="18"/>
                <w:szCs w:val="18"/>
              </w:rPr>
            </w:pPr>
            <w:r w:rsidRPr="00342AAB">
              <w:rPr>
                <w:rFonts w:asciiTheme="majorHAnsi" w:hAnsiTheme="majorHAnsi" w:cstheme="majorHAnsi"/>
                <w:sz w:val="18"/>
                <w:szCs w:val="18"/>
              </w:rPr>
              <w:t>Assume no interchange</w:t>
            </w:r>
            <w:r w:rsidRPr="00342AAB">
              <w:rPr>
                <w:rFonts w:asciiTheme="majorHAnsi" w:hAnsiTheme="majorHAnsi" w:cstheme="majorHAnsi"/>
                <w:sz w:val="18"/>
                <w:szCs w:val="18"/>
                <w:vertAlign w:val="superscript"/>
              </w:rPr>
              <w:t>(</w:t>
            </w:r>
            <w:r w:rsidR="008D06BF" w:rsidRPr="00342AAB">
              <w:rPr>
                <w:rFonts w:asciiTheme="majorHAnsi" w:hAnsiTheme="majorHAnsi" w:cstheme="majorHAnsi"/>
                <w:sz w:val="18"/>
                <w:szCs w:val="18"/>
                <w:vertAlign w:val="superscript"/>
              </w:rPr>
              <w:t>c</w:t>
            </w:r>
            <w:r w:rsidRPr="00342AAB">
              <w:rPr>
                <w:rFonts w:asciiTheme="majorHAnsi" w:hAnsiTheme="majorHAnsi" w:cstheme="majorHAnsi"/>
                <w:sz w:val="18"/>
                <w:szCs w:val="18"/>
                <w:vertAlign w:val="superscript"/>
              </w:rPr>
              <w:t>)</w:t>
            </w:r>
          </w:p>
        </w:tc>
      </w:tr>
      <w:tr w:rsidR="00923778" w:rsidRPr="00342AAB" w14:paraId="3CD46B26" w14:textId="77777777" w:rsidTr="00561154">
        <w:trPr>
          <w:jc w:val="center"/>
        </w:trPr>
        <w:tc>
          <w:tcPr>
            <w:tcW w:w="1797"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tcPr>
          <w:p w14:paraId="7CB2DFB2" w14:textId="77777777" w:rsidR="00923778" w:rsidRPr="00342AAB" w:rsidRDefault="00923778" w:rsidP="004826D9">
            <w:pPr>
              <w:keepNext/>
              <w:keepLines/>
              <w:spacing w:before="40" w:after="40" w:line="240" w:lineRule="auto"/>
              <w:rPr>
                <w:rFonts w:asciiTheme="majorHAnsi" w:hAnsiTheme="majorHAnsi" w:cstheme="majorHAnsi"/>
                <w:b/>
                <w:sz w:val="18"/>
                <w:szCs w:val="18"/>
              </w:rPr>
            </w:pPr>
            <w:r w:rsidRPr="00342AAB">
              <w:rPr>
                <w:rFonts w:asciiTheme="majorHAnsi" w:hAnsiTheme="majorHAnsi" w:cstheme="majorHAnsi"/>
                <w:b/>
                <w:sz w:val="18"/>
                <w:szCs w:val="18"/>
              </w:rPr>
              <w:t>CSC</w:t>
            </w:r>
          </w:p>
        </w:tc>
        <w:tc>
          <w:tcPr>
            <w:tcW w:w="2070" w:type="dxa"/>
            <w:tcBorders>
              <w:top w:val="single" w:sz="2" w:space="0" w:color="auto"/>
              <w:left w:val="single" w:sz="2" w:space="0" w:color="auto"/>
              <w:bottom w:val="single" w:sz="2" w:space="0" w:color="auto"/>
              <w:right w:val="single" w:sz="2" w:space="0" w:color="auto"/>
            </w:tcBorders>
            <w:shd w:val="clear" w:color="auto" w:fill="CCEAF9" w:themeFill="accent1" w:themeFillTint="33"/>
            <w:tcMar>
              <w:left w:w="115" w:type="dxa"/>
              <w:right w:w="115" w:type="dxa"/>
            </w:tcMar>
            <w:vAlign w:val="center"/>
          </w:tcPr>
          <w:p w14:paraId="753CB4BC" w14:textId="77777777" w:rsidR="00923778" w:rsidRPr="00342AAB" w:rsidRDefault="00561154" w:rsidP="00561154">
            <w:pPr>
              <w:keepNext/>
              <w:keepLines/>
              <w:spacing w:before="40" w:after="40" w:line="240" w:lineRule="auto"/>
              <w:jc w:val="center"/>
              <w:rPr>
                <w:rFonts w:asciiTheme="majorHAnsi" w:hAnsiTheme="majorHAnsi" w:cstheme="majorHAnsi"/>
                <w:sz w:val="18"/>
                <w:szCs w:val="18"/>
              </w:rPr>
            </w:pPr>
            <w:r w:rsidRPr="00342AAB">
              <w:rPr>
                <w:rFonts w:asciiTheme="majorHAnsi" w:hAnsiTheme="majorHAnsi" w:cstheme="majorHAnsi"/>
                <w:sz w:val="18"/>
                <w:szCs w:val="18"/>
              </w:rPr>
              <w:t xml:space="preserve">   </w:t>
            </w:r>
            <w:r w:rsidR="00923778" w:rsidRPr="00342AAB">
              <w:rPr>
                <w:rFonts w:asciiTheme="majorHAnsi" w:hAnsiTheme="majorHAnsi" w:cstheme="majorHAnsi"/>
                <w:sz w:val="18"/>
                <w:szCs w:val="18"/>
              </w:rPr>
              <w:t>330</w:t>
            </w:r>
            <w:r w:rsidR="00923778" w:rsidRPr="00342AAB">
              <w:rPr>
                <w:rFonts w:asciiTheme="majorHAnsi" w:hAnsiTheme="majorHAnsi" w:cstheme="majorHAnsi"/>
                <w:sz w:val="18"/>
                <w:szCs w:val="18"/>
                <w:vertAlign w:val="superscript"/>
              </w:rPr>
              <w:t>(</w:t>
            </w:r>
            <w:r w:rsidR="008D06BF" w:rsidRPr="00342AAB">
              <w:rPr>
                <w:rFonts w:asciiTheme="majorHAnsi" w:hAnsiTheme="majorHAnsi" w:cstheme="majorHAnsi"/>
                <w:sz w:val="18"/>
                <w:szCs w:val="18"/>
                <w:vertAlign w:val="superscript"/>
              </w:rPr>
              <w:t>b</w:t>
            </w:r>
            <w:r w:rsidR="00923778" w:rsidRPr="00342AAB">
              <w:rPr>
                <w:rFonts w:asciiTheme="majorHAnsi" w:hAnsiTheme="majorHAnsi" w:cstheme="majorHAnsi"/>
                <w:sz w:val="18"/>
                <w:szCs w:val="18"/>
                <w:vertAlign w:val="superscript"/>
              </w:rPr>
              <w:t>)</w:t>
            </w:r>
          </w:p>
        </w:tc>
        <w:tc>
          <w:tcPr>
            <w:tcW w:w="4950"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tcPr>
          <w:p w14:paraId="34EE80EA" w14:textId="77777777" w:rsidR="00923778" w:rsidRPr="00342AAB" w:rsidRDefault="00923778" w:rsidP="004826D9">
            <w:pPr>
              <w:keepNext/>
              <w:keepLines/>
              <w:spacing w:before="40" w:after="40" w:line="240" w:lineRule="auto"/>
              <w:rPr>
                <w:rFonts w:asciiTheme="majorHAnsi" w:hAnsiTheme="majorHAnsi" w:cstheme="majorHAnsi"/>
                <w:sz w:val="18"/>
                <w:szCs w:val="18"/>
              </w:rPr>
            </w:pPr>
            <w:r w:rsidRPr="00342AAB">
              <w:rPr>
                <w:rFonts w:asciiTheme="majorHAnsi" w:hAnsiTheme="majorHAnsi" w:cstheme="majorHAnsi"/>
                <w:sz w:val="18"/>
                <w:szCs w:val="18"/>
              </w:rPr>
              <w:t>Assume no interchange</w:t>
            </w:r>
            <w:r w:rsidRPr="00342AAB">
              <w:rPr>
                <w:rFonts w:asciiTheme="majorHAnsi" w:hAnsiTheme="majorHAnsi" w:cstheme="majorHAnsi"/>
                <w:sz w:val="18"/>
                <w:szCs w:val="18"/>
                <w:vertAlign w:val="superscript"/>
              </w:rPr>
              <w:t>(</w:t>
            </w:r>
            <w:r w:rsidR="008D06BF" w:rsidRPr="00342AAB">
              <w:rPr>
                <w:rFonts w:asciiTheme="majorHAnsi" w:hAnsiTheme="majorHAnsi" w:cstheme="majorHAnsi"/>
                <w:sz w:val="18"/>
                <w:szCs w:val="18"/>
                <w:vertAlign w:val="superscript"/>
              </w:rPr>
              <w:t>c</w:t>
            </w:r>
            <w:r w:rsidRPr="00342AAB">
              <w:rPr>
                <w:rFonts w:asciiTheme="majorHAnsi" w:hAnsiTheme="majorHAnsi" w:cstheme="majorHAnsi"/>
                <w:sz w:val="18"/>
                <w:szCs w:val="18"/>
                <w:vertAlign w:val="superscript"/>
              </w:rPr>
              <w:t>)</w:t>
            </w:r>
          </w:p>
        </w:tc>
      </w:tr>
    </w:tbl>
    <w:p w14:paraId="3C1F57FD" w14:textId="77777777" w:rsidR="008D06BF" w:rsidRPr="00342AAB" w:rsidRDefault="00FF79C4" w:rsidP="00D15398">
      <w:pPr>
        <w:keepNext/>
        <w:keepLines/>
        <w:widowControl w:val="0"/>
        <w:spacing w:before="120" w:after="80" w:line="240" w:lineRule="auto"/>
        <w:ind w:left="634" w:hanging="274"/>
        <w:rPr>
          <w:rFonts w:asciiTheme="majorHAnsi" w:hAnsiTheme="majorHAnsi" w:cstheme="majorHAnsi"/>
          <w:sz w:val="16"/>
          <w:szCs w:val="16"/>
        </w:rPr>
      </w:pPr>
      <w:r w:rsidRPr="00342AAB">
        <w:rPr>
          <w:rFonts w:asciiTheme="majorHAnsi" w:hAnsiTheme="majorHAnsi" w:cstheme="majorHAnsi"/>
          <w:sz w:val="16"/>
          <w:szCs w:val="16"/>
        </w:rPr>
        <w:t xml:space="preserve">(a) </w:t>
      </w:r>
      <w:r w:rsidR="008D06BF" w:rsidRPr="00342AAB">
        <w:rPr>
          <w:rFonts w:asciiTheme="majorHAnsi" w:hAnsiTheme="majorHAnsi" w:cstheme="majorHAnsi"/>
          <w:sz w:val="16"/>
          <w:szCs w:val="16"/>
        </w:rPr>
        <w:tab/>
      </w:r>
      <w:r w:rsidR="00342AAB" w:rsidRPr="00342AAB">
        <w:rPr>
          <w:rFonts w:asciiTheme="majorHAnsi" w:hAnsiTheme="majorHAnsi" w:cstheme="majorHAnsi"/>
          <w:sz w:val="16"/>
          <w:szCs w:val="16"/>
        </w:rPr>
        <w:t>A zero CO</w:t>
      </w:r>
      <w:r w:rsidR="00342AAB" w:rsidRPr="00342AAB">
        <w:rPr>
          <w:rFonts w:asciiTheme="majorHAnsi" w:hAnsiTheme="majorHAnsi" w:cstheme="majorHAnsi"/>
          <w:sz w:val="16"/>
          <w:szCs w:val="16"/>
          <w:vertAlign w:val="subscript"/>
        </w:rPr>
        <w:t>2</w:t>
      </w:r>
      <w:r w:rsidR="00342AAB" w:rsidRPr="00342AAB">
        <w:rPr>
          <w:rFonts w:asciiTheme="majorHAnsi" w:hAnsiTheme="majorHAnsi" w:cstheme="majorHAnsi"/>
          <w:sz w:val="16"/>
          <w:szCs w:val="16"/>
        </w:rPr>
        <w:t xml:space="preserve"> emissions rate was assumed for net imports in this study.</w:t>
      </w:r>
    </w:p>
    <w:p w14:paraId="197F4DD1" w14:textId="77777777" w:rsidR="00740FBD" w:rsidRPr="00342AAB" w:rsidRDefault="008D06BF" w:rsidP="00D15398">
      <w:pPr>
        <w:keepNext/>
        <w:keepLines/>
        <w:widowControl w:val="0"/>
        <w:spacing w:after="80" w:line="240" w:lineRule="auto"/>
        <w:ind w:left="634" w:hanging="274"/>
        <w:rPr>
          <w:rFonts w:asciiTheme="majorHAnsi" w:hAnsiTheme="majorHAnsi" w:cstheme="majorHAnsi"/>
          <w:sz w:val="16"/>
          <w:szCs w:val="16"/>
        </w:rPr>
      </w:pPr>
      <w:r w:rsidRPr="00342AAB">
        <w:rPr>
          <w:rFonts w:asciiTheme="majorHAnsi" w:hAnsiTheme="majorHAnsi" w:cstheme="majorHAnsi"/>
          <w:sz w:val="16"/>
          <w:szCs w:val="16"/>
        </w:rPr>
        <w:t xml:space="preserve">(b) </w:t>
      </w:r>
      <w:r w:rsidRPr="00342AAB">
        <w:rPr>
          <w:rFonts w:asciiTheme="majorHAnsi" w:hAnsiTheme="majorHAnsi" w:cstheme="majorHAnsi"/>
          <w:sz w:val="16"/>
          <w:szCs w:val="16"/>
        </w:rPr>
        <w:tab/>
      </w:r>
      <w:r w:rsidR="00FF79C4" w:rsidRPr="00342AAB">
        <w:rPr>
          <w:rFonts w:asciiTheme="majorHAnsi" w:hAnsiTheme="majorHAnsi" w:cstheme="majorHAnsi"/>
          <w:sz w:val="16"/>
          <w:szCs w:val="16"/>
        </w:rPr>
        <w:t>These values represent i</w:t>
      </w:r>
      <w:r w:rsidR="00740FBD" w:rsidRPr="00342AAB">
        <w:rPr>
          <w:rFonts w:asciiTheme="majorHAnsi" w:hAnsiTheme="majorHAnsi" w:cstheme="majorHAnsi"/>
          <w:sz w:val="16"/>
          <w:szCs w:val="16"/>
        </w:rPr>
        <w:t>mport capability for energy</w:t>
      </w:r>
      <w:r w:rsidR="00561154" w:rsidRPr="00342AAB">
        <w:rPr>
          <w:rFonts w:asciiTheme="majorHAnsi" w:hAnsiTheme="majorHAnsi" w:cstheme="majorHAnsi"/>
          <w:sz w:val="16"/>
          <w:szCs w:val="16"/>
        </w:rPr>
        <w:t>.</w:t>
      </w:r>
    </w:p>
    <w:p w14:paraId="43D91AA6" w14:textId="77777777" w:rsidR="00740FBD" w:rsidRDefault="00FF79C4" w:rsidP="008D06BF">
      <w:pPr>
        <w:spacing w:line="240" w:lineRule="auto"/>
        <w:ind w:left="630" w:hanging="270"/>
        <w:rPr>
          <w:rFonts w:asciiTheme="majorHAnsi" w:hAnsiTheme="majorHAnsi" w:cstheme="majorHAnsi"/>
          <w:sz w:val="16"/>
          <w:szCs w:val="16"/>
        </w:rPr>
      </w:pPr>
      <w:r w:rsidRPr="00342AAB">
        <w:rPr>
          <w:rFonts w:asciiTheme="majorHAnsi" w:hAnsiTheme="majorHAnsi" w:cstheme="majorHAnsi"/>
          <w:sz w:val="16"/>
          <w:szCs w:val="16"/>
        </w:rPr>
        <w:t>(</w:t>
      </w:r>
      <w:r w:rsidR="00D15398">
        <w:rPr>
          <w:rFonts w:asciiTheme="majorHAnsi" w:hAnsiTheme="majorHAnsi" w:cstheme="majorHAnsi"/>
          <w:sz w:val="16"/>
          <w:szCs w:val="16"/>
        </w:rPr>
        <w:t>c</w:t>
      </w:r>
      <w:r w:rsidRPr="00342AAB">
        <w:rPr>
          <w:rFonts w:asciiTheme="majorHAnsi" w:hAnsiTheme="majorHAnsi" w:cstheme="majorHAnsi"/>
          <w:sz w:val="16"/>
          <w:szCs w:val="16"/>
        </w:rPr>
        <w:t xml:space="preserve">) </w:t>
      </w:r>
      <w:r w:rsidR="008D06BF" w:rsidRPr="00342AAB">
        <w:rPr>
          <w:rFonts w:asciiTheme="majorHAnsi" w:hAnsiTheme="majorHAnsi" w:cstheme="majorHAnsi"/>
          <w:sz w:val="16"/>
          <w:szCs w:val="16"/>
        </w:rPr>
        <w:tab/>
      </w:r>
      <w:r w:rsidR="00740FBD" w:rsidRPr="00342AAB">
        <w:rPr>
          <w:rFonts w:asciiTheme="majorHAnsi" w:hAnsiTheme="majorHAnsi" w:cstheme="majorHAnsi"/>
          <w:sz w:val="16"/>
          <w:szCs w:val="16"/>
        </w:rPr>
        <w:t>Assuming no interchange allows a straight comparison of the region</w:t>
      </w:r>
      <w:r w:rsidRPr="00342AAB">
        <w:rPr>
          <w:rFonts w:asciiTheme="majorHAnsi" w:hAnsiTheme="majorHAnsi" w:cstheme="majorHAnsi"/>
          <w:sz w:val="16"/>
          <w:szCs w:val="16"/>
        </w:rPr>
        <w:t>al</w:t>
      </w:r>
      <w:r w:rsidR="00740FBD" w:rsidRPr="00342AAB">
        <w:rPr>
          <w:rFonts w:asciiTheme="majorHAnsi" w:hAnsiTheme="majorHAnsi" w:cstheme="majorHAnsi"/>
          <w:sz w:val="16"/>
          <w:szCs w:val="16"/>
        </w:rPr>
        <w:t xml:space="preserve"> production cost across all scenarios</w:t>
      </w:r>
      <w:r w:rsidRPr="00342AAB">
        <w:rPr>
          <w:rFonts w:asciiTheme="majorHAnsi" w:hAnsiTheme="majorHAnsi" w:cstheme="majorHAnsi"/>
          <w:sz w:val="16"/>
          <w:szCs w:val="16"/>
        </w:rPr>
        <w:t>.</w:t>
      </w:r>
    </w:p>
    <w:p w14:paraId="7AE03655" w14:textId="77777777" w:rsidR="00740FBD" w:rsidRPr="002B1E0C" w:rsidRDefault="009C02EB" w:rsidP="002A68EB">
      <w:pPr>
        <w:pStyle w:val="Heading3"/>
      </w:pPr>
      <w:bookmarkStart w:id="44" w:name="_Ref43123389"/>
      <w:bookmarkStart w:id="45" w:name="_Toc52533794"/>
      <w:r>
        <w:t>Weather</w:t>
      </w:r>
      <w:r w:rsidR="00FE162D">
        <w:t>-Year</w:t>
      </w:r>
      <w:r>
        <w:t xml:space="preserve"> Assumptions</w:t>
      </w:r>
      <w:bookmarkEnd w:id="44"/>
      <w:bookmarkEnd w:id="45"/>
    </w:p>
    <w:p w14:paraId="06914787" w14:textId="77777777" w:rsidR="00BD299D" w:rsidRDefault="00E137D4" w:rsidP="00BD299D">
      <w:r>
        <w:t>For all</w:t>
      </w:r>
      <w:r w:rsidR="00BD299D">
        <w:t xml:space="preserve"> scenarios, </w:t>
      </w:r>
      <w:r w:rsidR="00BD299D" w:rsidRPr="000F2E7D">
        <w:t xml:space="preserve">2015 </w:t>
      </w:r>
      <w:r w:rsidR="000A0CD8">
        <w:t xml:space="preserve">wind, solar, and load profiles </w:t>
      </w:r>
      <w:r w:rsidR="00BD299D">
        <w:t xml:space="preserve">(scaled to 2030) were </w:t>
      </w:r>
      <w:r w:rsidR="00BD299D" w:rsidRPr="000F2E7D">
        <w:t>used</w:t>
      </w:r>
      <w:r w:rsidR="00BF1EA7">
        <w:t xml:space="preserve">. </w:t>
      </w:r>
      <w:r w:rsidR="001612FA">
        <w:t>The use of d</w:t>
      </w:r>
      <w:r w:rsidR="00BD299D" w:rsidRPr="00BD299D">
        <w:t>ifferent weather</w:t>
      </w:r>
      <w:r w:rsidR="00C47592">
        <w:t>-</w:t>
      </w:r>
      <w:r w:rsidR="00BD299D" w:rsidRPr="00BD299D">
        <w:t>year</w:t>
      </w:r>
      <w:r w:rsidR="000A0CD8">
        <w:t xml:space="preserve"> profiles </w:t>
      </w:r>
      <w:r w:rsidR="001612FA">
        <w:t>can result in different magnitudes for the study metrics, but broad results would be similar.</w:t>
      </w:r>
    </w:p>
    <w:p w14:paraId="0E71C835" w14:textId="77777777" w:rsidR="009C02EB" w:rsidRDefault="002A3DDE" w:rsidP="002A68EB">
      <w:pPr>
        <w:pStyle w:val="Heading3"/>
      </w:pPr>
      <w:bookmarkStart w:id="46" w:name="_Ref49244754"/>
      <w:bookmarkStart w:id="47" w:name="_Toc52533795"/>
      <w:r>
        <w:t xml:space="preserve">Energy Storage and Electrification </w:t>
      </w:r>
      <w:r w:rsidR="009C02EB">
        <w:t>Load Assumptions</w:t>
      </w:r>
      <w:bookmarkEnd w:id="46"/>
      <w:bookmarkEnd w:id="47"/>
    </w:p>
    <w:p w14:paraId="3E1A5BA4" w14:textId="77777777" w:rsidR="00C55711" w:rsidRDefault="00C55711" w:rsidP="00C55711">
      <w:r w:rsidRPr="00DB10D1">
        <w:t xml:space="preserve">For all scenarios, the ISO’s </w:t>
      </w:r>
      <w:r w:rsidR="00CB36C3">
        <w:t xml:space="preserve">2019 </w:t>
      </w:r>
      <w:r w:rsidRPr="00DB10D1">
        <w:t xml:space="preserve">CELT Report </w:t>
      </w:r>
      <w:r>
        <w:t xml:space="preserve">was the basis for demand assumptions, and projected loads </w:t>
      </w:r>
      <w:r w:rsidRPr="00001590">
        <w:t xml:space="preserve">for 2028 </w:t>
      </w:r>
      <w:r>
        <w:t xml:space="preserve">were increased to represent </w:t>
      </w:r>
      <w:r w:rsidRPr="00001590">
        <w:t>2030 using the growth rate from 2027 to 2028</w:t>
      </w:r>
      <w:r w:rsidR="00CB36C3">
        <w:t xml:space="preserve"> (see </w:t>
      </w:r>
      <w:r w:rsidR="00CB36C3">
        <w:fldChar w:fldCharType="begin"/>
      </w:r>
      <w:r w:rsidR="00CB36C3">
        <w:instrText xml:space="preserve"> REF _Ref42520347 \h </w:instrText>
      </w:r>
      <w:r w:rsidR="00CB36C3">
        <w:fldChar w:fldCharType="separate"/>
      </w:r>
      <w:r w:rsidR="005061EC" w:rsidRPr="003650D6">
        <w:t xml:space="preserve">Table </w:t>
      </w:r>
      <w:r w:rsidR="005061EC">
        <w:rPr>
          <w:noProof/>
        </w:rPr>
        <w:t>3</w:t>
      </w:r>
      <w:r w:rsidR="005061EC">
        <w:noBreakHyphen/>
      </w:r>
      <w:r w:rsidR="005061EC">
        <w:rPr>
          <w:noProof/>
        </w:rPr>
        <w:t>1</w:t>
      </w:r>
      <w:r w:rsidR="00CB36C3">
        <w:fldChar w:fldCharType="end"/>
      </w:r>
      <w:r w:rsidR="00CB36C3">
        <w:t>)</w:t>
      </w:r>
      <w:r>
        <w:t>.</w:t>
      </w:r>
    </w:p>
    <w:p w14:paraId="143A79DF" w14:textId="77777777" w:rsidR="00E54845" w:rsidRDefault="002C490F" w:rsidP="002C490F">
      <w:r>
        <w:t>Energy storage (</w:t>
      </w:r>
      <w:r w:rsidR="0008522E">
        <w:t xml:space="preserve">i.e., </w:t>
      </w:r>
      <w:r>
        <w:t xml:space="preserve">pumped storage and batteries) </w:t>
      </w:r>
      <w:r w:rsidR="001612FA">
        <w:t xml:space="preserve">are used </w:t>
      </w:r>
      <w:r>
        <w:t>to level the load</w:t>
      </w:r>
      <w:r w:rsidR="00440FB3">
        <w:t>,</w:t>
      </w:r>
      <w:r w:rsidR="001612FA">
        <w:t xml:space="preserve"> </w:t>
      </w:r>
      <w:r w:rsidR="00AD22C8">
        <w:t xml:space="preserve">net of </w:t>
      </w:r>
      <w:r w:rsidR="001612FA">
        <w:t>dispatchable resources</w:t>
      </w:r>
      <w:r>
        <w:t xml:space="preserve">. Across all scenarios, existing pumped-storage units were dispatched to </w:t>
      </w:r>
      <w:r w:rsidR="009C199B">
        <w:t xml:space="preserve">minimize the range of </w:t>
      </w:r>
      <w:r>
        <w:t xml:space="preserve">daily high and low net loads </w:t>
      </w:r>
      <w:r w:rsidR="009C199B">
        <w:t xml:space="preserve">given the physical and economic constraints of the storage resources such as losses. The net loads reflect adjustments to </w:t>
      </w:r>
      <w:r>
        <w:t>account</w:t>
      </w:r>
      <w:r w:rsidR="009C199B">
        <w:t xml:space="preserve"> </w:t>
      </w:r>
      <w:r>
        <w:t>for all energy efficiency, active demand resources, all photovoltaic (behind-the-met</w:t>
      </w:r>
      <w:r w:rsidRPr="003650D6">
        <w:t xml:space="preserve">er </w:t>
      </w:r>
      <w:r w:rsidR="00F25345" w:rsidRPr="003650D6">
        <w:t>[</w:t>
      </w:r>
      <w:r w:rsidRPr="003650D6">
        <w:t>BTM</w:t>
      </w:r>
      <w:r w:rsidR="00F25345" w:rsidRPr="003650D6">
        <w:t>]</w:t>
      </w:r>
      <w:r w:rsidRPr="003650D6">
        <w:t xml:space="preserve"> a</w:t>
      </w:r>
      <w:r>
        <w:t xml:space="preserve">nd non-BTM), </w:t>
      </w:r>
      <w:r w:rsidR="005A49F5">
        <w:t>plug-in hybrid electric vehicles (</w:t>
      </w:r>
      <w:r>
        <w:t>PHEVs</w:t>
      </w:r>
      <w:r w:rsidR="005A49F5">
        <w:t>)</w:t>
      </w:r>
      <w:r>
        <w:t>, wind energy, hydro (excluding pumped storage), existing imports, and new imports. This treatment of pumped storage</w:t>
      </w:r>
      <w:r w:rsidR="00950730">
        <w:t xml:space="preserve"> was</w:t>
      </w:r>
      <w:r>
        <w:t xml:space="preserve"> assumed to have approximately 7</w:t>
      </w:r>
      <w:r w:rsidR="001612FA">
        <w:t>4</w:t>
      </w:r>
      <w:r>
        <w:t>% efficiency</w:t>
      </w:r>
      <w:r w:rsidR="00BF1EA7">
        <w:t>.</w:t>
      </w:r>
      <w:r w:rsidR="00AD5F99">
        <w:t xml:space="preserve"> </w:t>
      </w:r>
    </w:p>
    <w:p w14:paraId="22622AF1" w14:textId="77777777" w:rsidR="00607050" w:rsidRDefault="00BC63B2" w:rsidP="00607050">
      <w:r>
        <w:t>Battery storage was assumed to have approximately 90% efficiency</w:t>
      </w:r>
      <w:r w:rsidR="003E4526">
        <w:t>.</w:t>
      </w:r>
      <w:r>
        <w:t xml:space="preserve"> The </w:t>
      </w:r>
      <w:r w:rsidR="00CC4B55">
        <w:t>batteries were assumed to have enough storage to discharge at full output for four hours</w:t>
      </w:r>
      <w:r w:rsidR="00FF3EB1">
        <w:t xml:space="preserve">. </w:t>
      </w:r>
      <w:r w:rsidR="008D06BF">
        <w:t xml:space="preserve">For the electrification scenario, </w:t>
      </w:r>
      <w:r w:rsidR="00E54845" w:rsidRPr="00E54845">
        <w:t>Anbaric di</w:t>
      </w:r>
      <w:r w:rsidR="00E54845" w:rsidRPr="00EE6488">
        <w:t xml:space="preserve">d not specify locations of battery storage; therefore, the ISO assumed battery storage was evenly distributed across the RSP </w:t>
      </w:r>
      <w:r w:rsidR="00C1327F" w:rsidRPr="00EE6488">
        <w:t>sub</w:t>
      </w:r>
      <w:r w:rsidR="00DC45CA" w:rsidRPr="00EE6488">
        <w:t>areas</w:t>
      </w:r>
      <w:r w:rsidR="009C199B" w:rsidRPr="00EE6488">
        <w:t xml:space="preserve">. </w:t>
      </w:r>
      <w:r w:rsidR="00EE6488" w:rsidRPr="00EE6488">
        <w:t>For the 0 MW (reference), 8000, 10000, and 12000 scen</w:t>
      </w:r>
      <w:r w:rsidR="00EE6488" w:rsidRPr="00D15398">
        <w:t xml:space="preserve">arios, 150 </w:t>
      </w:r>
      <w:r w:rsidR="00D15398" w:rsidRPr="00D15398">
        <w:t>M</w:t>
      </w:r>
      <w:r w:rsidR="00EE6488" w:rsidRPr="00D15398">
        <w:t>W o</w:t>
      </w:r>
      <w:r w:rsidR="00EE6488" w:rsidRPr="00EE6488">
        <w:t>f batteries were added to each RSP subarea, except for the SWCT subarea, where 200 MW of batteries were added, for a total of 2,000 MW of batteries. The NEMA and WMA RSP subareas included the colocated battery storage interconnecting into the distribution system</w:t>
      </w:r>
      <w:r w:rsidR="00B9571E">
        <w:t>.</w:t>
      </w:r>
      <w:r w:rsidR="00EE6488" w:rsidRPr="00EE6488">
        <w:t xml:space="preserve"> </w:t>
      </w:r>
    </w:p>
    <w:p w14:paraId="2B162B9B" w14:textId="77777777" w:rsidR="002A3DDE" w:rsidRPr="001036A6" w:rsidRDefault="002A3DDE" w:rsidP="002A3DDE">
      <w:pPr>
        <w:rPr>
          <w:rFonts w:cstheme="majorHAnsi"/>
        </w:rPr>
      </w:pPr>
      <w:r w:rsidRPr="000E237F">
        <w:rPr>
          <w:rFonts w:cstheme="majorHAnsi"/>
        </w:rPr>
        <w:t>A consumption profile representing additional heat</w:t>
      </w:r>
      <w:r w:rsidR="00440FB3" w:rsidRPr="000E237F">
        <w:rPr>
          <w:rFonts w:cstheme="majorHAnsi"/>
        </w:rPr>
        <w:t>-</w:t>
      </w:r>
      <w:r w:rsidRPr="000E237F">
        <w:rPr>
          <w:rFonts w:cstheme="majorHAnsi"/>
        </w:rPr>
        <w:t>pump load was developed based on the difference between the observed historical weather</w:t>
      </w:r>
      <w:r w:rsidR="0040532A" w:rsidRPr="000E237F">
        <w:rPr>
          <w:rFonts w:cstheme="majorHAnsi"/>
        </w:rPr>
        <w:t>-</w:t>
      </w:r>
      <w:r w:rsidRPr="000E237F">
        <w:rPr>
          <w:rFonts w:cstheme="majorHAnsi"/>
        </w:rPr>
        <w:t>affected hourly loads and an average diurnal load profile for the month of April. This average diurnal load profile was assumed to represent a weather</w:t>
      </w:r>
      <w:r w:rsidR="000E237F" w:rsidRPr="000E237F">
        <w:rPr>
          <w:rFonts w:cstheme="majorHAnsi"/>
        </w:rPr>
        <w:t>-</w:t>
      </w:r>
      <w:r w:rsidRPr="000E237F">
        <w:rPr>
          <w:rFonts w:cstheme="majorHAnsi"/>
        </w:rPr>
        <w:t>neutral day. When the observed loads were higher than the weather</w:t>
      </w:r>
      <w:r w:rsidR="0040532A" w:rsidRPr="000E237F">
        <w:rPr>
          <w:rFonts w:cstheme="majorHAnsi"/>
        </w:rPr>
        <w:t>-</w:t>
      </w:r>
      <w:r w:rsidRPr="000E237F">
        <w:rPr>
          <w:rFonts w:cstheme="majorHAnsi"/>
        </w:rPr>
        <w:t>neutral day, heat</w:t>
      </w:r>
      <w:r w:rsidR="0040532A" w:rsidRPr="000E237F">
        <w:rPr>
          <w:rFonts w:cstheme="majorHAnsi"/>
        </w:rPr>
        <w:t>-</w:t>
      </w:r>
      <w:r w:rsidRPr="000E237F">
        <w:rPr>
          <w:rFonts w:cstheme="majorHAnsi"/>
        </w:rPr>
        <w:t>pump operation was assumed</w:t>
      </w:r>
      <w:r w:rsidR="0040532A" w:rsidRPr="000E237F">
        <w:rPr>
          <w:rFonts w:cstheme="majorHAnsi"/>
        </w:rPr>
        <w:t>,</w:t>
      </w:r>
      <w:r w:rsidRPr="000E237F">
        <w:rPr>
          <w:rFonts w:cstheme="majorHAnsi"/>
        </w:rPr>
        <w:t xml:space="preserve"> and when the observed loads were lower than the weather</w:t>
      </w:r>
      <w:r w:rsidR="000E237F" w:rsidRPr="000E237F">
        <w:rPr>
          <w:rFonts w:cstheme="majorHAnsi"/>
        </w:rPr>
        <w:t>-</w:t>
      </w:r>
      <w:r w:rsidRPr="000E237F">
        <w:rPr>
          <w:rFonts w:cstheme="majorHAnsi"/>
        </w:rPr>
        <w:t xml:space="preserve">neutral day, heat pumps were </w:t>
      </w:r>
      <w:r w:rsidR="000E237F" w:rsidRPr="000E237F">
        <w:rPr>
          <w:rFonts w:cstheme="majorHAnsi"/>
        </w:rPr>
        <w:t xml:space="preserve">assumed </w:t>
      </w:r>
      <w:r w:rsidRPr="000E237F">
        <w:rPr>
          <w:rFonts w:cstheme="majorHAnsi"/>
        </w:rPr>
        <w:t>inactive. This captured, from a broad perspective, the effect of increased heating loads during the colder hours of the heating season when the temperatures were low. No heat</w:t>
      </w:r>
      <w:r w:rsidR="0040532A" w:rsidRPr="000E237F">
        <w:rPr>
          <w:rFonts w:cstheme="majorHAnsi"/>
        </w:rPr>
        <w:t>-</w:t>
      </w:r>
      <w:r w:rsidRPr="000E237F">
        <w:rPr>
          <w:rFonts w:cstheme="majorHAnsi"/>
        </w:rPr>
        <w:t xml:space="preserve">pump operation was assumed during the months of May through </w:t>
      </w:r>
      <w:r w:rsidRPr="001036A6">
        <w:rPr>
          <w:rFonts w:cstheme="majorHAnsi"/>
        </w:rPr>
        <w:t>September.</w:t>
      </w:r>
    </w:p>
    <w:p w14:paraId="0C939ACD" w14:textId="77777777" w:rsidR="00E137D4" w:rsidRDefault="00FE3521" w:rsidP="00E137D4">
      <w:r w:rsidRPr="00142D42">
        <w:t xml:space="preserve">The characteristics for </w:t>
      </w:r>
      <w:r w:rsidR="0066055E" w:rsidRPr="00142D42">
        <w:t xml:space="preserve">PHEVs were based on statistics from </w:t>
      </w:r>
      <w:r w:rsidR="002510B1" w:rsidRPr="00142D42">
        <w:t xml:space="preserve">the National Renewable Energy Laboratory’s (NREL) </w:t>
      </w:r>
      <w:r w:rsidR="000E237F" w:rsidRPr="00142D42">
        <w:t>E</w:t>
      </w:r>
      <w:r w:rsidR="004B393F" w:rsidRPr="00142D42">
        <w:t>VI</w:t>
      </w:r>
      <w:r w:rsidR="00C20A5A" w:rsidRPr="00142D42">
        <w:t>-</w:t>
      </w:r>
      <w:r w:rsidR="000E237F" w:rsidRPr="00142D42">
        <w:t>Pro</w:t>
      </w:r>
      <w:r w:rsidR="002510B1" w:rsidRPr="00142D42">
        <w:t xml:space="preserve"> projection tool</w:t>
      </w:r>
      <w:r w:rsidR="00142D42">
        <w:t>.</w:t>
      </w:r>
      <w:r w:rsidR="002510B1" w:rsidRPr="00142D42">
        <w:rPr>
          <w:rStyle w:val="FootnoteReference"/>
        </w:rPr>
        <w:footnoteReference w:id="24"/>
      </w:r>
      <w:r w:rsidR="00142D42">
        <w:t xml:space="preserve"> </w:t>
      </w:r>
      <w:r w:rsidR="00E137D4" w:rsidRPr="00142D42">
        <w:t>Hist</w:t>
      </w:r>
      <w:r w:rsidR="00E137D4" w:rsidRPr="00C20A5A">
        <w:t xml:space="preserve">orical data </w:t>
      </w:r>
      <w:r w:rsidR="0066055E" w:rsidRPr="00C20A5A">
        <w:t>suggested</w:t>
      </w:r>
      <w:r w:rsidR="00E137D4" w:rsidRPr="002510B1">
        <w:t xml:space="preserve"> that PHEV charging tends to start in the later part of the day and continue into the night</w:t>
      </w:r>
      <w:r w:rsidR="00FF3EB1" w:rsidRPr="002510B1">
        <w:t xml:space="preserve">. </w:t>
      </w:r>
      <w:r w:rsidR="0066055E" w:rsidRPr="00C20A5A">
        <w:t xml:space="preserve">See </w:t>
      </w:r>
      <w:r w:rsidR="00AC0544" w:rsidRPr="00C20A5A">
        <w:fldChar w:fldCharType="begin"/>
      </w:r>
      <w:r w:rsidR="00AC0544" w:rsidRPr="00142D42">
        <w:instrText xml:space="preserve"> REF _Ref49182688 \h  \* MERGEFORMAT </w:instrText>
      </w:r>
      <w:r w:rsidR="00AC0544" w:rsidRPr="00C20A5A">
        <w:fldChar w:fldCharType="separate"/>
      </w:r>
      <w:r w:rsidR="006B793E" w:rsidRPr="009A1C82">
        <w:t xml:space="preserve">Figure </w:t>
      </w:r>
      <w:r w:rsidR="006B793E">
        <w:rPr>
          <w:noProof/>
        </w:rPr>
        <w:t>4</w:t>
      </w:r>
      <w:r w:rsidR="006B793E">
        <w:rPr>
          <w:noProof/>
        </w:rPr>
        <w:noBreakHyphen/>
        <w:t>2</w:t>
      </w:r>
      <w:r w:rsidR="00AC0544" w:rsidRPr="00C20A5A">
        <w:fldChar w:fldCharType="end"/>
      </w:r>
      <w:r w:rsidR="00435A2B" w:rsidRPr="00C20A5A">
        <w:t>.</w:t>
      </w:r>
    </w:p>
    <w:p w14:paraId="15A65483" w14:textId="77777777" w:rsidR="000027D9" w:rsidRDefault="000027D9" w:rsidP="00FB17CC">
      <w:pPr>
        <w:spacing w:after="0" w:line="240" w:lineRule="auto"/>
        <w:jc w:val="center"/>
      </w:pPr>
      <w:r w:rsidRPr="000027D9">
        <w:rPr>
          <w:noProof/>
        </w:rPr>
        <w:drawing>
          <wp:inline distT="0" distB="0" distL="0" distR="0" wp14:anchorId="3D396FEC" wp14:editId="5F877345">
            <wp:extent cx="3873387" cy="2104915"/>
            <wp:effectExtent l="19050" t="19050" r="13335"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89614" cy="2113733"/>
                    </a:xfrm>
                    <a:prstGeom prst="rect">
                      <a:avLst/>
                    </a:prstGeom>
                    <a:noFill/>
                    <a:ln w="3175">
                      <a:solidFill>
                        <a:srgbClr val="000000"/>
                      </a:solidFill>
                    </a:ln>
                  </pic:spPr>
                </pic:pic>
              </a:graphicData>
            </a:graphic>
          </wp:inline>
        </w:drawing>
      </w:r>
    </w:p>
    <w:p w14:paraId="2904D53F" w14:textId="77777777" w:rsidR="00AC0544" w:rsidRDefault="00AC0544" w:rsidP="00FB17CC">
      <w:pPr>
        <w:pStyle w:val="Caption"/>
        <w:keepNext w:val="0"/>
        <w:keepLines w:val="0"/>
        <w:spacing w:before="120" w:after="240"/>
        <w:ind w:left="1620" w:right="1440"/>
      </w:pPr>
      <w:bookmarkStart w:id="48" w:name="_Ref49182688"/>
      <w:bookmarkStart w:id="49" w:name="_Toc52533807"/>
      <w:r w:rsidRPr="009A1C82">
        <w:t xml:space="preserve">Figure </w:t>
      </w:r>
      <w:r w:rsidR="000D5F76">
        <w:fldChar w:fldCharType="begin"/>
      </w:r>
      <w:r w:rsidR="000D5F76">
        <w:instrText xml:space="preserve"> STYLEREF 1 \s </w:instrText>
      </w:r>
      <w:r w:rsidR="000D5F76">
        <w:fldChar w:fldCharType="separate"/>
      </w:r>
      <w:r w:rsidR="006B793E">
        <w:rPr>
          <w:noProof/>
        </w:rPr>
        <w:t>4</w:t>
      </w:r>
      <w:r w:rsidR="000D5F76">
        <w:rPr>
          <w:noProof/>
        </w:rPr>
        <w:fldChar w:fldCharType="end"/>
      </w:r>
      <w:r w:rsidR="00702E16">
        <w:noBreakHyphen/>
      </w:r>
      <w:r w:rsidR="000D5F76">
        <w:fldChar w:fldCharType="begin"/>
      </w:r>
      <w:r w:rsidR="000D5F76">
        <w:instrText xml:space="preserve"> SEQ Figure \* ARABIC \s 1 </w:instrText>
      </w:r>
      <w:r w:rsidR="000D5F76">
        <w:fldChar w:fldCharType="separate"/>
      </w:r>
      <w:r w:rsidR="006B793E">
        <w:rPr>
          <w:noProof/>
        </w:rPr>
        <w:t>2</w:t>
      </w:r>
      <w:r w:rsidR="000D5F76">
        <w:rPr>
          <w:noProof/>
        </w:rPr>
        <w:fldChar w:fldCharType="end"/>
      </w:r>
      <w:bookmarkEnd w:id="48"/>
      <w:r w:rsidRPr="0086248E">
        <w:t>: Annual average daily charging profile (13.2 kilowatt-hour [kWh] per vehicle per day).</w:t>
      </w:r>
      <w:bookmarkEnd w:id="49"/>
    </w:p>
    <w:p w14:paraId="39759972" w14:textId="77777777" w:rsidR="009C02EB" w:rsidRPr="008C4E62" w:rsidRDefault="00965653" w:rsidP="000E237F">
      <w:pPr>
        <w:pStyle w:val="Heading3"/>
      </w:pPr>
      <w:bookmarkStart w:id="50" w:name="_Ref44401152"/>
      <w:bookmarkStart w:id="51" w:name="_Toc52533796"/>
      <w:r>
        <w:t xml:space="preserve">Resource </w:t>
      </w:r>
      <w:r w:rsidR="009C02EB" w:rsidRPr="008C4E62">
        <w:t xml:space="preserve">Threshold </w:t>
      </w:r>
      <w:r w:rsidR="00D831AD" w:rsidRPr="008C4E62">
        <w:t>P</w:t>
      </w:r>
      <w:r w:rsidR="009C02EB" w:rsidRPr="008C4E62">
        <w:t>rices</w:t>
      </w:r>
      <w:bookmarkEnd w:id="50"/>
      <w:bookmarkEnd w:id="51"/>
    </w:p>
    <w:p w14:paraId="6F8C6FCC" w14:textId="77777777" w:rsidR="00942EE7" w:rsidRDefault="00846966" w:rsidP="00F0617A">
      <w:r w:rsidRPr="00373637">
        <w:t>Threshold prices were</w:t>
      </w:r>
      <w:r w:rsidR="00B26639" w:rsidRPr="00373637">
        <w:t xml:space="preserve"> assigned to </w:t>
      </w:r>
      <w:r w:rsidR="00551E4E">
        <w:t>profile-based</w:t>
      </w:r>
      <w:r w:rsidR="00B26639" w:rsidRPr="00373637">
        <w:t xml:space="preserve"> resource types</w:t>
      </w:r>
      <w:r w:rsidR="00E914E5" w:rsidRPr="00373637">
        <w:t xml:space="preserve"> in this study,</w:t>
      </w:r>
      <w:r w:rsidR="00B26639" w:rsidRPr="00373637">
        <w:t xml:space="preserve"> </w:t>
      </w:r>
      <w:r w:rsidR="00E914E5" w:rsidRPr="00373637">
        <w:t xml:space="preserve">including photovoltaics (PV), onshore wind, and offshore wind, </w:t>
      </w:r>
      <w:r w:rsidR="00B26639" w:rsidRPr="00373637">
        <w:t>to facilitate the analysis of load levels where the amount of $0/</w:t>
      </w:r>
      <w:r w:rsidR="00B26639" w:rsidRPr="00F22055">
        <w:t>MWh re</w:t>
      </w:r>
      <w:r w:rsidR="00B26639" w:rsidRPr="00373637">
        <w:t>sources exceed</w:t>
      </w:r>
      <w:r w:rsidR="00D831AD" w:rsidRPr="00373637">
        <w:t>ed</w:t>
      </w:r>
      <w:r w:rsidR="00B26639" w:rsidRPr="00373637">
        <w:t xml:space="preserve"> the system </w:t>
      </w:r>
      <w:r w:rsidR="00703947" w:rsidRPr="00373637">
        <w:t>load</w:t>
      </w:r>
      <w:r w:rsidR="006E75A7" w:rsidRPr="00373637">
        <w:t>, which leads to oversupply</w:t>
      </w:r>
      <w:r w:rsidR="00B04ED8" w:rsidRPr="00373637">
        <w:t>.</w:t>
      </w:r>
      <w:r w:rsidR="0052653B" w:rsidRPr="00373637">
        <w:rPr>
          <w:rStyle w:val="FootnoteReference"/>
        </w:rPr>
        <w:footnoteReference w:id="25"/>
      </w:r>
      <w:r w:rsidR="00B04ED8" w:rsidRPr="00373637">
        <w:t xml:space="preserve"> </w:t>
      </w:r>
      <w:r w:rsidR="006E75A7" w:rsidRPr="00373637">
        <w:t>The t</w:t>
      </w:r>
      <w:r w:rsidRPr="00373637">
        <w:t xml:space="preserve">hreshold prices </w:t>
      </w:r>
      <w:r w:rsidR="006E75A7" w:rsidRPr="00373637">
        <w:t xml:space="preserve">govern </w:t>
      </w:r>
      <w:r w:rsidR="00942EE7" w:rsidRPr="00373637">
        <w:t>which type of resources to back</w:t>
      </w:r>
      <w:r w:rsidR="00E914E5" w:rsidRPr="00373637">
        <w:t xml:space="preserve"> </w:t>
      </w:r>
      <w:r w:rsidR="00942EE7" w:rsidRPr="00373637">
        <w:t>down first</w:t>
      </w:r>
      <w:r w:rsidR="00F95844" w:rsidRPr="00373637">
        <w:t xml:space="preserve"> to </w:t>
      </w:r>
      <w:r w:rsidR="007C5119" w:rsidRPr="00373637">
        <w:t>balance supply and demand</w:t>
      </w:r>
      <w:r w:rsidR="006E75A7" w:rsidRPr="00373637">
        <w:t xml:space="preserve"> and inform t</w:t>
      </w:r>
      <w:r w:rsidR="007C5119" w:rsidRPr="00373637">
        <w:t xml:space="preserve">he model </w:t>
      </w:r>
      <w:r w:rsidR="00CA43F7" w:rsidRPr="00373637">
        <w:t xml:space="preserve">about </w:t>
      </w:r>
      <w:r w:rsidR="006E75A7" w:rsidRPr="00373637">
        <w:t>which</w:t>
      </w:r>
      <w:r w:rsidR="00CA43F7" w:rsidRPr="00373637">
        <w:t xml:space="preserve"> </w:t>
      </w:r>
      <w:r w:rsidR="007C5119" w:rsidRPr="00373637">
        <w:t>resources’ output</w:t>
      </w:r>
      <w:r w:rsidR="006E75A7" w:rsidRPr="00373637">
        <w:t xml:space="preserve"> </w:t>
      </w:r>
      <w:r w:rsidR="00CA43F7" w:rsidRPr="00373637">
        <w:t xml:space="preserve">to </w:t>
      </w:r>
      <w:r w:rsidR="006E75A7" w:rsidRPr="00373637">
        <w:t>re</w:t>
      </w:r>
      <w:r w:rsidR="006E75A7" w:rsidRPr="00E76F3A">
        <w:t>d</w:t>
      </w:r>
      <w:r w:rsidR="006E75A7" w:rsidRPr="006B793E">
        <w:t xml:space="preserve">uce—or </w:t>
      </w:r>
      <w:r w:rsidR="00A12CCC" w:rsidRPr="006B793E">
        <w:t>“</w:t>
      </w:r>
      <w:r w:rsidR="006E75A7" w:rsidRPr="006B793E">
        <w:t>spill</w:t>
      </w:r>
      <w:r w:rsidR="007C5119" w:rsidRPr="006B793E">
        <w:t>.</w:t>
      </w:r>
      <w:r w:rsidR="00A12CCC" w:rsidRPr="006B793E">
        <w:t>”</w:t>
      </w:r>
      <w:r w:rsidR="00F95844" w:rsidRPr="006B793E">
        <w:t xml:space="preserve"> </w:t>
      </w:r>
      <w:r w:rsidR="00942EE7" w:rsidRPr="006B793E">
        <w:t>T</w:t>
      </w:r>
      <w:r w:rsidR="00CA43F7" w:rsidRPr="006B793E">
        <w:t xml:space="preserve">hreshold prices </w:t>
      </w:r>
      <w:r w:rsidR="00942EE7" w:rsidRPr="006B793E">
        <w:t xml:space="preserve">are not </w:t>
      </w:r>
      <w:r w:rsidR="00A12CCC" w:rsidRPr="006B793E">
        <w:t xml:space="preserve">necessarily </w:t>
      </w:r>
      <w:r w:rsidR="00942EE7" w:rsidRPr="006B793E">
        <w:t>indicat</w:t>
      </w:r>
      <w:r w:rsidR="00942EE7" w:rsidRPr="00373637">
        <w:t xml:space="preserve">ive of </w:t>
      </w:r>
      <w:r w:rsidR="005A1CBA">
        <w:t>actual</w:t>
      </w:r>
      <w:r w:rsidR="00942EE7" w:rsidRPr="00373637">
        <w:t xml:space="preserve"> co</w:t>
      </w:r>
      <w:r w:rsidR="00942EE7" w:rsidRPr="006B793E">
        <w:t>st</w:t>
      </w:r>
      <w:r w:rsidR="00A12CCC" w:rsidRPr="006B793E">
        <w:t>s</w:t>
      </w:r>
      <w:r w:rsidR="00942EE7" w:rsidRPr="006B793E">
        <w:t>,</w:t>
      </w:r>
      <w:r w:rsidR="00942EE7" w:rsidRPr="00373637">
        <w:t xml:space="preserve"> expected bidding</w:t>
      </w:r>
      <w:r w:rsidR="00942EE7">
        <w:t xml:space="preserve"> behavior, or the preference for one type of resource over </w:t>
      </w:r>
      <w:r w:rsidR="00703947">
        <w:t>another</w:t>
      </w:r>
      <w:r w:rsidR="00942EE7">
        <w:t xml:space="preserve">. The 2019 </w:t>
      </w:r>
      <w:r w:rsidR="00DE6511">
        <w:t>A</w:t>
      </w:r>
      <w:r w:rsidR="00E54845">
        <w:t>nbaric</w:t>
      </w:r>
      <w:r w:rsidR="00942EE7">
        <w:t xml:space="preserve"> Economic Study used similar threshold prices as </w:t>
      </w:r>
      <w:r w:rsidR="001C20B1">
        <w:t xml:space="preserve">in </w:t>
      </w:r>
      <w:r w:rsidR="00942EE7">
        <w:t xml:space="preserve">prior </w:t>
      </w:r>
      <w:r w:rsidR="001C20B1">
        <w:t>e</w:t>
      </w:r>
      <w:r w:rsidR="00942EE7">
        <w:t xml:space="preserve">conomic </w:t>
      </w:r>
      <w:r w:rsidR="001C20B1">
        <w:t>s</w:t>
      </w:r>
      <w:r w:rsidR="00942EE7">
        <w:t>tudies (2016</w:t>
      </w:r>
      <w:r w:rsidR="0050799C">
        <w:t xml:space="preserve"> </w:t>
      </w:r>
      <w:r w:rsidR="00584CDB">
        <w:t>and 2017), with two adjustments. First, t</w:t>
      </w:r>
      <w:r w:rsidR="00942EE7">
        <w:t>he behind</w:t>
      </w:r>
      <w:r w:rsidR="00E914E5">
        <w:t>-</w:t>
      </w:r>
      <w:r w:rsidR="00942EE7">
        <w:t>the</w:t>
      </w:r>
      <w:r w:rsidR="00E914E5">
        <w:t>-</w:t>
      </w:r>
      <w:r w:rsidR="00942EE7">
        <w:t>meter PV and utility</w:t>
      </w:r>
      <w:r w:rsidR="00E914E5">
        <w:t>-</w:t>
      </w:r>
      <w:r w:rsidR="00942EE7">
        <w:t>scale PV (F</w:t>
      </w:r>
      <w:r w:rsidR="001C20B1">
        <w:t>CM</w:t>
      </w:r>
      <w:r w:rsidR="00942EE7">
        <w:t xml:space="preserve"> </w:t>
      </w:r>
      <w:r w:rsidR="001C20B1">
        <w:t>and</w:t>
      </w:r>
      <w:r w:rsidR="00942EE7">
        <w:t xml:space="preserve"> energy only) </w:t>
      </w:r>
      <w:r w:rsidR="001C20B1">
        <w:t>we</w:t>
      </w:r>
      <w:r w:rsidR="00942EE7">
        <w:t>re differentiated</w:t>
      </w:r>
      <w:r w:rsidR="00FF3EB1">
        <w:t xml:space="preserve">. </w:t>
      </w:r>
      <w:r w:rsidR="00584CDB">
        <w:t>Second, a</w:t>
      </w:r>
      <w:r w:rsidR="00942EE7">
        <w:t xml:space="preserve"> </w:t>
      </w:r>
      <w:r w:rsidR="00962511">
        <w:t xml:space="preserve">preferential </w:t>
      </w:r>
      <w:r w:rsidR="00942EE7">
        <w:t xml:space="preserve">threshold price was </w:t>
      </w:r>
      <w:r w:rsidR="00962511">
        <w:t xml:space="preserve">applied to energy from the </w:t>
      </w:r>
      <w:r w:rsidR="0050799C">
        <w:t xml:space="preserve">newly proposed </w:t>
      </w:r>
      <w:r w:rsidR="00942EE7">
        <w:t>NECEC tie</w:t>
      </w:r>
      <w:r w:rsidR="00962511">
        <w:t xml:space="preserve"> </w:t>
      </w:r>
      <w:r w:rsidR="00584CDB">
        <w:t>line</w:t>
      </w:r>
      <w:r w:rsidR="00AC0544">
        <w:t>,</w:t>
      </w:r>
      <w:r w:rsidR="00584CDB">
        <w:t xml:space="preserve"> considering</w:t>
      </w:r>
      <w:r w:rsidR="00962511">
        <w:t xml:space="preserve"> publicly available contract terms</w:t>
      </w:r>
      <w:r w:rsidR="0050799C">
        <w:t>.</w:t>
      </w:r>
      <w:r w:rsidR="00837709">
        <w:rPr>
          <w:rStyle w:val="FootnoteReference"/>
        </w:rPr>
        <w:footnoteReference w:id="26"/>
      </w:r>
      <w:r w:rsidR="00584CDB">
        <w:t xml:space="preserve"> </w:t>
      </w:r>
      <w:r w:rsidR="001C20B1">
        <w:t>The u</w:t>
      </w:r>
      <w:r w:rsidR="00942EE7">
        <w:t xml:space="preserve">se of different threshold prices </w:t>
      </w:r>
      <w:r w:rsidR="00901753">
        <w:t xml:space="preserve">other </w:t>
      </w:r>
      <w:r w:rsidR="00942EE7">
        <w:t xml:space="preserve">than indicated </w:t>
      </w:r>
      <w:r w:rsidR="0050799C">
        <w:t xml:space="preserve">in </w:t>
      </w:r>
      <w:r w:rsidR="001C20B1" w:rsidRPr="00343A52">
        <w:fldChar w:fldCharType="begin"/>
      </w:r>
      <w:r w:rsidR="001C20B1" w:rsidRPr="001C20B1">
        <w:instrText xml:space="preserve"> REF _Ref42603671 \h </w:instrText>
      </w:r>
      <w:r w:rsidR="001C20B1" w:rsidRPr="0018404F">
        <w:instrText xml:space="preserve"> \* MERGEFORMAT </w:instrText>
      </w:r>
      <w:r w:rsidR="001C20B1" w:rsidRPr="00343A52">
        <w:fldChar w:fldCharType="separate"/>
      </w:r>
      <w:r w:rsidR="006B793E" w:rsidRPr="001C20B1">
        <w:t xml:space="preserve">Table </w:t>
      </w:r>
      <w:r w:rsidR="006B793E">
        <w:rPr>
          <w:noProof/>
        </w:rPr>
        <w:t>4</w:t>
      </w:r>
      <w:r w:rsidR="006B793E">
        <w:rPr>
          <w:noProof/>
        </w:rPr>
        <w:noBreakHyphen/>
        <w:t>2</w:t>
      </w:r>
      <w:r w:rsidR="001C20B1" w:rsidRPr="00343A52">
        <w:fldChar w:fldCharType="end"/>
      </w:r>
      <w:r w:rsidR="0050799C">
        <w:t xml:space="preserve"> </w:t>
      </w:r>
      <w:r w:rsidR="00942EE7">
        <w:t>may produce different outcomes</w:t>
      </w:r>
      <w:r w:rsidR="0050799C">
        <w:t>.</w:t>
      </w:r>
      <w:r w:rsidR="00510D31" w:rsidRPr="00510D31">
        <w:t xml:space="preserve"> </w:t>
      </w:r>
    </w:p>
    <w:p w14:paraId="79A9C697" w14:textId="77777777" w:rsidR="00275141" w:rsidRDefault="00275141" w:rsidP="00F0617A">
      <w:pPr>
        <w:pStyle w:val="Caption"/>
        <w:keepNext w:val="0"/>
        <w:keepLines w:val="0"/>
        <w:jc w:val="center"/>
      </w:pPr>
      <w:bookmarkStart w:id="52" w:name="_Ref42603671"/>
      <w:bookmarkStart w:id="53" w:name="_Toc52533821"/>
      <w:r w:rsidRPr="001C20B1">
        <w:t xml:space="preserve">Table </w:t>
      </w:r>
      <w:r w:rsidR="000D5F76">
        <w:fldChar w:fldCharType="begin"/>
      </w:r>
      <w:r w:rsidR="000D5F76">
        <w:instrText xml:space="preserve"> STYLEREF 1 \s </w:instrText>
      </w:r>
      <w:r w:rsidR="000D5F76">
        <w:fldChar w:fldCharType="separate"/>
      </w:r>
      <w:r w:rsidR="006B793E">
        <w:rPr>
          <w:noProof/>
        </w:rPr>
        <w:t>4</w:t>
      </w:r>
      <w:r w:rsidR="000D5F76">
        <w:rPr>
          <w:noProof/>
        </w:rPr>
        <w:fldChar w:fldCharType="end"/>
      </w:r>
      <w:r w:rsidR="00D7214A">
        <w:noBreakHyphen/>
      </w:r>
      <w:r w:rsidR="000D5F76">
        <w:fldChar w:fldCharType="begin"/>
      </w:r>
      <w:r w:rsidR="000D5F76">
        <w:instrText xml:space="preserve"> SEQ Table \* ARABIC \s 1 </w:instrText>
      </w:r>
      <w:r w:rsidR="000D5F76">
        <w:fldChar w:fldCharType="separate"/>
      </w:r>
      <w:r w:rsidR="006B793E">
        <w:rPr>
          <w:noProof/>
        </w:rPr>
        <w:t>2</w:t>
      </w:r>
      <w:r w:rsidR="000D5F76">
        <w:rPr>
          <w:noProof/>
        </w:rPr>
        <w:fldChar w:fldCharType="end"/>
      </w:r>
      <w:bookmarkEnd w:id="52"/>
      <w:r w:rsidRPr="001C20B1">
        <w:br/>
        <w:t xml:space="preserve">Threshold Prices for the </w:t>
      </w:r>
      <w:r>
        <w:t>2019 A</w:t>
      </w:r>
      <w:r w:rsidR="00584CDB">
        <w:t>nbaric</w:t>
      </w:r>
      <w:r w:rsidRPr="001C20B1">
        <w:t xml:space="preserve"> Economic Study</w:t>
      </w:r>
      <w:r>
        <w:t xml:space="preserve"> ($/MWh)</w:t>
      </w:r>
      <w:bookmarkEnd w:id="53"/>
    </w:p>
    <w:tbl>
      <w:tblPr>
        <w:tblStyle w:val="TableGrid"/>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90"/>
        <w:gridCol w:w="2155"/>
      </w:tblGrid>
      <w:tr w:rsidR="00275141" w:rsidRPr="003650D6" w14:paraId="58A60CCA" w14:textId="77777777" w:rsidTr="00E130A7">
        <w:trPr>
          <w:jc w:val="center"/>
        </w:trPr>
        <w:tc>
          <w:tcPr>
            <w:tcW w:w="3690" w:type="dxa"/>
            <w:shd w:val="clear" w:color="auto" w:fill="1795D2" w:themeFill="accent1"/>
            <w:vAlign w:val="center"/>
          </w:tcPr>
          <w:p w14:paraId="013474D6" w14:textId="77777777" w:rsidR="00275141" w:rsidRPr="00AC0544" w:rsidRDefault="00275141" w:rsidP="00AC0544">
            <w:pPr>
              <w:keepNext/>
              <w:keepLines/>
              <w:spacing w:before="40" w:after="40" w:line="240" w:lineRule="auto"/>
              <w:jc w:val="center"/>
              <w:rPr>
                <w:rFonts w:asciiTheme="minorHAnsi" w:hAnsiTheme="minorHAnsi" w:cstheme="minorHAnsi"/>
                <w:b/>
                <w:color w:val="FFFFFF" w:themeColor="background1"/>
                <w:sz w:val="18"/>
                <w:szCs w:val="18"/>
              </w:rPr>
            </w:pPr>
            <w:r w:rsidRPr="00AC0544">
              <w:rPr>
                <w:rFonts w:asciiTheme="minorHAnsi" w:hAnsiTheme="minorHAnsi" w:cstheme="minorHAnsi"/>
                <w:b/>
                <w:color w:val="FFFFFF" w:themeColor="background1"/>
                <w:sz w:val="18"/>
                <w:szCs w:val="18"/>
              </w:rPr>
              <w:t>Price-Taking Resource</w:t>
            </w:r>
          </w:p>
        </w:tc>
        <w:tc>
          <w:tcPr>
            <w:tcW w:w="2155" w:type="dxa"/>
            <w:shd w:val="clear" w:color="auto" w:fill="1795D2" w:themeFill="accent1"/>
            <w:vAlign w:val="center"/>
          </w:tcPr>
          <w:p w14:paraId="5472F176" w14:textId="77777777" w:rsidR="00275141" w:rsidRPr="00AC0544" w:rsidRDefault="00275141" w:rsidP="00AC0544">
            <w:pPr>
              <w:keepNext/>
              <w:keepLines/>
              <w:spacing w:before="40" w:after="40" w:line="240" w:lineRule="auto"/>
              <w:jc w:val="center"/>
              <w:rPr>
                <w:rFonts w:asciiTheme="minorHAnsi" w:hAnsiTheme="minorHAnsi" w:cstheme="minorHAnsi"/>
                <w:b/>
                <w:color w:val="FFFFFF" w:themeColor="background1"/>
                <w:sz w:val="18"/>
                <w:szCs w:val="18"/>
              </w:rPr>
            </w:pPr>
            <w:r w:rsidRPr="00AC0544">
              <w:rPr>
                <w:rFonts w:asciiTheme="minorHAnsi" w:hAnsiTheme="minorHAnsi" w:cstheme="minorHAnsi"/>
                <w:b/>
                <w:color w:val="FFFFFF" w:themeColor="background1"/>
                <w:sz w:val="18"/>
                <w:szCs w:val="18"/>
              </w:rPr>
              <w:t>Threshold Price ($/MWh)</w:t>
            </w:r>
          </w:p>
        </w:tc>
      </w:tr>
      <w:tr w:rsidR="00275141" w:rsidRPr="003650D6" w14:paraId="122C115B" w14:textId="77777777" w:rsidTr="00E130A7">
        <w:trPr>
          <w:jc w:val="center"/>
        </w:trPr>
        <w:tc>
          <w:tcPr>
            <w:tcW w:w="3690" w:type="dxa"/>
            <w:shd w:val="clear" w:color="auto" w:fill="auto"/>
            <w:vAlign w:val="center"/>
          </w:tcPr>
          <w:p w14:paraId="75458D47" w14:textId="77777777" w:rsidR="00275141" w:rsidRPr="006A0629" w:rsidRDefault="00275141" w:rsidP="00E130A7">
            <w:pPr>
              <w:keepNext/>
              <w:keepLines/>
              <w:spacing w:before="40" w:after="40" w:line="240" w:lineRule="auto"/>
              <w:rPr>
                <w:rFonts w:asciiTheme="minorHAnsi" w:hAnsiTheme="minorHAnsi" w:cstheme="minorHAnsi"/>
                <w:b/>
                <w:sz w:val="18"/>
                <w:szCs w:val="18"/>
              </w:rPr>
            </w:pPr>
            <w:r w:rsidRPr="006A0629">
              <w:rPr>
                <w:rFonts w:ascii="Calibri" w:hAnsi="Calibri" w:cs="Calibri"/>
                <w:b/>
                <w:color w:val="000000"/>
                <w:kern w:val="24"/>
                <w:sz w:val="18"/>
                <w:szCs w:val="18"/>
              </w:rPr>
              <w:t>Behind-t</w:t>
            </w:r>
            <w:r w:rsidRPr="000372B9">
              <w:rPr>
                <w:rFonts w:ascii="Calibri" w:hAnsi="Calibri" w:cs="Calibri"/>
                <w:b/>
                <w:color w:val="000000"/>
                <w:kern w:val="24"/>
                <w:sz w:val="18"/>
                <w:szCs w:val="18"/>
              </w:rPr>
              <w:t>he-</w:t>
            </w:r>
            <w:r w:rsidR="00AC0544" w:rsidRPr="000372B9">
              <w:rPr>
                <w:rFonts w:ascii="Calibri" w:hAnsi="Calibri" w:cs="Calibri"/>
                <w:b/>
                <w:color w:val="000000"/>
                <w:kern w:val="24"/>
                <w:sz w:val="18"/>
                <w:szCs w:val="18"/>
              </w:rPr>
              <w:t>m</w:t>
            </w:r>
            <w:r w:rsidR="000372B9">
              <w:rPr>
                <w:rFonts w:ascii="Calibri" w:hAnsi="Calibri" w:cs="Calibri"/>
                <w:b/>
                <w:color w:val="000000"/>
                <w:kern w:val="24"/>
                <w:sz w:val="18"/>
                <w:szCs w:val="18"/>
              </w:rPr>
              <w:t>e</w:t>
            </w:r>
            <w:r w:rsidRPr="000372B9">
              <w:rPr>
                <w:rFonts w:ascii="Calibri" w:hAnsi="Calibri" w:cs="Calibri"/>
                <w:b/>
                <w:color w:val="000000"/>
                <w:kern w:val="24"/>
                <w:sz w:val="18"/>
                <w:szCs w:val="18"/>
              </w:rPr>
              <w:t>ter PV</w:t>
            </w:r>
          </w:p>
        </w:tc>
        <w:tc>
          <w:tcPr>
            <w:tcW w:w="2155" w:type="dxa"/>
            <w:shd w:val="clear" w:color="auto" w:fill="auto"/>
            <w:vAlign w:val="center"/>
          </w:tcPr>
          <w:p w14:paraId="0849CC37" w14:textId="77777777" w:rsidR="00275141" w:rsidRPr="00E130A7" w:rsidRDefault="00275141">
            <w:pPr>
              <w:keepNext/>
              <w:keepLines/>
              <w:spacing w:before="40" w:after="40" w:line="240" w:lineRule="auto"/>
              <w:jc w:val="center"/>
              <w:rPr>
                <w:rFonts w:asciiTheme="minorHAnsi" w:hAnsiTheme="minorHAnsi" w:cstheme="minorHAnsi"/>
                <w:sz w:val="18"/>
                <w:szCs w:val="18"/>
              </w:rPr>
            </w:pPr>
            <w:r w:rsidRPr="00E130A7">
              <w:rPr>
                <w:rFonts w:ascii="Calibri" w:hAnsi="Calibri" w:cs="Calibri"/>
                <w:color w:val="000000"/>
                <w:kern w:val="24"/>
                <w:sz w:val="18"/>
                <w:szCs w:val="18"/>
              </w:rPr>
              <w:t>1</w:t>
            </w:r>
          </w:p>
        </w:tc>
      </w:tr>
      <w:tr w:rsidR="00275141" w:rsidRPr="003650D6" w14:paraId="69811D67" w14:textId="77777777" w:rsidTr="00E130A7">
        <w:trPr>
          <w:jc w:val="center"/>
        </w:trPr>
        <w:tc>
          <w:tcPr>
            <w:tcW w:w="3690" w:type="dxa"/>
            <w:shd w:val="clear" w:color="auto" w:fill="CCEAF9" w:themeFill="accent1" w:themeFillTint="33"/>
            <w:vAlign w:val="center"/>
          </w:tcPr>
          <w:p w14:paraId="3FA28C73" w14:textId="77777777" w:rsidR="00275141" w:rsidRPr="006A0629" w:rsidRDefault="00275141">
            <w:pPr>
              <w:keepNext/>
              <w:keepLines/>
              <w:spacing w:before="40" w:after="40" w:line="240" w:lineRule="auto"/>
              <w:rPr>
                <w:rFonts w:asciiTheme="minorHAnsi" w:hAnsiTheme="minorHAnsi" w:cstheme="minorHAnsi"/>
                <w:b/>
                <w:sz w:val="18"/>
                <w:szCs w:val="18"/>
              </w:rPr>
            </w:pPr>
            <w:r w:rsidRPr="006A0629">
              <w:rPr>
                <w:rFonts w:ascii="Calibri" w:hAnsi="Calibri" w:cs="Calibri"/>
                <w:b/>
                <w:color w:val="000000"/>
                <w:kern w:val="24"/>
                <w:sz w:val="18"/>
                <w:szCs w:val="18"/>
              </w:rPr>
              <w:t>NECEC (1,090 MW)</w:t>
            </w:r>
          </w:p>
        </w:tc>
        <w:tc>
          <w:tcPr>
            <w:tcW w:w="2155" w:type="dxa"/>
            <w:shd w:val="clear" w:color="auto" w:fill="CCEAF9" w:themeFill="accent1" w:themeFillTint="33"/>
            <w:vAlign w:val="center"/>
          </w:tcPr>
          <w:p w14:paraId="59F3010D" w14:textId="77777777" w:rsidR="00275141" w:rsidRPr="00E130A7" w:rsidRDefault="00275141" w:rsidP="00E130A7">
            <w:pPr>
              <w:pStyle w:val="NormalWeb"/>
              <w:spacing w:before="40" w:beforeAutospacing="0" w:after="40" w:afterAutospacing="0"/>
              <w:jc w:val="center"/>
              <w:textAlignment w:val="bottom"/>
              <w:rPr>
                <w:rFonts w:ascii="Arial" w:hAnsi="Arial" w:cs="Arial"/>
                <w:sz w:val="18"/>
                <w:szCs w:val="18"/>
              </w:rPr>
            </w:pPr>
            <w:r w:rsidRPr="00E130A7">
              <w:rPr>
                <w:rFonts w:ascii="Calibri" w:hAnsi="Calibri" w:cs="Calibri"/>
                <w:color w:val="000000"/>
                <w:kern w:val="24"/>
                <w:sz w:val="18"/>
                <w:szCs w:val="18"/>
              </w:rPr>
              <w:t xml:space="preserve">2 </w:t>
            </w:r>
          </w:p>
          <w:p w14:paraId="5A7C316E" w14:textId="77777777" w:rsidR="00275141" w:rsidRPr="00E130A7" w:rsidRDefault="00275141">
            <w:pPr>
              <w:keepNext/>
              <w:keepLines/>
              <w:spacing w:before="40" w:after="40" w:line="240" w:lineRule="auto"/>
              <w:jc w:val="center"/>
              <w:rPr>
                <w:rFonts w:asciiTheme="minorHAnsi" w:hAnsiTheme="minorHAnsi" w:cstheme="minorHAnsi"/>
                <w:sz w:val="18"/>
                <w:szCs w:val="18"/>
              </w:rPr>
            </w:pPr>
            <w:r w:rsidRPr="00E130A7">
              <w:rPr>
                <w:rFonts w:ascii="Calibri" w:hAnsi="Calibri" w:cs="Calibri"/>
                <w:color w:val="000000"/>
                <w:kern w:val="24"/>
                <w:sz w:val="18"/>
                <w:szCs w:val="18"/>
              </w:rPr>
              <w:t>11 (sensitivity)</w:t>
            </w:r>
            <w:r w:rsidR="00AC0544">
              <w:rPr>
                <w:rFonts w:ascii="Calibri" w:hAnsi="Calibri" w:cs="Calibri"/>
                <w:color w:val="000000"/>
                <w:kern w:val="24"/>
                <w:sz w:val="18"/>
                <w:szCs w:val="18"/>
                <w:vertAlign w:val="superscript"/>
              </w:rPr>
              <w:t>(a)</w:t>
            </w:r>
          </w:p>
        </w:tc>
      </w:tr>
      <w:tr w:rsidR="00275141" w:rsidRPr="003650D6" w14:paraId="26638302" w14:textId="77777777" w:rsidTr="00E130A7">
        <w:trPr>
          <w:jc w:val="center"/>
        </w:trPr>
        <w:tc>
          <w:tcPr>
            <w:tcW w:w="3690" w:type="dxa"/>
            <w:shd w:val="clear" w:color="auto" w:fill="auto"/>
            <w:vAlign w:val="center"/>
          </w:tcPr>
          <w:p w14:paraId="1951ED75" w14:textId="77777777" w:rsidR="00275141" w:rsidRPr="006A0629" w:rsidRDefault="00275141">
            <w:pPr>
              <w:keepNext/>
              <w:keepLines/>
              <w:spacing w:before="40" w:after="40" w:line="240" w:lineRule="auto"/>
              <w:rPr>
                <w:rFonts w:asciiTheme="minorHAnsi" w:hAnsiTheme="minorHAnsi" w:cstheme="minorHAnsi"/>
                <w:b/>
                <w:sz w:val="18"/>
                <w:szCs w:val="18"/>
              </w:rPr>
            </w:pPr>
            <w:r w:rsidRPr="006A0629">
              <w:rPr>
                <w:rFonts w:ascii="Calibri" w:hAnsi="Calibri" w:cs="Calibri"/>
                <w:b/>
                <w:color w:val="000000"/>
                <w:kern w:val="24"/>
                <w:sz w:val="18"/>
                <w:szCs w:val="18"/>
              </w:rPr>
              <w:t>Utility</w:t>
            </w:r>
            <w:r w:rsidR="00AC0544" w:rsidRPr="006A0629">
              <w:rPr>
                <w:rFonts w:ascii="Calibri" w:hAnsi="Calibri" w:cs="Calibri"/>
                <w:b/>
                <w:color w:val="000000"/>
                <w:kern w:val="24"/>
                <w:sz w:val="18"/>
                <w:szCs w:val="18"/>
              </w:rPr>
              <w:t>-s</w:t>
            </w:r>
            <w:r w:rsidRPr="006A0629">
              <w:rPr>
                <w:rFonts w:ascii="Calibri" w:hAnsi="Calibri" w:cs="Calibri"/>
                <w:b/>
                <w:color w:val="000000"/>
                <w:kern w:val="24"/>
                <w:sz w:val="18"/>
                <w:szCs w:val="18"/>
              </w:rPr>
              <w:t>cale PV</w:t>
            </w:r>
          </w:p>
        </w:tc>
        <w:tc>
          <w:tcPr>
            <w:tcW w:w="2155" w:type="dxa"/>
            <w:shd w:val="clear" w:color="auto" w:fill="auto"/>
            <w:vAlign w:val="center"/>
          </w:tcPr>
          <w:p w14:paraId="770F70B3" w14:textId="77777777" w:rsidR="00275141" w:rsidRPr="00E130A7" w:rsidRDefault="00275141">
            <w:pPr>
              <w:keepNext/>
              <w:keepLines/>
              <w:spacing w:before="40" w:after="40" w:line="240" w:lineRule="auto"/>
              <w:jc w:val="center"/>
              <w:rPr>
                <w:rFonts w:asciiTheme="minorHAnsi" w:hAnsiTheme="minorHAnsi" w:cstheme="minorHAnsi"/>
                <w:sz w:val="18"/>
                <w:szCs w:val="18"/>
              </w:rPr>
            </w:pPr>
            <w:r w:rsidRPr="00E130A7">
              <w:rPr>
                <w:rFonts w:ascii="Calibri" w:hAnsi="Calibri" w:cs="Calibri"/>
                <w:color w:val="000000"/>
                <w:kern w:val="24"/>
                <w:sz w:val="18"/>
                <w:szCs w:val="18"/>
              </w:rPr>
              <w:t>3</w:t>
            </w:r>
          </w:p>
        </w:tc>
      </w:tr>
      <w:tr w:rsidR="00275141" w:rsidRPr="003650D6" w14:paraId="3860F325" w14:textId="77777777" w:rsidTr="00E130A7">
        <w:trPr>
          <w:jc w:val="center"/>
        </w:trPr>
        <w:tc>
          <w:tcPr>
            <w:tcW w:w="3690" w:type="dxa"/>
            <w:shd w:val="clear" w:color="auto" w:fill="CCEAF9" w:themeFill="accent1" w:themeFillTint="33"/>
            <w:vAlign w:val="center"/>
          </w:tcPr>
          <w:p w14:paraId="52A5A07E" w14:textId="77777777" w:rsidR="00275141" w:rsidRPr="006A0629" w:rsidRDefault="00275141">
            <w:pPr>
              <w:keepNext/>
              <w:keepLines/>
              <w:spacing w:before="40" w:after="40" w:line="240" w:lineRule="auto"/>
              <w:rPr>
                <w:rFonts w:asciiTheme="minorHAnsi" w:hAnsiTheme="minorHAnsi" w:cstheme="minorHAnsi"/>
                <w:b/>
                <w:sz w:val="18"/>
                <w:szCs w:val="18"/>
              </w:rPr>
            </w:pPr>
            <w:r w:rsidRPr="006A0629">
              <w:rPr>
                <w:rFonts w:ascii="Calibri" w:hAnsi="Calibri" w:cs="Calibri"/>
                <w:b/>
                <w:color w:val="000000"/>
                <w:kern w:val="24"/>
                <w:sz w:val="18"/>
                <w:szCs w:val="18"/>
              </w:rPr>
              <w:t>Onshore/</w:t>
            </w:r>
            <w:r w:rsidR="00AC0544" w:rsidRPr="006A0629">
              <w:rPr>
                <w:rFonts w:ascii="Calibri" w:hAnsi="Calibri" w:cs="Calibri"/>
                <w:b/>
                <w:color w:val="000000"/>
                <w:kern w:val="24"/>
                <w:sz w:val="18"/>
                <w:szCs w:val="18"/>
              </w:rPr>
              <w:t>o</w:t>
            </w:r>
            <w:r w:rsidRPr="006A0629">
              <w:rPr>
                <w:rFonts w:ascii="Calibri" w:hAnsi="Calibri" w:cs="Calibri"/>
                <w:b/>
                <w:color w:val="000000"/>
                <w:kern w:val="24"/>
                <w:sz w:val="18"/>
                <w:szCs w:val="18"/>
              </w:rPr>
              <w:t xml:space="preserve">ffshore </w:t>
            </w:r>
            <w:r w:rsidR="00AC0544" w:rsidRPr="006A0629">
              <w:rPr>
                <w:rFonts w:ascii="Calibri" w:hAnsi="Calibri" w:cs="Calibri"/>
                <w:b/>
                <w:color w:val="000000"/>
                <w:kern w:val="24"/>
                <w:sz w:val="18"/>
                <w:szCs w:val="18"/>
              </w:rPr>
              <w:t>w</w:t>
            </w:r>
            <w:r w:rsidRPr="006A0629">
              <w:rPr>
                <w:rFonts w:ascii="Calibri" w:hAnsi="Calibri" w:cs="Calibri"/>
                <w:b/>
                <w:color w:val="000000"/>
                <w:kern w:val="24"/>
                <w:sz w:val="18"/>
                <w:szCs w:val="18"/>
              </w:rPr>
              <w:t>ind</w:t>
            </w:r>
          </w:p>
        </w:tc>
        <w:tc>
          <w:tcPr>
            <w:tcW w:w="2155" w:type="dxa"/>
            <w:shd w:val="clear" w:color="auto" w:fill="CCEAF9" w:themeFill="accent1" w:themeFillTint="33"/>
            <w:vAlign w:val="center"/>
          </w:tcPr>
          <w:p w14:paraId="370AE787" w14:textId="77777777" w:rsidR="00275141" w:rsidRPr="00E130A7" w:rsidRDefault="00275141">
            <w:pPr>
              <w:keepNext/>
              <w:keepLines/>
              <w:spacing w:before="40" w:after="40" w:line="240" w:lineRule="auto"/>
              <w:jc w:val="center"/>
              <w:rPr>
                <w:rFonts w:asciiTheme="minorHAnsi" w:hAnsiTheme="minorHAnsi" w:cstheme="minorHAnsi"/>
                <w:sz w:val="18"/>
                <w:szCs w:val="18"/>
              </w:rPr>
            </w:pPr>
            <w:r w:rsidRPr="00E130A7">
              <w:rPr>
                <w:rFonts w:ascii="Calibri" w:hAnsi="Calibri" w:cs="Calibri"/>
                <w:color w:val="000000"/>
                <w:kern w:val="24"/>
                <w:sz w:val="18"/>
                <w:szCs w:val="18"/>
              </w:rPr>
              <w:t>4</w:t>
            </w:r>
          </w:p>
        </w:tc>
      </w:tr>
      <w:tr w:rsidR="00275141" w:rsidRPr="003650D6" w14:paraId="0693889F" w14:textId="77777777" w:rsidTr="00E130A7">
        <w:trPr>
          <w:jc w:val="center"/>
        </w:trPr>
        <w:tc>
          <w:tcPr>
            <w:tcW w:w="3690" w:type="dxa"/>
            <w:shd w:val="clear" w:color="auto" w:fill="auto"/>
            <w:vAlign w:val="center"/>
          </w:tcPr>
          <w:p w14:paraId="7A5CA8C1" w14:textId="77777777" w:rsidR="00275141" w:rsidRPr="006A0629" w:rsidRDefault="00275141">
            <w:pPr>
              <w:keepNext/>
              <w:keepLines/>
              <w:spacing w:before="40" w:after="40" w:line="240" w:lineRule="auto"/>
              <w:rPr>
                <w:rFonts w:asciiTheme="minorHAnsi" w:hAnsiTheme="minorHAnsi" w:cstheme="minorHAnsi"/>
                <w:b/>
                <w:sz w:val="18"/>
                <w:szCs w:val="18"/>
              </w:rPr>
            </w:pPr>
            <w:r w:rsidRPr="006A0629">
              <w:rPr>
                <w:rFonts w:ascii="Calibri" w:hAnsi="Calibri" w:cs="Calibri"/>
                <w:b/>
                <w:color w:val="000000"/>
                <w:kern w:val="24"/>
                <w:sz w:val="18"/>
                <w:szCs w:val="18"/>
              </w:rPr>
              <w:t xml:space="preserve">New England </w:t>
            </w:r>
            <w:r w:rsidR="00BC4461" w:rsidRPr="006A0629">
              <w:rPr>
                <w:rFonts w:ascii="Calibri" w:hAnsi="Calibri" w:cs="Calibri"/>
                <w:b/>
                <w:color w:val="000000"/>
                <w:kern w:val="24"/>
                <w:sz w:val="18"/>
                <w:szCs w:val="18"/>
              </w:rPr>
              <w:t>h</w:t>
            </w:r>
            <w:r w:rsidRPr="006A0629">
              <w:rPr>
                <w:rFonts w:ascii="Calibri" w:hAnsi="Calibri" w:cs="Calibri"/>
                <w:b/>
                <w:color w:val="000000"/>
                <w:kern w:val="24"/>
                <w:sz w:val="18"/>
                <w:szCs w:val="18"/>
              </w:rPr>
              <w:t>ydro</w:t>
            </w:r>
          </w:p>
        </w:tc>
        <w:tc>
          <w:tcPr>
            <w:tcW w:w="2155" w:type="dxa"/>
            <w:shd w:val="clear" w:color="auto" w:fill="auto"/>
            <w:vAlign w:val="center"/>
          </w:tcPr>
          <w:p w14:paraId="4FC2FDE8" w14:textId="77777777" w:rsidR="00275141" w:rsidRPr="00E130A7" w:rsidRDefault="00275141">
            <w:pPr>
              <w:keepNext/>
              <w:keepLines/>
              <w:spacing w:before="40" w:after="40" w:line="240" w:lineRule="auto"/>
              <w:jc w:val="center"/>
              <w:rPr>
                <w:rFonts w:asciiTheme="minorHAnsi" w:hAnsiTheme="minorHAnsi" w:cstheme="minorHAnsi"/>
                <w:sz w:val="18"/>
                <w:szCs w:val="18"/>
              </w:rPr>
            </w:pPr>
            <w:r w:rsidRPr="00E130A7">
              <w:rPr>
                <w:rFonts w:ascii="Calibri" w:hAnsi="Calibri" w:cs="Calibri"/>
                <w:color w:val="000000"/>
                <w:kern w:val="24"/>
                <w:sz w:val="18"/>
                <w:szCs w:val="18"/>
              </w:rPr>
              <w:t>4.5</w:t>
            </w:r>
          </w:p>
        </w:tc>
      </w:tr>
      <w:tr w:rsidR="00275141" w:rsidRPr="003650D6" w14:paraId="4D225B43" w14:textId="77777777" w:rsidTr="00E130A7">
        <w:trPr>
          <w:jc w:val="center"/>
        </w:trPr>
        <w:tc>
          <w:tcPr>
            <w:tcW w:w="3690" w:type="dxa"/>
            <w:shd w:val="clear" w:color="auto" w:fill="CCEAF9" w:themeFill="accent1" w:themeFillTint="33"/>
            <w:vAlign w:val="center"/>
          </w:tcPr>
          <w:p w14:paraId="64ECFF58" w14:textId="77777777" w:rsidR="00275141" w:rsidRPr="006A0629" w:rsidRDefault="00275141">
            <w:pPr>
              <w:keepNext/>
              <w:keepLines/>
              <w:spacing w:before="40" w:after="40" w:line="240" w:lineRule="auto"/>
              <w:rPr>
                <w:rFonts w:asciiTheme="minorHAnsi" w:hAnsiTheme="minorHAnsi" w:cstheme="minorHAnsi"/>
                <w:b/>
                <w:sz w:val="18"/>
                <w:szCs w:val="18"/>
              </w:rPr>
            </w:pPr>
            <w:r w:rsidRPr="006A0629">
              <w:rPr>
                <w:rFonts w:ascii="Calibri" w:hAnsi="Calibri" w:cs="Calibri"/>
                <w:b/>
                <w:color w:val="000000"/>
                <w:kern w:val="24"/>
                <w:sz w:val="18"/>
                <w:szCs w:val="18"/>
              </w:rPr>
              <w:t>Imports from HydroQu</w:t>
            </w:r>
            <w:r w:rsidR="00AC0544" w:rsidRPr="006A0629">
              <w:rPr>
                <w:rFonts w:ascii="Calibri" w:hAnsi="Calibri" w:cs="Calibri"/>
                <w:b/>
                <w:color w:val="000000"/>
                <w:kern w:val="24"/>
                <w:sz w:val="18"/>
                <w:szCs w:val="18"/>
              </w:rPr>
              <w:t>é</w:t>
            </w:r>
            <w:r w:rsidRPr="006A0629">
              <w:rPr>
                <w:rFonts w:ascii="Calibri" w:hAnsi="Calibri" w:cs="Calibri"/>
                <w:b/>
                <w:color w:val="000000"/>
                <w:kern w:val="24"/>
                <w:sz w:val="18"/>
                <w:szCs w:val="18"/>
              </w:rPr>
              <w:t>bec</w:t>
            </w:r>
            <w:r w:rsidR="00AC0544" w:rsidRPr="006A0629">
              <w:rPr>
                <w:rFonts w:ascii="Calibri" w:hAnsi="Calibri" w:cs="Calibri"/>
                <w:b/>
                <w:color w:val="000000"/>
                <w:kern w:val="24"/>
                <w:sz w:val="18"/>
                <w:szCs w:val="18"/>
              </w:rPr>
              <w:t>,</w:t>
            </w:r>
            <w:r w:rsidRPr="006A0629">
              <w:rPr>
                <w:rFonts w:ascii="Calibri" w:hAnsi="Calibri" w:cs="Calibri"/>
                <w:b/>
                <w:color w:val="000000"/>
                <w:kern w:val="24"/>
                <w:sz w:val="18"/>
                <w:szCs w:val="18"/>
              </w:rPr>
              <w:t xml:space="preserve"> including Highgate </w:t>
            </w:r>
            <w:r w:rsidR="00AC0544" w:rsidRPr="006A0629">
              <w:rPr>
                <w:rFonts w:ascii="Calibri" w:hAnsi="Calibri" w:cs="Calibri"/>
                <w:b/>
                <w:color w:val="000000"/>
                <w:kern w:val="24"/>
                <w:sz w:val="18"/>
                <w:szCs w:val="18"/>
              </w:rPr>
              <w:t>and</w:t>
            </w:r>
            <w:r w:rsidRPr="006A0629">
              <w:rPr>
                <w:rFonts w:ascii="Calibri" w:hAnsi="Calibri" w:cs="Calibri"/>
                <w:b/>
                <w:color w:val="000000"/>
                <w:kern w:val="24"/>
                <w:sz w:val="18"/>
                <w:szCs w:val="18"/>
              </w:rPr>
              <w:t xml:space="preserve"> Phase II</w:t>
            </w:r>
          </w:p>
        </w:tc>
        <w:tc>
          <w:tcPr>
            <w:tcW w:w="2155" w:type="dxa"/>
            <w:shd w:val="clear" w:color="auto" w:fill="CCEAF9" w:themeFill="accent1" w:themeFillTint="33"/>
            <w:vAlign w:val="center"/>
          </w:tcPr>
          <w:p w14:paraId="730CCD06" w14:textId="77777777" w:rsidR="00275141" w:rsidRPr="00E130A7" w:rsidRDefault="00275141">
            <w:pPr>
              <w:keepNext/>
              <w:keepLines/>
              <w:spacing w:before="40" w:after="40" w:line="240" w:lineRule="auto"/>
              <w:jc w:val="center"/>
              <w:rPr>
                <w:rFonts w:asciiTheme="minorHAnsi" w:hAnsiTheme="minorHAnsi" w:cstheme="minorHAnsi"/>
                <w:sz w:val="18"/>
                <w:szCs w:val="18"/>
              </w:rPr>
            </w:pPr>
            <w:r w:rsidRPr="00E130A7">
              <w:rPr>
                <w:rFonts w:ascii="Calibri" w:hAnsi="Calibri" w:cs="Calibri"/>
                <w:color w:val="000000"/>
                <w:kern w:val="24"/>
                <w:sz w:val="18"/>
                <w:szCs w:val="18"/>
              </w:rPr>
              <w:t>5</w:t>
            </w:r>
          </w:p>
        </w:tc>
      </w:tr>
      <w:tr w:rsidR="00275141" w:rsidRPr="003650D6" w14:paraId="32BE6D5D" w14:textId="77777777" w:rsidTr="00E130A7">
        <w:trPr>
          <w:jc w:val="center"/>
        </w:trPr>
        <w:tc>
          <w:tcPr>
            <w:tcW w:w="3690" w:type="dxa"/>
            <w:shd w:val="clear" w:color="auto" w:fill="auto"/>
            <w:vAlign w:val="center"/>
          </w:tcPr>
          <w:p w14:paraId="3A13EB63" w14:textId="77777777" w:rsidR="00275141" w:rsidRPr="006A0629" w:rsidRDefault="00275141">
            <w:pPr>
              <w:keepNext/>
              <w:keepLines/>
              <w:spacing w:before="40" w:after="40" w:line="240" w:lineRule="auto"/>
              <w:rPr>
                <w:rFonts w:asciiTheme="minorHAnsi" w:hAnsiTheme="minorHAnsi" w:cstheme="minorHAnsi"/>
                <w:b/>
                <w:sz w:val="18"/>
                <w:szCs w:val="18"/>
              </w:rPr>
            </w:pPr>
            <w:r w:rsidRPr="006A0629">
              <w:rPr>
                <w:rFonts w:ascii="Calibri" w:hAnsi="Calibri" w:cs="Calibri"/>
                <w:b/>
                <w:color w:val="000000"/>
                <w:kern w:val="24"/>
                <w:sz w:val="18"/>
                <w:szCs w:val="18"/>
              </w:rPr>
              <w:t>Imports from New Brunswick</w:t>
            </w:r>
          </w:p>
        </w:tc>
        <w:tc>
          <w:tcPr>
            <w:tcW w:w="2155" w:type="dxa"/>
            <w:shd w:val="clear" w:color="auto" w:fill="auto"/>
            <w:vAlign w:val="center"/>
          </w:tcPr>
          <w:p w14:paraId="293A0AD6" w14:textId="77777777" w:rsidR="00275141" w:rsidRPr="00E130A7" w:rsidRDefault="00275141">
            <w:pPr>
              <w:keepNext/>
              <w:keepLines/>
              <w:spacing w:before="40" w:after="40" w:line="240" w:lineRule="auto"/>
              <w:jc w:val="center"/>
              <w:rPr>
                <w:rFonts w:asciiTheme="minorHAnsi" w:hAnsiTheme="minorHAnsi" w:cstheme="minorHAnsi"/>
                <w:sz w:val="18"/>
                <w:szCs w:val="18"/>
              </w:rPr>
            </w:pPr>
            <w:r w:rsidRPr="00E130A7">
              <w:rPr>
                <w:rFonts w:ascii="Calibri" w:hAnsi="Calibri" w:cs="Calibri"/>
                <w:color w:val="000000"/>
                <w:kern w:val="24"/>
                <w:sz w:val="18"/>
                <w:szCs w:val="18"/>
              </w:rPr>
              <w:t>10</w:t>
            </w:r>
          </w:p>
        </w:tc>
      </w:tr>
    </w:tbl>
    <w:p w14:paraId="4E765669" w14:textId="77777777" w:rsidR="00275141" w:rsidRPr="006A0629" w:rsidRDefault="00275141" w:rsidP="00F0617A">
      <w:pPr>
        <w:pStyle w:val="ListParagraph"/>
        <w:numPr>
          <w:ilvl w:val="0"/>
          <w:numId w:val="7"/>
        </w:numPr>
        <w:spacing w:before="80" w:after="0" w:line="240" w:lineRule="auto"/>
        <w:ind w:left="2074" w:right="1714" w:hanging="274"/>
        <w:rPr>
          <w:rFonts w:asciiTheme="minorHAnsi" w:hAnsiTheme="minorHAnsi"/>
          <w:sz w:val="16"/>
          <w:szCs w:val="16"/>
        </w:rPr>
      </w:pPr>
      <w:r w:rsidRPr="00E43C69">
        <w:rPr>
          <w:rFonts w:asciiTheme="minorHAnsi" w:hAnsiTheme="minorHAnsi"/>
          <w:sz w:val="16"/>
          <w:szCs w:val="16"/>
        </w:rPr>
        <w:t>Under bas</w:t>
      </w:r>
      <w:r w:rsidRPr="006B793E">
        <w:rPr>
          <w:rFonts w:asciiTheme="minorHAnsi" w:hAnsiTheme="minorHAnsi"/>
          <w:sz w:val="16"/>
          <w:szCs w:val="16"/>
        </w:rPr>
        <w:t xml:space="preserve">e </w:t>
      </w:r>
      <w:r w:rsidR="00582371" w:rsidRPr="006B793E">
        <w:rPr>
          <w:rFonts w:asciiTheme="minorHAnsi" w:hAnsiTheme="minorHAnsi"/>
          <w:sz w:val="16"/>
          <w:szCs w:val="16"/>
        </w:rPr>
        <w:t xml:space="preserve">case </w:t>
      </w:r>
      <w:r w:rsidRPr="006B793E">
        <w:rPr>
          <w:rFonts w:asciiTheme="minorHAnsi" w:hAnsiTheme="minorHAnsi"/>
          <w:sz w:val="16"/>
          <w:szCs w:val="16"/>
        </w:rPr>
        <w:t>as</w:t>
      </w:r>
      <w:r w:rsidRPr="00E43C69">
        <w:rPr>
          <w:rFonts w:asciiTheme="minorHAnsi" w:hAnsiTheme="minorHAnsi"/>
          <w:sz w:val="16"/>
          <w:szCs w:val="16"/>
        </w:rPr>
        <w:t>sumptions</w:t>
      </w:r>
      <w:r w:rsidR="00F900B5" w:rsidRPr="00E43C69">
        <w:rPr>
          <w:rFonts w:asciiTheme="minorHAnsi" w:hAnsiTheme="minorHAnsi"/>
          <w:sz w:val="16"/>
          <w:szCs w:val="16"/>
        </w:rPr>
        <w:t xml:space="preserve"> of NECEC at $2/MWh</w:t>
      </w:r>
      <w:r w:rsidRPr="00E43C69">
        <w:rPr>
          <w:rFonts w:asciiTheme="minorHAnsi" w:hAnsiTheme="minorHAnsi"/>
          <w:sz w:val="16"/>
          <w:szCs w:val="16"/>
        </w:rPr>
        <w:t xml:space="preserve">, NB imports, HQ imports, New England hydro, and </w:t>
      </w:r>
      <w:r w:rsidR="00AC0544" w:rsidRPr="00E43C69">
        <w:rPr>
          <w:rFonts w:asciiTheme="minorHAnsi" w:hAnsiTheme="minorHAnsi"/>
          <w:sz w:val="16"/>
          <w:szCs w:val="16"/>
        </w:rPr>
        <w:t>u</w:t>
      </w:r>
      <w:r w:rsidRPr="00E43C69">
        <w:rPr>
          <w:rFonts w:asciiTheme="minorHAnsi" w:hAnsiTheme="minorHAnsi"/>
          <w:sz w:val="16"/>
          <w:szCs w:val="16"/>
        </w:rPr>
        <w:t>tility</w:t>
      </w:r>
      <w:r w:rsidR="00AC0544" w:rsidRPr="00E43C69">
        <w:rPr>
          <w:rFonts w:asciiTheme="minorHAnsi" w:hAnsiTheme="minorHAnsi"/>
          <w:sz w:val="16"/>
          <w:szCs w:val="16"/>
        </w:rPr>
        <w:t>-scale</w:t>
      </w:r>
      <w:r w:rsidRPr="00E43C69">
        <w:rPr>
          <w:rFonts w:asciiTheme="minorHAnsi" w:hAnsiTheme="minorHAnsi"/>
          <w:sz w:val="16"/>
          <w:szCs w:val="16"/>
        </w:rPr>
        <w:t xml:space="preserve"> PV would be curtailed before curtailing NECEC. A set </w:t>
      </w:r>
      <w:r w:rsidRPr="006A0629">
        <w:rPr>
          <w:rFonts w:asciiTheme="minorHAnsi" w:hAnsiTheme="minorHAnsi"/>
          <w:sz w:val="16"/>
          <w:szCs w:val="16"/>
        </w:rPr>
        <w:t xml:space="preserve">of NECEC sensitivity scenarios were performed assuming a higher threshold price of $11/MWh for NECEC that would result in curtailing NECEC energy first before curtailing other resources. </w:t>
      </w:r>
    </w:p>
    <w:p w14:paraId="2CDDDAE1" w14:textId="77777777" w:rsidR="00B21B7D" w:rsidRPr="00FF76B8" w:rsidRDefault="00421343">
      <w:pPr>
        <w:pStyle w:val="Heading1"/>
      </w:pPr>
      <w:r>
        <w:br/>
      </w:r>
      <w:bookmarkStart w:id="54" w:name="_Toc52533797"/>
      <w:r w:rsidR="00913518" w:rsidRPr="00FF76B8">
        <w:t xml:space="preserve">Key </w:t>
      </w:r>
      <w:r w:rsidR="002177A3" w:rsidRPr="00FF76B8">
        <w:t>Observat</w:t>
      </w:r>
      <w:r w:rsidR="00D400DB" w:rsidRPr="00FF76B8">
        <w:t>i</w:t>
      </w:r>
      <w:r w:rsidR="002177A3" w:rsidRPr="00FF76B8">
        <w:t>ons</w:t>
      </w:r>
      <w:bookmarkEnd w:id="54"/>
    </w:p>
    <w:p w14:paraId="5622B052" w14:textId="7D963E6B" w:rsidR="004B6B72" w:rsidRDefault="00BD2B2B" w:rsidP="004B6B72">
      <w:r>
        <w:t>T</w:t>
      </w:r>
      <w:r w:rsidR="00E726C4">
        <w:t xml:space="preserve">he </w:t>
      </w:r>
      <w:r w:rsidR="00E726C4" w:rsidRPr="00F22055">
        <w:t>2019 Anbaric Economic Study consid</w:t>
      </w:r>
      <w:r w:rsidR="00E726C4">
        <w:t xml:space="preserve">ered </w:t>
      </w:r>
      <w:r>
        <w:t xml:space="preserve">the impacts of </w:t>
      </w:r>
      <w:r w:rsidR="00E726C4">
        <w:t>addition of 8,</w:t>
      </w:r>
      <w:r w:rsidR="004B6B72">
        <w:t xml:space="preserve">000 MW </w:t>
      </w:r>
      <w:r w:rsidR="00E726C4">
        <w:t xml:space="preserve">to 12,000 MW </w:t>
      </w:r>
      <w:r w:rsidR="004B6B72">
        <w:t xml:space="preserve">of offshore wind </w:t>
      </w:r>
      <w:r w:rsidR="00E726C4">
        <w:t>interconnecting to</w:t>
      </w:r>
      <w:r>
        <w:t xml:space="preserve"> New Eng</w:t>
      </w:r>
      <w:r w:rsidRPr="006B793E">
        <w:t xml:space="preserve">land </w:t>
      </w:r>
      <w:r w:rsidR="00A12CCC" w:rsidRPr="006B793E">
        <w:t>balan</w:t>
      </w:r>
      <w:r w:rsidR="00A12CCC" w:rsidRPr="00931AC7">
        <w:t xml:space="preserve">cing </w:t>
      </w:r>
      <w:r w:rsidR="006E076F" w:rsidRPr="00931AC7">
        <w:t>authority</w:t>
      </w:r>
      <w:r w:rsidR="006B793E" w:rsidRPr="00931AC7">
        <w:t xml:space="preserve"> </w:t>
      </w:r>
      <w:r w:rsidRPr="00931AC7">
        <w:t>area</w:t>
      </w:r>
      <w:r>
        <w:t xml:space="preserve"> in</w:t>
      </w:r>
      <w:r w:rsidR="004B6B72">
        <w:t xml:space="preserve"> southern New England</w:t>
      </w:r>
      <w:r w:rsidR="00E726C4">
        <w:t xml:space="preserve"> and the Boston area</w:t>
      </w:r>
      <w:r w:rsidR="006B793E">
        <w:t>,</w:t>
      </w:r>
      <w:r w:rsidR="00A12CCC">
        <w:t xml:space="preserve"> given the current transmission system</w:t>
      </w:r>
      <w:r w:rsidR="00FF3EB1">
        <w:t>.</w:t>
      </w:r>
      <w:r w:rsidR="00D4529E">
        <w:rPr>
          <w:rStyle w:val="FootnoteReference"/>
        </w:rPr>
        <w:footnoteReference w:id="27"/>
      </w:r>
      <w:r w:rsidR="00FF3EB1">
        <w:t xml:space="preserve"> </w:t>
      </w:r>
      <w:r w:rsidR="00707FA2">
        <w:t>The off</w:t>
      </w:r>
      <w:r>
        <w:t xml:space="preserve">shore wind amounts </w:t>
      </w:r>
      <w:r w:rsidR="00707FA2">
        <w:t>added in</w:t>
      </w:r>
      <w:r w:rsidR="00B94AD1">
        <w:t>to</w:t>
      </w:r>
      <w:r w:rsidR="00707FA2">
        <w:t xml:space="preserve"> each scenario of the study</w:t>
      </w:r>
      <w:r>
        <w:t xml:space="preserve"> included 2,300 MW of offshore wind </w:t>
      </w:r>
      <w:r w:rsidR="00707FA2">
        <w:t xml:space="preserve">resources </w:t>
      </w:r>
      <w:r>
        <w:t xml:space="preserve">under development with a state contract to build. </w:t>
      </w:r>
      <w:r w:rsidR="00962511">
        <w:t xml:space="preserve">A </w:t>
      </w:r>
      <w:r w:rsidR="00C4588D">
        <w:t>r</w:t>
      </w:r>
      <w:r w:rsidR="004B6B72">
        <w:t xml:space="preserve">eference </w:t>
      </w:r>
      <w:r w:rsidR="00C4588D">
        <w:t>c</w:t>
      </w:r>
      <w:r w:rsidR="004B6B72">
        <w:t xml:space="preserve">ase </w:t>
      </w:r>
      <w:r w:rsidR="00962511">
        <w:t xml:space="preserve">with no new offshore wind additions was added to </w:t>
      </w:r>
      <w:r w:rsidR="00421343">
        <w:t xml:space="preserve">facilitate meaningful comparisons between the other scenarios and </w:t>
      </w:r>
      <w:r w:rsidR="00B94AD1">
        <w:t xml:space="preserve">the current </w:t>
      </w:r>
      <w:r w:rsidR="00962511">
        <w:t>system</w:t>
      </w:r>
      <w:r w:rsidR="007E0085">
        <w:t>.</w:t>
      </w:r>
      <w:r w:rsidR="004B6B72">
        <w:t xml:space="preserve"> </w:t>
      </w:r>
    </w:p>
    <w:p w14:paraId="0BD317AD" w14:textId="489F1DBE" w:rsidR="001572F2" w:rsidRPr="001572F2" w:rsidRDefault="00BA6C20" w:rsidP="001572F2">
      <w:r>
        <w:t xml:space="preserve">The most relevant </w:t>
      </w:r>
      <w:r w:rsidR="00551E4E">
        <w:t xml:space="preserve">simulation </w:t>
      </w:r>
      <w:r w:rsidR="004B6B72">
        <w:t>results are included in this report</w:t>
      </w:r>
      <w:r w:rsidR="00BF1EA7">
        <w:t>.</w:t>
      </w:r>
      <w:r w:rsidR="005F6568">
        <w:rPr>
          <w:rStyle w:val="FootnoteReference"/>
        </w:rPr>
        <w:footnoteReference w:id="28"/>
      </w:r>
      <w:r w:rsidR="00BF1EA7">
        <w:t xml:space="preserve"> </w:t>
      </w:r>
      <w:r w:rsidR="003E0650">
        <w:t xml:space="preserve">All offshore integration </w:t>
      </w:r>
      <w:r w:rsidR="007D4256">
        <w:t>s</w:t>
      </w:r>
      <w:r w:rsidR="00B21B7D" w:rsidRPr="00D65EB4">
        <w:t>ce</w:t>
      </w:r>
      <w:r w:rsidR="00B21B7D" w:rsidRPr="00E76F3A">
        <w:t>narios</w:t>
      </w:r>
      <w:r w:rsidR="00A12CCC" w:rsidRPr="00E76F3A">
        <w:t xml:space="preserve"> </w:t>
      </w:r>
      <w:r w:rsidR="003E0650" w:rsidRPr="006B793E">
        <w:t>produced similar results</w:t>
      </w:r>
      <w:r w:rsidR="004B6B72" w:rsidRPr="006B793E">
        <w:t>,</w:t>
      </w:r>
      <w:r w:rsidR="003E0650" w:rsidRPr="006B793E">
        <w:t xml:space="preserve"> directionally</w:t>
      </w:r>
      <w:r w:rsidR="004B6B72" w:rsidRPr="006B793E">
        <w:t>,</w:t>
      </w:r>
      <w:r w:rsidR="003E0650" w:rsidRPr="006B793E">
        <w:t xml:space="preserve"> </w:t>
      </w:r>
      <w:r w:rsidR="00551E4E" w:rsidRPr="006B793E">
        <w:t xml:space="preserve">for the various amounts </w:t>
      </w:r>
      <w:r w:rsidR="001A74F6" w:rsidRPr="006B793E">
        <w:t>of</w:t>
      </w:r>
      <w:r w:rsidR="003E0650" w:rsidRPr="006B793E">
        <w:t xml:space="preserve"> offshore wind interconnect</w:t>
      </w:r>
      <w:r w:rsidR="003E0650">
        <w:t>ed</w:t>
      </w:r>
      <w:r w:rsidR="006E076F">
        <w:t xml:space="preserve">, the interconnection areas under review, and </w:t>
      </w:r>
      <w:r w:rsidR="00614C30">
        <w:t xml:space="preserve">the </w:t>
      </w:r>
      <w:r w:rsidR="006E076F">
        <w:t>generator dispatch assumptions described</w:t>
      </w:r>
      <w:r w:rsidR="00BF1EA7">
        <w:t xml:space="preserve">. </w:t>
      </w:r>
      <w:r w:rsidR="00BC4461">
        <w:t>When considered as a whole</w:t>
      </w:r>
      <w:r w:rsidR="001572F2" w:rsidRPr="001572F2">
        <w:t xml:space="preserve">, </w:t>
      </w:r>
      <w:r w:rsidR="00313019">
        <w:t xml:space="preserve">the results </w:t>
      </w:r>
      <w:r w:rsidR="00BC4461">
        <w:t xml:space="preserve">for the </w:t>
      </w:r>
      <w:r w:rsidR="007D33A6">
        <w:t>four</w:t>
      </w:r>
      <w:r w:rsidR="00313019">
        <w:t xml:space="preserve"> </w:t>
      </w:r>
      <w:r w:rsidR="001572F2" w:rsidRPr="001572F2">
        <w:t>scenarios</w:t>
      </w:r>
      <w:r w:rsidR="00D82369">
        <w:t xml:space="preserve"> and </w:t>
      </w:r>
      <w:r w:rsidR="00BC4461">
        <w:t xml:space="preserve">a </w:t>
      </w:r>
      <w:r w:rsidR="00593A39">
        <w:t xml:space="preserve">sensitivity analysis varying </w:t>
      </w:r>
      <w:r w:rsidR="001A49F8">
        <w:t>threshold price</w:t>
      </w:r>
      <w:r w:rsidR="00593A39">
        <w:t xml:space="preserve">s </w:t>
      </w:r>
      <w:r w:rsidR="001572F2" w:rsidRPr="001572F2">
        <w:t>provide useful information</w:t>
      </w:r>
      <w:r w:rsidR="00ED460C">
        <w:t>, as follows</w:t>
      </w:r>
      <w:r w:rsidR="007D33A6">
        <w:t>:</w:t>
      </w:r>
    </w:p>
    <w:p w14:paraId="3C40122D" w14:textId="77777777" w:rsidR="001572F2" w:rsidRPr="001572F2" w:rsidRDefault="00652A83" w:rsidP="00931AC7">
      <w:pPr>
        <w:pStyle w:val="ListParagraph"/>
        <w:numPr>
          <w:ilvl w:val="0"/>
          <w:numId w:val="4"/>
        </w:numPr>
      </w:pPr>
      <w:r>
        <w:t>T</w:t>
      </w:r>
      <w:r w:rsidR="001572F2" w:rsidRPr="001572F2">
        <w:t>he</w:t>
      </w:r>
      <w:r w:rsidR="00C938A1" w:rsidRPr="00C938A1">
        <w:t xml:space="preserve"> </w:t>
      </w:r>
      <w:r w:rsidR="00C938A1" w:rsidRPr="001572F2">
        <w:t xml:space="preserve">significant potential for spilling </w:t>
      </w:r>
      <w:r w:rsidR="00C938A1">
        <w:t>offshore wind</w:t>
      </w:r>
      <w:r w:rsidR="00C938A1" w:rsidRPr="001572F2">
        <w:t xml:space="preserve"> energy</w:t>
      </w:r>
    </w:p>
    <w:p w14:paraId="646E50B1" w14:textId="77777777" w:rsidR="001572F2" w:rsidRDefault="00652A83" w:rsidP="00931AC7">
      <w:pPr>
        <w:pStyle w:val="ListParagraph"/>
        <w:numPr>
          <w:ilvl w:val="0"/>
          <w:numId w:val="4"/>
        </w:numPr>
      </w:pPr>
      <w:r>
        <w:t>D</w:t>
      </w:r>
      <w:r w:rsidR="001572F2" w:rsidRPr="001572F2">
        <w:t>irectionally</w:t>
      </w:r>
      <w:r>
        <w:t xml:space="preserve"> </w:t>
      </w:r>
      <w:r w:rsidR="001572F2" w:rsidRPr="001572F2">
        <w:t>relevant cost estimate</w:t>
      </w:r>
      <w:r w:rsidR="001572F2" w:rsidRPr="00F93F55">
        <w:t xml:space="preserve">s and </w:t>
      </w:r>
      <w:r w:rsidR="001934E9" w:rsidRPr="00F93F55">
        <w:t>production cost and LSE energy expense</w:t>
      </w:r>
      <w:r w:rsidR="00EE6488">
        <w:t xml:space="preserve"> (LSEEE) </w:t>
      </w:r>
      <w:r w:rsidR="001572F2" w:rsidRPr="00F93F55">
        <w:t>impacts</w:t>
      </w:r>
    </w:p>
    <w:p w14:paraId="771A8A10" w14:textId="77777777" w:rsidR="00D4529E" w:rsidRDefault="00D4529E" w:rsidP="00931AC7">
      <w:pPr>
        <w:pStyle w:val="ListParagraph"/>
        <w:numPr>
          <w:ilvl w:val="0"/>
          <w:numId w:val="4"/>
        </w:numPr>
      </w:pPr>
      <w:r>
        <w:t>Affects to air emissions, specifically CO</w:t>
      </w:r>
      <w:r w:rsidRPr="00931AC7">
        <w:rPr>
          <w:vertAlign w:val="subscript"/>
        </w:rPr>
        <w:t>2</w:t>
      </w:r>
      <w:r>
        <w:t xml:space="preserve"> emissions</w:t>
      </w:r>
    </w:p>
    <w:p w14:paraId="502F8577" w14:textId="77777777" w:rsidR="00D4529E" w:rsidRPr="001572F2" w:rsidRDefault="00D4529E" w:rsidP="005C45C6">
      <w:pPr>
        <w:pStyle w:val="ListParagraph"/>
        <w:numPr>
          <w:ilvl w:val="0"/>
          <w:numId w:val="4"/>
        </w:numPr>
        <w:spacing w:after="240" w:line="240" w:lineRule="auto"/>
      </w:pPr>
      <w:r>
        <w:t>T</w:t>
      </w:r>
      <w:r w:rsidRPr="001572F2">
        <w:t>he</w:t>
      </w:r>
      <w:r w:rsidRPr="00C938A1">
        <w:t xml:space="preserve"> </w:t>
      </w:r>
      <w:r>
        <w:t xml:space="preserve">impacts </w:t>
      </w:r>
      <w:r w:rsidRPr="001572F2">
        <w:t xml:space="preserve">of </w:t>
      </w:r>
      <w:r>
        <w:t xml:space="preserve">developing offshore wind </w:t>
      </w:r>
      <w:r w:rsidRPr="001572F2">
        <w:t>resource</w:t>
      </w:r>
      <w:r>
        <w:t>s</w:t>
      </w:r>
      <w:r w:rsidRPr="001572F2">
        <w:t xml:space="preserve"> </w:t>
      </w:r>
      <w:r>
        <w:t>on transmission congestion</w:t>
      </w:r>
    </w:p>
    <w:p w14:paraId="4A201799" w14:textId="77777777" w:rsidR="000027D9" w:rsidRDefault="00652A83" w:rsidP="00522D85">
      <w:r>
        <w:t xml:space="preserve">This report highlights the </w:t>
      </w:r>
      <w:r w:rsidR="0053728E" w:rsidRPr="00B5295E">
        <w:t xml:space="preserve">most </w:t>
      </w:r>
      <w:r w:rsidR="0053728E">
        <w:t>significant results of the 2019 Anbaric Economic Study.</w:t>
      </w:r>
      <w:r w:rsidR="00C938A1">
        <w:t xml:space="preserve"> Results of scenarios that included a higher threshold price</w:t>
      </w:r>
      <w:r w:rsidR="00883110">
        <w:t xml:space="preserve"> (see Section </w:t>
      </w:r>
      <w:r w:rsidR="00883110">
        <w:fldChar w:fldCharType="begin"/>
      </w:r>
      <w:r w:rsidR="00883110">
        <w:instrText xml:space="preserve"> REF _Ref44401152 \r \h </w:instrText>
      </w:r>
      <w:r w:rsidR="00883110">
        <w:fldChar w:fldCharType="separate"/>
      </w:r>
      <w:r w:rsidR="00614C30">
        <w:t>4.2.5</w:t>
      </w:r>
      <w:r w:rsidR="00883110">
        <w:fldChar w:fldCharType="end"/>
      </w:r>
      <w:r w:rsidR="00883110">
        <w:t>)</w:t>
      </w:r>
      <w:r w:rsidR="00C938A1">
        <w:t xml:space="preserve"> for the </w:t>
      </w:r>
      <w:r w:rsidR="00551E4E">
        <w:t xml:space="preserve">energy from the </w:t>
      </w:r>
      <w:r w:rsidR="00C938A1" w:rsidRPr="00F93F55">
        <w:t>state</w:t>
      </w:r>
      <w:r w:rsidR="00BC4461" w:rsidRPr="00F93F55">
        <w:t>-</w:t>
      </w:r>
      <w:r w:rsidR="00C938A1" w:rsidRPr="00F93F55">
        <w:t>contract</w:t>
      </w:r>
      <w:r w:rsidR="00BC4461" w:rsidRPr="00F93F55">
        <w:t>ed</w:t>
      </w:r>
      <w:r w:rsidR="00C938A1" w:rsidRPr="00F93F55">
        <w:t xml:space="preserve"> </w:t>
      </w:r>
      <w:r w:rsidR="00BC4461" w:rsidRPr="00F93F55">
        <w:t xml:space="preserve">NECEC </w:t>
      </w:r>
      <w:r w:rsidR="00C938A1" w:rsidRPr="00F93F55">
        <w:t>new transmission line did not yield significantly different results.</w:t>
      </w:r>
      <w:r w:rsidR="00FE23B3" w:rsidRPr="00F93F55">
        <w:t xml:space="preserve"> </w:t>
      </w:r>
      <w:r w:rsidR="004531DE" w:rsidRPr="00F93F55">
        <w:fldChar w:fldCharType="begin"/>
      </w:r>
      <w:r w:rsidR="004531DE" w:rsidRPr="00E45FAD">
        <w:instrText xml:space="preserve"> REF _Ref49499330 \h </w:instrText>
      </w:r>
      <w:r w:rsidR="00F93F55">
        <w:instrText xml:space="preserve"> \* MERGEFORMAT </w:instrText>
      </w:r>
      <w:r w:rsidR="004531DE" w:rsidRPr="00F93F55">
        <w:fldChar w:fldCharType="separate"/>
      </w:r>
      <w:r w:rsidR="00614C30">
        <w:t xml:space="preserve">Table </w:t>
      </w:r>
      <w:r w:rsidR="00614C30">
        <w:rPr>
          <w:noProof/>
        </w:rPr>
        <w:t>5</w:t>
      </w:r>
      <w:r w:rsidR="00614C30">
        <w:rPr>
          <w:noProof/>
        </w:rPr>
        <w:noBreakHyphen/>
        <w:t>1</w:t>
      </w:r>
      <w:r w:rsidR="004531DE" w:rsidRPr="00F93F55">
        <w:fldChar w:fldCharType="end"/>
      </w:r>
      <w:r w:rsidR="004531DE" w:rsidRPr="00F93F55">
        <w:t xml:space="preserve"> </w:t>
      </w:r>
      <w:r w:rsidR="00FE23B3" w:rsidRPr="00F93F55">
        <w:t>summar</w:t>
      </w:r>
      <w:r w:rsidR="004531DE" w:rsidRPr="00F93F55">
        <w:t>izes</w:t>
      </w:r>
      <w:r w:rsidR="00FE23B3" w:rsidRPr="00F93F55">
        <w:t xml:space="preserve"> </w:t>
      </w:r>
      <w:r w:rsidR="004531DE" w:rsidRPr="00F93F55">
        <w:t xml:space="preserve">the outputs </w:t>
      </w:r>
      <w:r w:rsidR="00FE23B3" w:rsidRPr="00F93F55">
        <w:t xml:space="preserve">from the </w:t>
      </w:r>
      <w:r w:rsidR="004531DE" w:rsidRPr="00E45FAD">
        <w:t xml:space="preserve">metrics </w:t>
      </w:r>
      <w:r w:rsidR="00FE23B3" w:rsidRPr="001F3D5D">
        <w:t>assessed</w:t>
      </w:r>
      <w:r w:rsidR="004531DE" w:rsidRPr="00352DC9">
        <w:t xml:space="preserve"> for each scenario.</w:t>
      </w:r>
      <w:r w:rsidR="004531DE">
        <w:t xml:space="preserve"> </w:t>
      </w:r>
    </w:p>
    <w:p w14:paraId="4C361B9A" w14:textId="77777777" w:rsidR="00D7214A" w:rsidRPr="00110FFE" w:rsidRDefault="00D7214A" w:rsidP="00522D85">
      <w:pPr>
        <w:pStyle w:val="Caption"/>
        <w:jc w:val="center"/>
        <w:rPr>
          <w:rFonts w:asciiTheme="minorHAnsi" w:hAnsiTheme="minorHAnsi" w:cstheme="minorBidi"/>
          <w:color w:val="FF0000"/>
        </w:rPr>
      </w:pPr>
      <w:bookmarkStart w:id="55" w:name="_Ref49499330"/>
      <w:bookmarkStart w:id="56" w:name="_Toc52533822"/>
      <w:r>
        <w:t xml:space="preserve">Table </w:t>
      </w:r>
      <w:r w:rsidR="000D5F76">
        <w:fldChar w:fldCharType="begin"/>
      </w:r>
      <w:r w:rsidR="000D5F76">
        <w:instrText xml:space="preserve"> STYLEREF 1 \s </w:instrText>
      </w:r>
      <w:r w:rsidR="000D5F76">
        <w:fldChar w:fldCharType="separate"/>
      </w:r>
      <w:r w:rsidR="00614C30">
        <w:rPr>
          <w:noProof/>
        </w:rPr>
        <w:t>5</w:t>
      </w:r>
      <w:r w:rsidR="000D5F76">
        <w:rPr>
          <w:noProof/>
        </w:rPr>
        <w:fldChar w:fldCharType="end"/>
      </w:r>
      <w:r>
        <w:noBreakHyphen/>
      </w:r>
      <w:r w:rsidR="000D5F76">
        <w:fldChar w:fldCharType="begin"/>
      </w:r>
      <w:r w:rsidR="000D5F76">
        <w:instrText xml:space="preserve"> SEQ Table \* ARABIC \s 1 </w:instrText>
      </w:r>
      <w:r w:rsidR="000D5F76">
        <w:fldChar w:fldCharType="separate"/>
      </w:r>
      <w:r w:rsidR="00614C30">
        <w:rPr>
          <w:noProof/>
        </w:rPr>
        <w:t>1</w:t>
      </w:r>
      <w:r w:rsidR="000D5F76">
        <w:rPr>
          <w:noProof/>
        </w:rPr>
        <w:fldChar w:fldCharType="end"/>
      </w:r>
      <w:bookmarkEnd w:id="55"/>
      <w:r>
        <w:br/>
        <w:t>Summary of Scenario Outputs</w:t>
      </w:r>
      <w:bookmarkEnd w:id="56"/>
    </w:p>
    <w:tbl>
      <w:tblPr>
        <w:tblW w:w="819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440"/>
        <w:gridCol w:w="1150"/>
        <w:gridCol w:w="1150"/>
        <w:gridCol w:w="1150"/>
        <w:gridCol w:w="1150"/>
        <w:gridCol w:w="1150"/>
      </w:tblGrid>
      <w:tr w:rsidR="003A1D17" w:rsidRPr="0097484B" w14:paraId="6103C542" w14:textId="77777777" w:rsidTr="00593A39">
        <w:trPr>
          <w:trHeight w:val="403"/>
          <w:jc w:val="center"/>
        </w:trPr>
        <w:tc>
          <w:tcPr>
            <w:tcW w:w="2440" w:type="dxa"/>
            <w:vMerge w:val="restart"/>
            <w:shd w:val="clear" w:color="auto" w:fill="1795D2" w:themeFill="accent1"/>
            <w:noWrap/>
            <w:tcMar>
              <w:left w:w="58" w:type="dxa"/>
              <w:right w:w="58" w:type="dxa"/>
            </w:tcMar>
            <w:vAlign w:val="center"/>
            <w:hideMark/>
          </w:tcPr>
          <w:p w14:paraId="52CDC6AD" w14:textId="77777777" w:rsidR="003A1D17" w:rsidRPr="0097484B" w:rsidRDefault="003A1D17" w:rsidP="00522D85">
            <w:pPr>
              <w:keepNext/>
              <w:keepLines/>
              <w:spacing w:before="40" w:after="40" w:line="240" w:lineRule="auto"/>
              <w:jc w:val="center"/>
              <w:rPr>
                <w:rFonts w:asciiTheme="majorHAnsi" w:hAnsiTheme="majorHAnsi" w:cstheme="majorHAnsi"/>
                <w:b/>
                <w:color w:val="FFFFFF" w:themeColor="background1"/>
                <w:sz w:val="18"/>
                <w:szCs w:val="18"/>
              </w:rPr>
            </w:pPr>
            <w:r w:rsidRPr="00967222">
              <w:rPr>
                <w:rFonts w:asciiTheme="majorHAnsi" w:hAnsiTheme="majorHAnsi" w:cstheme="majorHAnsi"/>
                <w:b/>
                <w:color w:val="FFFFFF" w:themeColor="background1"/>
                <w:sz w:val="18"/>
                <w:szCs w:val="18"/>
              </w:rPr>
              <w:t>Metric</w:t>
            </w:r>
          </w:p>
        </w:tc>
        <w:tc>
          <w:tcPr>
            <w:tcW w:w="5750" w:type="dxa"/>
            <w:gridSpan w:val="5"/>
            <w:shd w:val="clear" w:color="auto" w:fill="1795D2" w:themeFill="accent1"/>
          </w:tcPr>
          <w:p w14:paraId="3B4BAB9F" w14:textId="77777777" w:rsidR="003A1D17" w:rsidRPr="0097484B" w:rsidRDefault="003A1D17" w:rsidP="00522D85">
            <w:pPr>
              <w:keepNext/>
              <w:keepLines/>
              <w:spacing w:before="40" w:after="40" w:line="240" w:lineRule="auto"/>
              <w:jc w:val="center"/>
              <w:rPr>
                <w:rFonts w:asciiTheme="majorHAnsi" w:hAnsiTheme="majorHAnsi" w:cstheme="majorHAnsi"/>
                <w:b/>
                <w:color w:val="FFFFFF" w:themeColor="background1"/>
                <w:sz w:val="18"/>
                <w:szCs w:val="18"/>
              </w:rPr>
            </w:pPr>
            <w:r>
              <w:rPr>
                <w:rFonts w:asciiTheme="majorHAnsi" w:hAnsiTheme="majorHAnsi" w:cstheme="majorHAnsi"/>
                <w:b/>
                <w:color w:val="FFFFFF" w:themeColor="background1"/>
                <w:sz w:val="18"/>
                <w:szCs w:val="18"/>
              </w:rPr>
              <w:t>Scenario</w:t>
            </w:r>
          </w:p>
        </w:tc>
      </w:tr>
      <w:tr w:rsidR="003A1D17" w:rsidRPr="00A25A32" w14:paraId="366349A6" w14:textId="77777777" w:rsidTr="00593A39">
        <w:trPr>
          <w:trHeight w:val="390"/>
          <w:jc w:val="center"/>
        </w:trPr>
        <w:tc>
          <w:tcPr>
            <w:tcW w:w="2440" w:type="dxa"/>
            <w:vMerge/>
            <w:shd w:val="clear" w:color="auto" w:fill="1795D2" w:themeFill="accent1"/>
            <w:noWrap/>
            <w:tcMar>
              <w:left w:w="58" w:type="dxa"/>
              <w:right w:w="58" w:type="dxa"/>
            </w:tcMar>
            <w:vAlign w:val="center"/>
            <w:hideMark/>
          </w:tcPr>
          <w:p w14:paraId="68B34E4A" w14:textId="77777777" w:rsidR="003A1D17" w:rsidRPr="00B56D2F" w:rsidRDefault="003A1D17" w:rsidP="00522D85">
            <w:pPr>
              <w:keepNext/>
              <w:keepLines/>
              <w:spacing w:before="40" w:after="40" w:line="240" w:lineRule="auto"/>
              <w:rPr>
                <w:rFonts w:asciiTheme="majorHAnsi" w:hAnsiTheme="majorHAnsi" w:cstheme="majorHAnsi"/>
                <w:b/>
                <w:color w:val="FFFFFF" w:themeColor="background1"/>
                <w:sz w:val="18"/>
                <w:szCs w:val="18"/>
              </w:rPr>
            </w:pPr>
          </w:p>
        </w:tc>
        <w:tc>
          <w:tcPr>
            <w:tcW w:w="1150" w:type="dxa"/>
            <w:shd w:val="clear" w:color="auto" w:fill="1795D2" w:themeFill="accent1"/>
            <w:noWrap/>
            <w:tcMar>
              <w:left w:w="58" w:type="dxa"/>
              <w:right w:w="58" w:type="dxa"/>
            </w:tcMar>
            <w:vAlign w:val="center"/>
            <w:hideMark/>
          </w:tcPr>
          <w:p w14:paraId="41CF5A81" w14:textId="77777777" w:rsidR="003A1D17" w:rsidRPr="00B56D2F" w:rsidRDefault="003A1D17" w:rsidP="00522D85">
            <w:pPr>
              <w:keepNext/>
              <w:keepLines/>
              <w:spacing w:before="40" w:after="40" w:line="240" w:lineRule="auto"/>
              <w:jc w:val="center"/>
              <w:rPr>
                <w:rFonts w:asciiTheme="majorHAnsi" w:hAnsiTheme="majorHAnsi" w:cstheme="majorHAnsi"/>
                <w:b/>
                <w:color w:val="FFFFFF" w:themeColor="background1"/>
                <w:sz w:val="18"/>
                <w:szCs w:val="18"/>
              </w:rPr>
            </w:pPr>
            <w:r w:rsidRPr="00B56D2F">
              <w:rPr>
                <w:rFonts w:asciiTheme="majorHAnsi" w:hAnsiTheme="majorHAnsi" w:cstheme="majorHAnsi"/>
                <w:b/>
                <w:color w:val="FFFFFF" w:themeColor="background1"/>
                <w:sz w:val="18"/>
                <w:szCs w:val="18"/>
              </w:rPr>
              <w:t>0</w:t>
            </w:r>
          </w:p>
        </w:tc>
        <w:tc>
          <w:tcPr>
            <w:tcW w:w="1150" w:type="dxa"/>
            <w:shd w:val="clear" w:color="auto" w:fill="1795D2" w:themeFill="accent1"/>
            <w:noWrap/>
            <w:tcMar>
              <w:left w:w="58" w:type="dxa"/>
              <w:right w:w="58" w:type="dxa"/>
            </w:tcMar>
            <w:vAlign w:val="center"/>
            <w:hideMark/>
          </w:tcPr>
          <w:p w14:paraId="4ACFD6BD" w14:textId="77777777" w:rsidR="003A1D17" w:rsidRPr="00B56D2F" w:rsidRDefault="003A1D17" w:rsidP="00522D85">
            <w:pPr>
              <w:keepNext/>
              <w:keepLines/>
              <w:spacing w:before="40" w:after="40" w:line="240" w:lineRule="auto"/>
              <w:jc w:val="center"/>
              <w:rPr>
                <w:rFonts w:asciiTheme="majorHAnsi" w:hAnsiTheme="majorHAnsi" w:cstheme="majorHAnsi"/>
                <w:b/>
                <w:color w:val="FFFFFF" w:themeColor="background1"/>
                <w:sz w:val="18"/>
                <w:szCs w:val="18"/>
              </w:rPr>
            </w:pPr>
            <w:r w:rsidRPr="00B56D2F">
              <w:rPr>
                <w:rFonts w:asciiTheme="majorHAnsi" w:hAnsiTheme="majorHAnsi" w:cstheme="majorHAnsi"/>
                <w:b/>
                <w:color w:val="FFFFFF" w:themeColor="background1"/>
                <w:sz w:val="18"/>
                <w:szCs w:val="18"/>
              </w:rPr>
              <w:t>8000</w:t>
            </w:r>
          </w:p>
        </w:tc>
        <w:tc>
          <w:tcPr>
            <w:tcW w:w="1150" w:type="dxa"/>
            <w:shd w:val="clear" w:color="auto" w:fill="1795D2" w:themeFill="accent1"/>
            <w:noWrap/>
            <w:tcMar>
              <w:left w:w="58" w:type="dxa"/>
              <w:right w:w="58" w:type="dxa"/>
            </w:tcMar>
            <w:vAlign w:val="center"/>
            <w:hideMark/>
          </w:tcPr>
          <w:p w14:paraId="226DDC44" w14:textId="77777777" w:rsidR="003A1D17" w:rsidRPr="00B56D2F" w:rsidRDefault="003A1D17" w:rsidP="00522D85">
            <w:pPr>
              <w:keepNext/>
              <w:keepLines/>
              <w:spacing w:before="40" w:after="40" w:line="240" w:lineRule="auto"/>
              <w:jc w:val="center"/>
              <w:rPr>
                <w:rFonts w:asciiTheme="majorHAnsi" w:hAnsiTheme="majorHAnsi" w:cstheme="majorHAnsi"/>
                <w:b/>
                <w:color w:val="FFFFFF" w:themeColor="background1"/>
                <w:sz w:val="18"/>
                <w:szCs w:val="18"/>
              </w:rPr>
            </w:pPr>
            <w:r w:rsidRPr="00B56D2F">
              <w:rPr>
                <w:rFonts w:asciiTheme="majorHAnsi" w:hAnsiTheme="majorHAnsi" w:cstheme="majorHAnsi"/>
                <w:b/>
                <w:color w:val="FFFFFF" w:themeColor="background1"/>
                <w:sz w:val="18"/>
                <w:szCs w:val="18"/>
              </w:rPr>
              <w:t>10000</w:t>
            </w:r>
          </w:p>
        </w:tc>
        <w:tc>
          <w:tcPr>
            <w:tcW w:w="1150" w:type="dxa"/>
            <w:shd w:val="clear" w:color="auto" w:fill="1795D2" w:themeFill="accent1"/>
            <w:noWrap/>
            <w:tcMar>
              <w:left w:w="58" w:type="dxa"/>
              <w:right w:w="58" w:type="dxa"/>
            </w:tcMar>
            <w:vAlign w:val="center"/>
          </w:tcPr>
          <w:p w14:paraId="6BA7DABE" w14:textId="77777777" w:rsidR="003A1D17" w:rsidRPr="00B56D2F" w:rsidRDefault="003A1D17" w:rsidP="00522D85">
            <w:pPr>
              <w:keepNext/>
              <w:keepLines/>
              <w:spacing w:before="40" w:after="40" w:line="240" w:lineRule="auto"/>
              <w:jc w:val="center"/>
              <w:rPr>
                <w:rFonts w:asciiTheme="majorHAnsi" w:hAnsiTheme="majorHAnsi" w:cstheme="majorHAnsi"/>
                <w:b/>
                <w:color w:val="FFFFFF" w:themeColor="background1"/>
                <w:sz w:val="18"/>
                <w:szCs w:val="18"/>
              </w:rPr>
            </w:pPr>
            <w:r w:rsidRPr="00B56D2F">
              <w:rPr>
                <w:rFonts w:asciiTheme="majorHAnsi" w:hAnsiTheme="majorHAnsi" w:cstheme="majorHAnsi"/>
                <w:b/>
                <w:color w:val="FFFFFF" w:themeColor="background1"/>
                <w:sz w:val="18"/>
                <w:szCs w:val="18"/>
              </w:rPr>
              <w:t>12000</w:t>
            </w:r>
          </w:p>
        </w:tc>
        <w:tc>
          <w:tcPr>
            <w:tcW w:w="1150" w:type="dxa"/>
            <w:shd w:val="clear" w:color="auto" w:fill="1795D2" w:themeFill="accent1"/>
            <w:vAlign w:val="center"/>
          </w:tcPr>
          <w:p w14:paraId="217F9426" w14:textId="77777777" w:rsidR="003A1D17" w:rsidRPr="00B56D2F" w:rsidRDefault="003A1D17" w:rsidP="00522D85">
            <w:pPr>
              <w:keepNext/>
              <w:keepLines/>
              <w:spacing w:before="40" w:after="40" w:line="240" w:lineRule="auto"/>
              <w:jc w:val="center"/>
              <w:rPr>
                <w:rFonts w:asciiTheme="majorHAnsi" w:hAnsiTheme="majorHAnsi" w:cstheme="majorHAnsi"/>
                <w:b/>
                <w:color w:val="FFFFFF" w:themeColor="background1"/>
                <w:sz w:val="18"/>
                <w:szCs w:val="18"/>
              </w:rPr>
            </w:pPr>
            <w:r w:rsidRPr="00B56D2F">
              <w:rPr>
                <w:rFonts w:asciiTheme="majorHAnsi" w:hAnsiTheme="majorHAnsi" w:cstheme="majorHAnsi"/>
                <w:b/>
                <w:color w:val="FFFFFF" w:themeColor="background1"/>
                <w:sz w:val="18"/>
                <w:szCs w:val="18"/>
              </w:rPr>
              <w:t>10000_</w:t>
            </w:r>
            <w:r w:rsidR="00E87442">
              <w:rPr>
                <w:rFonts w:asciiTheme="majorHAnsi" w:hAnsiTheme="majorHAnsi" w:cstheme="majorHAnsi"/>
                <w:b/>
                <w:color w:val="FFFFFF" w:themeColor="background1"/>
                <w:sz w:val="18"/>
                <w:szCs w:val="18"/>
              </w:rPr>
              <w:t>S</w:t>
            </w:r>
            <w:r w:rsidRPr="00B56D2F">
              <w:rPr>
                <w:rFonts w:asciiTheme="majorHAnsi" w:hAnsiTheme="majorHAnsi" w:cstheme="majorHAnsi"/>
                <w:b/>
                <w:color w:val="FFFFFF" w:themeColor="background1"/>
                <w:sz w:val="18"/>
                <w:szCs w:val="18"/>
              </w:rPr>
              <w:t>en</w:t>
            </w:r>
          </w:p>
        </w:tc>
      </w:tr>
      <w:tr w:rsidR="003A1D17" w:rsidRPr="0097484B" w14:paraId="40439718" w14:textId="77777777" w:rsidTr="00593A39">
        <w:trPr>
          <w:trHeight w:val="375"/>
          <w:jc w:val="center"/>
        </w:trPr>
        <w:tc>
          <w:tcPr>
            <w:tcW w:w="2440" w:type="dxa"/>
            <w:noWrap/>
            <w:tcMar>
              <w:left w:w="58" w:type="dxa"/>
              <w:right w:w="0" w:type="dxa"/>
            </w:tcMar>
            <w:vAlign w:val="center"/>
            <w:hideMark/>
          </w:tcPr>
          <w:p w14:paraId="1A0D48F6" w14:textId="77777777" w:rsidR="003A1D17" w:rsidRPr="0097484B" w:rsidRDefault="003A1D17" w:rsidP="00522D85">
            <w:pPr>
              <w:keepNext/>
              <w:keepLines/>
              <w:spacing w:before="40" w:after="40" w:line="240" w:lineRule="auto"/>
              <w:rPr>
                <w:rFonts w:asciiTheme="majorHAnsi" w:hAnsiTheme="majorHAnsi" w:cstheme="majorHAnsi"/>
                <w:b/>
                <w:color w:val="000000"/>
                <w:sz w:val="18"/>
                <w:szCs w:val="18"/>
              </w:rPr>
            </w:pPr>
            <w:r w:rsidRPr="0097484B">
              <w:rPr>
                <w:rFonts w:asciiTheme="majorHAnsi" w:hAnsiTheme="majorHAnsi" w:cstheme="majorHAnsi"/>
                <w:b/>
                <w:color w:val="000000"/>
                <w:sz w:val="18"/>
                <w:szCs w:val="18"/>
              </w:rPr>
              <w:t>LMP ($/MWh)</w:t>
            </w:r>
          </w:p>
        </w:tc>
        <w:tc>
          <w:tcPr>
            <w:tcW w:w="1150" w:type="dxa"/>
            <w:shd w:val="clear" w:color="auto" w:fill="auto"/>
            <w:noWrap/>
            <w:tcMar>
              <w:left w:w="58" w:type="dxa"/>
              <w:right w:w="288" w:type="dxa"/>
            </w:tcMar>
            <w:vAlign w:val="center"/>
            <w:hideMark/>
          </w:tcPr>
          <w:p w14:paraId="0AB4CF2D" w14:textId="77777777" w:rsidR="003A1D17" w:rsidRPr="0097484B" w:rsidRDefault="003A1D17" w:rsidP="00522D85">
            <w:pPr>
              <w:keepNext/>
              <w:keepLines/>
              <w:spacing w:before="40" w:after="40" w:line="240" w:lineRule="auto"/>
              <w:jc w:val="right"/>
              <w:rPr>
                <w:rFonts w:asciiTheme="majorHAnsi" w:hAnsiTheme="majorHAnsi" w:cstheme="majorHAnsi"/>
                <w:color w:val="000000"/>
                <w:sz w:val="18"/>
                <w:szCs w:val="18"/>
              </w:rPr>
            </w:pPr>
            <w:r>
              <w:rPr>
                <w:rFonts w:ascii="Calibri" w:hAnsi="Calibri" w:cs="Calibri"/>
                <w:color w:val="000000"/>
                <w:sz w:val="18"/>
                <w:szCs w:val="18"/>
              </w:rPr>
              <w:t>43.0</w:t>
            </w:r>
          </w:p>
        </w:tc>
        <w:tc>
          <w:tcPr>
            <w:tcW w:w="1150" w:type="dxa"/>
            <w:shd w:val="clear" w:color="auto" w:fill="auto"/>
            <w:noWrap/>
            <w:tcMar>
              <w:left w:w="58" w:type="dxa"/>
              <w:right w:w="288" w:type="dxa"/>
            </w:tcMar>
            <w:vAlign w:val="center"/>
            <w:hideMark/>
          </w:tcPr>
          <w:p w14:paraId="557CA19A" w14:textId="77777777" w:rsidR="003A1D17" w:rsidRPr="0097484B" w:rsidRDefault="003A1D17" w:rsidP="00522D85">
            <w:pPr>
              <w:keepNext/>
              <w:keepLines/>
              <w:spacing w:before="40" w:after="40" w:line="240" w:lineRule="auto"/>
              <w:jc w:val="right"/>
              <w:rPr>
                <w:rFonts w:asciiTheme="majorHAnsi" w:hAnsiTheme="majorHAnsi" w:cstheme="majorHAnsi"/>
                <w:color w:val="000000"/>
                <w:sz w:val="18"/>
                <w:szCs w:val="18"/>
              </w:rPr>
            </w:pPr>
            <w:r>
              <w:rPr>
                <w:rFonts w:ascii="Calibri" w:hAnsi="Calibri" w:cs="Calibri"/>
                <w:color w:val="000000"/>
                <w:sz w:val="18"/>
                <w:szCs w:val="18"/>
              </w:rPr>
              <w:t>27.0</w:t>
            </w:r>
          </w:p>
        </w:tc>
        <w:tc>
          <w:tcPr>
            <w:tcW w:w="1150" w:type="dxa"/>
            <w:shd w:val="clear" w:color="auto" w:fill="auto"/>
            <w:noWrap/>
            <w:tcMar>
              <w:left w:w="58" w:type="dxa"/>
              <w:right w:w="288" w:type="dxa"/>
            </w:tcMar>
            <w:vAlign w:val="center"/>
            <w:hideMark/>
          </w:tcPr>
          <w:p w14:paraId="295069E3" w14:textId="77777777" w:rsidR="003A1D17" w:rsidRPr="0097484B" w:rsidRDefault="003A1D17" w:rsidP="00522D85">
            <w:pPr>
              <w:keepNext/>
              <w:keepLines/>
              <w:spacing w:before="40" w:after="40" w:line="240" w:lineRule="auto"/>
              <w:jc w:val="right"/>
              <w:rPr>
                <w:rFonts w:asciiTheme="majorHAnsi" w:hAnsiTheme="majorHAnsi" w:cstheme="majorHAnsi"/>
                <w:color w:val="000000"/>
                <w:sz w:val="18"/>
                <w:szCs w:val="18"/>
              </w:rPr>
            </w:pPr>
            <w:r>
              <w:rPr>
                <w:rFonts w:ascii="Calibri" w:hAnsi="Calibri" w:cs="Calibri"/>
                <w:color w:val="000000"/>
                <w:sz w:val="18"/>
                <w:szCs w:val="18"/>
              </w:rPr>
              <w:t>23.9</w:t>
            </w:r>
          </w:p>
        </w:tc>
        <w:tc>
          <w:tcPr>
            <w:tcW w:w="1150" w:type="dxa"/>
            <w:shd w:val="clear" w:color="auto" w:fill="auto"/>
            <w:noWrap/>
            <w:tcMar>
              <w:left w:w="58" w:type="dxa"/>
              <w:right w:w="288" w:type="dxa"/>
            </w:tcMar>
            <w:vAlign w:val="center"/>
          </w:tcPr>
          <w:p w14:paraId="0CFAF43F" w14:textId="77777777" w:rsidR="003A1D17" w:rsidRPr="0097484B" w:rsidRDefault="003A1D17" w:rsidP="00522D85">
            <w:pPr>
              <w:keepNext/>
              <w:keepLines/>
              <w:spacing w:before="40" w:after="40" w:line="240" w:lineRule="auto"/>
              <w:jc w:val="right"/>
              <w:rPr>
                <w:rFonts w:asciiTheme="majorHAnsi" w:hAnsiTheme="majorHAnsi" w:cstheme="majorHAnsi"/>
                <w:color w:val="000000"/>
                <w:sz w:val="18"/>
                <w:szCs w:val="18"/>
              </w:rPr>
            </w:pPr>
            <w:r>
              <w:rPr>
                <w:rFonts w:ascii="Calibri" w:hAnsi="Calibri" w:cs="Calibri"/>
                <w:color w:val="000000"/>
                <w:sz w:val="18"/>
                <w:szCs w:val="18"/>
              </w:rPr>
              <w:t>21.4</w:t>
            </w:r>
          </w:p>
        </w:tc>
        <w:tc>
          <w:tcPr>
            <w:tcW w:w="1150" w:type="dxa"/>
            <w:shd w:val="clear" w:color="auto" w:fill="auto"/>
            <w:tcMar>
              <w:right w:w="288" w:type="dxa"/>
            </w:tcMar>
            <w:vAlign w:val="center"/>
          </w:tcPr>
          <w:p w14:paraId="1278D301" w14:textId="77777777" w:rsidR="003A1D17" w:rsidRPr="0097484B" w:rsidRDefault="003A1D17" w:rsidP="00522D85">
            <w:pPr>
              <w:keepNext/>
              <w:keepLines/>
              <w:spacing w:before="40" w:after="40" w:line="240" w:lineRule="auto"/>
              <w:jc w:val="right"/>
              <w:rPr>
                <w:rFonts w:asciiTheme="majorHAnsi" w:hAnsiTheme="majorHAnsi" w:cstheme="majorHAnsi"/>
                <w:color w:val="000000"/>
                <w:sz w:val="18"/>
                <w:szCs w:val="18"/>
              </w:rPr>
            </w:pPr>
            <w:r>
              <w:rPr>
                <w:rFonts w:ascii="Calibri" w:hAnsi="Calibri" w:cs="Calibri"/>
                <w:color w:val="000000"/>
                <w:sz w:val="18"/>
                <w:szCs w:val="18"/>
              </w:rPr>
              <w:t>26.1</w:t>
            </w:r>
          </w:p>
        </w:tc>
      </w:tr>
      <w:tr w:rsidR="003A1D17" w:rsidRPr="0097484B" w14:paraId="4DBA38DF" w14:textId="77777777" w:rsidTr="00593A39">
        <w:trPr>
          <w:trHeight w:val="375"/>
          <w:jc w:val="center"/>
        </w:trPr>
        <w:tc>
          <w:tcPr>
            <w:tcW w:w="2440" w:type="dxa"/>
            <w:shd w:val="clear" w:color="auto" w:fill="CCEAF9" w:themeFill="accent1" w:themeFillTint="33"/>
            <w:noWrap/>
            <w:tcMar>
              <w:left w:w="58" w:type="dxa"/>
              <w:right w:w="0" w:type="dxa"/>
            </w:tcMar>
            <w:vAlign w:val="center"/>
            <w:hideMark/>
          </w:tcPr>
          <w:p w14:paraId="7C08435D" w14:textId="77777777" w:rsidR="003A1D17" w:rsidRPr="0097484B" w:rsidRDefault="003A1D17" w:rsidP="00522D85">
            <w:pPr>
              <w:keepNext/>
              <w:keepLines/>
              <w:spacing w:before="40" w:after="40" w:line="240" w:lineRule="auto"/>
              <w:rPr>
                <w:rFonts w:asciiTheme="majorHAnsi" w:hAnsiTheme="majorHAnsi" w:cstheme="majorHAnsi"/>
                <w:b/>
                <w:color w:val="000000"/>
                <w:sz w:val="18"/>
                <w:szCs w:val="18"/>
              </w:rPr>
            </w:pPr>
            <w:r w:rsidRPr="0097484B">
              <w:rPr>
                <w:rFonts w:asciiTheme="majorHAnsi" w:hAnsiTheme="majorHAnsi" w:cstheme="majorHAnsi"/>
                <w:b/>
                <w:color w:val="000000"/>
                <w:sz w:val="18"/>
                <w:szCs w:val="18"/>
              </w:rPr>
              <w:t>Production costs</w:t>
            </w:r>
            <w:r>
              <w:rPr>
                <w:rFonts w:asciiTheme="majorHAnsi" w:hAnsiTheme="majorHAnsi" w:cstheme="majorHAnsi"/>
                <w:b/>
                <w:color w:val="000000"/>
                <w:sz w:val="18"/>
                <w:szCs w:val="18"/>
              </w:rPr>
              <w:t xml:space="preserve"> ($ million)</w:t>
            </w:r>
          </w:p>
        </w:tc>
        <w:tc>
          <w:tcPr>
            <w:tcW w:w="1150" w:type="dxa"/>
            <w:shd w:val="clear" w:color="000000" w:fill="CCEAF9"/>
            <w:noWrap/>
            <w:tcMar>
              <w:left w:w="58" w:type="dxa"/>
              <w:right w:w="288" w:type="dxa"/>
            </w:tcMar>
            <w:vAlign w:val="center"/>
            <w:hideMark/>
          </w:tcPr>
          <w:p w14:paraId="640D4A35" w14:textId="77777777" w:rsidR="003A1D17" w:rsidRPr="0097484B" w:rsidRDefault="003A1D17" w:rsidP="00522D85">
            <w:pPr>
              <w:keepNext/>
              <w:keepLines/>
              <w:spacing w:before="40" w:after="40" w:line="240" w:lineRule="auto"/>
              <w:jc w:val="right"/>
              <w:rPr>
                <w:rFonts w:asciiTheme="majorHAnsi" w:hAnsiTheme="majorHAnsi" w:cstheme="majorHAnsi"/>
                <w:color w:val="000000"/>
                <w:sz w:val="18"/>
                <w:szCs w:val="18"/>
              </w:rPr>
            </w:pPr>
            <w:r>
              <w:rPr>
                <w:rFonts w:ascii="Calibri" w:hAnsi="Calibri" w:cs="Calibri"/>
                <w:color w:val="000000"/>
                <w:sz w:val="18"/>
                <w:szCs w:val="18"/>
              </w:rPr>
              <w:t>2,412</w:t>
            </w:r>
          </w:p>
        </w:tc>
        <w:tc>
          <w:tcPr>
            <w:tcW w:w="1150" w:type="dxa"/>
            <w:shd w:val="clear" w:color="000000" w:fill="CCEAF9"/>
            <w:noWrap/>
            <w:tcMar>
              <w:left w:w="58" w:type="dxa"/>
              <w:right w:w="288" w:type="dxa"/>
            </w:tcMar>
            <w:vAlign w:val="center"/>
            <w:hideMark/>
          </w:tcPr>
          <w:p w14:paraId="6CE4C42B" w14:textId="77777777" w:rsidR="003A1D17" w:rsidRPr="0097484B" w:rsidRDefault="003A1D17" w:rsidP="00522D85">
            <w:pPr>
              <w:keepNext/>
              <w:keepLines/>
              <w:spacing w:before="40" w:after="40" w:line="240" w:lineRule="auto"/>
              <w:jc w:val="right"/>
              <w:rPr>
                <w:rFonts w:asciiTheme="majorHAnsi" w:hAnsiTheme="majorHAnsi" w:cstheme="majorHAnsi"/>
                <w:color w:val="000000"/>
                <w:sz w:val="18"/>
                <w:szCs w:val="18"/>
              </w:rPr>
            </w:pPr>
            <w:r>
              <w:rPr>
                <w:rFonts w:ascii="Calibri" w:hAnsi="Calibri" w:cs="Calibri"/>
                <w:color w:val="000000"/>
                <w:sz w:val="18"/>
                <w:szCs w:val="18"/>
              </w:rPr>
              <w:t>1,274</w:t>
            </w:r>
          </w:p>
        </w:tc>
        <w:tc>
          <w:tcPr>
            <w:tcW w:w="1150" w:type="dxa"/>
            <w:shd w:val="clear" w:color="000000" w:fill="CCEAF9"/>
            <w:noWrap/>
            <w:tcMar>
              <w:left w:w="58" w:type="dxa"/>
              <w:right w:w="288" w:type="dxa"/>
            </w:tcMar>
            <w:vAlign w:val="center"/>
            <w:hideMark/>
          </w:tcPr>
          <w:p w14:paraId="1F469B90" w14:textId="77777777" w:rsidR="003A1D17" w:rsidRPr="0097484B" w:rsidRDefault="003A1D17" w:rsidP="00522D85">
            <w:pPr>
              <w:keepNext/>
              <w:keepLines/>
              <w:spacing w:before="40" w:after="40" w:line="240" w:lineRule="auto"/>
              <w:jc w:val="right"/>
              <w:rPr>
                <w:rFonts w:asciiTheme="majorHAnsi" w:hAnsiTheme="majorHAnsi" w:cstheme="majorHAnsi"/>
                <w:color w:val="000000"/>
                <w:sz w:val="18"/>
                <w:szCs w:val="18"/>
              </w:rPr>
            </w:pPr>
            <w:r>
              <w:rPr>
                <w:rFonts w:ascii="Calibri" w:hAnsi="Calibri" w:cs="Calibri"/>
                <w:color w:val="000000"/>
                <w:sz w:val="18"/>
                <w:szCs w:val="18"/>
              </w:rPr>
              <w:t>1,179</w:t>
            </w:r>
          </w:p>
        </w:tc>
        <w:tc>
          <w:tcPr>
            <w:tcW w:w="1150" w:type="dxa"/>
            <w:shd w:val="clear" w:color="000000" w:fill="CCEAF9"/>
            <w:noWrap/>
            <w:tcMar>
              <w:left w:w="58" w:type="dxa"/>
              <w:right w:w="288" w:type="dxa"/>
            </w:tcMar>
            <w:vAlign w:val="center"/>
          </w:tcPr>
          <w:p w14:paraId="72CA9330" w14:textId="77777777" w:rsidR="003A1D17" w:rsidRPr="0097484B" w:rsidRDefault="003A1D17" w:rsidP="00522D85">
            <w:pPr>
              <w:keepNext/>
              <w:keepLines/>
              <w:spacing w:before="40" w:after="40" w:line="240" w:lineRule="auto"/>
              <w:jc w:val="right"/>
              <w:rPr>
                <w:rFonts w:asciiTheme="majorHAnsi" w:hAnsiTheme="majorHAnsi" w:cstheme="majorHAnsi"/>
                <w:color w:val="000000"/>
                <w:sz w:val="18"/>
                <w:szCs w:val="18"/>
              </w:rPr>
            </w:pPr>
            <w:r>
              <w:rPr>
                <w:rFonts w:ascii="Calibri" w:hAnsi="Calibri" w:cs="Calibri"/>
                <w:color w:val="000000"/>
                <w:sz w:val="18"/>
                <w:szCs w:val="18"/>
              </w:rPr>
              <w:t>1,094</w:t>
            </w:r>
          </w:p>
        </w:tc>
        <w:tc>
          <w:tcPr>
            <w:tcW w:w="1150" w:type="dxa"/>
            <w:shd w:val="clear" w:color="000000" w:fill="CCEAF9"/>
            <w:tcMar>
              <w:right w:w="288" w:type="dxa"/>
            </w:tcMar>
            <w:vAlign w:val="center"/>
          </w:tcPr>
          <w:p w14:paraId="607D9B43" w14:textId="77777777" w:rsidR="003A1D17" w:rsidRPr="0097484B" w:rsidRDefault="003A1D17" w:rsidP="00522D85">
            <w:pPr>
              <w:keepNext/>
              <w:keepLines/>
              <w:spacing w:before="40" w:after="40" w:line="240" w:lineRule="auto"/>
              <w:jc w:val="right"/>
              <w:rPr>
                <w:rFonts w:asciiTheme="majorHAnsi" w:hAnsiTheme="majorHAnsi" w:cstheme="majorHAnsi"/>
                <w:color w:val="000000"/>
                <w:sz w:val="18"/>
                <w:szCs w:val="18"/>
              </w:rPr>
            </w:pPr>
            <w:r>
              <w:rPr>
                <w:rFonts w:ascii="Calibri" w:hAnsi="Calibri" w:cs="Calibri"/>
                <w:color w:val="000000"/>
                <w:sz w:val="18"/>
                <w:szCs w:val="18"/>
              </w:rPr>
              <w:t>1,286</w:t>
            </w:r>
          </w:p>
        </w:tc>
      </w:tr>
      <w:tr w:rsidR="003A1D17" w:rsidRPr="0097484B" w14:paraId="7449BFDA" w14:textId="77777777" w:rsidTr="00593A39">
        <w:trPr>
          <w:trHeight w:val="375"/>
          <w:jc w:val="center"/>
        </w:trPr>
        <w:tc>
          <w:tcPr>
            <w:tcW w:w="2440" w:type="dxa"/>
            <w:noWrap/>
            <w:tcMar>
              <w:left w:w="58" w:type="dxa"/>
              <w:right w:w="0" w:type="dxa"/>
            </w:tcMar>
            <w:vAlign w:val="center"/>
            <w:hideMark/>
          </w:tcPr>
          <w:p w14:paraId="7C24B38D" w14:textId="77777777" w:rsidR="003A1D17" w:rsidRPr="0097484B" w:rsidRDefault="003A1D17" w:rsidP="00522D85">
            <w:pPr>
              <w:keepNext/>
              <w:keepLines/>
              <w:spacing w:before="40" w:after="40" w:line="240" w:lineRule="auto"/>
              <w:rPr>
                <w:rFonts w:asciiTheme="majorHAnsi" w:hAnsiTheme="majorHAnsi" w:cstheme="majorHAnsi"/>
                <w:b/>
                <w:color w:val="000000"/>
                <w:sz w:val="18"/>
                <w:szCs w:val="18"/>
              </w:rPr>
            </w:pPr>
            <w:r w:rsidRPr="0097484B">
              <w:rPr>
                <w:rFonts w:asciiTheme="majorHAnsi" w:hAnsiTheme="majorHAnsi" w:cstheme="majorHAnsi"/>
                <w:b/>
                <w:color w:val="000000"/>
                <w:sz w:val="18"/>
                <w:szCs w:val="18"/>
              </w:rPr>
              <w:t>LSEEE</w:t>
            </w:r>
            <w:r>
              <w:rPr>
                <w:rFonts w:asciiTheme="majorHAnsi" w:hAnsiTheme="majorHAnsi" w:cstheme="majorHAnsi"/>
                <w:b/>
                <w:color w:val="000000"/>
                <w:sz w:val="18"/>
                <w:szCs w:val="18"/>
              </w:rPr>
              <w:t xml:space="preserve"> ($ million)</w:t>
            </w:r>
          </w:p>
        </w:tc>
        <w:tc>
          <w:tcPr>
            <w:tcW w:w="1150" w:type="dxa"/>
            <w:shd w:val="clear" w:color="auto" w:fill="auto"/>
            <w:noWrap/>
            <w:tcMar>
              <w:left w:w="58" w:type="dxa"/>
              <w:right w:w="288" w:type="dxa"/>
            </w:tcMar>
            <w:vAlign w:val="center"/>
            <w:hideMark/>
          </w:tcPr>
          <w:p w14:paraId="270921AF" w14:textId="77777777" w:rsidR="003A1D17" w:rsidRPr="0097484B" w:rsidRDefault="003A1D17" w:rsidP="00522D85">
            <w:pPr>
              <w:keepNext/>
              <w:keepLines/>
              <w:spacing w:before="40" w:after="40" w:line="240" w:lineRule="auto"/>
              <w:jc w:val="right"/>
              <w:rPr>
                <w:rFonts w:asciiTheme="majorHAnsi" w:hAnsiTheme="majorHAnsi" w:cstheme="majorHAnsi"/>
                <w:color w:val="000000"/>
                <w:sz w:val="18"/>
                <w:szCs w:val="18"/>
              </w:rPr>
            </w:pPr>
            <w:r>
              <w:rPr>
                <w:rFonts w:ascii="Calibri" w:hAnsi="Calibri" w:cs="Calibri"/>
                <w:color w:val="000000"/>
                <w:sz w:val="18"/>
                <w:szCs w:val="18"/>
              </w:rPr>
              <w:t>6,504</w:t>
            </w:r>
          </w:p>
        </w:tc>
        <w:tc>
          <w:tcPr>
            <w:tcW w:w="1150" w:type="dxa"/>
            <w:shd w:val="clear" w:color="auto" w:fill="auto"/>
            <w:noWrap/>
            <w:tcMar>
              <w:left w:w="58" w:type="dxa"/>
              <w:right w:w="288" w:type="dxa"/>
            </w:tcMar>
            <w:vAlign w:val="center"/>
            <w:hideMark/>
          </w:tcPr>
          <w:p w14:paraId="245DFAFC" w14:textId="77777777" w:rsidR="003A1D17" w:rsidRPr="0097484B" w:rsidRDefault="003A1D17" w:rsidP="00522D85">
            <w:pPr>
              <w:keepNext/>
              <w:keepLines/>
              <w:spacing w:before="40" w:after="40" w:line="240" w:lineRule="auto"/>
              <w:jc w:val="right"/>
              <w:rPr>
                <w:rFonts w:asciiTheme="majorHAnsi" w:hAnsiTheme="majorHAnsi" w:cstheme="majorHAnsi"/>
                <w:color w:val="000000"/>
                <w:sz w:val="18"/>
                <w:szCs w:val="18"/>
              </w:rPr>
            </w:pPr>
            <w:r>
              <w:rPr>
                <w:rFonts w:ascii="Calibri" w:hAnsi="Calibri" w:cs="Calibri"/>
                <w:color w:val="000000"/>
                <w:sz w:val="18"/>
                <w:szCs w:val="18"/>
              </w:rPr>
              <w:t>4,086</w:t>
            </w:r>
          </w:p>
        </w:tc>
        <w:tc>
          <w:tcPr>
            <w:tcW w:w="1150" w:type="dxa"/>
            <w:shd w:val="clear" w:color="auto" w:fill="auto"/>
            <w:noWrap/>
            <w:tcMar>
              <w:left w:w="58" w:type="dxa"/>
              <w:right w:w="288" w:type="dxa"/>
            </w:tcMar>
            <w:vAlign w:val="center"/>
            <w:hideMark/>
          </w:tcPr>
          <w:p w14:paraId="4472692B" w14:textId="77777777" w:rsidR="003A1D17" w:rsidRPr="0097484B" w:rsidRDefault="003A1D17" w:rsidP="00522D85">
            <w:pPr>
              <w:keepNext/>
              <w:keepLines/>
              <w:spacing w:before="40" w:after="40" w:line="240" w:lineRule="auto"/>
              <w:jc w:val="right"/>
              <w:rPr>
                <w:rFonts w:asciiTheme="majorHAnsi" w:hAnsiTheme="majorHAnsi" w:cstheme="majorHAnsi"/>
                <w:color w:val="000000"/>
                <w:sz w:val="18"/>
                <w:szCs w:val="18"/>
              </w:rPr>
            </w:pPr>
            <w:r>
              <w:rPr>
                <w:rFonts w:ascii="Calibri" w:hAnsi="Calibri" w:cs="Calibri"/>
                <w:color w:val="000000"/>
                <w:sz w:val="18"/>
                <w:szCs w:val="18"/>
              </w:rPr>
              <w:t>3,614</w:t>
            </w:r>
          </w:p>
        </w:tc>
        <w:tc>
          <w:tcPr>
            <w:tcW w:w="1150" w:type="dxa"/>
            <w:shd w:val="clear" w:color="auto" w:fill="auto"/>
            <w:noWrap/>
            <w:tcMar>
              <w:left w:w="58" w:type="dxa"/>
              <w:right w:w="288" w:type="dxa"/>
            </w:tcMar>
            <w:vAlign w:val="center"/>
          </w:tcPr>
          <w:p w14:paraId="7439655E" w14:textId="77777777" w:rsidR="003A1D17" w:rsidRPr="0097484B" w:rsidRDefault="003A1D17" w:rsidP="00522D85">
            <w:pPr>
              <w:keepNext/>
              <w:keepLines/>
              <w:spacing w:before="40" w:after="40" w:line="240" w:lineRule="auto"/>
              <w:jc w:val="right"/>
              <w:rPr>
                <w:rFonts w:asciiTheme="majorHAnsi" w:hAnsiTheme="majorHAnsi" w:cstheme="majorHAnsi"/>
                <w:color w:val="000000"/>
                <w:sz w:val="18"/>
                <w:szCs w:val="18"/>
              </w:rPr>
            </w:pPr>
            <w:r>
              <w:rPr>
                <w:rFonts w:ascii="Calibri" w:hAnsi="Calibri" w:cs="Calibri"/>
                <w:color w:val="000000"/>
                <w:sz w:val="18"/>
                <w:szCs w:val="18"/>
              </w:rPr>
              <w:t>3,228</w:t>
            </w:r>
          </w:p>
        </w:tc>
        <w:tc>
          <w:tcPr>
            <w:tcW w:w="1150" w:type="dxa"/>
            <w:shd w:val="clear" w:color="auto" w:fill="auto"/>
            <w:tcMar>
              <w:right w:w="288" w:type="dxa"/>
            </w:tcMar>
            <w:vAlign w:val="center"/>
          </w:tcPr>
          <w:p w14:paraId="58F2C3AE" w14:textId="77777777" w:rsidR="003A1D17" w:rsidRPr="0097484B" w:rsidRDefault="003A1D17" w:rsidP="00522D85">
            <w:pPr>
              <w:keepNext/>
              <w:keepLines/>
              <w:spacing w:before="40" w:after="40" w:line="240" w:lineRule="auto"/>
              <w:jc w:val="right"/>
              <w:rPr>
                <w:rFonts w:asciiTheme="majorHAnsi" w:hAnsiTheme="majorHAnsi" w:cstheme="majorHAnsi"/>
                <w:color w:val="000000"/>
                <w:sz w:val="18"/>
                <w:szCs w:val="18"/>
              </w:rPr>
            </w:pPr>
            <w:r>
              <w:rPr>
                <w:rFonts w:ascii="Calibri" w:hAnsi="Calibri" w:cs="Calibri"/>
                <w:color w:val="000000"/>
                <w:sz w:val="18"/>
                <w:szCs w:val="18"/>
              </w:rPr>
              <w:t>3,945</w:t>
            </w:r>
          </w:p>
        </w:tc>
      </w:tr>
      <w:tr w:rsidR="003A1D17" w:rsidRPr="00E76F3A" w14:paraId="507140DD" w14:textId="77777777" w:rsidTr="00593A39">
        <w:trPr>
          <w:trHeight w:val="375"/>
          <w:jc w:val="center"/>
        </w:trPr>
        <w:tc>
          <w:tcPr>
            <w:tcW w:w="2440" w:type="dxa"/>
            <w:shd w:val="clear" w:color="auto" w:fill="CCEAF9" w:themeFill="accent1" w:themeFillTint="33"/>
            <w:noWrap/>
            <w:tcMar>
              <w:left w:w="58" w:type="dxa"/>
              <w:right w:w="0" w:type="dxa"/>
            </w:tcMar>
            <w:vAlign w:val="center"/>
            <w:hideMark/>
          </w:tcPr>
          <w:p w14:paraId="4C51FFA3" w14:textId="77777777" w:rsidR="003A1D17" w:rsidRPr="00614C30" w:rsidRDefault="003A1D17" w:rsidP="00522D85">
            <w:pPr>
              <w:keepNext/>
              <w:keepLines/>
              <w:spacing w:before="40" w:after="40" w:line="240" w:lineRule="auto"/>
              <w:rPr>
                <w:rFonts w:asciiTheme="majorHAnsi" w:hAnsiTheme="majorHAnsi" w:cstheme="majorHAnsi"/>
                <w:b/>
                <w:color w:val="000000"/>
                <w:sz w:val="18"/>
                <w:szCs w:val="18"/>
              </w:rPr>
            </w:pPr>
            <w:r w:rsidRPr="00614C30">
              <w:rPr>
                <w:rFonts w:asciiTheme="majorHAnsi" w:hAnsiTheme="majorHAnsi" w:cstheme="majorHAnsi"/>
                <w:b/>
                <w:color w:val="000000"/>
                <w:sz w:val="18"/>
                <w:szCs w:val="18"/>
              </w:rPr>
              <w:t>Spillage (TWh)</w:t>
            </w:r>
          </w:p>
        </w:tc>
        <w:tc>
          <w:tcPr>
            <w:tcW w:w="1150" w:type="dxa"/>
            <w:shd w:val="clear" w:color="000000" w:fill="CCEAF9"/>
            <w:noWrap/>
            <w:tcMar>
              <w:left w:w="58" w:type="dxa"/>
              <w:right w:w="288" w:type="dxa"/>
            </w:tcMar>
            <w:vAlign w:val="center"/>
            <w:hideMark/>
          </w:tcPr>
          <w:p w14:paraId="00C8EA5C" w14:textId="77777777" w:rsidR="003A1D17" w:rsidRPr="00E76F3A" w:rsidRDefault="003A1D17" w:rsidP="00522D85">
            <w:pPr>
              <w:keepNext/>
              <w:keepLines/>
              <w:spacing w:before="40" w:after="40" w:line="240" w:lineRule="auto"/>
              <w:jc w:val="right"/>
              <w:rPr>
                <w:rFonts w:asciiTheme="majorHAnsi" w:hAnsiTheme="majorHAnsi" w:cstheme="majorHAnsi"/>
                <w:color w:val="000000"/>
                <w:sz w:val="18"/>
                <w:szCs w:val="18"/>
              </w:rPr>
            </w:pPr>
            <w:r w:rsidRPr="00E76F3A">
              <w:rPr>
                <w:rFonts w:ascii="Calibri" w:hAnsi="Calibri" w:cs="Calibri"/>
                <w:color w:val="000000"/>
                <w:sz w:val="18"/>
                <w:szCs w:val="18"/>
              </w:rPr>
              <w:t>2.4</w:t>
            </w:r>
          </w:p>
        </w:tc>
        <w:tc>
          <w:tcPr>
            <w:tcW w:w="1150" w:type="dxa"/>
            <w:shd w:val="clear" w:color="000000" w:fill="CCEAF9"/>
            <w:noWrap/>
            <w:tcMar>
              <w:left w:w="58" w:type="dxa"/>
              <w:right w:w="288" w:type="dxa"/>
            </w:tcMar>
            <w:vAlign w:val="center"/>
            <w:hideMark/>
          </w:tcPr>
          <w:p w14:paraId="36D36C3E" w14:textId="77777777" w:rsidR="003A1D17" w:rsidRPr="00E76F3A" w:rsidRDefault="003A1D17" w:rsidP="00522D85">
            <w:pPr>
              <w:keepNext/>
              <w:keepLines/>
              <w:spacing w:before="40" w:after="40" w:line="240" w:lineRule="auto"/>
              <w:jc w:val="right"/>
              <w:rPr>
                <w:rFonts w:asciiTheme="majorHAnsi" w:hAnsiTheme="majorHAnsi" w:cstheme="majorHAnsi"/>
                <w:color w:val="000000"/>
                <w:sz w:val="18"/>
                <w:szCs w:val="18"/>
              </w:rPr>
            </w:pPr>
            <w:r w:rsidRPr="00E76F3A">
              <w:rPr>
                <w:rFonts w:ascii="Calibri" w:hAnsi="Calibri" w:cs="Calibri"/>
                <w:color w:val="000000"/>
                <w:sz w:val="18"/>
                <w:szCs w:val="18"/>
              </w:rPr>
              <w:t>9.6</w:t>
            </w:r>
          </w:p>
        </w:tc>
        <w:tc>
          <w:tcPr>
            <w:tcW w:w="1150" w:type="dxa"/>
            <w:shd w:val="clear" w:color="000000" w:fill="CCEAF9"/>
            <w:noWrap/>
            <w:tcMar>
              <w:left w:w="58" w:type="dxa"/>
              <w:right w:w="288" w:type="dxa"/>
            </w:tcMar>
            <w:vAlign w:val="center"/>
            <w:hideMark/>
          </w:tcPr>
          <w:p w14:paraId="67EC4F6D" w14:textId="77777777" w:rsidR="003A1D17" w:rsidRPr="00E76F3A" w:rsidRDefault="003A1D17" w:rsidP="00522D85">
            <w:pPr>
              <w:keepNext/>
              <w:keepLines/>
              <w:spacing w:before="40" w:after="40" w:line="240" w:lineRule="auto"/>
              <w:jc w:val="right"/>
              <w:rPr>
                <w:rFonts w:asciiTheme="majorHAnsi" w:hAnsiTheme="majorHAnsi" w:cstheme="majorHAnsi"/>
                <w:color w:val="000000"/>
                <w:sz w:val="18"/>
                <w:szCs w:val="18"/>
              </w:rPr>
            </w:pPr>
            <w:r w:rsidRPr="00E76F3A">
              <w:rPr>
                <w:rFonts w:ascii="Calibri" w:hAnsi="Calibri" w:cs="Calibri"/>
                <w:color w:val="000000"/>
                <w:sz w:val="18"/>
                <w:szCs w:val="18"/>
              </w:rPr>
              <w:t>15.1</w:t>
            </w:r>
          </w:p>
        </w:tc>
        <w:tc>
          <w:tcPr>
            <w:tcW w:w="1150" w:type="dxa"/>
            <w:shd w:val="clear" w:color="000000" w:fill="CCEAF9"/>
            <w:noWrap/>
            <w:tcMar>
              <w:left w:w="58" w:type="dxa"/>
              <w:right w:w="288" w:type="dxa"/>
            </w:tcMar>
            <w:vAlign w:val="center"/>
          </w:tcPr>
          <w:p w14:paraId="6FB00A25" w14:textId="77777777" w:rsidR="003A1D17" w:rsidRPr="00E76F3A" w:rsidRDefault="003A1D17" w:rsidP="00522D85">
            <w:pPr>
              <w:keepNext/>
              <w:keepLines/>
              <w:spacing w:before="40" w:after="40" w:line="240" w:lineRule="auto"/>
              <w:jc w:val="right"/>
              <w:rPr>
                <w:rFonts w:asciiTheme="majorHAnsi" w:hAnsiTheme="majorHAnsi" w:cstheme="majorHAnsi"/>
                <w:color w:val="000000"/>
                <w:sz w:val="18"/>
                <w:szCs w:val="18"/>
              </w:rPr>
            </w:pPr>
            <w:r w:rsidRPr="00E76F3A">
              <w:rPr>
                <w:rFonts w:ascii="Calibri" w:hAnsi="Calibri" w:cs="Calibri"/>
                <w:color w:val="000000"/>
                <w:sz w:val="18"/>
                <w:szCs w:val="18"/>
              </w:rPr>
              <w:t>21.3</w:t>
            </w:r>
          </w:p>
        </w:tc>
        <w:tc>
          <w:tcPr>
            <w:tcW w:w="1150" w:type="dxa"/>
            <w:shd w:val="clear" w:color="000000" w:fill="CCEAF9"/>
            <w:tcMar>
              <w:right w:w="288" w:type="dxa"/>
            </w:tcMar>
            <w:vAlign w:val="center"/>
          </w:tcPr>
          <w:p w14:paraId="4F822FD1" w14:textId="77777777" w:rsidR="003A1D17" w:rsidRPr="00E76F3A" w:rsidRDefault="003A1D17" w:rsidP="00522D85">
            <w:pPr>
              <w:keepNext/>
              <w:keepLines/>
              <w:spacing w:before="40" w:after="40" w:line="240" w:lineRule="auto"/>
              <w:jc w:val="right"/>
              <w:rPr>
                <w:rFonts w:asciiTheme="majorHAnsi" w:hAnsiTheme="majorHAnsi" w:cstheme="majorHAnsi"/>
                <w:color w:val="000000"/>
                <w:sz w:val="18"/>
                <w:szCs w:val="18"/>
              </w:rPr>
            </w:pPr>
            <w:r w:rsidRPr="00E76F3A">
              <w:rPr>
                <w:rFonts w:ascii="Calibri" w:hAnsi="Calibri" w:cs="Calibri"/>
                <w:color w:val="000000"/>
                <w:sz w:val="18"/>
                <w:szCs w:val="18"/>
              </w:rPr>
              <w:t>12.4</w:t>
            </w:r>
          </w:p>
        </w:tc>
      </w:tr>
      <w:tr w:rsidR="003A1D17" w:rsidRPr="00E76F3A" w14:paraId="614FB954" w14:textId="77777777" w:rsidTr="00593A39">
        <w:trPr>
          <w:trHeight w:val="390"/>
          <w:jc w:val="center"/>
        </w:trPr>
        <w:tc>
          <w:tcPr>
            <w:tcW w:w="2440" w:type="dxa"/>
            <w:noWrap/>
            <w:tcMar>
              <w:left w:w="58" w:type="dxa"/>
              <w:right w:w="0" w:type="dxa"/>
            </w:tcMar>
            <w:vAlign w:val="center"/>
            <w:hideMark/>
          </w:tcPr>
          <w:p w14:paraId="23D23342" w14:textId="77777777" w:rsidR="003A1D17" w:rsidRPr="00E76F3A" w:rsidRDefault="003A1D17" w:rsidP="00522D85">
            <w:pPr>
              <w:keepNext/>
              <w:keepLines/>
              <w:spacing w:before="40" w:after="40" w:line="240" w:lineRule="auto"/>
              <w:rPr>
                <w:rFonts w:asciiTheme="majorHAnsi" w:hAnsiTheme="majorHAnsi" w:cstheme="majorHAnsi"/>
                <w:b/>
                <w:color w:val="000000"/>
                <w:sz w:val="18"/>
                <w:szCs w:val="18"/>
              </w:rPr>
            </w:pPr>
            <w:r w:rsidRPr="00E76F3A">
              <w:rPr>
                <w:rFonts w:asciiTheme="majorHAnsi" w:hAnsiTheme="majorHAnsi" w:cstheme="majorHAnsi"/>
                <w:b/>
                <w:color w:val="000000"/>
                <w:sz w:val="18"/>
                <w:szCs w:val="18"/>
              </w:rPr>
              <w:t>CO</w:t>
            </w:r>
            <w:r w:rsidRPr="00E76F3A">
              <w:rPr>
                <w:rFonts w:asciiTheme="majorHAnsi" w:hAnsiTheme="majorHAnsi" w:cstheme="majorHAnsi"/>
                <w:b/>
                <w:color w:val="000000"/>
                <w:sz w:val="18"/>
                <w:szCs w:val="18"/>
                <w:vertAlign w:val="subscript"/>
              </w:rPr>
              <w:t xml:space="preserve">2 </w:t>
            </w:r>
            <w:r w:rsidRPr="00E76F3A">
              <w:rPr>
                <w:rFonts w:asciiTheme="majorHAnsi" w:hAnsiTheme="majorHAnsi" w:cstheme="majorHAnsi"/>
                <w:b/>
                <w:color w:val="000000"/>
                <w:sz w:val="18"/>
                <w:szCs w:val="18"/>
              </w:rPr>
              <w:t>emissions</w:t>
            </w:r>
            <w:r w:rsidRPr="00E76F3A">
              <w:rPr>
                <w:rFonts w:asciiTheme="majorHAnsi" w:hAnsiTheme="majorHAnsi" w:cstheme="majorHAnsi"/>
                <w:b/>
                <w:color w:val="000000"/>
                <w:sz w:val="18"/>
                <w:szCs w:val="18"/>
              </w:rPr>
              <w:br/>
              <w:t>(million short tons)</w:t>
            </w:r>
          </w:p>
        </w:tc>
        <w:tc>
          <w:tcPr>
            <w:tcW w:w="1150" w:type="dxa"/>
            <w:shd w:val="clear" w:color="auto" w:fill="auto"/>
            <w:noWrap/>
            <w:tcMar>
              <w:left w:w="58" w:type="dxa"/>
              <w:right w:w="288" w:type="dxa"/>
            </w:tcMar>
            <w:vAlign w:val="center"/>
            <w:hideMark/>
          </w:tcPr>
          <w:p w14:paraId="52051DB4" w14:textId="77777777" w:rsidR="003A1D17" w:rsidRPr="00E76F3A" w:rsidRDefault="003A1D17" w:rsidP="00522D85">
            <w:pPr>
              <w:keepNext/>
              <w:keepLines/>
              <w:spacing w:before="40" w:after="40" w:line="240" w:lineRule="auto"/>
              <w:jc w:val="right"/>
              <w:rPr>
                <w:rFonts w:asciiTheme="majorHAnsi" w:hAnsiTheme="majorHAnsi" w:cstheme="majorHAnsi"/>
                <w:color w:val="000000"/>
                <w:sz w:val="18"/>
                <w:szCs w:val="18"/>
              </w:rPr>
            </w:pPr>
            <w:r w:rsidRPr="00E76F3A">
              <w:rPr>
                <w:rFonts w:ascii="Calibri" w:hAnsi="Calibri" w:cs="Calibri"/>
                <w:color w:val="000000"/>
                <w:sz w:val="18"/>
                <w:szCs w:val="18"/>
              </w:rPr>
              <w:t>33.7</w:t>
            </w:r>
          </w:p>
        </w:tc>
        <w:tc>
          <w:tcPr>
            <w:tcW w:w="1150" w:type="dxa"/>
            <w:shd w:val="clear" w:color="auto" w:fill="auto"/>
            <w:noWrap/>
            <w:tcMar>
              <w:left w:w="58" w:type="dxa"/>
              <w:right w:w="288" w:type="dxa"/>
            </w:tcMar>
            <w:vAlign w:val="center"/>
            <w:hideMark/>
          </w:tcPr>
          <w:p w14:paraId="29515B1C" w14:textId="77777777" w:rsidR="003A1D17" w:rsidRPr="00E76F3A" w:rsidRDefault="003A1D17" w:rsidP="00522D85">
            <w:pPr>
              <w:keepNext/>
              <w:keepLines/>
              <w:spacing w:before="40" w:after="40" w:line="240" w:lineRule="auto"/>
              <w:jc w:val="right"/>
              <w:rPr>
                <w:rFonts w:asciiTheme="majorHAnsi" w:hAnsiTheme="majorHAnsi" w:cstheme="majorHAnsi"/>
                <w:color w:val="000000"/>
                <w:sz w:val="18"/>
                <w:szCs w:val="18"/>
              </w:rPr>
            </w:pPr>
            <w:r w:rsidRPr="00E76F3A">
              <w:rPr>
                <w:rFonts w:ascii="Calibri" w:hAnsi="Calibri" w:cs="Calibri"/>
                <w:color w:val="000000"/>
                <w:sz w:val="18"/>
                <w:szCs w:val="18"/>
              </w:rPr>
              <w:t>22.1</w:t>
            </w:r>
          </w:p>
        </w:tc>
        <w:tc>
          <w:tcPr>
            <w:tcW w:w="1150" w:type="dxa"/>
            <w:shd w:val="clear" w:color="auto" w:fill="auto"/>
            <w:noWrap/>
            <w:tcMar>
              <w:left w:w="58" w:type="dxa"/>
              <w:right w:w="288" w:type="dxa"/>
            </w:tcMar>
            <w:vAlign w:val="center"/>
            <w:hideMark/>
          </w:tcPr>
          <w:p w14:paraId="3120F70C" w14:textId="77777777" w:rsidR="003A1D17" w:rsidRPr="00E76F3A" w:rsidRDefault="003A1D17" w:rsidP="00522D85">
            <w:pPr>
              <w:keepNext/>
              <w:keepLines/>
              <w:spacing w:before="40" w:after="40" w:line="240" w:lineRule="auto"/>
              <w:jc w:val="right"/>
              <w:rPr>
                <w:rFonts w:asciiTheme="majorHAnsi" w:hAnsiTheme="majorHAnsi" w:cstheme="majorHAnsi"/>
                <w:color w:val="000000"/>
                <w:sz w:val="18"/>
                <w:szCs w:val="18"/>
              </w:rPr>
            </w:pPr>
            <w:r w:rsidRPr="00E76F3A">
              <w:rPr>
                <w:rFonts w:ascii="Calibri" w:hAnsi="Calibri" w:cs="Calibri"/>
                <w:color w:val="000000"/>
                <w:sz w:val="18"/>
                <w:szCs w:val="18"/>
              </w:rPr>
              <w:t>21.0</w:t>
            </w:r>
          </w:p>
        </w:tc>
        <w:tc>
          <w:tcPr>
            <w:tcW w:w="1150" w:type="dxa"/>
            <w:shd w:val="clear" w:color="auto" w:fill="auto"/>
            <w:noWrap/>
            <w:tcMar>
              <w:left w:w="58" w:type="dxa"/>
              <w:right w:w="288" w:type="dxa"/>
            </w:tcMar>
            <w:vAlign w:val="center"/>
          </w:tcPr>
          <w:p w14:paraId="58B251D6" w14:textId="77777777" w:rsidR="003A1D17" w:rsidRPr="00E76F3A" w:rsidRDefault="003A1D17" w:rsidP="00522D85">
            <w:pPr>
              <w:keepNext/>
              <w:keepLines/>
              <w:spacing w:before="40" w:after="40" w:line="240" w:lineRule="auto"/>
              <w:jc w:val="right"/>
              <w:rPr>
                <w:rFonts w:asciiTheme="majorHAnsi" w:hAnsiTheme="majorHAnsi" w:cstheme="majorHAnsi"/>
                <w:color w:val="000000"/>
                <w:sz w:val="18"/>
                <w:szCs w:val="18"/>
              </w:rPr>
            </w:pPr>
            <w:r w:rsidRPr="00E76F3A">
              <w:rPr>
                <w:rFonts w:ascii="Calibri" w:hAnsi="Calibri" w:cs="Calibri"/>
                <w:color w:val="000000"/>
                <w:sz w:val="18"/>
                <w:szCs w:val="18"/>
              </w:rPr>
              <w:t>19.9</w:t>
            </w:r>
          </w:p>
        </w:tc>
        <w:tc>
          <w:tcPr>
            <w:tcW w:w="1150" w:type="dxa"/>
            <w:shd w:val="clear" w:color="auto" w:fill="auto"/>
            <w:tcMar>
              <w:right w:w="288" w:type="dxa"/>
            </w:tcMar>
            <w:vAlign w:val="center"/>
          </w:tcPr>
          <w:p w14:paraId="4BFA6DB6" w14:textId="77777777" w:rsidR="003A1D17" w:rsidRPr="00E76F3A" w:rsidRDefault="003A1D17" w:rsidP="00522D85">
            <w:pPr>
              <w:keepNext/>
              <w:keepLines/>
              <w:spacing w:before="40" w:after="40" w:line="240" w:lineRule="auto"/>
              <w:jc w:val="right"/>
              <w:rPr>
                <w:rFonts w:asciiTheme="majorHAnsi" w:hAnsiTheme="majorHAnsi" w:cstheme="majorHAnsi"/>
                <w:color w:val="000000"/>
                <w:sz w:val="18"/>
                <w:szCs w:val="18"/>
              </w:rPr>
            </w:pPr>
            <w:r w:rsidRPr="00E76F3A">
              <w:rPr>
                <w:rFonts w:ascii="Calibri" w:hAnsi="Calibri" w:cs="Calibri"/>
                <w:color w:val="000000"/>
                <w:sz w:val="18"/>
                <w:szCs w:val="18"/>
              </w:rPr>
              <w:t>22.1</w:t>
            </w:r>
          </w:p>
        </w:tc>
      </w:tr>
    </w:tbl>
    <w:p w14:paraId="4A85C007" w14:textId="77777777" w:rsidR="004531DE" w:rsidRPr="00E76F3A" w:rsidRDefault="004531DE" w:rsidP="00593A39">
      <w:pPr>
        <w:spacing w:after="0" w:line="240" w:lineRule="auto"/>
      </w:pPr>
    </w:p>
    <w:p w14:paraId="0824B7B2" w14:textId="77777777" w:rsidR="00FE23B3" w:rsidRPr="00E76F3A" w:rsidRDefault="00FE23B3" w:rsidP="002C5F41">
      <w:r w:rsidRPr="00E76F3A">
        <w:t xml:space="preserve">The </w:t>
      </w:r>
      <w:r w:rsidR="004531DE" w:rsidRPr="00E76F3A">
        <w:t xml:space="preserve">following sections discuss in detail the </w:t>
      </w:r>
      <w:r w:rsidRPr="00E76F3A">
        <w:t>observations from the simulation output</w:t>
      </w:r>
      <w:r w:rsidR="004531DE" w:rsidRPr="00E76F3A">
        <w:t>s</w:t>
      </w:r>
      <w:r w:rsidRPr="00E76F3A">
        <w:t>.</w:t>
      </w:r>
    </w:p>
    <w:p w14:paraId="03A7D167" w14:textId="77777777" w:rsidR="00B46E4F" w:rsidRPr="00E76F3A" w:rsidRDefault="0028717C" w:rsidP="00C06F83">
      <w:pPr>
        <w:pStyle w:val="Heading2"/>
      </w:pPr>
      <w:bookmarkStart w:id="57" w:name="_Toc52533798"/>
      <w:r w:rsidRPr="00E76F3A">
        <w:t>Over</w:t>
      </w:r>
      <w:r w:rsidR="00C54A0C" w:rsidRPr="00E76F3A">
        <w:t>supply</w:t>
      </w:r>
      <w:r w:rsidRPr="00E76F3A">
        <w:t xml:space="preserve"> (Spillage)</w:t>
      </w:r>
      <w:bookmarkEnd w:id="57"/>
    </w:p>
    <w:p w14:paraId="58191690" w14:textId="77777777" w:rsidR="00E76F3A" w:rsidRDefault="00BA6C20" w:rsidP="001572F2">
      <w:r w:rsidRPr="00931AC7">
        <w:t>Spilled</w:t>
      </w:r>
      <w:r w:rsidR="00614C30" w:rsidRPr="00931AC7">
        <w:t xml:space="preserve"> </w:t>
      </w:r>
      <w:r w:rsidRPr="00931AC7">
        <w:t>en</w:t>
      </w:r>
      <w:r w:rsidRPr="00E76F3A">
        <w:t xml:space="preserve">ergy occurs when resource production exceeds the system’s ability to </w:t>
      </w:r>
      <w:r w:rsidR="00ED460C" w:rsidRPr="00E76F3A">
        <w:t>use</w:t>
      </w:r>
      <w:r w:rsidRPr="00E76F3A">
        <w:t xml:space="preserve"> the power, whether to protect transmission security or </w:t>
      </w:r>
      <w:r w:rsidR="00ED460C" w:rsidRPr="00E76F3A">
        <w:t xml:space="preserve">due to </w:t>
      </w:r>
      <w:r w:rsidR="00652A83" w:rsidRPr="00E76F3A">
        <w:t xml:space="preserve">the </w:t>
      </w:r>
      <w:r w:rsidRPr="00E76F3A">
        <w:t xml:space="preserve">lack of demand for the power </w:t>
      </w:r>
      <w:r w:rsidR="00ED460C" w:rsidRPr="00E76F3A">
        <w:t xml:space="preserve">when </w:t>
      </w:r>
      <w:r w:rsidRPr="00E76F3A">
        <w:t>produced</w:t>
      </w:r>
      <w:r w:rsidR="00BF1EA7" w:rsidRPr="00E76F3A">
        <w:t>.</w:t>
      </w:r>
      <w:r w:rsidR="00E0618D" w:rsidRPr="00E76F3A">
        <w:t xml:space="preserve"> </w:t>
      </w:r>
      <w:r w:rsidR="00276639" w:rsidRPr="00E76F3A">
        <w:t>The l</w:t>
      </w:r>
      <w:r w:rsidR="001572F2" w:rsidRPr="00E76F3A">
        <w:t xml:space="preserve">arge-scale development of remote resources, such as offshore wind or onshore wind in northern Maine, may require transmission additions to avoid </w:t>
      </w:r>
      <w:r w:rsidR="00A837A7" w:rsidRPr="00E76F3A">
        <w:t>transmission</w:t>
      </w:r>
      <w:r w:rsidR="00652A83" w:rsidRPr="00E76F3A">
        <w:t>-</w:t>
      </w:r>
      <w:r w:rsidR="00A837A7" w:rsidRPr="00E76F3A">
        <w:t>relate</w:t>
      </w:r>
      <w:r w:rsidR="00A837A7" w:rsidRPr="00614C30">
        <w:t xml:space="preserve">d </w:t>
      </w:r>
      <w:r w:rsidR="001572F2" w:rsidRPr="00614C30">
        <w:t xml:space="preserve">spillage. Conversely, the development of resources near load centers in southern New England </w:t>
      </w:r>
      <w:r w:rsidR="003E73B6" w:rsidRPr="00614C30">
        <w:t xml:space="preserve">and Boston </w:t>
      </w:r>
      <w:r w:rsidR="00532F85" w:rsidRPr="00614C30">
        <w:t xml:space="preserve">helps avoid </w:t>
      </w:r>
      <w:r w:rsidR="00A837A7" w:rsidRPr="00614C30">
        <w:t>transmission</w:t>
      </w:r>
      <w:r w:rsidR="00652A83" w:rsidRPr="00614C30">
        <w:t>-</w:t>
      </w:r>
      <w:r w:rsidR="00A837A7" w:rsidRPr="00614C30">
        <w:t xml:space="preserve">related </w:t>
      </w:r>
      <w:r w:rsidR="001572F2" w:rsidRPr="00614C30">
        <w:t>spillage of renewable energy</w:t>
      </w:r>
      <w:r w:rsidR="00FF3EB1" w:rsidRPr="00614C30">
        <w:t xml:space="preserve">. </w:t>
      </w:r>
    </w:p>
    <w:p w14:paraId="55836A5A" w14:textId="77777777" w:rsidR="001572F2" w:rsidRDefault="00532F85" w:rsidP="001572F2">
      <w:r w:rsidRPr="00614C30">
        <w:t>F</w:t>
      </w:r>
      <w:r>
        <w:t>or all scenarios studied, the</w:t>
      </w:r>
      <w:r w:rsidR="00AD5F99" w:rsidRPr="00AD5F99">
        <w:rPr>
          <w:b/>
        </w:rPr>
        <w:t xml:space="preserve"> </w:t>
      </w:r>
      <w:r w:rsidR="00AD5F99" w:rsidRPr="00277F7A">
        <w:t xml:space="preserve">2019 </w:t>
      </w:r>
      <w:r w:rsidR="00DE6511" w:rsidRPr="00277F7A">
        <w:t>A</w:t>
      </w:r>
      <w:r w:rsidRPr="00277F7A">
        <w:t>nbaric</w:t>
      </w:r>
      <w:r w:rsidR="00AD5F99" w:rsidRPr="00277F7A">
        <w:t xml:space="preserve"> Economic Study confirmed that </w:t>
      </w:r>
      <w:r w:rsidRPr="00277F7A">
        <w:t>high pen</w:t>
      </w:r>
      <w:r w:rsidR="00D32560" w:rsidRPr="00277F7A">
        <w:t>e</w:t>
      </w:r>
      <w:r w:rsidRPr="00277F7A">
        <w:t>trations of offshore wind results in oversupply</w:t>
      </w:r>
      <w:r w:rsidR="00C40A30" w:rsidRPr="00277F7A">
        <w:t>. Additionally,</w:t>
      </w:r>
      <w:r w:rsidRPr="00277F7A">
        <w:t xml:space="preserve"> increase</w:t>
      </w:r>
      <w:r w:rsidR="00C40A30" w:rsidRPr="00277F7A">
        <w:t>d</w:t>
      </w:r>
      <w:r w:rsidRPr="00277F7A">
        <w:t xml:space="preserve"> demand due to </w:t>
      </w:r>
      <w:r w:rsidR="00BC1670" w:rsidRPr="00277F7A">
        <w:t xml:space="preserve">increased </w:t>
      </w:r>
      <w:r w:rsidRPr="00277F7A">
        <w:t>electrification was not enough to eliminate spillage</w:t>
      </w:r>
      <w:r w:rsidR="00C40A30" w:rsidRPr="00277F7A">
        <w:t xml:space="preserve"> </w:t>
      </w:r>
      <w:r w:rsidR="003339DE" w:rsidRPr="00277F7A">
        <w:t xml:space="preserve">because </w:t>
      </w:r>
      <w:r w:rsidR="00B55E3E">
        <w:t xml:space="preserve">the </w:t>
      </w:r>
      <w:r w:rsidR="003339DE" w:rsidRPr="00277F7A">
        <w:t xml:space="preserve">demand from heat pumps and electric vehicles does not consistently </w:t>
      </w:r>
      <w:r w:rsidR="005A1868" w:rsidRPr="00277F7A">
        <w:t>align</w:t>
      </w:r>
      <w:r w:rsidR="003339DE" w:rsidRPr="00277F7A">
        <w:t xml:space="preserve"> with offshore wind production</w:t>
      </w:r>
      <w:r w:rsidR="00FF3EB1" w:rsidRPr="00277F7A">
        <w:t xml:space="preserve">. </w:t>
      </w:r>
      <w:r w:rsidR="003339DE" w:rsidRPr="003339DE">
        <w:t xml:space="preserve">Study results </w:t>
      </w:r>
      <w:r w:rsidR="00A63D9B">
        <w:t xml:space="preserve">indicate </w:t>
      </w:r>
      <w:r w:rsidR="00EB34D6">
        <w:t>that the assumed amount of electrification in conjunction with an increase in</w:t>
      </w:r>
      <w:r w:rsidR="00B55E3E">
        <w:t xml:space="preserve"> </w:t>
      </w:r>
      <w:r w:rsidR="00F5532B">
        <w:t>battery storage</w:t>
      </w:r>
      <w:r w:rsidR="00A63D9B">
        <w:t>,</w:t>
      </w:r>
      <w:r w:rsidR="003339DE" w:rsidRPr="003339DE">
        <w:t xml:space="preserve"> </w:t>
      </w:r>
      <w:r w:rsidR="00A63D9B">
        <w:t>as proposed by Anb</w:t>
      </w:r>
      <w:r w:rsidR="00A63D9B" w:rsidRPr="007F2CFF">
        <w:t>aric</w:t>
      </w:r>
      <w:r w:rsidR="00EB34D6" w:rsidRPr="007F2CFF">
        <w:t xml:space="preserve"> in the 10000 Sen scenario</w:t>
      </w:r>
      <w:r w:rsidR="00A63D9B" w:rsidRPr="007F2CFF">
        <w:t xml:space="preserve">, </w:t>
      </w:r>
      <w:r w:rsidR="003339DE" w:rsidRPr="007F2CFF">
        <w:t xml:space="preserve">would help lower the offshore wind spillage by 1.15 </w:t>
      </w:r>
      <w:r w:rsidR="002C5CFF" w:rsidRPr="007F2CFF">
        <w:t>terawatt</w:t>
      </w:r>
      <w:r w:rsidR="00C40A30" w:rsidRPr="007F2CFF">
        <w:t>-hours (</w:t>
      </w:r>
      <w:r w:rsidR="003339DE" w:rsidRPr="007F2CFF">
        <w:t>TWh</w:t>
      </w:r>
      <w:r w:rsidR="00C40A30" w:rsidRPr="007F2CFF">
        <w:t>)</w:t>
      </w:r>
      <w:r w:rsidR="003339DE" w:rsidRPr="007F2CFF">
        <w:t xml:space="preserve">, which </w:t>
      </w:r>
      <w:r w:rsidR="003339DE" w:rsidRPr="00926324">
        <w:t xml:space="preserve">is 23% of the total offshore wind resource </w:t>
      </w:r>
      <w:r w:rsidR="003339DE" w:rsidRPr="00E76F3A">
        <w:t>spillage</w:t>
      </w:r>
      <w:r w:rsidR="00FF3EB1" w:rsidRPr="00E76F3A">
        <w:t xml:space="preserve">. </w:t>
      </w:r>
      <w:r w:rsidR="00B12F65" w:rsidRPr="00E76F3A">
        <w:t xml:space="preserve">To reduce </w:t>
      </w:r>
      <w:r w:rsidR="00E76F3A" w:rsidRPr="00E76F3A">
        <w:t xml:space="preserve">the spillage of </w:t>
      </w:r>
      <w:r w:rsidR="00B12F65" w:rsidRPr="00E76F3A">
        <w:t>renewable</w:t>
      </w:r>
      <w:r w:rsidR="00E76F3A" w:rsidRPr="00E76F3A">
        <w:t>s</w:t>
      </w:r>
      <w:r w:rsidR="00B12F65" w:rsidRPr="00E76F3A">
        <w:t xml:space="preserve">, </w:t>
      </w:r>
      <w:r w:rsidR="005A1CBA" w:rsidRPr="00E76F3A">
        <w:t xml:space="preserve">the </w:t>
      </w:r>
      <w:r w:rsidR="00B12F65" w:rsidRPr="00E76F3A">
        <w:t>interconnection of resources close to load centers is preferred (i.e.</w:t>
      </w:r>
      <w:r w:rsidR="005A1CBA" w:rsidRPr="00E76F3A">
        <w:t>,</w:t>
      </w:r>
      <w:r w:rsidR="00B12F65" w:rsidRPr="00E76F3A">
        <w:t xml:space="preserve"> Mystic substation, Boston MA).</w:t>
      </w:r>
    </w:p>
    <w:p w14:paraId="2D93E8F2" w14:textId="77777777" w:rsidR="007911CD" w:rsidRDefault="005A1868" w:rsidP="00343A52">
      <w:r w:rsidRPr="00CE1B10">
        <w:t>The rate</w:t>
      </w:r>
      <w:r w:rsidRPr="00614F8A">
        <w:t xml:space="preserve"> of spillage increases as offshore wind </w:t>
      </w:r>
      <w:r w:rsidRPr="00CE1B10">
        <w:t>buildout increases</w:t>
      </w:r>
      <w:r w:rsidR="00EA3515">
        <w:t xml:space="preserve"> under the study’s assumptions</w:t>
      </w:r>
      <w:r w:rsidRPr="00CE1B10">
        <w:t>.</w:t>
      </w:r>
      <w:r w:rsidR="00B371F4" w:rsidRPr="00CE1B10">
        <w:rPr>
          <w:rStyle w:val="FootnoteReference"/>
        </w:rPr>
        <w:footnoteReference w:id="29"/>
      </w:r>
      <w:r w:rsidR="00BA6C20" w:rsidRPr="00CE1B10">
        <w:t xml:space="preserve"> </w:t>
      </w:r>
      <w:r w:rsidR="00F85564" w:rsidRPr="00CE1B10">
        <w:t>Most s</w:t>
      </w:r>
      <w:r w:rsidR="00953017" w:rsidRPr="00CE1B10">
        <w:t>pilla</w:t>
      </w:r>
      <w:r w:rsidR="00953017" w:rsidRPr="00A235C6">
        <w:t xml:space="preserve">ge </w:t>
      </w:r>
      <w:r w:rsidR="00F85564">
        <w:t xml:space="preserve">is </w:t>
      </w:r>
      <w:r w:rsidR="00953017" w:rsidRPr="00A235C6">
        <w:t>attribute</w:t>
      </w:r>
      <w:r w:rsidR="00953017" w:rsidRPr="00912A17">
        <w:t>d to oversupply</w:t>
      </w:r>
      <w:r w:rsidR="00B5295E" w:rsidRPr="00912A17">
        <w:t xml:space="preserve"> </w:t>
      </w:r>
      <w:r w:rsidR="00F85564" w:rsidRPr="00912A17">
        <w:t>whe</w:t>
      </w:r>
      <w:r w:rsidR="00F85564">
        <w:t>n loads are lower</w:t>
      </w:r>
      <w:r>
        <w:t>.</w:t>
      </w:r>
      <w:r w:rsidR="00BF1EA7">
        <w:t xml:space="preserve"> </w:t>
      </w:r>
      <w:r w:rsidR="00A94F90" w:rsidRPr="00343A52">
        <w:fldChar w:fldCharType="begin"/>
      </w:r>
      <w:r w:rsidR="00A94F90" w:rsidRPr="00773BC6">
        <w:instrText xml:space="preserve"> REF _Ref42608706 \h </w:instrText>
      </w:r>
      <w:r w:rsidR="00A94F90" w:rsidRPr="00DE09F3">
        <w:instrText xml:space="preserve"> \* MERGEFORMAT </w:instrText>
      </w:r>
      <w:r w:rsidR="00A94F90" w:rsidRPr="00343A52">
        <w:fldChar w:fldCharType="separate"/>
      </w:r>
      <w:r w:rsidR="00E76F3A" w:rsidRPr="00343A52">
        <w:t xml:space="preserve">Figure </w:t>
      </w:r>
      <w:r w:rsidR="00E76F3A">
        <w:rPr>
          <w:noProof/>
        </w:rPr>
        <w:t>5</w:t>
      </w:r>
      <w:r w:rsidR="00E76F3A">
        <w:rPr>
          <w:noProof/>
        </w:rPr>
        <w:noBreakHyphen/>
        <w:t>1</w:t>
      </w:r>
      <w:r w:rsidR="00A94F90" w:rsidRPr="00343A52">
        <w:fldChar w:fldCharType="end"/>
      </w:r>
      <w:r w:rsidR="00A94F90">
        <w:t xml:space="preserve"> highlights the spillage for all scenarios studied</w:t>
      </w:r>
      <w:r w:rsidR="00FF3EB1">
        <w:t xml:space="preserve">. </w:t>
      </w:r>
    </w:p>
    <w:p w14:paraId="1E5C551F" w14:textId="77777777" w:rsidR="004304B8" w:rsidRDefault="004304B8" w:rsidP="004304B8">
      <w:pPr>
        <w:spacing w:after="0" w:line="240" w:lineRule="auto"/>
        <w:jc w:val="center"/>
      </w:pPr>
      <w:r w:rsidRPr="004304B8">
        <w:rPr>
          <w:noProof/>
        </w:rPr>
        <w:drawing>
          <wp:inline distT="0" distB="0" distL="0" distR="0" wp14:anchorId="6A5E034B" wp14:editId="33B13D4C">
            <wp:extent cx="5304206" cy="2500298"/>
            <wp:effectExtent l="19050" t="19050" r="10795"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11382" cy="2503680"/>
                    </a:xfrm>
                    <a:prstGeom prst="rect">
                      <a:avLst/>
                    </a:prstGeom>
                    <a:noFill/>
                    <a:ln w="3175">
                      <a:solidFill>
                        <a:srgbClr val="000000"/>
                      </a:solidFill>
                    </a:ln>
                  </pic:spPr>
                </pic:pic>
              </a:graphicData>
            </a:graphic>
          </wp:inline>
        </w:drawing>
      </w:r>
    </w:p>
    <w:p w14:paraId="573A4B7F" w14:textId="77777777" w:rsidR="00365828" w:rsidRDefault="007911CD" w:rsidP="00F5472E">
      <w:pPr>
        <w:pStyle w:val="Caption"/>
        <w:spacing w:before="120" w:after="80"/>
        <w:ind w:left="540"/>
      </w:pPr>
      <w:bookmarkStart w:id="58" w:name="_Ref42608706"/>
      <w:bookmarkStart w:id="59" w:name="_Toc52533808"/>
      <w:r w:rsidRPr="00343A52">
        <w:t xml:space="preserve">Figure </w:t>
      </w:r>
      <w:r w:rsidR="000D5F76">
        <w:fldChar w:fldCharType="begin"/>
      </w:r>
      <w:r w:rsidR="000D5F76">
        <w:instrText xml:space="preserve"> STYLEREF 1 \s </w:instrText>
      </w:r>
      <w:r w:rsidR="000D5F76">
        <w:fldChar w:fldCharType="separate"/>
      </w:r>
      <w:r w:rsidR="00614C30">
        <w:rPr>
          <w:noProof/>
        </w:rPr>
        <w:t>5</w:t>
      </w:r>
      <w:r w:rsidR="000D5F76">
        <w:rPr>
          <w:noProof/>
        </w:rPr>
        <w:fldChar w:fldCharType="end"/>
      </w:r>
      <w:r w:rsidR="00702E16">
        <w:noBreakHyphen/>
      </w:r>
      <w:r w:rsidR="000D5F76">
        <w:fldChar w:fldCharType="begin"/>
      </w:r>
      <w:r w:rsidR="000D5F76">
        <w:instrText xml:space="preserve"> SEQ Figure \* ARABIC \s 1 </w:instrText>
      </w:r>
      <w:r w:rsidR="000D5F76">
        <w:fldChar w:fldCharType="separate"/>
      </w:r>
      <w:r w:rsidR="00614C30">
        <w:rPr>
          <w:noProof/>
        </w:rPr>
        <w:t>1</w:t>
      </w:r>
      <w:r w:rsidR="000D5F76">
        <w:rPr>
          <w:noProof/>
        </w:rPr>
        <w:fldChar w:fldCharType="end"/>
      </w:r>
      <w:bookmarkEnd w:id="58"/>
      <w:r w:rsidRPr="00FC4D73">
        <w:t xml:space="preserve">: </w:t>
      </w:r>
      <w:r w:rsidR="00365828" w:rsidRPr="007911CD">
        <w:t xml:space="preserve">Total </w:t>
      </w:r>
      <w:r w:rsidRPr="00343A52">
        <w:t>a</w:t>
      </w:r>
      <w:r w:rsidR="00365828" w:rsidRPr="00343A52">
        <w:t xml:space="preserve">mount of </w:t>
      </w:r>
      <w:r w:rsidRPr="00343A52">
        <w:t>s</w:t>
      </w:r>
      <w:r w:rsidR="00365828" w:rsidRPr="00343A52">
        <w:t xml:space="preserve">pilled </w:t>
      </w:r>
      <w:r w:rsidRPr="00343A52">
        <w:t>r</w:t>
      </w:r>
      <w:r w:rsidR="00365828" w:rsidRPr="00343A52">
        <w:t>esource</w:t>
      </w:r>
      <w:r w:rsidR="00FC4D73">
        <w:t xml:space="preserve"> e</w:t>
      </w:r>
      <w:r w:rsidR="00365828" w:rsidRPr="00343A52">
        <w:t>nergy (</w:t>
      </w:r>
      <w:r w:rsidRPr="00343A52">
        <w:t xml:space="preserve">terawatt-hours; </w:t>
      </w:r>
      <w:r w:rsidR="00365828" w:rsidRPr="00343A52">
        <w:t xml:space="preserve">TWh) by </w:t>
      </w:r>
      <w:r w:rsidRPr="00343A52">
        <w:t>s</w:t>
      </w:r>
      <w:r w:rsidR="00365828" w:rsidRPr="00343A52">
        <w:t xml:space="preserve">cenario </w:t>
      </w:r>
      <w:r w:rsidRPr="00343A52">
        <w:t>s</w:t>
      </w:r>
      <w:r w:rsidR="00365828" w:rsidRPr="00343A52">
        <w:t>tudied</w:t>
      </w:r>
      <w:r w:rsidRPr="00343A52">
        <w:t>.</w:t>
      </w:r>
      <w:bookmarkEnd w:id="59"/>
    </w:p>
    <w:p w14:paraId="726F1AAE" w14:textId="77777777" w:rsidR="003A41E6" w:rsidRPr="00CD31D1" w:rsidRDefault="003A41E6" w:rsidP="00CD31D1">
      <w:pPr>
        <w:spacing w:line="240" w:lineRule="auto"/>
        <w:ind w:left="540"/>
        <w:rPr>
          <w:rFonts w:asciiTheme="majorHAnsi" w:hAnsiTheme="majorHAnsi" w:cstheme="majorHAnsi"/>
          <w:sz w:val="16"/>
          <w:szCs w:val="16"/>
        </w:rPr>
      </w:pPr>
      <w:r w:rsidRPr="00CD31D1">
        <w:rPr>
          <w:rFonts w:asciiTheme="majorHAnsi" w:hAnsiTheme="majorHAnsi" w:cstheme="majorHAnsi"/>
          <w:sz w:val="16"/>
          <w:szCs w:val="16"/>
        </w:rPr>
        <w:t xml:space="preserve">Note: C </w:t>
      </w:r>
      <w:r w:rsidRPr="009A1C82">
        <w:rPr>
          <w:rFonts w:asciiTheme="majorHAnsi" w:hAnsiTheme="majorHAnsi" w:cstheme="majorHAnsi"/>
          <w:sz w:val="16"/>
          <w:szCs w:val="16"/>
        </w:rPr>
        <w:t xml:space="preserve">refers to </w:t>
      </w:r>
      <w:r w:rsidRPr="00CD31D1">
        <w:rPr>
          <w:rFonts w:asciiTheme="majorHAnsi" w:hAnsiTheme="majorHAnsi" w:cstheme="majorHAnsi"/>
          <w:sz w:val="16"/>
          <w:szCs w:val="16"/>
        </w:rPr>
        <w:t xml:space="preserve">constrained, and UC </w:t>
      </w:r>
      <w:r w:rsidRPr="009A1C82">
        <w:rPr>
          <w:rFonts w:asciiTheme="majorHAnsi" w:hAnsiTheme="majorHAnsi" w:cstheme="majorHAnsi"/>
          <w:sz w:val="16"/>
          <w:szCs w:val="16"/>
        </w:rPr>
        <w:t xml:space="preserve">refers to </w:t>
      </w:r>
      <w:r w:rsidRPr="00CD31D1">
        <w:rPr>
          <w:rFonts w:asciiTheme="majorHAnsi" w:hAnsiTheme="majorHAnsi" w:cstheme="majorHAnsi"/>
          <w:sz w:val="16"/>
          <w:szCs w:val="16"/>
        </w:rPr>
        <w:t>unconstrained.</w:t>
      </w:r>
    </w:p>
    <w:p w14:paraId="2B5F735B" w14:textId="77777777" w:rsidR="00A94F90" w:rsidRDefault="00A94F90" w:rsidP="00A94F90">
      <w:r w:rsidRPr="005A1868">
        <w:t xml:space="preserve">Increasing the NECEC threshold price to $11/MWh results in significant spillage of NECEC while spillage of hydro, wind, </w:t>
      </w:r>
      <w:r>
        <w:t>and existing imports decrease</w:t>
      </w:r>
      <w:r w:rsidR="003A41E6">
        <w:t>s</w:t>
      </w:r>
      <w:r>
        <w:t>. Yet, t</w:t>
      </w:r>
      <w:r w:rsidRPr="005A1868">
        <w:t>otal spillage remains the same regardless of NECEC threshold</w:t>
      </w:r>
      <w:r w:rsidR="003A41E6">
        <w:t>-</w:t>
      </w:r>
      <w:r w:rsidRPr="005A1868">
        <w:t xml:space="preserve">price sensitivity. </w:t>
      </w:r>
    </w:p>
    <w:p w14:paraId="07D94480" w14:textId="77777777" w:rsidR="006C320C" w:rsidRDefault="002A096D" w:rsidP="006C320C">
      <w:r w:rsidRPr="00A94F90">
        <w:t xml:space="preserve">Total spillage of </w:t>
      </w:r>
      <w:r>
        <w:t xml:space="preserve">offshore wind </w:t>
      </w:r>
      <w:r w:rsidRPr="00A94F90">
        <w:t>and hydro is 3.44 TWh in the Anbaric 8,000 MW scenario</w:t>
      </w:r>
      <w:r w:rsidR="00FF3EB1">
        <w:t xml:space="preserve">. </w:t>
      </w:r>
      <w:r w:rsidR="00A94F90">
        <w:t>Study results revealed s</w:t>
      </w:r>
      <w:r w:rsidR="00B46E4F" w:rsidRPr="00B46E4F">
        <w:t xml:space="preserve">pillage varies </w:t>
      </w:r>
      <w:r w:rsidR="00B46E4F" w:rsidRPr="00365828">
        <w:rPr>
          <w:i/>
        </w:rPr>
        <w:t>significantly</w:t>
      </w:r>
      <w:r w:rsidR="00365828">
        <w:t xml:space="preserve"> by month</w:t>
      </w:r>
      <w:r w:rsidR="00694DBC">
        <w:t>,</w:t>
      </w:r>
      <w:r w:rsidR="00365828">
        <w:t xml:space="preserve"> </w:t>
      </w:r>
      <w:r w:rsidR="00A94F90" w:rsidRPr="00A94F90">
        <w:t>from 0.09 TWh in August to 1.74 TWh in April</w:t>
      </w:r>
      <w:r w:rsidR="00FF3EB1">
        <w:t xml:space="preserve">. </w:t>
      </w:r>
      <w:r>
        <w:t>Se</w:t>
      </w:r>
      <w:r w:rsidRPr="00F22055">
        <w:t xml:space="preserve">e </w:t>
      </w:r>
      <w:r w:rsidR="00694DBC" w:rsidRPr="00CD31D1">
        <w:fldChar w:fldCharType="begin"/>
      </w:r>
      <w:r w:rsidR="00694DBC" w:rsidRPr="00CD31D1">
        <w:instrText xml:space="preserve"> REF _Ref49247041 \h </w:instrText>
      </w:r>
      <w:r w:rsidR="00694DBC">
        <w:instrText xml:space="preserve"> \* MERGEFORMAT </w:instrText>
      </w:r>
      <w:r w:rsidR="00694DBC" w:rsidRPr="00CD31D1">
        <w:fldChar w:fldCharType="separate"/>
      </w:r>
      <w:r w:rsidR="00E76F3A" w:rsidRPr="00F93F55">
        <w:t xml:space="preserve">Figure </w:t>
      </w:r>
      <w:r w:rsidR="00E76F3A">
        <w:rPr>
          <w:noProof/>
        </w:rPr>
        <w:t>5</w:t>
      </w:r>
      <w:r w:rsidR="00E76F3A" w:rsidRPr="00F93F55">
        <w:rPr>
          <w:noProof/>
        </w:rPr>
        <w:noBreakHyphen/>
      </w:r>
      <w:r w:rsidR="00E76F3A">
        <w:rPr>
          <w:noProof/>
        </w:rPr>
        <w:t>2</w:t>
      </w:r>
      <w:r w:rsidR="00694DBC" w:rsidRPr="00CD31D1">
        <w:fldChar w:fldCharType="end"/>
      </w:r>
      <w:r w:rsidRPr="00F22055">
        <w:t xml:space="preserve">. </w:t>
      </w:r>
      <w:r w:rsidR="00416DA1" w:rsidRPr="00F22055">
        <w:t xml:space="preserve">The </w:t>
      </w:r>
      <w:r w:rsidR="00416DA1" w:rsidRPr="00F22055">
        <w:rPr>
          <w:i/>
        </w:rPr>
        <w:t>least</w:t>
      </w:r>
      <w:r w:rsidR="00416DA1" w:rsidRPr="00F22055">
        <w:t xml:space="preserve"> amount of spillage in the 8,000 MW constrained scenario occurred in the summer months of July and August when demand is generally high.</w:t>
      </w:r>
      <w:r w:rsidR="00416DA1" w:rsidRPr="00F22055">
        <w:rPr>
          <w:rStyle w:val="FootnoteReference"/>
        </w:rPr>
        <w:footnoteReference w:id="30"/>
      </w:r>
      <w:r w:rsidR="00416DA1" w:rsidRPr="00F22055">
        <w:t xml:space="preserve"> The </w:t>
      </w:r>
      <w:r w:rsidR="00416DA1" w:rsidRPr="00F22055">
        <w:rPr>
          <w:i/>
        </w:rPr>
        <w:t xml:space="preserve">most </w:t>
      </w:r>
      <w:r w:rsidR="00416DA1" w:rsidRPr="00F22055">
        <w:t>spillage in the 8,00</w:t>
      </w:r>
      <w:r w:rsidR="00416DA1">
        <w:t>0 MW</w:t>
      </w:r>
      <w:r w:rsidR="00416DA1" w:rsidRPr="00B46E4F">
        <w:t xml:space="preserve"> constrained scenario </w:t>
      </w:r>
      <w:r w:rsidR="00416DA1">
        <w:t xml:space="preserve">occurred </w:t>
      </w:r>
      <w:r w:rsidR="00416DA1" w:rsidRPr="00A235C6">
        <w:t xml:space="preserve">in </w:t>
      </w:r>
      <w:r w:rsidR="00416DA1">
        <w:t>April</w:t>
      </w:r>
      <w:r w:rsidRPr="002A096D">
        <w:t xml:space="preserve"> </w:t>
      </w:r>
      <w:r w:rsidRPr="00A94F90">
        <w:t>due to high wind production and low demand.</w:t>
      </w:r>
      <w:r w:rsidR="00416DA1">
        <w:t xml:space="preserve"> Looking more closely at the April results shows that wind production was</w:t>
      </w:r>
      <w:r w:rsidR="00416DA1" w:rsidRPr="00953017">
        <w:t xml:space="preserve"> </w:t>
      </w:r>
      <w:r w:rsidR="00416DA1">
        <w:t>sizable, supporting the premise that spillage is due to oversupply at times of lower loads.</w:t>
      </w:r>
    </w:p>
    <w:p w14:paraId="35259F31" w14:textId="77777777" w:rsidR="00CD31D1" w:rsidRDefault="00CD31D1" w:rsidP="00CD31D1">
      <w:pPr>
        <w:spacing w:after="0" w:line="240" w:lineRule="auto"/>
        <w:jc w:val="center"/>
      </w:pPr>
      <w:r w:rsidRPr="00CD31D1">
        <w:rPr>
          <w:noProof/>
        </w:rPr>
        <w:drawing>
          <wp:inline distT="0" distB="0" distL="0" distR="0" wp14:anchorId="31895969" wp14:editId="7D37F1F3">
            <wp:extent cx="4679135" cy="2506133"/>
            <wp:effectExtent l="19050" t="19050" r="26670" b="279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86465" cy="2510059"/>
                    </a:xfrm>
                    <a:prstGeom prst="rect">
                      <a:avLst/>
                    </a:prstGeom>
                    <a:noFill/>
                    <a:ln w="3175">
                      <a:solidFill>
                        <a:srgbClr val="000000"/>
                      </a:solidFill>
                    </a:ln>
                  </pic:spPr>
                </pic:pic>
              </a:graphicData>
            </a:graphic>
          </wp:inline>
        </w:drawing>
      </w:r>
    </w:p>
    <w:p w14:paraId="7F58F995" w14:textId="77777777" w:rsidR="008B626B" w:rsidRPr="00905C2C" w:rsidRDefault="00702E16" w:rsidP="00212F35">
      <w:pPr>
        <w:pStyle w:val="Caption"/>
        <w:spacing w:before="120" w:after="240"/>
        <w:ind w:firstLine="994"/>
      </w:pPr>
      <w:bookmarkStart w:id="60" w:name="_Ref49247041"/>
      <w:bookmarkStart w:id="61" w:name="_Ref42611954"/>
      <w:bookmarkStart w:id="62" w:name="_Toc52533809"/>
      <w:r w:rsidRPr="00F93F55">
        <w:t xml:space="preserve">Figure </w:t>
      </w:r>
      <w:r w:rsidR="000D5F76">
        <w:fldChar w:fldCharType="begin"/>
      </w:r>
      <w:r w:rsidR="000D5F76">
        <w:instrText xml:space="preserve"> STYLEREF 1 \s </w:instrText>
      </w:r>
      <w:r w:rsidR="000D5F76">
        <w:fldChar w:fldCharType="separate"/>
      </w:r>
      <w:r w:rsidR="00614C30">
        <w:rPr>
          <w:noProof/>
        </w:rPr>
        <w:t>5</w:t>
      </w:r>
      <w:r w:rsidR="000D5F76">
        <w:rPr>
          <w:noProof/>
        </w:rPr>
        <w:fldChar w:fldCharType="end"/>
      </w:r>
      <w:r w:rsidRPr="00F93F55">
        <w:noBreakHyphen/>
      </w:r>
      <w:r w:rsidR="000D5F76">
        <w:fldChar w:fldCharType="begin"/>
      </w:r>
      <w:r w:rsidR="000D5F76">
        <w:instrText xml:space="preserve"> SEQ Figure \* ARABIC \s 1 </w:instrText>
      </w:r>
      <w:r w:rsidR="000D5F76">
        <w:fldChar w:fldCharType="separate"/>
      </w:r>
      <w:r w:rsidR="00614C30">
        <w:rPr>
          <w:noProof/>
        </w:rPr>
        <w:t>2</w:t>
      </w:r>
      <w:r w:rsidR="000D5F76">
        <w:rPr>
          <w:noProof/>
        </w:rPr>
        <w:fldChar w:fldCharType="end"/>
      </w:r>
      <w:bookmarkEnd w:id="60"/>
      <w:bookmarkEnd w:id="61"/>
      <w:r w:rsidR="008B626B" w:rsidRPr="00F93F55">
        <w:t xml:space="preserve">: </w:t>
      </w:r>
      <w:r w:rsidR="008B626B" w:rsidRPr="00F93F55">
        <w:rPr>
          <w:bCs w:val="0"/>
        </w:rPr>
        <w:t>Monthly spilled resource energy (TWh) for the 8,000 MW constrained scenario.</w:t>
      </w:r>
      <w:bookmarkEnd w:id="62"/>
    </w:p>
    <w:p w14:paraId="136BC0B8" w14:textId="77777777" w:rsidR="00C15598" w:rsidRDefault="002A096D" w:rsidP="001E7007">
      <w:r>
        <w:t>Examin</w:t>
      </w:r>
      <w:r w:rsidR="00CD31D1">
        <w:t>in</w:t>
      </w:r>
      <w:r>
        <w:t>g spillage on July 2, 2030</w:t>
      </w:r>
      <w:r w:rsidR="00694DBC">
        <w:t>,</w:t>
      </w:r>
      <w:r>
        <w:t xml:space="preserve"> </w:t>
      </w:r>
      <w:r w:rsidR="00694DBC">
        <w:t xml:space="preserve">from </w:t>
      </w:r>
      <w:r>
        <w:t xml:space="preserve">the 8,000 MW </w:t>
      </w:r>
      <w:r w:rsidR="00CD31D1">
        <w:t>scenario</w:t>
      </w:r>
      <w:r>
        <w:t xml:space="preserve"> revealed an offshore wind output profile almost opposite </w:t>
      </w:r>
      <w:r w:rsidR="00694DBC">
        <w:t xml:space="preserve">of </w:t>
      </w:r>
      <w:r>
        <w:t xml:space="preserve">the </w:t>
      </w:r>
      <w:r w:rsidRPr="002A096D">
        <w:t>load curve</w:t>
      </w:r>
      <w:r w:rsidR="00FF3EB1">
        <w:t xml:space="preserve">. </w:t>
      </w:r>
      <w:r w:rsidR="00BA1DBF" w:rsidRPr="0092039A">
        <w:t xml:space="preserve">See </w:t>
      </w:r>
      <w:r w:rsidR="00BA1DBF" w:rsidRPr="0092039A">
        <w:fldChar w:fldCharType="begin"/>
      </w:r>
      <w:r w:rsidR="00BA1DBF" w:rsidRPr="0092039A">
        <w:instrText xml:space="preserve"> REF _Ref49247599 \h </w:instrText>
      </w:r>
      <w:r w:rsidR="00BA1DBF">
        <w:instrText xml:space="preserve"> \* MERGEFORMAT </w:instrText>
      </w:r>
      <w:r w:rsidR="00BA1DBF" w:rsidRPr="0092039A">
        <w:fldChar w:fldCharType="separate"/>
      </w:r>
      <w:r w:rsidR="00E76F3A" w:rsidRPr="00E76F3A">
        <w:t>Figure 5</w:t>
      </w:r>
      <w:r w:rsidR="00E76F3A" w:rsidRPr="00E76F3A">
        <w:noBreakHyphen/>
        <w:t>3</w:t>
      </w:r>
      <w:r w:rsidR="00BA1DBF" w:rsidRPr="0092039A">
        <w:fldChar w:fldCharType="end"/>
      </w:r>
      <w:r w:rsidR="00BA1DBF" w:rsidRPr="0092039A">
        <w:t>.</w:t>
      </w:r>
      <w:r w:rsidR="00BA1DBF">
        <w:t xml:space="preserve"> </w:t>
      </w:r>
      <w:r w:rsidRPr="002A096D">
        <w:t xml:space="preserve">High </w:t>
      </w:r>
      <w:r>
        <w:t>offshore wind</w:t>
      </w:r>
      <w:r w:rsidRPr="002A096D">
        <w:t xml:space="preserve"> output was observed at night when the loads were low</w:t>
      </w:r>
      <w:r>
        <w:t xml:space="preserve">, and </w:t>
      </w:r>
      <w:r w:rsidR="00B02765">
        <w:t xml:space="preserve">during the day when demand was high, offshore wind output was low and </w:t>
      </w:r>
      <w:r>
        <w:t xml:space="preserve">little to no spillage of renewable resources </w:t>
      </w:r>
      <w:r w:rsidR="00B02765">
        <w:t>occurred.</w:t>
      </w:r>
      <w:r w:rsidR="00352DC9">
        <w:t xml:space="preserve">    </w:t>
      </w:r>
    </w:p>
    <w:p w14:paraId="27CD026D" w14:textId="77777777" w:rsidR="0052501A" w:rsidRDefault="0052501A" w:rsidP="0052501A">
      <w:pPr>
        <w:spacing w:after="0" w:line="240" w:lineRule="auto"/>
        <w:jc w:val="center"/>
      </w:pPr>
      <w:r w:rsidRPr="0052501A">
        <w:rPr>
          <w:noProof/>
        </w:rPr>
        <w:drawing>
          <wp:inline distT="0" distB="0" distL="0" distR="0" wp14:anchorId="6649EB30" wp14:editId="3CD090A4">
            <wp:extent cx="4282289" cy="2499360"/>
            <wp:effectExtent l="19050" t="19050" r="23495" b="15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91121" cy="2504515"/>
                    </a:xfrm>
                    <a:prstGeom prst="rect">
                      <a:avLst/>
                    </a:prstGeom>
                    <a:noFill/>
                    <a:ln w="3175">
                      <a:solidFill>
                        <a:srgbClr val="000000"/>
                      </a:solidFill>
                    </a:ln>
                  </pic:spPr>
                </pic:pic>
              </a:graphicData>
            </a:graphic>
          </wp:inline>
        </w:drawing>
      </w:r>
    </w:p>
    <w:p w14:paraId="7EE2D02F" w14:textId="77777777" w:rsidR="001A2D2F" w:rsidRDefault="00BA1DBF" w:rsidP="00DD2C3B">
      <w:pPr>
        <w:spacing w:before="120" w:line="240" w:lineRule="auto"/>
        <w:ind w:left="1267" w:right="1354"/>
        <w:rPr>
          <w:rStyle w:val="CaptionChar"/>
        </w:rPr>
      </w:pPr>
      <w:bookmarkStart w:id="63" w:name="_Ref49247599"/>
      <w:bookmarkStart w:id="64" w:name="_Toc52533810"/>
      <w:r w:rsidRPr="001E7007">
        <w:rPr>
          <w:rStyle w:val="CaptionChar"/>
        </w:rPr>
        <w:t xml:space="preserve">Figure </w:t>
      </w:r>
      <w:r w:rsidR="00702E16" w:rsidRPr="001E7007">
        <w:rPr>
          <w:rStyle w:val="CaptionChar"/>
        </w:rPr>
        <w:fldChar w:fldCharType="begin"/>
      </w:r>
      <w:r w:rsidR="00702E16" w:rsidRPr="001E7007">
        <w:rPr>
          <w:rStyle w:val="CaptionChar"/>
        </w:rPr>
        <w:instrText xml:space="preserve"> STYLEREF 1 \s </w:instrText>
      </w:r>
      <w:r w:rsidR="00702E16" w:rsidRPr="001E7007">
        <w:rPr>
          <w:rStyle w:val="CaptionChar"/>
        </w:rPr>
        <w:fldChar w:fldCharType="separate"/>
      </w:r>
      <w:r w:rsidR="00614C30">
        <w:rPr>
          <w:rStyle w:val="CaptionChar"/>
          <w:noProof/>
        </w:rPr>
        <w:t>5</w:t>
      </w:r>
      <w:r w:rsidR="00702E16" w:rsidRPr="001E7007">
        <w:rPr>
          <w:rStyle w:val="CaptionChar"/>
        </w:rPr>
        <w:fldChar w:fldCharType="end"/>
      </w:r>
      <w:r w:rsidR="00702E16" w:rsidRPr="001E7007">
        <w:rPr>
          <w:rStyle w:val="CaptionChar"/>
        </w:rPr>
        <w:noBreakHyphen/>
      </w:r>
      <w:r w:rsidR="00702E16" w:rsidRPr="001E7007">
        <w:rPr>
          <w:rStyle w:val="CaptionChar"/>
        </w:rPr>
        <w:fldChar w:fldCharType="begin"/>
      </w:r>
      <w:r w:rsidR="00702E16" w:rsidRPr="001E7007">
        <w:rPr>
          <w:rStyle w:val="CaptionChar"/>
        </w:rPr>
        <w:instrText xml:space="preserve"> SEQ Figure \* ARABIC \s 1 </w:instrText>
      </w:r>
      <w:r w:rsidR="00702E16" w:rsidRPr="001E7007">
        <w:rPr>
          <w:rStyle w:val="CaptionChar"/>
        </w:rPr>
        <w:fldChar w:fldCharType="separate"/>
      </w:r>
      <w:r w:rsidR="00614C30">
        <w:rPr>
          <w:rStyle w:val="CaptionChar"/>
          <w:noProof/>
        </w:rPr>
        <w:t>3</w:t>
      </w:r>
      <w:r w:rsidR="00702E16" w:rsidRPr="001E7007">
        <w:rPr>
          <w:rStyle w:val="CaptionChar"/>
        </w:rPr>
        <w:fldChar w:fldCharType="end"/>
      </w:r>
      <w:bookmarkEnd w:id="63"/>
      <w:r w:rsidR="002A096D" w:rsidRPr="001E7007">
        <w:rPr>
          <w:rStyle w:val="CaptionChar"/>
        </w:rPr>
        <w:t xml:space="preserve">: </w:t>
      </w:r>
      <w:r w:rsidR="00F93F55" w:rsidRPr="001E7007">
        <w:rPr>
          <w:rStyle w:val="CaptionChar"/>
        </w:rPr>
        <w:t>S</w:t>
      </w:r>
      <w:r w:rsidR="002A096D" w:rsidRPr="001E7007">
        <w:rPr>
          <w:rStyle w:val="CaptionChar"/>
        </w:rPr>
        <w:t>pill</w:t>
      </w:r>
      <w:r w:rsidR="00F93F55" w:rsidRPr="001E7007">
        <w:rPr>
          <w:rStyle w:val="CaptionChar"/>
        </w:rPr>
        <w:t>age on a low-wind summer day, July 2, 2030</w:t>
      </w:r>
      <w:r w:rsidR="0052501A">
        <w:rPr>
          <w:rStyle w:val="CaptionChar"/>
        </w:rPr>
        <w:t xml:space="preserve"> (MW)</w:t>
      </w:r>
      <w:r w:rsidR="008D06BF">
        <w:rPr>
          <w:rStyle w:val="CaptionChar"/>
        </w:rPr>
        <w:t>.</w:t>
      </w:r>
      <w:bookmarkEnd w:id="64"/>
    </w:p>
    <w:p w14:paraId="5E598AF1" w14:textId="77777777" w:rsidR="00FA7BAA" w:rsidRDefault="00FA7BAA">
      <w:r>
        <w:t>Offshore wind</w:t>
      </w:r>
      <w:r w:rsidRPr="00FA7BAA">
        <w:t xml:space="preserve"> interconnected into </w:t>
      </w:r>
      <w:r>
        <w:t>the SEMA and RI subareas</w:t>
      </w:r>
      <w:r w:rsidRPr="00FA7BAA">
        <w:t xml:space="preserve"> was spilled due to either </w:t>
      </w:r>
      <w:r w:rsidR="00BA1DBF">
        <w:t xml:space="preserve">a </w:t>
      </w:r>
      <w:r w:rsidRPr="00FA7BAA">
        <w:t xml:space="preserve">constrained SEMA/RI </w:t>
      </w:r>
      <w:r w:rsidR="00CD31D1">
        <w:t>e</w:t>
      </w:r>
      <w:r w:rsidRPr="00FA7BAA">
        <w:t xml:space="preserve">xport interface or </w:t>
      </w:r>
      <w:r w:rsidR="00BA1DBF">
        <w:t>a</w:t>
      </w:r>
      <w:r w:rsidR="00EB34D6">
        <w:t xml:space="preserve"> systemwide</w:t>
      </w:r>
      <w:r w:rsidR="00BA1DBF">
        <w:t xml:space="preserve"> </w:t>
      </w:r>
      <w:r w:rsidRPr="00FA7BAA">
        <w:t>energy overs</w:t>
      </w:r>
      <w:r w:rsidRPr="0094163F">
        <w:t>upply</w:t>
      </w:r>
      <w:r w:rsidR="00FF3EB1" w:rsidRPr="0094163F">
        <w:t xml:space="preserve">. </w:t>
      </w:r>
      <w:r w:rsidR="00BC1670">
        <w:t>Increased e</w:t>
      </w:r>
      <w:r w:rsidRPr="00A56B91">
        <w:t xml:space="preserve">lectrification </w:t>
      </w:r>
      <w:r w:rsidR="008B626B" w:rsidRPr="00A56B91">
        <w:t>loads</w:t>
      </w:r>
      <w:r w:rsidR="00E45FAD" w:rsidRPr="00A56B91">
        <w:t xml:space="preserve"> and batteries</w:t>
      </w:r>
      <w:r w:rsidR="008B626B" w:rsidRPr="0094163F">
        <w:t xml:space="preserve"> in the Anbaric 10000_Sen s</w:t>
      </w:r>
      <w:r w:rsidRPr="0094163F">
        <w:t>cenario reduce</w:t>
      </w:r>
      <w:r w:rsidR="00036F5B" w:rsidRPr="00A56B91">
        <w:t>d</w:t>
      </w:r>
      <w:r w:rsidR="008B626B" w:rsidRPr="00A56B91">
        <w:t xml:space="preserve"> the amount of offshore wind</w:t>
      </w:r>
      <w:r w:rsidRPr="00A56B91">
        <w:t xml:space="preserve"> spilled due to constrained transmission by 0.17 TWh, which was approximately 10.1% of </w:t>
      </w:r>
      <w:r w:rsidR="00BC1670">
        <w:t xml:space="preserve">the </w:t>
      </w:r>
      <w:r w:rsidRPr="00A56B91">
        <w:t xml:space="preserve">total </w:t>
      </w:r>
      <w:r w:rsidR="008B626B" w:rsidRPr="00A56B91">
        <w:t xml:space="preserve">offshore wind spilled </w:t>
      </w:r>
      <w:r w:rsidR="00BC1670">
        <w:t xml:space="preserve">due to congestion of </w:t>
      </w:r>
      <w:r w:rsidR="008B626B" w:rsidRPr="00A56B91">
        <w:t>the SEMA/RI e</w:t>
      </w:r>
      <w:r w:rsidRPr="00A56B91">
        <w:t xml:space="preserve">xport interface </w:t>
      </w:r>
      <w:r w:rsidR="008B626B" w:rsidRPr="00A56B91">
        <w:t>in th</w:t>
      </w:r>
      <w:r w:rsidR="007459E0" w:rsidRPr="00A56B91">
        <w:t xml:space="preserve">is </w:t>
      </w:r>
      <w:r w:rsidR="008B626B" w:rsidRPr="0094163F">
        <w:t>s</w:t>
      </w:r>
      <w:r w:rsidRPr="00A56B91">
        <w:t>cenario</w:t>
      </w:r>
      <w:r w:rsidR="008B626B" w:rsidRPr="00A56B91">
        <w:t>.</w:t>
      </w:r>
      <w:r w:rsidR="00086C8C" w:rsidRPr="00A56B91">
        <w:rPr>
          <w:rStyle w:val="FootnoteReference"/>
        </w:rPr>
        <w:footnoteReference w:id="31"/>
      </w:r>
      <w:r w:rsidR="008B626B" w:rsidRPr="0094163F">
        <w:t xml:space="preserve"> </w:t>
      </w:r>
      <w:r w:rsidR="00BA1DBF" w:rsidRPr="0094163F">
        <w:rPr>
          <w:szCs w:val="20"/>
        </w:rPr>
        <w:fldChar w:fldCharType="begin"/>
      </w:r>
      <w:r w:rsidR="00BA1DBF" w:rsidRPr="00A56B91">
        <w:rPr>
          <w:szCs w:val="20"/>
        </w:rPr>
        <w:instrText xml:space="preserve"> REF _Ref49248073 \h  \* MERGEFORMAT </w:instrText>
      </w:r>
      <w:r w:rsidR="00BA1DBF" w:rsidRPr="0094163F">
        <w:rPr>
          <w:szCs w:val="20"/>
        </w:rPr>
      </w:r>
      <w:r w:rsidR="00BA1DBF" w:rsidRPr="0094163F">
        <w:rPr>
          <w:szCs w:val="20"/>
        </w:rPr>
        <w:fldChar w:fldCharType="separate"/>
      </w:r>
      <w:r w:rsidR="00E76F3A" w:rsidRPr="00E76F3A">
        <w:rPr>
          <w:szCs w:val="20"/>
        </w:rPr>
        <w:t xml:space="preserve">Figure </w:t>
      </w:r>
      <w:r w:rsidR="00E76F3A" w:rsidRPr="00E76F3A">
        <w:rPr>
          <w:noProof/>
          <w:szCs w:val="20"/>
        </w:rPr>
        <w:t>5</w:t>
      </w:r>
      <w:r w:rsidR="00E76F3A" w:rsidRPr="00E76F3A">
        <w:rPr>
          <w:noProof/>
          <w:szCs w:val="20"/>
        </w:rPr>
        <w:noBreakHyphen/>
        <w:t>4</w:t>
      </w:r>
      <w:r w:rsidR="00BA1DBF" w:rsidRPr="0094163F">
        <w:rPr>
          <w:szCs w:val="20"/>
        </w:rPr>
        <w:fldChar w:fldCharType="end"/>
      </w:r>
      <w:r w:rsidR="0097484B">
        <w:rPr>
          <w:szCs w:val="20"/>
        </w:rPr>
        <w:t xml:space="preserve"> </w:t>
      </w:r>
      <w:r w:rsidR="008B626B">
        <w:t>show</w:t>
      </w:r>
      <w:r w:rsidR="00BA1DBF">
        <w:t>s</w:t>
      </w:r>
      <w:r w:rsidR="008B626B">
        <w:t xml:space="preserve"> how much offshore wind was spilled due to transmission constraints </w:t>
      </w:r>
      <w:r w:rsidR="00BA1DBF">
        <w:t xml:space="preserve">compared with </w:t>
      </w:r>
      <w:r w:rsidR="008B626B">
        <w:t>oversupply for the Anbaric 10000 and Anbar</w:t>
      </w:r>
      <w:r w:rsidR="008B626B" w:rsidRPr="00B02765">
        <w:t xml:space="preserve">ic </w:t>
      </w:r>
      <w:r w:rsidR="008B626B" w:rsidRPr="00F22055">
        <w:t>10000_Sen sce</w:t>
      </w:r>
      <w:r w:rsidR="008B626B" w:rsidRPr="00FA7BAA">
        <w:t>nario</w:t>
      </w:r>
      <w:r w:rsidR="008B626B">
        <w:t>s, respectively.</w:t>
      </w:r>
    </w:p>
    <w:p w14:paraId="2C3420BC" w14:textId="77777777" w:rsidR="00212F35" w:rsidRPr="00C274BE" w:rsidRDefault="00212F35" w:rsidP="00CB36C3">
      <w:pPr>
        <w:keepNext/>
        <w:keepLines/>
        <w:spacing w:after="0" w:line="240" w:lineRule="auto"/>
        <w:jc w:val="center"/>
      </w:pPr>
      <w:r w:rsidRPr="0053728E">
        <w:rPr>
          <w:noProof/>
        </w:rPr>
        <w:drawing>
          <wp:inline distT="0" distB="0" distL="0" distR="0" wp14:anchorId="2849B540" wp14:editId="2EBB31A4">
            <wp:extent cx="4327984" cy="2798355"/>
            <wp:effectExtent l="19050" t="19050" r="15875" b="215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50795" cy="2813104"/>
                    </a:xfrm>
                    <a:prstGeom prst="rect">
                      <a:avLst/>
                    </a:prstGeom>
                    <a:noFill/>
                    <a:ln w="3175">
                      <a:solidFill>
                        <a:srgbClr val="000000"/>
                      </a:solidFill>
                    </a:ln>
                  </pic:spPr>
                </pic:pic>
              </a:graphicData>
            </a:graphic>
          </wp:inline>
        </w:drawing>
      </w:r>
    </w:p>
    <w:p w14:paraId="66D89653" w14:textId="77777777" w:rsidR="00702E16" w:rsidRDefault="00BA1DBF" w:rsidP="00CB36C3">
      <w:pPr>
        <w:pStyle w:val="Caption"/>
        <w:spacing w:before="120" w:after="240"/>
        <w:ind w:left="1260" w:right="1170"/>
        <w:rPr>
          <w:rFonts w:asciiTheme="majorHAnsi" w:hAnsiTheme="majorHAnsi" w:cstheme="majorHAnsi"/>
        </w:rPr>
      </w:pPr>
      <w:bookmarkStart w:id="65" w:name="_Ref49248073"/>
      <w:bookmarkStart w:id="66" w:name="_Toc52533811"/>
      <w:r w:rsidRPr="00F0617A">
        <w:rPr>
          <w:rFonts w:asciiTheme="majorHAnsi" w:hAnsiTheme="majorHAnsi" w:cstheme="majorHAnsi"/>
        </w:rPr>
        <w:t xml:space="preserve">Figure </w:t>
      </w:r>
      <w:r w:rsidR="00702E16" w:rsidRPr="00F0617A">
        <w:rPr>
          <w:rFonts w:asciiTheme="majorHAnsi" w:hAnsiTheme="majorHAnsi" w:cstheme="majorHAnsi"/>
        </w:rPr>
        <w:fldChar w:fldCharType="begin"/>
      </w:r>
      <w:r w:rsidR="00702E16" w:rsidRPr="00F0617A">
        <w:rPr>
          <w:rFonts w:asciiTheme="majorHAnsi" w:hAnsiTheme="majorHAnsi" w:cstheme="majorHAnsi"/>
        </w:rPr>
        <w:instrText xml:space="preserve"> STYLEREF 1 \s </w:instrText>
      </w:r>
      <w:r w:rsidR="00702E16" w:rsidRPr="00F0617A">
        <w:rPr>
          <w:rFonts w:asciiTheme="majorHAnsi" w:hAnsiTheme="majorHAnsi" w:cstheme="majorHAnsi"/>
        </w:rPr>
        <w:fldChar w:fldCharType="separate"/>
      </w:r>
      <w:r w:rsidR="00614C30">
        <w:rPr>
          <w:rFonts w:asciiTheme="majorHAnsi" w:hAnsiTheme="majorHAnsi" w:cstheme="majorHAnsi"/>
          <w:noProof/>
        </w:rPr>
        <w:t>5</w:t>
      </w:r>
      <w:r w:rsidR="00702E16" w:rsidRPr="00F0617A">
        <w:rPr>
          <w:rFonts w:asciiTheme="majorHAnsi" w:hAnsiTheme="majorHAnsi" w:cstheme="majorHAnsi"/>
        </w:rPr>
        <w:fldChar w:fldCharType="end"/>
      </w:r>
      <w:r w:rsidR="00702E16" w:rsidRPr="00F0617A">
        <w:rPr>
          <w:rFonts w:asciiTheme="majorHAnsi" w:hAnsiTheme="majorHAnsi" w:cstheme="majorHAnsi"/>
        </w:rPr>
        <w:noBreakHyphen/>
      </w:r>
      <w:r w:rsidR="00702E16" w:rsidRPr="00F0617A">
        <w:rPr>
          <w:rFonts w:asciiTheme="majorHAnsi" w:hAnsiTheme="majorHAnsi" w:cstheme="majorHAnsi"/>
        </w:rPr>
        <w:fldChar w:fldCharType="begin"/>
      </w:r>
      <w:r w:rsidR="00702E16" w:rsidRPr="00F0617A">
        <w:rPr>
          <w:rFonts w:asciiTheme="majorHAnsi" w:hAnsiTheme="majorHAnsi" w:cstheme="majorHAnsi"/>
        </w:rPr>
        <w:instrText xml:space="preserve"> SEQ Figure \* ARABIC \s 1 </w:instrText>
      </w:r>
      <w:r w:rsidR="00702E16" w:rsidRPr="00F0617A">
        <w:rPr>
          <w:rFonts w:asciiTheme="majorHAnsi" w:hAnsiTheme="majorHAnsi" w:cstheme="majorHAnsi"/>
        </w:rPr>
        <w:fldChar w:fldCharType="separate"/>
      </w:r>
      <w:r w:rsidR="00614C30">
        <w:rPr>
          <w:rFonts w:asciiTheme="majorHAnsi" w:hAnsiTheme="majorHAnsi" w:cstheme="majorHAnsi"/>
          <w:noProof/>
        </w:rPr>
        <w:t>4</w:t>
      </w:r>
      <w:r w:rsidR="00702E16" w:rsidRPr="00F0617A">
        <w:rPr>
          <w:rFonts w:asciiTheme="majorHAnsi" w:hAnsiTheme="majorHAnsi" w:cstheme="majorHAnsi"/>
        </w:rPr>
        <w:fldChar w:fldCharType="end"/>
      </w:r>
      <w:bookmarkEnd w:id="65"/>
      <w:r w:rsidR="008B626B" w:rsidRPr="00F0617A">
        <w:rPr>
          <w:rFonts w:asciiTheme="majorHAnsi" w:hAnsiTheme="majorHAnsi" w:cstheme="majorHAnsi"/>
        </w:rPr>
        <w:t xml:space="preserve">: </w:t>
      </w:r>
      <w:r w:rsidRPr="00F0617A">
        <w:rPr>
          <w:rFonts w:asciiTheme="majorHAnsi" w:hAnsiTheme="majorHAnsi" w:cstheme="majorHAnsi"/>
        </w:rPr>
        <w:t xml:space="preserve">Spilled offshore wind for the </w:t>
      </w:r>
      <w:r w:rsidR="008B626B" w:rsidRPr="00F0617A">
        <w:rPr>
          <w:rFonts w:asciiTheme="majorHAnsi" w:hAnsiTheme="majorHAnsi" w:cstheme="majorHAnsi"/>
        </w:rPr>
        <w:t xml:space="preserve">Anbaric 10000 </w:t>
      </w:r>
      <w:r w:rsidRPr="00F0617A">
        <w:rPr>
          <w:rFonts w:asciiTheme="majorHAnsi" w:hAnsiTheme="majorHAnsi" w:cstheme="majorHAnsi"/>
        </w:rPr>
        <w:t>and 10000</w:t>
      </w:r>
      <w:r w:rsidR="00B02765" w:rsidRPr="00F0617A">
        <w:rPr>
          <w:rFonts w:asciiTheme="majorHAnsi" w:hAnsiTheme="majorHAnsi" w:cstheme="majorHAnsi"/>
        </w:rPr>
        <w:t>_</w:t>
      </w:r>
      <w:r w:rsidRPr="00F0617A">
        <w:rPr>
          <w:rFonts w:asciiTheme="majorHAnsi" w:hAnsiTheme="majorHAnsi" w:cstheme="majorHAnsi"/>
        </w:rPr>
        <w:t>Sen scenarios</w:t>
      </w:r>
      <w:r w:rsidR="008B626B" w:rsidRPr="00F0617A">
        <w:rPr>
          <w:rFonts w:asciiTheme="majorHAnsi" w:hAnsiTheme="majorHAnsi" w:cstheme="majorHAnsi"/>
        </w:rPr>
        <w:t xml:space="preserve">, </w:t>
      </w:r>
      <w:r w:rsidRPr="00F0617A">
        <w:rPr>
          <w:rFonts w:asciiTheme="majorHAnsi" w:hAnsiTheme="majorHAnsi" w:cstheme="majorHAnsi"/>
        </w:rPr>
        <w:t>c</w:t>
      </w:r>
      <w:r w:rsidR="008B626B" w:rsidRPr="00F0617A">
        <w:rPr>
          <w:rFonts w:asciiTheme="majorHAnsi" w:hAnsiTheme="majorHAnsi" w:cstheme="majorHAnsi"/>
        </w:rPr>
        <w:t xml:space="preserve">onstrained </w:t>
      </w:r>
      <w:r w:rsidRPr="00F0617A">
        <w:rPr>
          <w:rFonts w:asciiTheme="majorHAnsi" w:hAnsiTheme="majorHAnsi" w:cstheme="majorHAnsi"/>
        </w:rPr>
        <w:t>t</w:t>
      </w:r>
      <w:r w:rsidR="008B626B" w:rsidRPr="00F0617A">
        <w:rPr>
          <w:rFonts w:asciiTheme="majorHAnsi" w:hAnsiTheme="majorHAnsi" w:cstheme="majorHAnsi"/>
        </w:rPr>
        <w:t>ransmission</w:t>
      </w:r>
      <w:r w:rsidRPr="00F0617A">
        <w:rPr>
          <w:rFonts w:asciiTheme="majorHAnsi" w:hAnsiTheme="majorHAnsi" w:cstheme="majorHAnsi"/>
        </w:rPr>
        <w:t>.</w:t>
      </w:r>
      <w:bookmarkEnd w:id="66"/>
      <w:r w:rsidR="005C10D2">
        <w:rPr>
          <w:rFonts w:asciiTheme="majorHAnsi" w:hAnsiTheme="majorHAnsi" w:cstheme="majorHAnsi"/>
        </w:rPr>
        <w:t xml:space="preserve"> </w:t>
      </w:r>
    </w:p>
    <w:p w14:paraId="1E0BD9AD" w14:textId="77777777" w:rsidR="00B46E4F" w:rsidRPr="00403A28" w:rsidRDefault="00B46E4F" w:rsidP="00702E16">
      <w:pPr>
        <w:pStyle w:val="Heading2"/>
      </w:pPr>
      <w:bookmarkStart w:id="67" w:name="_Toc52533799"/>
      <w:r w:rsidRPr="00403A28">
        <w:t xml:space="preserve">Systemwide </w:t>
      </w:r>
      <w:r w:rsidR="0069454B" w:rsidRPr="00403A28">
        <w:t>P</w:t>
      </w:r>
      <w:r w:rsidRPr="00403A28">
        <w:t xml:space="preserve">roduction </w:t>
      </w:r>
      <w:r w:rsidR="0069454B" w:rsidRPr="00403A28">
        <w:t>C</w:t>
      </w:r>
      <w:r w:rsidRPr="00403A28">
        <w:t>osts</w:t>
      </w:r>
      <w:bookmarkEnd w:id="67"/>
    </w:p>
    <w:p w14:paraId="47AA8E6D" w14:textId="77777777" w:rsidR="003E4526" w:rsidRDefault="00521F94" w:rsidP="006F7FF1">
      <w:r w:rsidRPr="00403A28">
        <w:t>Pro</w:t>
      </w:r>
      <w:r w:rsidRPr="00EF409C">
        <w:t>duction costs reflect operating costs (which account for fuel-related costs), dispatch and unit commit</w:t>
      </w:r>
      <w:r w:rsidRPr="00DD60C7">
        <w:t xml:space="preserve">ment, and emission allowances. </w:t>
      </w:r>
      <w:r w:rsidR="003E4526" w:rsidRPr="00DD60C7">
        <w:t>N</w:t>
      </w:r>
      <w:r w:rsidR="003E4526">
        <w:t xml:space="preserve">atural gas consumption, and to a lesser extent other fossil fuels, drive production costs. </w:t>
      </w:r>
    </w:p>
    <w:p w14:paraId="7526B77F" w14:textId="77777777" w:rsidR="00C55711" w:rsidRDefault="000713C5" w:rsidP="000713C5">
      <w:r w:rsidRPr="004C4881">
        <w:t xml:space="preserve">In general, as offshore wind energy increases across the scenarios, production costs decrease, as shown in </w:t>
      </w:r>
      <w:r w:rsidRPr="004C4881">
        <w:fldChar w:fldCharType="begin"/>
      </w:r>
      <w:r w:rsidRPr="004C4881">
        <w:instrText xml:space="preserve"> REF _Ref42673342 \h  \* MERGEFORMAT </w:instrText>
      </w:r>
      <w:r w:rsidRPr="004C4881">
        <w:fldChar w:fldCharType="separate"/>
      </w:r>
      <w:r w:rsidR="00E76F3A" w:rsidRPr="00A56B91">
        <w:t xml:space="preserve">Figure </w:t>
      </w:r>
      <w:r w:rsidR="00E76F3A">
        <w:rPr>
          <w:noProof/>
        </w:rPr>
        <w:t>5</w:t>
      </w:r>
      <w:r w:rsidR="00E76F3A" w:rsidRPr="00A56B91">
        <w:rPr>
          <w:noProof/>
        </w:rPr>
        <w:noBreakHyphen/>
      </w:r>
      <w:r w:rsidR="00E76F3A">
        <w:rPr>
          <w:noProof/>
        </w:rPr>
        <w:t>5</w:t>
      </w:r>
      <w:r w:rsidRPr="004C4881">
        <w:fldChar w:fldCharType="end"/>
      </w:r>
      <w:r w:rsidRPr="004C4881">
        <w:t>.</w:t>
      </w:r>
      <w:r w:rsidRPr="004C4881">
        <w:rPr>
          <w:b/>
        </w:rPr>
        <w:t xml:space="preserve"> </w:t>
      </w:r>
      <w:r w:rsidRPr="00277F7A">
        <w:t xml:space="preserve">The addition of 8,000 MW </w:t>
      </w:r>
      <w:r w:rsidR="00086C8C" w:rsidRPr="00277F7A">
        <w:t>offshore wind</w:t>
      </w:r>
      <w:r w:rsidRPr="00277F7A">
        <w:t xml:space="preserve"> decreases systemwide production costs to approximate</w:t>
      </w:r>
      <w:r w:rsidR="004C4881" w:rsidRPr="00277F7A">
        <w:t xml:space="preserve">ly half the reference </w:t>
      </w:r>
      <w:r w:rsidR="00616756" w:rsidRPr="00277F7A">
        <w:t xml:space="preserve">scenario </w:t>
      </w:r>
      <w:r w:rsidR="004C4881" w:rsidRPr="00277F7A">
        <w:t>(0 MW of new offshore wind</w:t>
      </w:r>
      <w:r w:rsidRPr="00277F7A">
        <w:t xml:space="preserve">). </w:t>
      </w:r>
      <w:r w:rsidRPr="000713C5">
        <w:t xml:space="preserve">However, the </w:t>
      </w:r>
      <w:r w:rsidR="00E87C63">
        <w:t>additional</w:t>
      </w:r>
      <w:r w:rsidRPr="000713C5">
        <w:t xml:space="preserve"> production costs savings are less than $100 </w:t>
      </w:r>
      <w:r w:rsidR="00616756">
        <w:t>m</w:t>
      </w:r>
      <w:r w:rsidRPr="000713C5">
        <w:t xml:space="preserve">illion </w:t>
      </w:r>
      <w:r w:rsidR="00E87C63">
        <w:t>for</w:t>
      </w:r>
      <w:r w:rsidRPr="000713C5">
        <w:t xml:space="preserve"> eac</w:t>
      </w:r>
      <w:r w:rsidR="004C4881">
        <w:t xml:space="preserve">h 2,000 MW </w:t>
      </w:r>
      <w:r w:rsidR="00E87C63">
        <w:t xml:space="preserve">increment </w:t>
      </w:r>
      <w:r w:rsidR="004C4881">
        <w:t>of offshore wind</w:t>
      </w:r>
      <w:r w:rsidR="00E87C63">
        <w:t xml:space="preserve"> above 8,000 MW</w:t>
      </w:r>
      <w:r w:rsidR="00616756">
        <w:t>,</w:t>
      </w:r>
      <w:r w:rsidRPr="000713C5">
        <w:t xml:space="preserve"> as seen in the 10</w:t>
      </w:r>
      <w:r w:rsidR="004C4881">
        <w:t>,</w:t>
      </w:r>
      <w:r w:rsidRPr="000713C5">
        <w:t>000 MW and 12</w:t>
      </w:r>
      <w:r w:rsidR="004C4881">
        <w:t>,</w:t>
      </w:r>
      <w:r w:rsidRPr="000713C5">
        <w:t xml:space="preserve">000 MW </w:t>
      </w:r>
      <w:r w:rsidR="004C4881">
        <w:t>offshore wind</w:t>
      </w:r>
      <w:r w:rsidRPr="000713C5">
        <w:t xml:space="preserve"> scenarios. </w:t>
      </w:r>
    </w:p>
    <w:p w14:paraId="695A8369" w14:textId="77777777" w:rsidR="00C55711" w:rsidRDefault="00C55711" w:rsidP="007801D2">
      <w:pPr>
        <w:spacing w:after="0" w:line="240" w:lineRule="auto"/>
        <w:jc w:val="center"/>
      </w:pPr>
      <w:r w:rsidRPr="00C55711">
        <w:rPr>
          <w:noProof/>
        </w:rPr>
        <w:drawing>
          <wp:inline distT="0" distB="0" distL="0" distR="0" wp14:anchorId="5E6C2ECD" wp14:editId="774C6096">
            <wp:extent cx="4338402" cy="2550160"/>
            <wp:effectExtent l="19050" t="19050" r="24130" b="215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65404" cy="2566032"/>
                    </a:xfrm>
                    <a:prstGeom prst="rect">
                      <a:avLst/>
                    </a:prstGeom>
                    <a:noFill/>
                    <a:ln w="3175">
                      <a:solidFill>
                        <a:srgbClr val="000000"/>
                      </a:solidFill>
                    </a:ln>
                  </pic:spPr>
                </pic:pic>
              </a:graphicData>
            </a:graphic>
          </wp:inline>
        </w:drawing>
      </w:r>
    </w:p>
    <w:p w14:paraId="50705226" w14:textId="77777777" w:rsidR="003C1BF9" w:rsidRDefault="003C1BF9" w:rsidP="00A56B91">
      <w:pPr>
        <w:pStyle w:val="Caption"/>
        <w:keepNext w:val="0"/>
        <w:keepLines w:val="0"/>
        <w:tabs>
          <w:tab w:val="clear" w:pos="1260"/>
          <w:tab w:val="left" w:pos="1530"/>
        </w:tabs>
        <w:spacing w:before="120" w:after="240"/>
        <w:ind w:left="1530" w:hanging="270"/>
      </w:pPr>
      <w:bookmarkStart w:id="68" w:name="_Ref42673342"/>
      <w:bookmarkStart w:id="69" w:name="_Toc52533812"/>
      <w:r w:rsidRPr="00A56B91">
        <w:t xml:space="preserve">Figure </w:t>
      </w:r>
      <w:r w:rsidR="000D5F76">
        <w:fldChar w:fldCharType="begin"/>
      </w:r>
      <w:r w:rsidR="000D5F76">
        <w:instrText xml:space="preserve"> STYLEREF 1 \s </w:instrText>
      </w:r>
      <w:r w:rsidR="000D5F76">
        <w:fldChar w:fldCharType="separate"/>
      </w:r>
      <w:r w:rsidR="00614C30">
        <w:rPr>
          <w:noProof/>
        </w:rPr>
        <w:t>5</w:t>
      </w:r>
      <w:r w:rsidR="000D5F76">
        <w:rPr>
          <w:noProof/>
        </w:rPr>
        <w:fldChar w:fldCharType="end"/>
      </w:r>
      <w:r w:rsidR="00702E16" w:rsidRPr="00A56B91">
        <w:noBreakHyphen/>
      </w:r>
      <w:r w:rsidR="000D5F76">
        <w:fldChar w:fldCharType="begin"/>
      </w:r>
      <w:r w:rsidR="000D5F76">
        <w:instrText xml:space="preserve"> SEQ Figure \* ARABIC \s 1 </w:instrText>
      </w:r>
      <w:r w:rsidR="000D5F76">
        <w:fldChar w:fldCharType="separate"/>
      </w:r>
      <w:r w:rsidR="00614C30">
        <w:rPr>
          <w:noProof/>
        </w:rPr>
        <w:t>5</w:t>
      </w:r>
      <w:r w:rsidR="000D5F76">
        <w:rPr>
          <w:noProof/>
        </w:rPr>
        <w:fldChar w:fldCharType="end"/>
      </w:r>
      <w:bookmarkEnd w:id="68"/>
      <w:r w:rsidRPr="00A56B91">
        <w:t xml:space="preserve">: Systemwide production costs ($ </w:t>
      </w:r>
      <w:r w:rsidR="00474A37" w:rsidRPr="00A56B91">
        <w:t>m</w:t>
      </w:r>
      <w:r w:rsidRPr="00A56B91">
        <w:t>illion)</w:t>
      </w:r>
      <w:r w:rsidR="00FF3EB1" w:rsidRPr="00A56B91">
        <w:t>.</w:t>
      </w:r>
      <w:bookmarkEnd w:id="69"/>
      <w:r w:rsidR="00FF3EB1">
        <w:t xml:space="preserve"> </w:t>
      </w:r>
    </w:p>
    <w:p w14:paraId="000C5114" w14:textId="77777777" w:rsidR="00F45227" w:rsidRDefault="003724C2" w:rsidP="0097484B">
      <w:r w:rsidRPr="0005623C">
        <w:fldChar w:fldCharType="begin"/>
      </w:r>
      <w:r w:rsidRPr="00A7517A">
        <w:instrText xml:space="preserve"> REF _Ref42674853 \h </w:instrText>
      </w:r>
      <w:r w:rsidRPr="006132F4">
        <w:instrText xml:space="preserve"> \* MERGEFORMAT </w:instrText>
      </w:r>
      <w:r w:rsidRPr="0005623C">
        <w:fldChar w:fldCharType="separate"/>
      </w:r>
      <w:r w:rsidR="00E76F3A" w:rsidRPr="003724C2">
        <w:t xml:space="preserve">Table </w:t>
      </w:r>
      <w:r w:rsidR="00E76F3A">
        <w:rPr>
          <w:noProof/>
        </w:rPr>
        <w:t>5</w:t>
      </w:r>
      <w:r w:rsidR="00E76F3A">
        <w:rPr>
          <w:noProof/>
        </w:rPr>
        <w:noBreakHyphen/>
        <w:t>2</w:t>
      </w:r>
      <w:r w:rsidRPr="0005623C">
        <w:fldChar w:fldCharType="end"/>
      </w:r>
      <w:r w:rsidR="00521F94" w:rsidRPr="00A7517A">
        <w:rPr>
          <w:color w:val="FF0000"/>
        </w:rPr>
        <w:t xml:space="preserve"> </w:t>
      </w:r>
      <w:r w:rsidR="004C4881">
        <w:t>illustrate</w:t>
      </w:r>
      <w:r w:rsidR="00521F94">
        <w:t>s</w:t>
      </w:r>
      <w:r w:rsidR="00521F94" w:rsidRPr="00EF409C">
        <w:t xml:space="preserve"> the system </w:t>
      </w:r>
      <w:r w:rsidR="00086C8C">
        <w:t xml:space="preserve">terawatt-hour </w:t>
      </w:r>
      <w:r w:rsidR="00521F94" w:rsidRPr="00EF409C">
        <w:t xml:space="preserve">production </w:t>
      </w:r>
      <w:r w:rsidR="00494C19">
        <w:t xml:space="preserve">by fuel type </w:t>
      </w:r>
      <w:r w:rsidR="00521F94" w:rsidRPr="00EF409C">
        <w:t>for the unconstrained and constrained system</w:t>
      </w:r>
      <w:r w:rsidR="00616756">
        <w:t>s</w:t>
      </w:r>
      <w:r w:rsidR="00521F94" w:rsidRPr="00EF409C">
        <w:t xml:space="preserve"> for </w:t>
      </w:r>
      <w:r w:rsidR="00521F94">
        <w:t>the</w:t>
      </w:r>
      <w:r w:rsidR="00521F94" w:rsidRPr="00EF409C">
        <w:t xml:space="preserve"> </w:t>
      </w:r>
      <w:r w:rsidR="00E06358">
        <w:t xml:space="preserve">2030 </w:t>
      </w:r>
      <w:r w:rsidR="00521F94" w:rsidRPr="00EF409C">
        <w:t>study year</w:t>
      </w:r>
      <w:r w:rsidR="00C06F83" w:rsidRPr="00C06F83">
        <w:t xml:space="preserve"> </w:t>
      </w:r>
      <w:r w:rsidR="00C06F83">
        <w:t>(r</w:t>
      </w:r>
      <w:r w:rsidR="00C06F83" w:rsidRPr="00C06F83">
        <w:t xml:space="preserve">efer to Section </w:t>
      </w:r>
      <w:r w:rsidR="00E76F3A">
        <w:fldChar w:fldCharType="begin"/>
      </w:r>
      <w:r w:rsidR="00E76F3A">
        <w:instrText xml:space="preserve"> REF _Ref42679720 \w \h </w:instrText>
      </w:r>
      <w:r w:rsidR="00E76F3A">
        <w:fldChar w:fldCharType="separate"/>
      </w:r>
      <w:r w:rsidR="00E76F3A">
        <w:t>4.2.1</w:t>
      </w:r>
      <w:r w:rsidR="00E76F3A">
        <w:fldChar w:fldCharType="end"/>
      </w:r>
      <w:r w:rsidR="00C06F83">
        <w:t>)</w:t>
      </w:r>
      <w:r w:rsidR="00521F94" w:rsidRPr="00EF409C">
        <w:t>.</w:t>
      </w:r>
      <w:r w:rsidR="006F1B33">
        <w:rPr>
          <w:rStyle w:val="FootnoteReference"/>
        </w:rPr>
        <w:footnoteReference w:id="32"/>
      </w:r>
      <w:r w:rsidR="006F1B33">
        <w:t xml:space="preserve"> </w:t>
      </w:r>
    </w:p>
    <w:p w14:paraId="738F1480" w14:textId="77777777" w:rsidR="00F47812" w:rsidRDefault="003724C2" w:rsidP="00F16A8C">
      <w:pPr>
        <w:pStyle w:val="Caption"/>
        <w:jc w:val="center"/>
        <w:rPr>
          <w:iCs/>
        </w:rPr>
      </w:pPr>
      <w:bookmarkStart w:id="70" w:name="_Ref42674853"/>
      <w:bookmarkStart w:id="71" w:name="_Toc52533823"/>
      <w:r w:rsidRPr="003724C2">
        <w:t xml:space="preserve">Table </w:t>
      </w:r>
      <w:r w:rsidR="000D5F76">
        <w:fldChar w:fldCharType="begin"/>
      </w:r>
      <w:r w:rsidR="000D5F76">
        <w:instrText xml:space="preserve"> STYLEREF 1 \s </w:instrText>
      </w:r>
      <w:r w:rsidR="000D5F76">
        <w:fldChar w:fldCharType="separate"/>
      </w:r>
      <w:r w:rsidR="00614C30">
        <w:rPr>
          <w:noProof/>
        </w:rPr>
        <w:t>5</w:t>
      </w:r>
      <w:r w:rsidR="000D5F76">
        <w:rPr>
          <w:noProof/>
        </w:rPr>
        <w:fldChar w:fldCharType="end"/>
      </w:r>
      <w:r w:rsidR="00D7214A">
        <w:noBreakHyphen/>
      </w:r>
      <w:r w:rsidR="000D5F76">
        <w:fldChar w:fldCharType="begin"/>
      </w:r>
      <w:r w:rsidR="000D5F76">
        <w:instrText xml:space="preserve"> SEQ Table \* ARABIC \s 1 </w:instrText>
      </w:r>
      <w:r w:rsidR="000D5F76">
        <w:fldChar w:fldCharType="separate"/>
      </w:r>
      <w:r w:rsidR="00614C30">
        <w:rPr>
          <w:noProof/>
        </w:rPr>
        <w:t>2</w:t>
      </w:r>
      <w:r w:rsidR="000D5F76">
        <w:rPr>
          <w:noProof/>
        </w:rPr>
        <w:fldChar w:fldCharType="end"/>
      </w:r>
      <w:bookmarkEnd w:id="70"/>
      <w:r w:rsidRPr="003724C2">
        <w:br/>
      </w:r>
      <w:r w:rsidR="000E66CA" w:rsidRPr="003724C2">
        <w:t>Total Systemwide Prod</w:t>
      </w:r>
      <w:r w:rsidR="00E06358" w:rsidRPr="003724C2">
        <w:t xml:space="preserve">uction by Fuel Type (TWh) </w:t>
      </w:r>
      <w:r w:rsidR="000E66CA" w:rsidRPr="003724C2">
        <w:br/>
      </w:r>
      <w:r w:rsidR="000E66CA" w:rsidRPr="003724C2">
        <w:rPr>
          <w:iCs/>
        </w:rPr>
        <w:t xml:space="preserve">Constrained </w:t>
      </w:r>
      <w:r w:rsidR="00E06358" w:rsidRPr="003724C2">
        <w:rPr>
          <w:iCs/>
        </w:rPr>
        <w:t xml:space="preserve">(Cstr.) </w:t>
      </w:r>
      <w:r w:rsidR="000E66CA" w:rsidRPr="003724C2">
        <w:rPr>
          <w:iCs/>
        </w:rPr>
        <w:t xml:space="preserve">and Unconstrained </w:t>
      </w:r>
      <w:r w:rsidR="00E06358" w:rsidRPr="003724C2">
        <w:rPr>
          <w:iCs/>
        </w:rPr>
        <w:t xml:space="preserve">(Uncstr.) </w:t>
      </w:r>
      <w:r w:rsidR="000E66CA" w:rsidRPr="003724C2">
        <w:rPr>
          <w:iCs/>
        </w:rPr>
        <w:t>Transmission</w:t>
      </w:r>
      <w:bookmarkEnd w:id="71"/>
    </w:p>
    <w:tbl>
      <w:tblPr>
        <w:tblStyle w:val="TableGrid1"/>
        <w:tblW w:w="1070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87"/>
        <w:gridCol w:w="882"/>
        <w:gridCol w:w="882"/>
        <w:gridCol w:w="882"/>
        <w:gridCol w:w="882"/>
        <w:gridCol w:w="882"/>
        <w:gridCol w:w="882"/>
        <w:gridCol w:w="882"/>
        <w:gridCol w:w="882"/>
        <w:gridCol w:w="882"/>
        <w:gridCol w:w="882"/>
      </w:tblGrid>
      <w:tr w:rsidR="00FC39F0" w:rsidRPr="00FC39F0" w14:paraId="0DB9341B" w14:textId="77777777" w:rsidTr="00A16DB1">
        <w:trPr>
          <w:trHeight w:val="290"/>
          <w:jc w:val="center"/>
        </w:trPr>
        <w:tc>
          <w:tcPr>
            <w:tcW w:w="1887" w:type="dxa"/>
            <w:vMerge w:val="restart"/>
            <w:shd w:val="clear" w:color="auto" w:fill="1795D2" w:themeFill="accent1"/>
            <w:noWrap/>
            <w:vAlign w:val="center"/>
          </w:tcPr>
          <w:p w14:paraId="53126118" w14:textId="77777777" w:rsidR="00FC39F0" w:rsidRPr="00FC39F0" w:rsidRDefault="00FC39F0" w:rsidP="00FC39F0">
            <w:pPr>
              <w:adjustRightInd/>
              <w:spacing w:before="40" w:after="40" w:line="240" w:lineRule="auto"/>
              <w:jc w:val="center"/>
              <w:textAlignment w:val="auto"/>
              <w:rPr>
                <w:rFonts w:asciiTheme="majorHAnsi" w:hAnsiTheme="majorHAnsi" w:cstheme="majorHAnsi"/>
                <w:b/>
                <w:bCs/>
                <w:color w:val="FFFFFF" w:themeColor="background1"/>
                <w:sz w:val="18"/>
                <w:szCs w:val="18"/>
              </w:rPr>
            </w:pPr>
            <w:r w:rsidRPr="00FC39F0">
              <w:rPr>
                <w:rFonts w:asciiTheme="majorHAnsi" w:hAnsiTheme="majorHAnsi" w:cstheme="majorHAnsi"/>
                <w:b/>
                <w:bCs/>
                <w:color w:val="FFFFFF" w:themeColor="background1"/>
                <w:sz w:val="18"/>
                <w:szCs w:val="18"/>
              </w:rPr>
              <w:t>Fuel Type</w:t>
            </w:r>
          </w:p>
        </w:tc>
        <w:tc>
          <w:tcPr>
            <w:tcW w:w="8820" w:type="dxa"/>
            <w:gridSpan w:val="10"/>
            <w:shd w:val="clear" w:color="auto" w:fill="1795D2" w:themeFill="accent1"/>
            <w:noWrap/>
          </w:tcPr>
          <w:p w14:paraId="0323C13F" w14:textId="77777777" w:rsidR="00FC39F0" w:rsidRPr="00FC39F0" w:rsidRDefault="00FC39F0" w:rsidP="00FC39F0">
            <w:pPr>
              <w:adjustRightInd/>
              <w:spacing w:before="40" w:after="40" w:line="240" w:lineRule="auto"/>
              <w:jc w:val="center"/>
              <w:textAlignment w:val="auto"/>
              <w:rPr>
                <w:rFonts w:asciiTheme="majorHAnsi" w:hAnsiTheme="majorHAnsi" w:cstheme="majorHAnsi"/>
                <w:b/>
                <w:bCs/>
                <w:color w:val="FFFFFF" w:themeColor="background1"/>
                <w:sz w:val="18"/>
                <w:szCs w:val="18"/>
              </w:rPr>
            </w:pPr>
            <w:r w:rsidRPr="00FC39F0">
              <w:rPr>
                <w:rFonts w:asciiTheme="majorHAnsi" w:hAnsiTheme="majorHAnsi" w:cstheme="majorHAnsi"/>
                <w:b/>
                <w:bCs/>
                <w:color w:val="FFFFFF" w:themeColor="background1"/>
                <w:sz w:val="18"/>
                <w:szCs w:val="18"/>
              </w:rPr>
              <w:t>Scenario</w:t>
            </w:r>
          </w:p>
        </w:tc>
      </w:tr>
      <w:tr w:rsidR="00FC39F0" w:rsidRPr="00FC39F0" w14:paraId="2599E9ED" w14:textId="77777777" w:rsidTr="00A16DB1">
        <w:trPr>
          <w:trHeight w:val="290"/>
          <w:jc w:val="center"/>
        </w:trPr>
        <w:tc>
          <w:tcPr>
            <w:tcW w:w="1887" w:type="dxa"/>
            <w:vMerge/>
            <w:shd w:val="clear" w:color="auto" w:fill="1795D2" w:themeFill="accent1"/>
            <w:noWrap/>
            <w:hideMark/>
          </w:tcPr>
          <w:p w14:paraId="1510955A" w14:textId="77777777" w:rsidR="00FC39F0" w:rsidRPr="00FC39F0" w:rsidRDefault="00FC39F0" w:rsidP="00FC39F0">
            <w:pPr>
              <w:adjustRightInd/>
              <w:spacing w:before="40" w:after="40" w:line="240" w:lineRule="auto"/>
              <w:jc w:val="center"/>
              <w:textAlignment w:val="auto"/>
              <w:rPr>
                <w:rFonts w:asciiTheme="majorHAnsi" w:hAnsiTheme="majorHAnsi" w:cstheme="majorHAnsi"/>
                <w:b/>
                <w:bCs/>
                <w:color w:val="FFFFFF" w:themeColor="background1"/>
                <w:sz w:val="18"/>
                <w:szCs w:val="18"/>
              </w:rPr>
            </w:pPr>
          </w:p>
        </w:tc>
        <w:tc>
          <w:tcPr>
            <w:tcW w:w="1764" w:type="dxa"/>
            <w:gridSpan w:val="2"/>
            <w:shd w:val="clear" w:color="auto" w:fill="1795D2" w:themeFill="accent1"/>
            <w:noWrap/>
            <w:hideMark/>
          </w:tcPr>
          <w:p w14:paraId="383E6840" w14:textId="77777777" w:rsidR="00FC39F0" w:rsidRPr="00FC39F0" w:rsidRDefault="00FC39F0" w:rsidP="00FC39F0">
            <w:pPr>
              <w:adjustRightInd/>
              <w:spacing w:before="40" w:after="40" w:line="240" w:lineRule="auto"/>
              <w:jc w:val="center"/>
              <w:textAlignment w:val="auto"/>
              <w:rPr>
                <w:rFonts w:asciiTheme="majorHAnsi" w:hAnsiTheme="majorHAnsi" w:cstheme="majorHAnsi"/>
                <w:b/>
                <w:bCs/>
                <w:color w:val="FFFFFF" w:themeColor="background1"/>
                <w:sz w:val="18"/>
                <w:szCs w:val="18"/>
              </w:rPr>
            </w:pPr>
            <w:r w:rsidRPr="00FC39F0">
              <w:rPr>
                <w:rFonts w:asciiTheme="majorHAnsi" w:hAnsiTheme="majorHAnsi" w:cstheme="majorHAnsi"/>
                <w:b/>
                <w:bCs/>
                <w:color w:val="FFFFFF" w:themeColor="background1"/>
                <w:sz w:val="18"/>
                <w:szCs w:val="18"/>
              </w:rPr>
              <w:t>0</w:t>
            </w:r>
          </w:p>
        </w:tc>
        <w:tc>
          <w:tcPr>
            <w:tcW w:w="1764" w:type="dxa"/>
            <w:gridSpan w:val="2"/>
            <w:shd w:val="clear" w:color="auto" w:fill="1795D2" w:themeFill="accent1"/>
            <w:noWrap/>
            <w:hideMark/>
          </w:tcPr>
          <w:p w14:paraId="4D322ED3" w14:textId="77777777" w:rsidR="00FC39F0" w:rsidRPr="00FC39F0" w:rsidRDefault="00FC39F0" w:rsidP="00FC39F0">
            <w:pPr>
              <w:adjustRightInd/>
              <w:spacing w:before="40" w:after="40" w:line="240" w:lineRule="auto"/>
              <w:jc w:val="center"/>
              <w:textAlignment w:val="auto"/>
              <w:rPr>
                <w:rFonts w:asciiTheme="majorHAnsi" w:hAnsiTheme="majorHAnsi" w:cstheme="majorHAnsi"/>
                <w:b/>
                <w:bCs/>
                <w:color w:val="FFFFFF" w:themeColor="background1"/>
                <w:sz w:val="18"/>
                <w:szCs w:val="18"/>
              </w:rPr>
            </w:pPr>
            <w:r w:rsidRPr="00FC39F0">
              <w:rPr>
                <w:rFonts w:asciiTheme="majorHAnsi" w:hAnsiTheme="majorHAnsi" w:cstheme="majorHAnsi"/>
                <w:b/>
                <w:bCs/>
                <w:color w:val="FFFFFF" w:themeColor="background1"/>
                <w:sz w:val="18"/>
                <w:szCs w:val="18"/>
              </w:rPr>
              <w:t>8000</w:t>
            </w:r>
          </w:p>
        </w:tc>
        <w:tc>
          <w:tcPr>
            <w:tcW w:w="1764" w:type="dxa"/>
            <w:gridSpan w:val="2"/>
            <w:shd w:val="clear" w:color="auto" w:fill="1795D2" w:themeFill="accent1"/>
            <w:noWrap/>
            <w:hideMark/>
          </w:tcPr>
          <w:p w14:paraId="193B2ABF" w14:textId="77777777" w:rsidR="00FC39F0" w:rsidRPr="00FC39F0" w:rsidRDefault="00FC39F0" w:rsidP="00FC39F0">
            <w:pPr>
              <w:adjustRightInd/>
              <w:spacing w:before="40" w:after="40" w:line="240" w:lineRule="auto"/>
              <w:jc w:val="center"/>
              <w:textAlignment w:val="auto"/>
              <w:rPr>
                <w:rFonts w:asciiTheme="majorHAnsi" w:hAnsiTheme="majorHAnsi" w:cstheme="majorHAnsi"/>
                <w:b/>
                <w:bCs/>
                <w:color w:val="FFFFFF" w:themeColor="background1"/>
                <w:sz w:val="18"/>
                <w:szCs w:val="18"/>
              </w:rPr>
            </w:pPr>
            <w:r w:rsidRPr="00FC39F0">
              <w:rPr>
                <w:rFonts w:asciiTheme="majorHAnsi" w:hAnsiTheme="majorHAnsi" w:cstheme="majorHAnsi"/>
                <w:b/>
                <w:bCs/>
                <w:color w:val="FFFFFF" w:themeColor="background1"/>
                <w:sz w:val="18"/>
                <w:szCs w:val="18"/>
              </w:rPr>
              <w:t>10000</w:t>
            </w:r>
          </w:p>
        </w:tc>
        <w:tc>
          <w:tcPr>
            <w:tcW w:w="1764" w:type="dxa"/>
            <w:gridSpan w:val="2"/>
            <w:shd w:val="clear" w:color="auto" w:fill="1795D2" w:themeFill="accent1"/>
            <w:noWrap/>
            <w:hideMark/>
          </w:tcPr>
          <w:p w14:paraId="0DE3AFEA" w14:textId="77777777" w:rsidR="00FC39F0" w:rsidRPr="00FC39F0" w:rsidRDefault="00FC39F0" w:rsidP="00E87442">
            <w:pPr>
              <w:adjustRightInd/>
              <w:spacing w:before="40" w:after="40" w:line="240" w:lineRule="auto"/>
              <w:jc w:val="center"/>
              <w:textAlignment w:val="auto"/>
              <w:rPr>
                <w:rFonts w:asciiTheme="majorHAnsi" w:hAnsiTheme="majorHAnsi" w:cstheme="majorHAnsi"/>
                <w:b/>
                <w:bCs/>
                <w:color w:val="FFFFFF" w:themeColor="background1"/>
                <w:sz w:val="18"/>
                <w:szCs w:val="18"/>
              </w:rPr>
            </w:pPr>
            <w:r w:rsidRPr="00FC39F0">
              <w:rPr>
                <w:rFonts w:asciiTheme="majorHAnsi" w:hAnsiTheme="majorHAnsi" w:cstheme="majorHAnsi"/>
                <w:b/>
                <w:bCs/>
                <w:color w:val="FFFFFF" w:themeColor="background1"/>
                <w:sz w:val="18"/>
                <w:szCs w:val="18"/>
              </w:rPr>
              <w:t>10000_S</w:t>
            </w:r>
            <w:r w:rsidR="00E87442">
              <w:rPr>
                <w:rFonts w:asciiTheme="majorHAnsi" w:hAnsiTheme="majorHAnsi" w:cstheme="majorHAnsi"/>
                <w:b/>
                <w:bCs/>
                <w:color w:val="FFFFFF" w:themeColor="background1"/>
                <w:sz w:val="18"/>
                <w:szCs w:val="18"/>
              </w:rPr>
              <w:t>en</w:t>
            </w:r>
          </w:p>
        </w:tc>
        <w:tc>
          <w:tcPr>
            <w:tcW w:w="1764" w:type="dxa"/>
            <w:gridSpan w:val="2"/>
            <w:shd w:val="clear" w:color="auto" w:fill="1795D2" w:themeFill="accent1"/>
            <w:noWrap/>
            <w:hideMark/>
          </w:tcPr>
          <w:p w14:paraId="72E06544" w14:textId="77777777" w:rsidR="00FC39F0" w:rsidRPr="00FC39F0" w:rsidRDefault="00FC39F0" w:rsidP="00FC39F0">
            <w:pPr>
              <w:adjustRightInd/>
              <w:spacing w:before="40" w:after="40" w:line="240" w:lineRule="auto"/>
              <w:jc w:val="center"/>
              <w:textAlignment w:val="auto"/>
              <w:rPr>
                <w:rFonts w:asciiTheme="majorHAnsi" w:hAnsiTheme="majorHAnsi" w:cstheme="majorHAnsi"/>
                <w:b/>
                <w:bCs/>
                <w:color w:val="FFFFFF" w:themeColor="background1"/>
                <w:sz w:val="18"/>
                <w:szCs w:val="18"/>
              </w:rPr>
            </w:pPr>
            <w:r w:rsidRPr="00FC39F0">
              <w:rPr>
                <w:rFonts w:asciiTheme="majorHAnsi" w:hAnsiTheme="majorHAnsi" w:cstheme="majorHAnsi"/>
                <w:b/>
                <w:bCs/>
                <w:color w:val="FFFFFF" w:themeColor="background1"/>
                <w:sz w:val="18"/>
                <w:szCs w:val="18"/>
              </w:rPr>
              <w:t>12000</w:t>
            </w:r>
          </w:p>
        </w:tc>
      </w:tr>
      <w:tr w:rsidR="00FC39F0" w:rsidRPr="00FC39F0" w14:paraId="7C924975" w14:textId="77777777" w:rsidTr="00A16DB1">
        <w:trPr>
          <w:trHeight w:val="290"/>
          <w:jc w:val="center"/>
        </w:trPr>
        <w:tc>
          <w:tcPr>
            <w:tcW w:w="1887" w:type="dxa"/>
            <w:vMerge/>
            <w:noWrap/>
            <w:hideMark/>
          </w:tcPr>
          <w:p w14:paraId="1CAFE544" w14:textId="77777777" w:rsidR="00FC39F0" w:rsidRPr="00FC39F0" w:rsidRDefault="00FC39F0" w:rsidP="00FC39F0">
            <w:pPr>
              <w:adjustRightInd/>
              <w:spacing w:before="40" w:after="40" w:line="240" w:lineRule="auto"/>
              <w:jc w:val="center"/>
              <w:textAlignment w:val="auto"/>
              <w:rPr>
                <w:rFonts w:asciiTheme="majorHAnsi" w:hAnsiTheme="majorHAnsi" w:cstheme="majorHAnsi"/>
                <w:b/>
                <w:bCs/>
                <w:sz w:val="18"/>
                <w:szCs w:val="18"/>
              </w:rPr>
            </w:pPr>
          </w:p>
        </w:tc>
        <w:tc>
          <w:tcPr>
            <w:tcW w:w="882" w:type="dxa"/>
            <w:shd w:val="clear" w:color="auto" w:fill="1795D2" w:themeFill="accent1"/>
            <w:noWrap/>
            <w:hideMark/>
          </w:tcPr>
          <w:p w14:paraId="22FB3613" w14:textId="77777777" w:rsidR="00FC39F0" w:rsidRPr="00FC39F0" w:rsidRDefault="00FC39F0" w:rsidP="00FC39F0">
            <w:pPr>
              <w:adjustRightInd/>
              <w:spacing w:before="40" w:after="40" w:line="240" w:lineRule="auto"/>
              <w:jc w:val="center"/>
              <w:textAlignment w:val="auto"/>
              <w:rPr>
                <w:rFonts w:asciiTheme="majorHAnsi" w:hAnsiTheme="majorHAnsi" w:cstheme="majorHAnsi"/>
                <w:b/>
                <w:bCs/>
                <w:color w:val="FFFFFF" w:themeColor="background1"/>
                <w:sz w:val="18"/>
                <w:szCs w:val="18"/>
              </w:rPr>
            </w:pPr>
            <w:r w:rsidRPr="00FC39F0">
              <w:rPr>
                <w:rFonts w:asciiTheme="majorHAnsi" w:hAnsiTheme="majorHAnsi" w:cstheme="majorHAnsi"/>
                <w:b/>
                <w:bCs/>
                <w:color w:val="FFFFFF" w:themeColor="background1"/>
                <w:sz w:val="18"/>
                <w:szCs w:val="18"/>
              </w:rPr>
              <w:t>Cstr.</w:t>
            </w:r>
          </w:p>
        </w:tc>
        <w:tc>
          <w:tcPr>
            <w:tcW w:w="882" w:type="dxa"/>
            <w:shd w:val="clear" w:color="auto" w:fill="1795D2" w:themeFill="accent1"/>
            <w:noWrap/>
            <w:hideMark/>
          </w:tcPr>
          <w:p w14:paraId="1A563E9D" w14:textId="77777777" w:rsidR="00FC39F0" w:rsidRPr="00FC39F0" w:rsidRDefault="00FC39F0" w:rsidP="00FC39F0">
            <w:pPr>
              <w:adjustRightInd/>
              <w:spacing w:before="40" w:after="40" w:line="240" w:lineRule="auto"/>
              <w:jc w:val="center"/>
              <w:textAlignment w:val="auto"/>
              <w:rPr>
                <w:rFonts w:asciiTheme="majorHAnsi" w:hAnsiTheme="majorHAnsi" w:cstheme="majorHAnsi"/>
                <w:b/>
                <w:bCs/>
                <w:color w:val="FFFFFF" w:themeColor="background1"/>
                <w:sz w:val="18"/>
                <w:szCs w:val="18"/>
              </w:rPr>
            </w:pPr>
            <w:r w:rsidRPr="00FC39F0">
              <w:rPr>
                <w:rFonts w:asciiTheme="majorHAnsi" w:hAnsiTheme="majorHAnsi" w:cstheme="majorHAnsi"/>
                <w:b/>
                <w:bCs/>
                <w:color w:val="FFFFFF" w:themeColor="background1"/>
                <w:sz w:val="18"/>
                <w:szCs w:val="18"/>
              </w:rPr>
              <w:t>Uncstr.</w:t>
            </w:r>
          </w:p>
        </w:tc>
        <w:tc>
          <w:tcPr>
            <w:tcW w:w="882" w:type="dxa"/>
            <w:shd w:val="clear" w:color="auto" w:fill="1795D2" w:themeFill="accent1"/>
            <w:noWrap/>
            <w:hideMark/>
          </w:tcPr>
          <w:p w14:paraId="79ACB9FD" w14:textId="77777777" w:rsidR="00FC39F0" w:rsidRPr="00FC39F0" w:rsidRDefault="00FC39F0" w:rsidP="00FC39F0">
            <w:pPr>
              <w:adjustRightInd/>
              <w:spacing w:before="40" w:after="40" w:line="240" w:lineRule="auto"/>
              <w:jc w:val="center"/>
              <w:textAlignment w:val="auto"/>
              <w:rPr>
                <w:rFonts w:asciiTheme="majorHAnsi" w:hAnsiTheme="majorHAnsi" w:cstheme="majorHAnsi"/>
                <w:b/>
                <w:bCs/>
                <w:color w:val="FFFFFF" w:themeColor="background1"/>
                <w:sz w:val="18"/>
                <w:szCs w:val="18"/>
              </w:rPr>
            </w:pPr>
            <w:r w:rsidRPr="00FC39F0">
              <w:rPr>
                <w:rFonts w:asciiTheme="majorHAnsi" w:hAnsiTheme="majorHAnsi" w:cstheme="majorHAnsi"/>
                <w:b/>
                <w:bCs/>
                <w:color w:val="FFFFFF" w:themeColor="background1"/>
                <w:sz w:val="18"/>
                <w:szCs w:val="18"/>
              </w:rPr>
              <w:t>Cstr.</w:t>
            </w:r>
          </w:p>
        </w:tc>
        <w:tc>
          <w:tcPr>
            <w:tcW w:w="882" w:type="dxa"/>
            <w:shd w:val="clear" w:color="auto" w:fill="1795D2" w:themeFill="accent1"/>
            <w:noWrap/>
            <w:hideMark/>
          </w:tcPr>
          <w:p w14:paraId="72681E83" w14:textId="77777777" w:rsidR="00FC39F0" w:rsidRPr="00FC39F0" w:rsidRDefault="00FC39F0" w:rsidP="00FC39F0">
            <w:pPr>
              <w:adjustRightInd/>
              <w:spacing w:before="40" w:after="40" w:line="240" w:lineRule="auto"/>
              <w:jc w:val="center"/>
              <w:textAlignment w:val="auto"/>
              <w:rPr>
                <w:rFonts w:asciiTheme="majorHAnsi" w:hAnsiTheme="majorHAnsi" w:cstheme="majorHAnsi"/>
                <w:b/>
                <w:bCs/>
                <w:color w:val="FFFFFF" w:themeColor="background1"/>
                <w:sz w:val="18"/>
                <w:szCs w:val="18"/>
              </w:rPr>
            </w:pPr>
            <w:r w:rsidRPr="00FC39F0">
              <w:rPr>
                <w:rFonts w:asciiTheme="majorHAnsi" w:hAnsiTheme="majorHAnsi" w:cstheme="majorHAnsi"/>
                <w:b/>
                <w:bCs/>
                <w:color w:val="FFFFFF" w:themeColor="background1"/>
                <w:sz w:val="18"/>
                <w:szCs w:val="18"/>
              </w:rPr>
              <w:t>Uncstr.</w:t>
            </w:r>
          </w:p>
        </w:tc>
        <w:tc>
          <w:tcPr>
            <w:tcW w:w="882" w:type="dxa"/>
            <w:shd w:val="clear" w:color="auto" w:fill="1795D2" w:themeFill="accent1"/>
            <w:noWrap/>
            <w:hideMark/>
          </w:tcPr>
          <w:p w14:paraId="1F676E52" w14:textId="77777777" w:rsidR="00FC39F0" w:rsidRPr="00FC39F0" w:rsidRDefault="00FC39F0" w:rsidP="00FC39F0">
            <w:pPr>
              <w:adjustRightInd/>
              <w:spacing w:before="40" w:after="40" w:line="240" w:lineRule="auto"/>
              <w:jc w:val="center"/>
              <w:textAlignment w:val="auto"/>
              <w:rPr>
                <w:rFonts w:asciiTheme="majorHAnsi" w:hAnsiTheme="majorHAnsi" w:cstheme="majorHAnsi"/>
                <w:b/>
                <w:bCs/>
                <w:color w:val="FFFFFF" w:themeColor="background1"/>
                <w:sz w:val="18"/>
                <w:szCs w:val="18"/>
              </w:rPr>
            </w:pPr>
            <w:r w:rsidRPr="00FC39F0">
              <w:rPr>
                <w:rFonts w:asciiTheme="majorHAnsi" w:hAnsiTheme="majorHAnsi" w:cstheme="majorHAnsi"/>
                <w:b/>
                <w:bCs/>
                <w:color w:val="FFFFFF" w:themeColor="background1"/>
                <w:sz w:val="18"/>
                <w:szCs w:val="18"/>
              </w:rPr>
              <w:t>Cstr.</w:t>
            </w:r>
          </w:p>
        </w:tc>
        <w:tc>
          <w:tcPr>
            <w:tcW w:w="882" w:type="dxa"/>
            <w:shd w:val="clear" w:color="auto" w:fill="1795D2" w:themeFill="accent1"/>
            <w:noWrap/>
            <w:hideMark/>
          </w:tcPr>
          <w:p w14:paraId="5DFFF476" w14:textId="77777777" w:rsidR="00FC39F0" w:rsidRPr="00FC39F0" w:rsidRDefault="00FC39F0" w:rsidP="00FC39F0">
            <w:pPr>
              <w:adjustRightInd/>
              <w:spacing w:before="40" w:after="40" w:line="240" w:lineRule="auto"/>
              <w:jc w:val="center"/>
              <w:textAlignment w:val="auto"/>
              <w:rPr>
                <w:rFonts w:asciiTheme="majorHAnsi" w:hAnsiTheme="majorHAnsi" w:cstheme="majorHAnsi"/>
                <w:b/>
                <w:bCs/>
                <w:color w:val="FFFFFF" w:themeColor="background1"/>
                <w:sz w:val="18"/>
                <w:szCs w:val="18"/>
              </w:rPr>
            </w:pPr>
            <w:r w:rsidRPr="00FC39F0">
              <w:rPr>
                <w:rFonts w:asciiTheme="majorHAnsi" w:hAnsiTheme="majorHAnsi" w:cstheme="majorHAnsi"/>
                <w:b/>
                <w:bCs/>
                <w:color w:val="FFFFFF" w:themeColor="background1"/>
                <w:sz w:val="18"/>
                <w:szCs w:val="18"/>
              </w:rPr>
              <w:t>Uncstr.</w:t>
            </w:r>
          </w:p>
        </w:tc>
        <w:tc>
          <w:tcPr>
            <w:tcW w:w="882" w:type="dxa"/>
            <w:shd w:val="clear" w:color="auto" w:fill="1795D2" w:themeFill="accent1"/>
            <w:noWrap/>
            <w:hideMark/>
          </w:tcPr>
          <w:p w14:paraId="3F52474E" w14:textId="77777777" w:rsidR="00FC39F0" w:rsidRPr="00FC39F0" w:rsidRDefault="00FC39F0" w:rsidP="00FC39F0">
            <w:pPr>
              <w:adjustRightInd/>
              <w:spacing w:before="40" w:after="40" w:line="240" w:lineRule="auto"/>
              <w:jc w:val="center"/>
              <w:textAlignment w:val="auto"/>
              <w:rPr>
                <w:rFonts w:asciiTheme="majorHAnsi" w:hAnsiTheme="majorHAnsi" w:cstheme="majorHAnsi"/>
                <w:b/>
                <w:bCs/>
                <w:color w:val="FFFFFF" w:themeColor="background1"/>
                <w:sz w:val="18"/>
                <w:szCs w:val="18"/>
              </w:rPr>
            </w:pPr>
            <w:r w:rsidRPr="00FC39F0">
              <w:rPr>
                <w:rFonts w:asciiTheme="majorHAnsi" w:hAnsiTheme="majorHAnsi" w:cstheme="majorHAnsi"/>
                <w:b/>
                <w:bCs/>
                <w:color w:val="FFFFFF" w:themeColor="background1"/>
                <w:sz w:val="18"/>
                <w:szCs w:val="18"/>
              </w:rPr>
              <w:t>Cstr.</w:t>
            </w:r>
          </w:p>
        </w:tc>
        <w:tc>
          <w:tcPr>
            <w:tcW w:w="882" w:type="dxa"/>
            <w:shd w:val="clear" w:color="auto" w:fill="1795D2" w:themeFill="accent1"/>
            <w:noWrap/>
            <w:hideMark/>
          </w:tcPr>
          <w:p w14:paraId="52865F84" w14:textId="77777777" w:rsidR="00FC39F0" w:rsidRPr="00FC39F0" w:rsidRDefault="00FC39F0" w:rsidP="00FC39F0">
            <w:pPr>
              <w:adjustRightInd/>
              <w:spacing w:before="40" w:after="40" w:line="240" w:lineRule="auto"/>
              <w:jc w:val="center"/>
              <w:textAlignment w:val="auto"/>
              <w:rPr>
                <w:rFonts w:asciiTheme="majorHAnsi" w:hAnsiTheme="majorHAnsi" w:cstheme="majorHAnsi"/>
                <w:b/>
                <w:bCs/>
                <w:color w:val="FFFFFF" w:themeColor="background1"/>
                <w:sz w:val="18"/>
                <w:szCs w:val="18"/>
              </w:rPr>
            </w:pPr>
            <w:r w:rsidRPr="00FC39F0">
              <w:rPr>
                <w:rFonts w:asciiTheme="majorHAnsi" w:hAnsiTheme="majorHAnsi" w:cstheme="majorHAnsi"/>
                <w:b/>
                <w:bCs/>
                <w:color w:val="FFFFFF" w:themeColor="background1"/>
                <w:sz w:val="18"/>
                <w:szCs w:val="18"/>
              </w:rPr>
              <w:t>Uncstr.</w:t>
            </w:r>
          </w:p>
        </w:tc>
        <w:tc>
          <w:tcPr>
            <w:tcW w:w="882" w:type="dxa"/>
            <w:shd w:val="clear" w:color="auto" w:fill="1795D2" w:themeFill="accent1"/>
            <w:noWrap/>
            <w:hideMark/>
          </w:tcPr>
          <w:p w14:paraId="080B1F2D" w14:textId="77777777" w:rsidR="00FC39F0" w:rsidRPr="00FC39F0" w:rsidRDefault="00FC39F0" w:rsidP="00FC39F0">
            <w:pPr>
              <w:adjustRightInd/>
              <w:spacing w:before="40" w:after="40" w:line="240" w:lineRule="auto"/>
              <w:jc w:val="center"/>
              <w:textAlignment w:val="auto"/>
              <w:rPr>
                <w:rFonts w:asciiTheme="majorHAnsi" w:hAnsiTheme="majorHAnsi" w:cstheme="majorHAnsi"/>
                <w:b/>
                <w:bCs/>
                <w:color w:val="FFFFFF" w:themeColor="background1"/>
                <w:sz w:val="18"/>
                <w:szCs w:val="18"/>
              </w:rPr>
            </w:pPr>
            <w:r w:rsidRPr="00FC39F0">
              <w:rPr>
                <w:rFonts w:asciiTheme="majorHAnsi" w:hAnsiTheme="majorHAnsi" w:cstheme="majorHAnsi"/>
                <w:b/>
                <w:bCs/>
                <w:color w:val="FFFFFF" w:themeColor="background1"/>
                <w:sz w:val="18"/>
                <w:szCs w:val="18"/>
              </w:rPr>
              <w:t>Cstr.</w:t>
            </w:r>
          </w:p>
        </w:tc>
        <w:tc>
          <w:tcPr>
            <w:tcW w:w="882" w:type="dxa"/>
            <w:shd w:val="clear" w:color="auto" w:fill="1795D2" w:themeFill="accent1"/>
            <w:noWrap/>
            <w:hideMark/>
          </w:tcPr>
          <w:p w14:paraId="2DB7BB1E" w14:textId="77777777" w:rsidR="00FC39F0" w:rsidRPr="00FC39F0" w:rsidRDefault="00FC39F0" w:rsidP="00FC39F0">
            <w:pPr>
              <w:adjustRightInd/>
              <w:spacing w:before="40" w:after="40" w:line="240" w:lineRule="auto"/>
              <w:jc w:val="center"/>
              <w:textAlignment w:val="auto"/>
              <w:rPr>
                <w:rFonts w:asciiTheme="majorHAnsi" w:hAnsiTheme="majorHAnsi" w:cstheme="majorHAnsi"/>
                <w:b/>
                <w:bCs/>
                <w:color w:val="FFFFFF" w:themeColor="background1"/>
                <w:sz w:val="18"/>
                <w:szCs w:val="18"/>
              </w:rPr>
            </w:pPr>
            <w:r w:rsidRPr="00FC39F0">
              <w:rPr>
                <w:rFonts w:asciiTheme="majorHAnsi" w:hAnsiTheme="majorHAnsi" w:cstheme="majorHAnsi"/>
                <w:b/>
                <w:bCs/>
                <w:color w:val="FFFFFF" w:themeColor="background1"/>
                <w:sz w:val="18"/>
                <w:szCs w:val="18"/>
              </w:rPr>
              <w:t>Uncstr.</w:t>
            </w:r>
          </w:p>
        </w:tc>
      </w:tr>
      <w:tr w:rsidR="00FC39F0" w:rsidRPr="00FC39F0" w14:paraId="52BC0ECE" w14:textId="77777777" w:rsidTr="00A16DB1">
        <w:trPr>
          <w:trHeight w:val="290"/>
          <w:jc w:val="center"/>
        </w:trPr>
        <w:tc>
          <w:tcPr>
            <w:tcW w:w="1887" w:type="dxa"/>
            <w:shd w:val="clear" w:color="auto" w:fill="auto"/>
            <w:noWrap/>
            <w:hideMark/>
          </w:tcPr>
          <w:p w14:paraId="13190C5C" w14:textId="77777777" w:rsidR="00FC39F0" w:rsidRPr="00FC39F0" w:rsidRDefault="00FC39F0" w:rsidP="00FC39F0">
            <w:pPr>
              <w:adjustRightInd/>
              <w:spacing w:before="40" w:after="40" w:line="240" w:lineRule="auto"/>
              <w:textAlignment w:val="auto"/>
              <w:rPr>
                <w:rFonts w:asciiTheme="majorHAnsi" w:hAnsiTheme="majorHAnsi" w:cstheme="majorHAnsi"/>
                <w:b/>
                <w:bCs/>
                <w:sz w:val="18"/>
                <w:szCs w:val="18"/>
              </w:rPr>
            </w:pPr>
            <w:r w:rsidRPr="00FC39F0">
              <w:rPr>
                <w:rFonts w:asciiTheme="majorHAnsi" w:hAnsiTheme="majorHAnsi" w:cstheme="majorHAnsi"/>
                <w:b/>
                <w:bCs/>
                <w:sz w:val="18"/>
                <w:szCs w:val="18"/>
              </w:rPr>
              <w:t>Offshore wind</w:t>
            </w:r>
          </w:p>
        </w:tc>
        <w:tc>
          <w:tcPr>
            <w:tcW w:w="882" w:type="dxa"/>
            <w:shd w:val="clear" w:color="auto" w:fill="auto"/>
            <w:noWrap/>
            <w:vAlign w:val="center"/>
            <w:hideMark/>
          </w:tcPr>
          <w:p w14:paraId="42FBECD4"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0.12</w:t>
            </w:r>
          </w:p>
        </w:tc>
        <w:tc>
          <w:tcPr>
            <w:tcW w:w="882" w:type="dxa"/>
            <w:shd w:val="clear" w:color="auto" w:fill="auto"/>
            <w:noWrap/>
            <w:vAlign w:val="center"/>
            <w:hideMark/>
          </w:tcPr>
          <w:p w14:paraId="55B95ED3"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0.12</w:t>
            </w:r>
          </w:p>
        </w:tc>
        <w:tc>
          <w:tcPr>
            <w:tcW w:w="882" w:type="dxa"/>
            <w:shd w:val="clear" w:color="auto" w:fill="auto"/>
            <w:noWrap/>
            <w:vAlign w:val="center"/>
            <w:hideMark/>
          </w:tcPr>
          <w:p w14:paraId="4377AE60"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30.41</w:t>
            </w:r>
          </w:p>
        </w:tc>
        <w:tc>
          <w:tcPr>
            <w:tcW w:w="882" w:type="dxa"/>
            <w:shd w:val="clear" w:color="auto" w:fill="auto"/>
            <w:noWrap/>
            <w:vAlign w:val="center"/>
            <w:hideMark/>
          </w:tcPr>
          <w:p w14:paraId="61697E07"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30.42</w:t>
            </w:r>
          </w:p>
        </w:tc>
        <w:tc>
          <w:tcPr>
            <w:tcW w:w="882" w:type="dxa"/>
            <w:shd w:val="clear" w:color="auto" w:fill="auto"/>
            <w:noWrap/>
            <w:vAlign w:val="center"/>
            <w:hideMark/>
          </w:tcPr>
          <w:p w14:paraId="2714B4A0"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34.71</w:t>
            </w:r>
          </w:p>
        </w:tc>
        <w:tc>
          <w:tcPr>
            <w:tcW w:w="882" w:type="dxa"/>
            <w:shd w:val="clear" w:color="auto" w:fill="auto"/>
            <w:noWrap/>
            <w:vAlign w:val="center"/>
            <w:hideMark/>
          </w:tcPr>
          <w:p w14:paraId="60622F0C"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35.29</w:t>
            </w:r>
          </w:p>
        </w:tc>
        <w:tc>
          <w:tcPr>
            <w:tcW w:w="882" w:type="dxa"/>
            <w:shd w:val="clear" w:color="auto" w:fill="auto"/>
            <w:noWrap/>
            <w:vAlign w:val="center"/>
            <w:hideMark/>
          </w:tcPr>
          <w:p w14:paraId="31B3BFCB"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35.86</w:t>
            </w:r>
          </w:p>
        </w:tc>
        <w:tc>
          <w:tcPr>
            <w:tcW w:w="882" w:type="dxa"/>
            <w:shd w:val="clear" w:color="auto" w:fill="auto"/>
            <w:noWrap/>
            <w:vAlign w:val="center"/>
            <w:hideMark/>
          </w:tcPr>
          <w:p w14:paraId="57D19FD1"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36.45</w:t>
            </w:r>
          </w:p>
        </w:tc>
        <w:tc>
          <w:tcPr>
            <w:tcW w:w="882" w:type="dxa"/>
            <w:shd w:val="clear" w:color="auto" w:fill="auto"/>
            <w:noWrap/>
            <w:vAlign w:val="center"/>
            <w:hideMark/>
          </w:tcPr>
          <w:p w14:paraId="1FED034C"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39.02</w:t>
            </w:r>
          </w:p>
        </w:tc>
        <w:tc>
          <w:tcPr>
            <w:tcW w:w="882" w:type="dxa"/>
            <w:shd w:val="clear" w:color="auto" w:fill="auto"/>
            <w:noWrap/>
            <w:vAlign w:val="center"/>
            <w:hideMark/>
          </w:tcPr>
          <w:p w14:paraId="62A44370"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39.18</w:t>
            </w:r>
          </w:p>
        </w:tc>
      </w:tr>
      <w:tr w:rsidR="00FC39F0" w:rsidRPr="00FC39F0" w14:paraId="3C83919E" w14:textId="77777777" w:rsidTr="00A16DB1">
        <w:trPr>
          <w:trHeight w:val="290"/>
          <w:jc w:val="center"/>
        </w:trPr>
        <w:tc>
          <w:tcPr>
            <w:tcW w:w="1887" w:type="dxa"/>
            <w:shd w:val="clear" w:color="auto" w:fill="CCEAF9" w:themeFill="accent1" w:themeFillTint="33"/>
            <w:noWrap/>
            <w:hideMark/>
          </w:tcPr>
          <w:p w14:paraId="1390DCFD" w14:textId="77777777" w:rsidR="00FC39F0" w:rsidRPr="00FC39F0" w:rsidRDefault="00FC39F0" w:rsidP="00FC39F0">
            <w:pPr>
              <w:adjustRightInd/>
              <w:spacing w:before="40" w:after="40" w:line="240" w:lineRule="auto"/>
              <w:textAlignment w:val="auto"/>
              <w:rPr>
                <w:rFonts w:asciiTheme="majorHAnsi" w:hAnsiTheme="majorHAnsi" w:cstheme="majorHAnsi"/>
                <w:b/>
                <w:bCs/>
                <w:sz w:val="18"/>
                <w:szCs w:val="18"/>
              </w:rPr>
            </w:pPr>
            <w:r w:rsidRPr="00FC39F0">
              <w:rPr>
                <w:rFonts w:asciiTheme="majorHAnsi" w:hAnsiTheme="majorHAnsi" w:cstheme="majorHAnsi"/>
                <w:b/>
                <w:bCs/>
                <w:sz w:val="18"/>
                <w:szCs w:val="18"/>
              </w:rPr>
              <w:t>Onshore wind</w:t>
            </w:r>
          </w:p>
        </w:tc>
        <w:tc>
          <w:tcPr>
            <w:tcW w:w="882" w:type="dxa"/>
            <w:shd w:val="clear" w:color="auto" w:fill="CCEAF9" w:themeFill="accent1" w:themeFillTint="33"/>
            <w:noWrap/>
            <w:vAlign w:val="center"/>
            <w:hideMark/>
          </w:tcPr>
          <w:p w14:paraId="377A9BD2"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3.71</w:t>
            </w:r>
          </w:p>
        </w:tc>
        <w:tc>
          <w:tcPr>
            <w:tcW w:w="882" w:type="dxa"/>
            <w:shd w:val="clear" w:color="auto" w:fill="CCEAF9" w:themeFill="accent1" w:themeFillTint="33"/>
            <w:noWrap/>
            <w:vAlign w:val="center"/>
            <w:hideMark/>
          </w:tcPr>
          <w:p w14:paraId="75B88CD2"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3.71</w:t>
            </w:r>
          </w:p>
        </w:tc>
        <w:tc>
          <w:tcPr>
            <w:tcW w:w="882" w:type="dxa"/>
            <w:shd w:val="clear" w:color="auto" w:fill="CCEAF9" w:themeFill="accent1" w:themeFillTint="33"/>
            <w:noWrap/>
            <w:vAlign w:val="center"/>
            <w:hideMark/>
          </w:tcPr>
          <w:p w14:paraId="43FF43B5"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3.67</w:t>
            </w:r>
          </w:p>
        </w:tc>
        <w:tc>
          <w:tcPr>
            <w:tcW w:w="882" w:type="dxa"/>
            <w:shd w:val="clear" w:color="auto" w:fill="CCEAF9" w:themeFill="accent1" w:themeFillTint="33"/>
            <w:noWrap/>
            <w:vAlign w:val="center"/>
            <w:hideMark/>
          </w:tcPr>
          <w:p w14:paraId="32D5547E"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3.67</w:t>
            </w:r>
          </w:p>
        </w:tc>
        <w:tc>
          <w:tcPr>
            <w:tcW w:w="882" w:type="dxa"/>
            <w:shd w:val="clear" w:color="auto" w:fill="CCEAF9" w:themeFill="accent1" w:themeFillTint="33"/>
            <w:noWrap/>
            <w:vAlign w:val="center"/>
            <w:hideMark/>
          </w:tcPr>
          <w:p w14:paraId="3D17222B"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3.63</w:t>
            </w:r>
          </w:p>
        </w:tc>
        <w:tc>
          <w:tcPr>
            <w:tcW w:w="882" w:type="dxa"/>
            <w:shd w:val="clear" w:color="auto" w:fill="CCEAF9" w:themeFill="accent1" w:themeFillTint="33"/>
            <w:noWrap/>
            <w:vAlign w:val="center"/>
            <w:hideMark/>
          </w:tcPr>
          <w:p w14:paraId="3B868E88"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3.62</w:t>
            </w:r>
          </w:p>
        </w:tc>
        <w:tc>
          <w:tcPr>
            <w:tcW w:w="882" w:type="dxa"/>
            <w:shd w:val="clear" w:color="auto" w:fill="CCEAF9" w:themeFill="accent1" w:themeFillTint="33"/>
            <w:noWrap/>
            <w:vAlign w:val="center"/>
            <w:hideMark/>
          </w:tcPr>
          <w:p w14:paraId="3416D91D"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3.65</w:t>
            </w:r>
          </w:p>
        </w:tc>
        <w:tc>
          <w:tcPr>
            <w:tcW w:w="882" w:type="dxa"/>
            <w:shd w:val="clear" w:color="auto" w:fill="CCEAF9" w:themeFill="accent1" w:themeFillTint="33"/>
            <w:noWrap/>
            <w:vAlign w:val="center"/>
            <w:hideMark/>
          </w:tcPr>
          <w:p w14:paraId="6B9401FA"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3.64</w:t>
            </w:r>
          </w:p>
        </w:tc>
        <w:tc>
          <w:tcPr>
            <w:tcW w:w="882" w:type="dxa"/>
            <w:shd w:val="clear" w:color="auto" w:fill="CCEAF9" w:themeFill="accent1" w:themeFillTint="33"/>
            <w:noWrap/>
            <w:vAlign w:val="center"/>
            <w:hideMark/>
          </w:tcPr>
          <w:p w14:paraId="281CC8DC"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3.61</w:t>
            </w:r>
          </w:p>
        </w:tc>
        <w:tc>
          <w:tcPr>
            <w:tcW w:w="882" w:type="dxa"/>
            <w:shd w:val="clear" w:color="auto" w:fill="CCEAF9" w:themeFill="accent1" w:themeFillTint="33"/>
            <w:noWrap/>
            <w:vAlign w:val="center"/>
            <w:hideMark/>
          </w:tcPr>
          <w:p w14:paraId="73526F45"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3.59</w:t>
            </w:r>
          </w:p>
        </w:tc>
      </w:tr>
      <w:tr w:rsidR="00FC39F0" w:rsidRPr="00FC39F0" w14:paraId="37702C52" w14:textId="77777777" w:rsidTr="00A16DB1">
        <w:trPr>
          <w:trHeight w:val="290"/>
          <w:jc w:val="center"/>
        </w:trPr>
        <w:tc>
          <w:tcPr>
            <w:tcW w:w="1887" w:type="dxa"/>
            <w:shd w:val="clear" w:color="auto" w:fill="auto"/>
            <w:noWrap/>
            <w:hideMark/>
          </w:tcPr>
          <w:p w14:paraId="1E763570" w14:textId="77777777" w:rsidR="00FC39F0" w:rsidRPr="00FC39F0" w:rsidRDefault="00FC39F0" w:rsidP="00FC39F0">
            <w:pPr>
              <w:adjustRightInd/>
              <w:spacing w:before="40" w:after="40" w:line="240" w:lineRule="auto"/>
              <w:textAlignment w:val="auto"/>
              <w:rPr>
                <w:rFonts w:asciiTheme="majorHAnsi" w:hAnsiTheme="majorHAnsi" w:cstheme="majorHAnsi"/>
                <w:b/>
                <w:bCs/>
                <w:sz w:val="18"/>
                <w:szCs w:val="18"/>
              </w:rPr>
            </w:pPr>
            <w:r w:rsidRPr="00FC39F0">
              <w:rPr>
                <w:rFonts w:asciiTheme="majorHAnsi" w:hAnsiTheme="majorHAnsi" w:cstheme="majorHAnsi"/>
                <w:b/>
                <w:bCs/>
                <w:sz w:val="18"/>
                <w:szCs w:val="18"/>
              </w:rPr>
              <w:t>Natural gas</w:t>
            </w:r>
          </w:p>
        </w:tc>
        <w:tc>
          <w:tcPr>
            <w:tcW w:w="882" w:type="dxa"/>
            <w:shd w:val="clear" w:color="auto" w:fill="auto"/>
            <w:noWrap/>
            <w:vAlign w:val="center"/>
            <w:hideMark/>
          </w:tcPr>
          <w:p w14:paraId="37ECD7C3"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46.25</w:t>
            </w:r>
          </w:p>
        </w:tc>
        <w:tc>
          <w:tcPr>
            <w:tcW w:w="882" w:type="dxa"/>
            <w:shd w:val="clear" w:color="auto" w:fill="auto"/>
            <w:noWrap/>
            <w:vAlign w:val="center"/>
            <w:hideMark/>
          </w:tcPr>
          <w:p w14:paraId="141E3806"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44.05</w:t>
            </w:r>
          </w:p>
        </w:tc>
        <w:tc>
          <w:tcPr>
            <w:tcW w:w="882" w:type="dxa"/>
            <w:shd w:val="clear" w:color="auto" w:fill="auto"/>
            <w:noWrap/>
            <w:vAlign w:val="center"/>
            <w:hideMark/>
          </w:tcPr>
          <w:p w14:paraId="6657EC09"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23.30</w:t>
            </w:r>
          </w:p>
        </w:tc>
        <w:tc>
          <w:tcPr>
            <w:tcW w:w="882" w:type="dxa"/>
            <w:shd w:val="clear" w:color="auto" w:fill="auto"/>
            <w:noWrap/>
            <w:vAlign w:val="center"/>
            <w:hideMark/>
          </w:tcPr>
          <w:p w14:paraId="5606F567"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22.43</w:t>
            </w:r>
          </w:p>
        </w:tc>
        <w:tc>
          <w:tcPr>
            <w:tcW w:w="882" w:type="dxa"/>
            <w:shd w:val="clear" w:color="auto" w:fill="auto"/>
            <w:noWrap/>
            <w:vAlign w:val="center"/>
            <w:hideMark/>
          </w:tcPr>
          <w:p w14:paraId="64014BFA"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21.31</w:t>
            </w:r>
          </w:p>
        </w:tc>
        <w:tc>
          <w:tcPr>
            <w:tcW w:w="882" w:type="dxa"/>
            <w:shd w:val="clear" w:color="auto" w:fill="auto"/>
            <w:noWrap/>
            <w:vAlign w:val="center"/>
            <w:hideMark/>
          </w:tcPr>
          <w:p w14:paraId="20CCB4AD"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20.54</w:t>
            </w:r>
          </w:p>
        </w:tc>
        <w:tc>
          <w:tcPr>
            <w:tcW w:w="882" w:type="dxa"/>
            <w:shd w:val="clear" w:color="auto" w:fill="auto"/>
            <w:noWrap/>
            <w:vAlign w:val="center"/>
            <w:hideMark/>
          </w:tcPr>
          <w:p w14:paraId="683C182D"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23.41</w:t>
            </w:r>
          </w:p>
        </w:tc>
        <w:tc>
          <w:tcPr>
            <w:tcW w:w="882" w:type="dxa"/>
            <w:shd w:val="clear" w:color="auto" w:fill="auto"/>
            <w:noWrap/>
            <w:vAlign w:val="center"/>
            <w:hideMark/>
          </w:tcPr>
          <w:p w14:paraId="6478738D"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22.65</w:t>
            </w:r>
          </w:p>
        </w:tc>
        <w:tc>
          <w:tcPr>
            <w:tcW w:w="882" w:type="dxa"/>
            <w:shd w:val="clear" w:color="auto" w:fill="auto"/>
            <w:noWrap/>
            <w:vAlign w:val="center"/>
            <w:hideMark/>
          </w:tcPr>
          <w:p w14:paraId="7BF5D610"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19.52</w:t>
            </w:r>
          </w:p>
        </w:tc>
        <w:tc>
          <w:tcPr>
            <w:tcW w:w="882" w:type="dxa"/>
            <w:shd w:val="clear" w:color="auto" w:fill="auto"/>
            <w:noWrap/>
            <w:vAlign w:val="center"/>
            <w:hideMark/>
          </w:tcPr>
          <w:p w14:paraId="21222EF5"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18.95</w:t>
            </w:r>
          </w:p>
        </w:tc>
      </w:tr>
      <w:tr w:rsidR="00FC39F0" w:rsidRPr="00FC39F0" w14:paraId="0634FE55" w14:textId="77777777" w:rsidTr="00A16DB1">
        <w:trPr>
          <w:trHeight w:val="290"/>
          <w:jc w:val="center"/>
        </w:trPr>
        <w:tc>
          <w:tcPr>
            <w:tcW w:w="1887" w:type="dxa"/>
            <w:shd w:val="clear" w:color="auto" w:fill="CCEAF9" w:themeFill="accent1" w:themeFillTint="33"/>
            <w:noWrap/>
            <w:hideMark/>
          </w:tcPr>
          <w:p w14:paraId="65610BEC" w14:textId="77777777" w:rsidR="00FC39F0" w:rsidRPr="00FC39F0" w:rsidRDefault="00FC39F0" w:rsidP="00FC39F0">
            <w:pPr>
              <w:adjustRightInd/>
              <w:spacing w:before="40" w:after="40" w:line="240" w:lineRule="auto"/>
              <w:textAlignment w:val="auto"/>
              <w:rPr>
                <w:rFonts w:asciiTheme="majorHAnsi" w:hAnsiTheme="majorHAnsi" w:cstheme="majorHAnsi"/>
                <w:b/>
                <w:bCs/>
                <w:sz w:val="18"/>
                <w:szCs w:val="18"/>
              </w:rPr>
            </w:pPr>
            <w:r w:rsidRPr="00FC39F0">
              <w:rPr>
                <w:rFonts w:asciiTheme="majorHAnsi" w:hAnsiTheme="majorHAnsi" w:cstheme="majorHAnsi"/>
                <w:b/>
                <w:bCs/>
                <w:sz w:val="18"/>
                <w:szCs w:val="18"/>
              </w:rPr>
              <w:t>Oil</w:t>
            </w:r>
          </w:p>
        </w:tc>
        <w:tc>
          <w:tcPr>
            <w:tcW w:w="882" w:type="dxa"/>
            <w:shd w:val="clear" w:color="auto" w:fill="CCEAF9" w:themeFill="accent1" w:themeFillTint="33"/>
            <w:noWrap/>
            <w:vAlign w:val="center"/>
            <w:hideMark/>
          </w:tcPr>
          <w:p w14:paraId="5713372C"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0.00</w:t>
            </w:r>
          </w:p>
        </w:tc>
        <w:tc>
          <w:tcPr>
            <w:tcW w:w="882" w:type="dxa"/>
            <w:shd w:val="clear" w:color="auto" w:fill="CCEAF9" w:themeFill="accent1" w:themeFillTint="33"/>
            <w:noWrap/>
            <w:vAlign w:val="center"/>
            <w:hideMark/>
          </w:tcPr>
          <w:p w14:paraId="1738760B"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0.00</w:t>
            </w:r>
          </w:p>
        </w:tc>
        <w:tc>
          <w:tcPr>
            <w:tcW w:w="882" w:type="dxa"/>
            <w:shd w:val="clear" w:color="auto" w:fill="CCEAF9" w:themeFill="accent1" w:themeFillTint="33"/>
            <w:noWrap/>
            <w:vAlign w:val="center"/>
            <w:hideMark/>
          </w:tcPr>
          <w:p w14:paraId="6C153C6A"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0.00</w:t>
            </w:r>
          </w:p>
        </w:tc>
        <w:tc>
          <w:tcPr>
            <w:tcW w:w="882" w:type="dxa"/>
            <w:shd w:val="clear" w:color="auto" w:fill="CCEAF9" w:themeFill="accent1" w:themeFillTint="33"/>
            <w:noWrap/>
            <w:vAlign w:val="center"/>
            <w:hideMark/>
          </w:tcPr>
          <w:p w14:paraId="05BBA619"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0.00</w:t>
            </w:r>
          </w:p>
        </w:tc>
        <w:tc>
          <w:tcPr>
            <w:tcW w:w="882" w:type="dxa"/>
            <w:shd w:val="clear" w:color="auto" w:fill="CCEAF9" w:themeFill="accent1" w:themeFillTint="33"/>
            <w:noWrap/>
            <w:vAlign w:val="center"/>
            <w:hideMark/>
          </w:tcPr>
          <w:p w14:paraId="0ADFBCAA"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0.00</w:t>
            </w:r>
          </w:p>
        </w:tc>
        <w:tc>
          <w:tcPr>
            <w:tcW w:w="882" w:type="dxa"/>
            <w:shd w:val="clear" w:color="auto" w:fill="CCEAF9" w:themeFill="accent1" w:themeFillTint="33"/>
            <w:noWrap/>
            <w:vAlign w:val="center"/>
            <w:hideMark/>
          </w:tcPr>
          <w:p w14:paraId="44558659"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0.00</w:t>
            </w:r>
          </w:p>
        </w:tc>
        <w:tc>
          <w:tcPr>
            <w:tcW w:w="882" w:type="dxa"/>
            <w:shd w:val="clear" w:color="auto" w:fill="CCEAF9" w:themeFill="accent1" w:themeFillTint="33"/>
            <w:noWrap/>
            <w:vAlign w:val="center"/>
            <w:hideMark/>
          </w:tcPr>
          <w:p w14:paraId="200FCDD7"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0.00</w:t>
            </w:r>
          </w:p>
        </w:tc>
        <w:tc>
          <w:tcPr>
            <w:tcW w:w="882" w:type="dxa"/>
            <w:shd w:val="clear" w:color="auto" w:fill="CCEAF9" w:themeFill="accent1" w:themeFillTint="33"/>
            <w:noWrap/>
            <w:vAlign w:val="center"/>
            <w:hideMark/>
          </w:tcPr>
          <w:p w14:paraId="19586BDA"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0.00</w:t>
            </w:r>
          </w:p>
        </w:tc>
        <w:tc>
          <w:tcPr>
            <w:tcW w:w="882" w:type="dxa"/>
            <w:shd w:val="clear" w:color="auto" w:fill="CCEAF9" w:themeFill="accent1" w:themeFillTint="33"/>
            <w:noWrap/>
            <w:vAlign w:val="center"/>
            <w:hideMark/>
          </w:tcPr>
          <w:p w14:paraId="702E4D41"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0.00</w:t>
            </w:r>
          </w:p>
        </w:tc>
        <w:tc>
          <w:tcPr>
            <w:tcW w:w="882" w:type="dxa"/>
            <w:shd w:val="clear" w:color="auto" w:fill="CCEAF9" w:themeFill="accent1" w:themeFillTint="33"/>
            <w:noWrap/>
            <w:vAlign w:val="center"/>
            <w:hideMark/>
          </w:tcPr>
          <w:p w14:paraId="3B56A642"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0.00</w:t>
            </w:r>
          </w:p>
        </w:tc>
      </w:tr>
      <w:tr w:rsidR="00FC39F0" w:rsidRPr="00FC39F0" w14:paraId="268CED6B" w14:textId="77777777" w:rsidTr="00A16DB1">
        <w:trPr>
          <w:trHeight w:val="290"/>
          <w:jc w:val="center"/>
        </w:trPr>
        <w:tc>
          <w:tcPr>
            <w:tcW w:w="1887" w:type="dxa"/>
            <w:shd w:val="clear" w:color="auto" w:fill="auto"/>
            <w:noWrap/>
            <w:hideMark/>
          </w:tcPr>
          <w:p w14:paraId="3A0DB9E1" w14:textId="77777777" w:rsidR="00FC39F0" w:rsidRPr="00FC39F0" w:rsidRDefault="00FC39F0" w:rsidP="00FC39F0">
            <w:pPr>
              <w:adjustRightInd/>
              <w:spacing w:before="40" w:after="40" w:line="240" w:lineRule="auto"/>
              <w:textAlignment w:val="auto"/>
              <w:rPr>
                <w:rFonts w:asciiTheme="majorHAnsi" w:hAnsiTheme="majorHAnsi" w:cstheme="majorHAnsi"/>
                <w:b/>
                <w:bCs/>
                <w:sz w:val="18"/>
                <w:szCs w:val="18"/>
              </w:rPr>
            </w:pPr>
            <w:r w:rsidRPr="00FC39F0">
              <w:rPr>
                <w:rFonts w:asciiTheme="majorHAnsi" w:hAnsiTheme="majorHAnsi" w:cstheme="majorHAnsi"/>
                <w:b/>
                <w:bCs/>
                <w:sz w:val="18"/>
                <w:szCs w:val="18"/>
              </w:rPr>
              <w:t>Imports</w:t>
            </w:r>
          </w:p>
        </w:tc>
        <w:tc>
          <w:tcPr>
            <w:tcW w:w="882" w:type="dxa"/>
            <w:shd w:val="clear" w:color="auto" w:fill="auto"/>
            <w:noWrap/>
            <w:vAlign w:val="center"/>
            <w:hideMark/>
          </w:tcPr>
          <w:p w14:paraId="3BA0ACA7"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24.64</w:t>
            </w:r>
          </w:p>
        </w:tc>
        <w:tc>
          <w:tcPr>
            <w:tcW w:w="882" w:type="dxa"/>
            <w:shd w:val="clear" w:color="auto" w:fill="auto"/>
            <w:noWrap/>
            <w:vAlign w:val="center"/>
            <w:hideMark/>
          </w:tcPr>
          <w:p w14:paraId="1E0C5A30"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27.00</w:t>
            </w:r>
          </w:p>
        </w:tc>
        <w:tc>
          <w:tcPr>
            <w:tcW w:w="882" w:type="dxa"/>
            <w:shd w:val="clear" w:color="auto" w:fill="auto"/>
            <w:noWrap/>
            <w:vAlign w:val="center"/>
            <w:hideMark/>
          </w:tcPr>
          <w:p w14:paraId="5AEC9CE8"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20.86</w:t>
            </w:r>
          </w:p>
        </w:tc>
        <w:tc>
          <w:tcPr>
            <w:tcW w:w="882" w:type="dxa"/>
            <w:shd w:val="clear" w:color="auto" w:fill="auto"/>
            <w:noWrap/>
            <w:vAlign w:val="center"/>
            <w:hideMark/>
          </w:tcPr>
          <w:p w14:paraId="424C5655"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21.87</w:t>
            </w:r>
          </w:p>
        </w:tc>
        <w:tc>
          <w:tcPr>
            <w:tcW w:w="882" w:type="dxa"/>
            <w:shd w:val="clear" w:color="auto" w:fill="auto"/>
            <w:noWrap/>
            <w:vAlign w:val="center"/>
            <w:hideMark/>
          </w:tcPr>
          <w:p w14:paraId="0598E3DB"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19.55</w:t>
            </w:r>
          </w:p>
        </w:tc>
        <w:tc>
          <w:tcPr>
            <w:tcW w:w="882" w:type="dxa"/>
            <w:shd w:val="clear" w:color="auto" w:fill="auto"/>
            <w:noWrap/>
            <w:vAlign w:val="center"/>
            <w:hideMark/>
          </w:tcPr>
          <w:p w14:paraId="556A0E64"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20.17</w:t>
            </w:r>
          </w:p>
        </w:tc>
        <w:tc>
          <w:tcPr>
            <w:tcW w:w="882" w:type="dxa"/>
            <w:shd w:val="clear" w:color="auto" w:fill="auto"/>
            <w:noWrap/>
            <w:vAlign w:val="center"/>
            <w:hideMark/>
          </w:tcPr>
          <w:p w14:paraId="60B6F741"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20.61</w:t>
            </w:r>
          </w:p>
        </w:tc>
        <w:tc>
          <w:tcPr>
            <w:tcW w:w="882" w:type="dxa"/>
            <w:shd w:val="clear" w:color="auto" w:fill="auto"/>
            <w:noWrap/>
            <w:vAlign w:val="center"/>
            <w:hideMark/>
          </w:tcPr>
          <w:p w14:paraId="66386C27"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21.16</w:t>
            </w:r>
          </w:p>
        </w:tc>
        <w:tc>
          <w:tcPr>
            <w:tcW w:w="882" w:type="dxa"/>
            <w:shd w:val="clear" w:color="auto" w:fill="auto"/>
            <w:noWrap/>
            <w:vAlign w:val="center"/>
            <w:hideMark/>
          </w:tcPr>
          <w:p w14:paraId="1D99F175"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18.31</w:t>
            </w:r>
          </w:p>
        </w:tc>
        <w:tc>
          <w:tcPr>
            <w:tcW w:w="882" w:type="dxa"/>
            <w:shd w:val="clear" w:color="auto" w:fill="auto"/>
            <w:noWrap/>
            <w:vAlign w:val="center"/>
            <w:hideMark/>
          </w:tcPr>
          <w:p w14:paraId="35D0CE73"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18.92</w:t>
            </w:r>
          </w:p>
        </w:tc>
      </w:tr>
      <w:tr w:rsidR="00FC39F0" w:rsidRPr="00FC39F0" w14:paraId="03FAC753" w14:textId="77777777" w:rsidTr="00A16DB1">
        <w:trPr>
          <w:trHeight w:val="290"/>
          <w:jc w:val="center"/>
        </w:trPr>
        <w:tc>
          <w:tcPr>
            <w:tcW w:w="1887" w:type="dxa"/>
            <w:shd w:val="clear" w:color="auto" w:fill="CCEAF9" w:themeFill="accent1" w:themeFillTint="33"/>
            <w:noWrap/>
            <w:hideMark/>
          </w:tcPr>
          <w:p w14:paraId="077CDAF8" w14:textId="77777777" w:rsidR="00FC39F0" w:rsidRPr="00FC39F0" w:rsidRDefault="00FC39F0" w:rsidP="00FC39F0">
            <w:pPr>
              <w:adjustRightInd/>
              <w:spacing w:before="40" w:after="40" w:line="240" w:lineRule="auto"/>
              <w:textAlignment w:val="auto"/>
              <w:rPr>
                <w:rFonts w:asciiTheme="majorHAnsi" w:hAnsiTheme="majorHAnsi" w:cstheme="majorHAnsi"/>
                <w:b/>
                <w:bCs/>
                <w:sz w:val="18"/>
                <w:szCs w:val="18"/>
              </w:rPr>
            </w:pPr>
            <w:r w:rsidRPr="00FC39F0">
              <w:rPr>
                <w:rFonts w:asciiTheme="majorHAnsi" w:hAnsiTheme="majorHAnsi" w:cstheme="majorHAnsi"/>
                <w:b/>
                <w:bCs/>
                <w:sz w:val="18"/>
                <w:szCs w:val="18"/>
              </w:rPr>
              <w:t>Coal</w:t>
            </w:r>
          </w:p>
        </w:tc>
        <w:tc>
          <w:tcPr>
            <w:tcW w:w="882" w:type="dxa"/>
            <w:shd w:val="clear" w:color="auto" w:fill="CCEAF9" w:themeFill="accent1" w:themeFillTint="33"/>
            <w:noWrap/>
            <w:vAlign w:val="center"/>
            <w:hideMark/>
          </w:tcPr>
          <w:p w14:paraId="5BE91F4E"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0.64</w:t>
            </w:r>
          </w:p>
        </w:tc>
        <w:tc>
          <w:tcPr>
            <w:tcW w:w="882" w:type="dxa"/>
            <w:shd w:val="clear" w:color="auto" w:fill="CCEAF9" w:themeFill="accent1" w:themeFillTint="33"/>
            <w:noWrap/>
            <w:vAlign w:val="center"/>
            <w:hideMark/>
          </w:tcPr>
          <w:p w14:paraId="1962CA8E"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0.52</w:t>
            </w:r>
          </w:p>
        </w:tc>
        <w:tc>
          <w:tcPr>
            <w:tcW w:w="882" w:type="dxa"/>
            <w:shd w:val="clear" w:color="auto" w:fill="CCEAF9" w:themeFill="accent1" w:themeFillTint="33"/>
            <w:noWrap/>
            <w:vAlign w:val="center"/>
            <w:hideMark/>
          </w:tcPr>
          <w:p w14:paraId="7E016D8B"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0.16</w:t>
            </w:r>
          </w:p>
        </w:tc>
        <w:tc>
          <w:tcPr>
            <w:tcW w:w="882" w:type="dxa"/>
            <w:shd w:val="clear" w:color="auto" w:fill="CCEAF9" w:themeFill="accent1" w:themeFillTint="33"/>
            <w:noWrap/>
            <w:vAlign w:val="center"/>
            <w:hideMark/>
          </w:tcPr>
          <w:p w14:paraId="17D46409"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0.09</w:t>
            </w:r>
          </w:p>
        </w:tc>
        <w:tc>
          <w:tcPr>
            <w:tcW w:w="882" w:type="dxa"/>
            <w:shd w:val="clear" w:color="auto" w:fill="CCEAF9" w:themeFill="accent1" w:themeFillTint="33"/>
            <w:noWrap/>
            <w:vAlign w:val="center"/>
            <w:hideMark/>
          </w:tcPr>
          <w:p w14:paraId="4A0E6E88"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0.14</w:t>
            </w:r>
          </w:p>
        </w:tc>
        <w:tc>
          <w:tcPr>
            <w:tcW w:w="882" w:type="dxa"/>
            <w:shd w:val="clear" w:color="auto" w:fill="CCEAF9" w:themeFill="accent1" w:themeFillTint="33"/>
            <w:noWrap/>
            <w:vAlign w:val="center"/>
            <w:hideMark/>
          </w:tcPr>
          <w:p w14:paraId="26B33944"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0.06</w:t>
            </w:r>
          </w:p>
        </w:tc>
        <w:tc>
          <w:tcPr>
            <w:tcW w:w="882" w:type="dxa"/>
            <w:shd w:val="clear" w:color="auto" w:fill="CCEAF9" w:themeFill="accent1" w:themeFillTint="33"/>
            <w:noWrap/>
            <w:vAlign w:val="center"/>
            <w:hideMark/>
          </w:tcPr>
          <w:p w14:paraId="44A8A1B9"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0.20</w:t>
            </w:r>
          </w:p>
        </w:tc>
        <w:tc>
          <w:tcPr>
            <w:tcW w:w="882" w:type="dxa"/>
            <w:shd w:val="clear" w:color="auto" w:fill="CCEAF9" w:themeFill="accent1" w:themeFillTint="33"/>
            <w:noWrap/>
            <w:vAlign w:val="center"/>
            <w:hideMark/>
          </w:tcPr>
          <w:p w14:paraId="1450FCA5"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0.14</w:t>
            </w:r>
          </w:p>
        </w:tc>
        <w:tc>
          <w:tcPr>
            <w:tcW w:w="882" w:type="dxa"/>
            <w:shd w:val="clear" w:color="auto" w:fill="CCEAF9" w:themeFill="accent1" w:themeFillTint="33"/>
            <w:noWrap/>
            <w:vAlign w:val="center"/>
            <w:hideMark/>
          </w:tcPr>
          <w:p w14:paraId="01F8EF88"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0.12</w:t>
            </w:r>
          </w:p>
        </w:tc>
        <w:tc>
          <w:tcPr>
            <w:tcW w:w="882" w:type="dxa"/>
            <w:shd w:val="clear" w:color="auto" w:fill="CCEAF9" w:themeFill="accent1" w:themeFillTint="33"/>
            <w:noWrap/>
            <w:vAlign w:val="center"/>
            <w:hideMark/>
          </w:tcPr>
          <w:p w14:paraId="4609E09D"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0.07</w:t>
            </w:r>
          </w:p>
        </w:tc>
      </w:tr>
      <w:tr w:rsidR="00FC39F0" w:rsidRPr="00FC39F0" w14:paraId="57532198" w14:textId="77777777" w:rsidTr="00A16DB1">
        <w:trPr>
          <w:trHeight w:val="290"/>
          <w:jc w:val="center"/>
        </w:trPr>
        <w:tc>
          <w:tcPr>
            <w:tcW w:w="1887" w:type="dxa"/>
            <w:shd w:val="clear" w:color="auto" w:fill="auto"/>
            <w:noWrap/>
            <w:hideMark/>
          </w:tcPr>
          <w:p w14:paraId="46BD6EED" w14:textId="77777777" w:rsidR="00FC39F0" w:rsidRPr="00FC39F0" w:rsidRDefault="00FC39F0" w:rsidP="00FC39F0">
            <w:pPr>
              <w:adjustRightInd/>
              <w:spacing w:before="40" w:after="40" w:line="240" w:lineRule="auto"/>
              <w:textAlignment w:val="auto"/>
              <w:rPr>
                <w:rFonts w:asciiTheme="majorHAnsi" w:hAnsiTheme="majorHAnsi" w:cstheme="majorHAnsi"/>
                <w:b/>
                <w:bCs/>
                <w:sz w:val="18"/>
                <w:szCs w:val="18"/>
              </w:rPr>
            </w:pPr>
            <w:r w:rsidRPr="00FC39F0">
              <w:rPr>
                <w:rFonts w:asciiTheme="majorHAnsi" w:hAnsiTheme="majorHAnsi" w:cstheme="majorHAnsi"/>
                <w:b/>
                <w:bCs/>
                <w:sz w:val="18"/>
                <w:szCs w:val="18"/>
              </w:rPr>
              <w:t>Landfill gas/ municipal solid waste</w:t>
            </w:r>
          </w:p>
        </w:tc>
        <w:tc>
          <w:tcPr>
            <w:tcW w:w="882" w:type="dxa"/>
            <w:shd w:val="clear" w:color="auto" w:fill="auto"/>
            <w:noWrap/>
            <w:vAlign w:val="center"/>
            <w:hideMark/>
          </w:tcPr>
          <w:p w14:paraId="6C5567A4"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4.17</w:t>
            </w:r>
          </w:p>
        </w:tc>
        <w:tc>
          <w:tcPr>
            <w:tcW w:w="882" w:type="dxa"/>
            <w:shd w:val="clear" w:color="auto" w:fill="auto"/>
            <w:noWrap/>
            <w:vAlign w:val="center"/>
            <w:hideMark/>
          </w:tcPr>
          <w:p w14:paraId="2375EDD9"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4.08</w:t>
            </w:r>
          </w:p>
        </w:tc>
        <w:tc>
          <w:tcPr>
            <w:tcW w:w="882" w:type="dxa"/>
            <w:shd w:val="clear" w:color="auto" w:fill="auto"/>
            <w:noWrap/>
            <w:vAlign w:val="center"/>
            <w:hideMark/>
          </w:tcPr>
          <w:p w14:paraId="7E326DA1"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3.16</w:t>
            </w:r>
          </w:p>
        </w:tc>
        <w:tc>
          <w:tcPr>
            <w:tcW w:w="882" w:type="dxa"/>
            <w:shd w:val="clear" w:color="auto" w:fill="auto"/>
            <w:noWrap/>
            <w:vAlign w:val="center"/>
            <w:hideMark/>
          </w:tcPr>
          <w:p w14:paraId="6FA4A47C"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3.09</w:t>
            </w:r>
          </w:p>
        </w:tc>
        <w:tc>
          <w:tcPr>
            <w:tcW w:w="882" w:type="dxa"/>
            <w:shd w:val="clear" w:color="auto" w:fill="auto"/>
            <w:noWrap/>
            <w:vAlign w:val="center"/>
            <w:hideMark/>
          </w:tcPr>
          <w:p w14:paraId="1A471193"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2.94</w:t>
            </w:r>
          </w:p>
        </w:tc>
        <w:tc>
          <w:tcPr>
            <w:tcW w:w="882" w:type="dxa"/>
            <w:shd w:val="clear" w:color="auto" w:fill="auto"/>
            <w:noWrap/>
            <w:vAlign w:val="center"/>
            <w:hideMark/>
          </w:tcPr>
          <w:p w14:paraId="3379F6DD"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2.89</w:t>
            </w:r>
          </w:p>
        </w:tc>
        <w:tc>
          <w:tcPr>
            <w:tcW w:w="882" w:type="dxa"/>
            <w:shd w:val="clear" w:color="auto" w:fill="auto"/>
            <w:noWrap/>
            <w:vAlign w:val="center"/>
            <w:hideMark/>
          </w:tcPr>
          <w:p w14:paraId="69005A8B"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3.06</w:t>
            </w:r>
          </w:p>
        </w:tc>
        <w:tc>
          <w:tcPr>
            <w:tcW w:w="882" w:type="dxa"/>
            <w:shd w:val="clear" w:color="auto" w:fill="auto"/>
            <w:noWrap/>
            <w:vAlign w:val="center"/>
            <w:hideMark/>
          </w:tcPr>
          <w:p w14:paraId="4D9E73AB"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3.03</w:t>
            </w:r>
          </w:p>
        </w:tc>
        <w:tc>
          <w:tcPr>
            <w:tcW w:w="882" w:type="dxa"/>
            <w:shd w:val="clear" w:color="auto" w:fill="auto"/>
            <w:noWrap/>
            <w:vAlign w:val="center"/>
            <w:hideMark/>
          </w:tcPr>
          <w:p w14:paraId="52C8338C"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2.76</w:t>
            </w:r>
          </w:p>
        </w:tc>
        <w:tc>
          <w:tcPr>
            <w:tcW w:w="882" w:type="dxa"/>
            <w:shd w:val="clear" w:color="auto" w:fill="auto"/>
            <w:noWrap/>
            <w:vAlign w:val="center"/>
            <w:hideMark/>
          </w:tcPr>
          <w:p w14:paraId="656E6630"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2.72</w:t>
            </w:r>
          </w:p>
        </w:tc>
      </w:tr>
      <w:tr w:rsidR="00FC39F0" w:rsidRPr="00FC39F0" w14:paraId="67051645" w14:textId="77777777" w:rsidTr="00A16DB1">
        <w:trPr>
          <w:trHeight w:val="290"/>
          <w:jc w:val="center"/>
        </w:trPr>
        <w:tc>
          <w:tcPr>
            <w:tcW w:w="1887" w:type="dxa"/>
            <w:shd w:val="clear" w:color="auto" w:fill="CCEAF9" w:themeFill="accent1" w:themeFillTint="33"/>
            <w:noWrap/>
            <w:hideMark/>
          </w:tcPr>
          <w:p w14:paraId="2B3C9C1C" w14:textId="77777777" w:rsidR="00FC39F0" w:rsidRPr="00FC39F0" w:rsidRDefault="00FC39F0" w:rsidP="00FC39F0">
            <w:pPr>
              <w:adjustRightInd/>
              <w:spacing w:before="40" w:after="40" w:line="240" w:lineRule="auto"/>
              <w:textAlignment w:val="auto"/>
              <w:rPr>
                <w:rFonts w:asciiTheme="majorHAnsi" w:hAnsiTheme="majorHAnsi" w:cstheme="majorHAnsi"/>
                <w:b/>
                <w:bCs/>
                <w:sz w:val="18"/>
                <w:szCs w:val="18"/>
              </w:rPr>
            </w:pPr>
            <w:r w:rsidRPr="00FC39F0">
              <w:rPr>
                <w:rFonts w:asciiTheme="majorHAnsi" w:hAnsiTheme="majorHAnsi" w:cstheme="majorHAnsi"/>
                <w:b/>
                <w:bCs/>
                <w:sz w:val="18"/>
                <w:szCs w:val="18"/>
              </w:rPr>
              <w:t>Photovoltaics</w:t>
            </w:r>
          </w:p>
        </w:tc>
        <w:tc>
          <w:tcPr>
            <w:tcW w:w="882" w:type="dxa"/>
            <w:shd w:val="clear" w:color="auto" w:fill="CCEAF9" w:themeFill="accent1" w:themeFillTint="33"/>
            <w:noWrap/>
            <w:vAlign w:val="center"/>
            <w:hideMark/>
          </w:tcPr>
          <w:p w14:paraId="4F3DBA7C"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9.47</w:t>
            </w:r>
          </w:p>
        </w:tc>
        <w:tc>
          <w:tcPr>
            <w:tcW w:w="882" w:type="dxa"/>
            <w:shd w:val="clear" w:color="auto" w:fill="CCEAF9" w:themeFill="accent1" w:themeFillTint="33"/>
            <w:noWrap/>
            <w:vAlign w:val="center"/>
            <w:hideMark/>
          </w:tcPr>
          <w:p w14:paraId="0E27F87F"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9.47</w:t>
            </w:r>
          </w:p>
        </w:tc>
        <w:tc>
          <w:tcPr>
            <w:tcW w:w="882" w:type="dxa"/>
            <w:shd w:val="clear" w:color="auto" w:fill="CCEAF9" w:themeFill="accent1" w:themeFillTint="33"/>
            <w:noWrap/>
            <w:vAlign w:val="center"/>
            <w:hideMark/>
          </w:tcPr>
          <w:p w14:paraId="2E74E49F"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9.47</w:t>
            </w:r>
          </w:p>
        </w:tc>
        <w:tc>
          <w:tcPr>
            <w:tcW w:w="882" w:type="dxa"/>
            <w:shd w:val="clear" w:color="auto" w:fill="CCEAF9" w:themeFill="accent1" w:themeFillTint="33"/>
            <w:noWrap/>
            <w:vAlign w:val="center"/>
            <w:hideMark/>
          </w:tcPr>
          <w:p w14:paraId="55738259"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9.47</w:t>
            </w:r>
          </w:p>
        </w:tc>
        <w:tc>
          <w:tcPr>
            <w:tcW w:w="882" w:type="dxa"/>
            <w:shd w:val="clear" w:color="auto" w:fill="CCEAF9" w:themeFill="accent1" w:themeFillTint="33"/>
            <w:noWrap/>
            <w:vAlign w:val="center"/>
            <w:hideMark/>
          </w:tcPr>
          <w:p w14:paraId="4B5C8153"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9.47</w:t>
            </w:r>
          </w:p>
        </w:tc>
        <w:tc>
          <w:tcPr>
            <w:tcW w:w="882" w:type="dxa"/>
            <w:shd w:val="clear" w:color="auto" w:fill="CCEAF9" w:themeFill="accent1" w:themeFillTint="33"/>
            <w:noWrap/>
            <w:vAlign w:val="center"/>
            <w:hideMark/>
          </w:tcPr>
          <w:p w14:paraId="36DA23B2"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9.47</w:t>
            </w:r>
          </w:p>
        </w:tc>
        <w:tc>
          <w:tcPr>
            <w:tcW w:w="882" w:type="dxa"/>
            <w:shd w:val="clear" w:color="auto" w:fill="CCEAF9" w:themeFill="accent1" w:themeFillTint="33"/>
            <w:noWrap/>
            <w:vAlign w:val="center"/>
            <w:hideMark/>
          </w:tcPr>
          <w:p w14:paraId="699835A2"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9.47</w:t>
            </w:r>
          </w:p>
        </w:tc>
        <w:tc>
          <w:tcPr>
            <w:tcW w:w="882" w:type="dxa"/>
            <w:shd w:val="clear" w:color="auto" w:fill="CCEAF9" w:themeFill="accent1" w:themeFillTint="33"/>
            <w:noWrap/>
            <w:vAlign w:val="center"/>
            <w:hideMark/>
          </w:tcPr>
          <w:p w14:paraId="0F4E7D1E"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9.47</w:t>
            </w:r>
          </w:p>
        </w:tc>
        <w:tc>
          <w:tcPr>
            <w:tcW w:w="882" w:type="dxa"/>
            <w:shd w:val="clear" w:color="auto" w:fill="CCEAF9" w:themeFill="accent1" w:themeFillTint="33"/>
            <w:noWrap/>
            <w:vAlign w:val="center"/>
            <w:hideMark/>
          </w:tcPr>
          <w:p w14:paraId="5122A5A3"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9.47</w:t>
            </w:r>
          </w:p>
        </w:tc>
        <w:tc>
          <w:tcPr>
            <w:tcW w:w="882" w:type="dxa"/>
            <w:shd w:val="clear" w:color="auto" w:fill="CCEAF9" w:themeFill="accent1" w:themeFillTint="33"/>
            <w:noWrap/>
            <w:vAlign w:val="center"/>
            <w:hideMark/>
          </w:tcPr>
          <w:p w14:paraId="393951D4"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9.47</w:t>
            </w:r>
          </w:p>
        </w:tc>
      </w:tr>
      <w:tr w:rsidR="00FC39F0" w:rsidRPr="00FC39F0" w14:paraId="2639B34D" w14:textId="77777777" w:rsidTr="00A16DB1">
        <w:trPr>
          <w:trHeight w:val="290"/>
          <w:jc w:val="center"/>
        </w:trPr>
        <w:tc>
          <w:tcPr>
            <w:tcW w:w="1887" w:type="dxa"/>
            <w:shd w:val="clear" w:color="auto" w:fill="auto"/>
            <w:noWrap/>
            <w:hideMark/>
          </w:tcPr>
          <w:p w14:paraId="49343041" w14:textId="77777777" w:rsidR="00FC39F0" w:rsidRPr="00FC39F0" w:rsidRDefault="00FC39F0" w:rsidP="00FC39F0">
            <w:pPr>
              <w:adjustRightInd/>
              <w:spacing w:before="40" w:after="40" w:line="240" w:lineRule="auto"/>
              <w:textAlignment w:val="auto"/>
              <w:rPr>
                <w:rFonts w:asciiTheme="majorHAnsi" w:hAnsiTheme="majorHAnsi" w:cstheme="majorHAnsi"/>
                <w:b/>
                <w:bCs/>
                <w:sz w:val="18"/>
                <w:szCs w:val="18"/>
              </w:rPr>
            </w:pPr>
            <w:r w:rsidRPr="00FC39F0">
              <w:rPr>
                <w:rFonts w:asciiTheme="majorHAnsi" w:hAnsiTheme="majorHAnsi" w:cstheme="majorHAnsi"/>
                <w:b/>
                <w:bCs/>
                <w:sz w:val="18"/>
                <w:szCs w:val="18"/>
              </w:rPr>
              <w:t>Wood</w:t>
            </w:r>
          </w:p>
        </w:tc>
        <w:tc>
          <w:tcPr>
            <w:tcW w:w="882" w:type="dxa"/>
            <w:shd w:val="clear" w:color="auto" w:fill="auto"/>
            <w:noWrap/>
            <w:vAlign w:val="center"/>
            <w:hideMark/>
          </w:tcPr>
          <w:p w14:paraId="722C099F"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4.72</w:t>
            </w:r>
          </w:p>
        </w:tc>
        <w:tc>
          <w:tcPr>
            <w:tcW w:w="882" w:type="dxa"/>
            <w:shd w:val="clear" w:color="auto" w:fill="auto"/>
            <w:noWrap/>
            <w:vAlign w:val="center"/>
            <w:hideMark/>
          </w:tcPr>
          <w:p w14:paraId="1E7A1B10"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4.71</w:t>
            </w:r>
          </w:p>
        </w:tc>
        <w:tc>
          <w:tcPr>
            <w:tcW w:w="882" w:type="dxa"/>
            <w:shd w:val="clear" w:color="auto" w:fill="auto"/>
            <w:noWrap/>
            <w:vAlign w:val="center"/>
            <w:hideMark/>
          </w:tcPr>
          <w:p w14:paraId="4D6D09DB"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4.70</w:t>
            </w:r>
          </w:p>
        </w:tc>
        <w:tc>
          <w:tcPr>
            <w:tcW w:w="882" w:type="dxa"/>
            <w:shd w:val="clear" w:color="auto" w:fill="auto"/>
            <w:noWrap/>
            <w:vAlign w:val="center"/>
            <w:hideMark/>
          </w:tcPr>
          <w:p w14:paraId="6B1FF69D"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4.70</w:t>
            </w:r>
          </w:p>
        </w:tc>
        <w:tc>
          <w:tcPr>
            <w:tcW w:w="882" w:type="dxa"/>
            <w:shd w:val="clear" w:color="auto" w:fill="auto"/>
            <w:noWrap/>
            <w:vAlign w:val="center"/>
            <w:hideMark/>
          </w:tcPr>
          <w:p w14:paraId="4444DFFE"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4.70</w:t>
            </w:r>
          </w:p>
        </w:tc>
        <w:tc>
          <w:tcPr>
            <w:tcW w:w="882" w:type="dxa"/>
            <w:shd w:val="clear" w:color="auto" w:fill="auto"/>
            <w:noWrap/>
            <w:vAlign w:val="center"/>
            <w:hideMark/>
          </w:tcPr>
          <w:p w14:paraId="2151EFF6"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4.70</w:t>
            </w:r>
          </w:p>
        </w:tc>
        <w:tc>
          <w:tcPr>
            <w:tcW w:w="882" w:type="dxa"/>
            <w:shd w:val="clear" w:color="auto" w:fill="auto"/>
            <w:noWrap/>
            <w:vAlign w:val="center"/>
            <w:hideMark/>
          </w:tcPr>
          <w:p w14:paraId="5F6F7E4B"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4.70</w:t>
            </w:r>
          </w:p>
        </w:tc>
        <w:tc>
          <w:tcPr>
            <w:tcW w:w="882" w:type="dxa"/>
            <w:shd w:val="clear" w:color="auto" w:fill="auto"/>
            <w:noWrap/>
            <w:vAlign w:val="center"/>
            <w:hideMark/>
          </w:tcPr>
          <w:p w14:paraId="534CD97D"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4.70</w:t>
            </w:r>
          </w:p>
        </w:tc>
        <w:tc>
          <w:tcPr>
            <w:tcW w:w="882" w:type="dxa"/>
            <w:shd w:val="clear" w:color="auto" w:fill="auto"/>
            <w:noWrap/>
            <w:vAlign w:val="center"/>
            <w:hideMark/>
          </w:tcPr>
          <w:p w14:paraId="46406CDF"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4.70</w:t>
            </w:r>
          </w:p>
        </w:tc>
        <w:tc>
          <w:tcPr>
            <w:tcW w:w="882" w:type="dxa"/>
            <w:shd w:val="clear" w:color="auto" w:fill="auto"/>
            <w:noWrap/>
            <w:vAlign w:val="center"/>
            <w:hideMark/>
          </w:tcPr>
          <w:p w14:paraId="309D8666"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4.70</w:t>
            </w:r>
          </w:p>
        </w:tc>
      </w:tr>
      <w:tr w:rsidR="00FC39F0" w:rsidRPr="00FC39F0" w14:paraId="2F5B228F" w14:textId="77777777" w:rsidTr="00A16DB1">
        <w:trPr>
          <w:trHeight w:val="290"/>
          <w:jc w:val="center"/>
        </w:trPr>
        <w:tc>
          <w:tcPr>
            <w:tcW w:w="1887" w:type="dxa"/>
            <w:shd w:val="clear" w:color="auto" w:fill="CCEAF9" w:themeFill="accent1" w:themeFillTint="33"/>
            <w:noWrap/>
            <w:hideMark/>
          </w:tcPr>
          <w:p w14:paraId="0EA045F3" w14:textId="77777777" w:rsidR="00FC39F0" w:rsidRPr="00FC39F0" w:rsidRDefault="00FC39F0" w:rsidP="00FC39F0">
            <w:pPr>
              <w:adjustRightInd/>
              <w:spacing w:before="40" w:after="40" w:line="240" w:lineRule="auto"/>
              <w:textAlignment w:val="auto"/>
              <w:rPr>
                <w:rFonts w:asciiTheme="majorHAnsi" w:hAnsiTheme="majorHAnsi" w:cstheme="majorHAnsi"/>
                <w:b/>
                <w:bCs/>
                <w:sz w:val="18"/>
                <w:szCs w:val="18"/>
              </w:rPr>
            </w:pPr>
            <w:r w:rsidRPr="00FC39F0">
              <w:rPr>
                <w:rFonts w:asciiTheme="majorHAnsi" w:hAnsiTheme="majorHAnsi" w:cstheme="majorHAnsi"/>
                <w:b/>
                <w:bCs/>
                <w:sz w:val="18"/>
                <w:szCs w:val="18"/>
              </w:rPr>
              <w:t>Nuclear</w:t>
            </w:r>
          </w:p>
        </w:tc>
        <w:tc>
          <w:tcPr>
            <w:tcW w:w="882" w:type="dxa"/>
            <w:shd w:val="clear" w:color="auto" w:fill="CCEAF9" w:themeFill="accent1" w:themeFillTint="33"/>
            <w:noWrap/>
            <w:vAlign w:val="center"/>
            <w:hideMark/>
          </w:tcPr>
          <w:p w14:paraId="35A83EDD"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12.33</w:t>
            </w:r>
          </w:p>
        </w:tc>
        <w:tc>
          <w:tcPr>
            <w:tcW w:w="882" w:type="dxa"/>
            <w:shd w:val="clear" w:color="auto" w:fill="CCEAF9" w:themeFill="accent1" w:themeFillTint="33"/>
            <w:noWrap/>
            <w:vAlign w:val="center"/>
            <w:hideMark/>
          </w:tcPr>
          <w:p w14:paraId="128077FC"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12.33</w:t>
            </w:r>
          </w:p>
        </w:tc>
        <w:tc>
          <w:tcPr>
            <w:tcW w:w="882" w:type="dxa"/>
            <w:shd w:val="clear" w:color="auto" w:fill="CCEAF9" w:themeFill="accent1" w:themeFillTint="33"/>
            <w:noWrap/>
            <w:vAlign w:val="center"/>
            <w:hideMark/>
          </w:tcPr>
          <w:p w14:paraId="6587ADE6"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12.33</w:t>
            </w:r>
          </w:p>
        </w:tc>
        <w:tc>
          <w:tcPr>
            <w:tcW w:w="882" w:type="dxa"/>
            <w:shd w:val="clear" w:color="auto" w:fill="CCEAF9" w:themeFill="accent1" w:themeFillTint="33"/>
            <w:noWrap/>
            <w:vAlign w:val="center"/>
            <w:hideMark/>
          </w:tcPr>
          <w:p w14:paraId="212748F7"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12.33</w:t>
            </w:r>
          </w:p>
        </w:tc>
        <w:tc>
          <w:tcPr>
            <w:tcW w:w="882" w:type="dxa"/>
            <w:shd w:val="clear" w:color="auto" w:fill="CCEAF9" w:themeFill="accent1" w:themeFillTint="33"/>
            <w:noWrap/>
            <w:vAlign w:val="center"/>
            <w:hideMark/>
          </w:tcPr>
          <w:p w14:paraId="7B270198"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12.33</w:t>
            </w:r>
          </w:p>
        </w:tc>
        <w:tc>
          <w:tcPr>
            <w:tcW w:w="882" w:type="dxa"/>
            <w:shd w:val="clear" w:color="auto" w:fill="CCEAF9" w:themeFill="accent1" w:themeFillTint="33"/>
            <w:noWrap/>
            <w:vAlign w:val="center"/>
            <w:hideMark/>
          </w:tcPr>
          <w:p w14:paraId="22752A91"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12.33</w:t>
            </w:r>
          </w:p>
        </w:tc>
        <w:tc>
          <w:tcPr>
            <w:tcW w:w="882" w:type="dxa"/>
            <w:shd w:val="clear" w:color="auto" w:fill="CCEAF9" w:themeFill="accent1" w:themeFillTint="33"/>
            <w:noWrap/>
            <w:vAlign w:val="center"/>
            <w:hideMark/>
          </w:tcPr>
          <w:p w14:paraId="03EECA61"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12.33</w:t>
            </w:r>
          </w:p>
        </w:tc>
        <w:tc>
          <w:tcPr>
            <w:tcW w:w="882" w:type="dxa"/>
            <w:shd w:val="clear" w:color="auto" w:fill="CCEAF9" w:themeFill="accent1" w:themeFillTint="33"/>
            <w:noWrap/>
            <w:vAlign w:val="center"/>
            <w:hideMark/>
          </w:tcPr>
          <w:p w14:paraId="7AD6AC93"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12.33</w:t>
            </w:r>
          </w:p>
        </w:tc>
        <w:tc>
          <w:tcPr>
            <w:tcW w:w="882" w:type="dxa"/>
            <w:shd w:val="clear" w:color="auto" w:fill="CCEAF9" w:themeFill="accent1" w:themeFillTint="33"/>
            <w:noWrap/>
            <w:vAlign w:val="center"/>
            <w:hideMark/>
          </w:tcPr>
          <w:p w14:paraId="18A76C3B"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12.33</w:t>
            </w:r>
          </w:p>
        </w:tc>
        <w:tc>
          <w:tcPr>
            <w:tcW w:w="882" w:type="dxa"/>
            <w:shd w:val="clear" w:color="auto" w:fill="CCEAF9" w:themeFill="accent1" w:themeFillTint="33"/>
            <w:noWrap/>
            <w:vAlign w:val="center"/>
            <w:hideMark/>
          </w:tcPr>
          <w:p w14:paraId="69EFCB67"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12.33</w:t>
            </w:r>
          </w:p>
        </w:tc>
      </w:tr>
      <w:tr w:rsidR="00FC39F0" w:rsidRPr="00FC39F0" w14:paraId="738A5FB5" w14:textId="77777777" w:rsidTr="00A16DB1">
        <w:trPr>
          <w:trHeight w:val="290"/>
          <w:jc w:val="center"/>
        </w:trPr>
        <w:tc>
          <w:tcPr>
            <w:tcW w:w="1887" w:type="dxa"/>
            <w:shd w:val="clear" w:color="auto" w:fill="auto"/>
            <w:noWrap/>
            <w:hideMark/>
          </w:tcPr>
          <w:p w14:paraId="56499041" w14:textId="77777777" w:rsidR="00FC39F0" w:rsidRPr="00FC39F0" w:rsidRDefault="00FC39F0" w:rsidP="00FC39F0">
            <w:pPr>
              <w:adjustRightInd/>
              <w:spacing w:before="40" w:after="40" w:line="240" w:lineRule="auto"/>
              <w:textAlignment w:val="auto"/>
              <w:rPr>
                <w:rFonts w:asciiTheme="majorHAnsi" w:hAnsiTheme="majorHAnsi" w:cstheme="majorHAnsi"/>
                <w:b/>
                <w:bCs/>
                <w:sz w:val="18"/>
                <w:szCs w:val="18"/>
              </w:rPr>
            </w:pPr>
            <w:r w:rsidRPr="00FC39F0">
              <w:rPr>
                <w:rFonts w:asciiTheme="majorHAnsi" w:hAnsiTheme="majorHAnsi" w:cstheme="majorHAnsi"/>
                <w:b/>
                <w:bCs/>
                <w:sz w:val="18"/>
                <w:szCs w:val="18"/>
              </w:rPr>
              <w:t>Energy efficiency/</w:t>
            </w:r>
            <w:r w:rsidRPr="00FC39F0">
              <w:rPr>
                <w:rFonts w:asciiTheme="majorHAnsi" w:hAnsiTheme="majorHAnsi" w:cstheme="majorHAnsi"/>
                <w:b/>
                <w:bCs/>
                <w:sz w:val="18"/>
                <w:szCs w:val="18"/>
              </w:rPr>
              <w:br/>
              <w:t>demand response</w:t>
            </w:r>
          </w:p>
        </w:tc>
        <w:tc>
          <w:tcPr>
            <w:tcW w:w="882" w:type="dxa"/>
            <w:shd w:val="clear" w:color="auto" w:fill="auto"/>
            <w:noWrap/>
            <w:vAlign w:val="center"/>
            <w:hideMark/>
          </w:tcPr>
          <w:p w14:paraId="5F2FF251"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36.09</w:t>
            </w:r>
          </w:p>
        </w:tc>
        <w:tc>
          <w:tcPr>
            <w:tcW w:w="882" w:type="dxa"/>
            <w:shd w:val="clear" w:color="auto" w:fill="auto"/>
            <w:noWrap/>
            <w:vAlign w:val="center"/>
            <w:hideMark/>
          </w:tcPr>
          <w:p w14:paraId="4D6FEC0F"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36.09</w:t>
            </w:r>
          </w:p>
        </w:tc>
        <w:tc>
          <w:tcPr>
            <w:tcW w:w="882" w:type="dxa"/>
            <w:shd w:val="clear" w:color="auto" w:fill="auto"/>
            <w:noWrap/>
            <w:vAlign w:val="center"/>
            <w:hideMark/>
          </w:tcPr>
          <w:p w14:paraId="59BFE519"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36.09</w:t>
            </w:r>
          </w:p>
        </w:tc>
        <w:tc>
          <w:tcPr>
            <w:tcW w:w="882" w:type="dxa"/>
            <w:shd w:val="clear" w:color="auto" w:fill="auto"/>
            <w:noWrap/>
            <w:vAlign w:val="center"/>
            <w:hideMark/>
          </w:tcPr>
          <w:p w14:paraId="31C4CE45"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36.09</w:t>
            </w:r>
          </w:p>
        </w:tc>
        <w:tc>
          <w:tcPr>
            <w:tcW w:w="882" w:type="dxa"/>
            <w:shd w:val="clear" w:color="auto" w:fill="auto"/>
            <w:noWrap/>
            <w:vAlign w:val="center"/>
            <w:hideMark/>
          </w:tcPr>
          <w:p w14:paraId="6629ECE7"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36.09</w:t>
            </w:r>
          </w:p>
        </w:tc>
        <w:tc>
          <w:tcPr>
            <w:tcW w:w="882" w:type="dxa"/>
            <w:shd w:val="clear" w:color="auto" w:fill="auto"/>
            <w:noWrap/>
            <w:vAlign w:val="center"/>
            <w:hideMark/>
          </w:tcPr>
          <w:p w14:paraId="717250D4"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36.09</w:t>
            </w:r>
          </w:p>
        </w:tc>
        <w:tc>
          <w:tcPr>
            <w:tcW w:w="882" w:type="dxa"/>
            <w:shd w:val="clear" w:color="auto" w:fill="auto"/>
            <w:noWrap/>
            <w:vAlign w:val="center"/>
            <w:hideMark/>
          </w:tcPr>
          <w:p w14:paraId="4993B8F8"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36.09</w:t>
            </w:r>
          </w:p>
        </w:tc>
        <w:tc>
          <w:tcPr>
            <w:tcW w:w="882" w:type="dxa"/>
            <w:shd w:val="clear" w:color="auto" w:fill="auto"/>
            <w:noWrap/>
            <w:vAlign w:val="center"/>
            <w:hideMark/>
          </w:tcPr>
          <w:p w14:paraId="432BE7EC"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36.09</w:t>
            </w:r>
          </w:p>
        </w:tc>
        <w:tc>
          <w:tcPr>
            <w:tcW w:w="882" w:type="dxa"/>
            <w:shd w:val="clear" w:color="auto" w:fill="auto"/>
            <w:noWrap/>
            <w:vAlign w:val="center"/>
            <w:hideMark/>
          </w:tcPr>
          <w:p w14:paraId="066D1CCF"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36.09</w:t>
            </w:r>
          </w:p>
        </w:tc>
        <w:tc>
          <w:tcPr>
            <w:tcW w:w="882" w:type="dxa"/>
            <w:shd w:val="clear" w:color="auto" w:fill="auto"/>
            <w:noWrap/>
            <w:vAlign w:val="center"/>
            <w:hideMark/>
          </w:tcPr>
          <w:p w14:paraId="22F6DD09"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36.09</w:t>
            </w:r>
          </w:p>
        </w:tc>
      </w:tr>
      <w:tr w:rsidR="00FC39F0" w:rsidRPr="00FC39F0" w14:paraId="7D21E39A" w14:textId="77777777" w:rsidTr="00A16DB1">
        <w:trPr>
          <w:trHeight w:val="290"/>
          <w:jc w:val="center"/>
        </w:trPr>
        <w:tc>
          <w:tcPr>
            <w:tcW w:w="1887" w:type="dxa"/>
            <w:shd w:val="clear" w:color="auto" w:fill="CCEAF9" w:themeFill="accent1" w:themeFillTint="33"/>
            <w:noWrap/>
            <w:hideMark/>
          </w:tcPr>
          <w:p w14:paraId="1E86A0DC" w14:textId="77777777" w:rsidR="00FC39F0" w:rsidRPr="00FC39F0" w:rsidRDefault="00FC39F0" w:rsidP="00FC39F0">
            <w:pPr>
              <w:adjustRightInd/>
              <w:spacing w:before="40" w:after="40" w:line="240" w:lineRule="auto"/>
              <w:textAlignment w:val="auto"/>
              <w:rPr>
                <w:rFonts w:asciiTheme="majorHAnsi" w:hAnsiTheme="majorHAnsi" w:cstheme="majorHAnsi"/>
                <w:b/>
                <w:bCs/>
                <w:sz w:val="18"/>
                <w:szCs w:val="18"/>
              </w:rPr>
            </w:pPr>
            <w:r w:rsidRPr="00FC39F0">
              <w:rPr>
                <w:rFonts w:asciiTheme="majorHAnsi" w:hAnsiTheme="majorHAnsi" w:cstheme="majorHAnsi"/>
                <w:b/>
                <w:bCs/>
                <w:sz w:val="18"/>
                <w:szCs w:val="18"/>
              </w:rPr>
              <w:t>Hydroelectric</w:t>
            </w:r>
          </w:p>
        </w:tc>
        <w:tc>
          <w:tcPr>
            <w:tcW w:w="882" w:type="dxa"/>
            <w:shd w:val="clear" w:color="auto" w:fill="CCEAF9" w:themeFill="accent1" w:themeFillTint="33"/>
            <w:noWrap/>
            <w:vAlign w:val="center"/>
            <w:hideMark/>
          </w:tcPr>
          <w:p w14:paraId="2DD5E660"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9.20</w:t>
            </w:r>
          </w:p>
        </w:tc>
        <w:tc>
          <w:tcPr>
            <w:tcW w:w="882" w:type="dxa"/>
            <w:shd w:val="clear" w:color="auto" w:fill="CCEAF9" w:themeFill="accent1" w:themeFillTint="33"/>
            <w:noWrap/>
            <w:vAlign w:val="center"/>
            <w:hideMark/>
          </w:tcPr>
          <w:p w14:paraId="01F3AB2C"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9.25</w:t>
            </w:r>
          </w:p>
        </w:tc>
        <w:tc>
          <w:tcPr>
            <w:tcW w:w="882" w:type="dxa"/>
            <w:shd w:val="clear" w:color="auto" w:fill="CCEAF9" w:themeFill="accent1" w:themeFillTint="33"/>
            <w:noWrap/>
            <w:vAlign w:val="center"/>
            <w:hideMark/>
          </w:tcPr>
          <w:p w14:paraId="7BFA7698"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7.40</w:t>
            </w:r>
          </w:p>
        </w:tc>
        <w:tc>
          <w:tcPr>
            <w:tcW w:w="882" w:type="dxa"/>
            <w:shd w:val="clear" w:color="auto" w:fill="CCEAF9" w:themeFill="accent1" w:themeFillTint="33"/>
            <w:noWrap/>
            <w:vAlign w:val="center"/>
            <w:hideMark/>
          </w:tcPr>
          <w:p w14:paraId="52A4AD97"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7.42</w:t>
            </w:r>
          </w:p>
        </w:tc>
        <w:tc>
          <w:tcPr>
            <w:tcW w:w="882" w:type="dxa"/>
            <w:shd w:val="clear" w:color="auto" w:fill="CCEAF9" w:themeFill="accent1" w:themeFillTint="33"/>
            <w:noWrap/>
            <w:vAlign w:val="center"/>
            <w:hideMark/>
          </w:tcPr>
          <w:p w14:paraId="12A45AE4"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6.69</w:t>
            </w:r>
          </w:p>
        </w:tc>
        <w:tc>
          <w:tcPr>
            <w:tcW w:w="882" w:type="dxa"/>
            <w:shd w:val="clear" w:color="auto" w:fill="CCEAF9" w:themeFill="accent1" w:themeFillTint="33"/>
            <w:noWrap/>
            <w:vAlign w:val="center"/>
            <w:hideMark/>
          </w:tcPr>
          <w:p w14:paraId="463F98EC"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6.41</w:t>
            </w:r>
          </w:p>
        </w:tc>
        <w:tc>
          <w:tcPr>
            <w:tcW w:w="882" w:type="dxa"/>
            <w:shd w:val="clear" w:color="auto" w:fill="CCEAF9" w:themeFill="accent1" w:themeFillTint="33"/>
            <w:noWrap/>
            <w:vAlign w:val="center"/>
            <w:hideMark/>
          </w:tcPr>
          <w:p w14:paraId="10DA6323"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7.14</w:t>
            </w:r>
          </w:p>
        </w:tc>
        <w:tc>
          <w:tcPr>
            <w:tcW w:w="882" w:type="dxa"/>
            <w:shd w:val="clear" w:color="auto" w:fill="CCEAF9" w:themeFill="accent1" w:themeFillTint="33"/>
            <w:noWrap/>
            <w:vAlign w:val="center"/>
            <w:hideMark/>
          </w:tcPr>
          <w:p w14:paraId="251A018B"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6.86</w:t>
            </w:r>
          </w:p>
        </w:tc>
        <w:tc>
          <w:tcPr>
            <w:tcW w:w="882" w:type="dxa"/>
            <w:shd w:val="clear" w:color="auto" w:fill="CCEAF9" w:themeFill="accent1" w:themeFillTint="33"/>
            <w:noWrap/>
            <w:vAlign w:val="center"/>
            <w:hideMark/>
          </w:tcPr>
          <w:p w14:paraId="71BA0470"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5.62</w:t>
            </w:r>
          </w:p>
        </w:tc>
        <w:tc>
          <w:tcPr>
            <w:tcW w:w="882" w:type="dxa"/>
            <w:shd w:val="clear" w:color="auto" w:fill="CCEAF9" w:themeFill="accent1" w:themeFillTint="33"/>
            <w:noWrap/>
            <w:vAlign w:val="center"/>
            <w:hideMark/>
          </w:tcPr>
          <w:p w14:paraId="08493FD1" w14:textId="77777777" w:rsidR="00FC39F0" w:rsidRPr="00FC39F0" w:rsidRDefault="00FC39F0" w:rsidP="00FC39F0">
            <w:pPr>
              <w:adjustRightInd/>
              <w:spacing w:before="40" w:after="40" w:line="240" w:lineRule="auto"/>
              <w:jc w:val="right"/>
              <w:textAlignment w:val="auto"/>
              <w:rPr>
                <w:rFonts w:asciiTheme="majorHAnsi" w:hAnsiTheme="majorHAnsi" w:cstheme="majorHAnsi"/>
                <w:sz w:val="18"/>
                <w:szCs w:val="18"/>
              </w:rPr>
            </w:pPr>
            <w:r w:rsidRPr="00FC39F0">
              <w:rPr>
                <w:rFonts w:asciiTheme="majorHAnsi" w:hAnsiTheme="majorHAnsi" w:cstheme="majorHAnsi"/>
                <w:sz w:val="18"/>
                <w:szCs w:val="18"/>
              </w:rPr>
              <w:t>5.55</w:t>
            </w:r>
          </w:p>
        </w:tc>
      </w:tr>
    </w:tbl>
    <w:p w14:paraId="1825915F" w14:textId="77777777" w:rsidR="000E66CA" w:rsidRDefault="000E66CA" w:rsidP="00C06F83">
      <w:pPr>
        <w:spacing w:after="0" w:line="240" w:lineRule="auto"/>
        <w:ind w:left="-720"/>
      </w:pPr>
    </w:p>
    <w:p w14:paraId="744697E4" w14:textId="77777777" w:rsidR="00B46E4F" w:rsidRDefault="00F45227" w:rsidP="00C06F83">
      <w:pPr>
        <w:pStyle w:val="Heading2"/>
      </w:pPr>
      <w:bookmarkStart w:id="72" w:name="_Toc52533800"/>
      <w:r>
        <w:t>Annual Average Locational Marginal P</w:t>
      </w:r>
      <w:r w:rsidR="00B46E4F" w:rsidRPr="00B46E4F">
        <w:t>rices</w:t>
      </w:r>
      <w:bookmarkEnd w:id="72"/>
    </w:p>
    <w:p w14:paraId="533DF060" w14:textId="77777777" w:rsidR="00441F4D" w:rsidRDefault="00A123BE" w:rsidP="00F45227">
      <w:r>
        <w:t>T</w:t>
      </w:r>
      <w:r w:rsidRPr="004F298C">
        <w:t xml:space="preserve">he </w:t>
      </w:r>
      <w:r>
        <w:t xml:space="preserve">impact of additional offshore wind </w:t>
      </w:r>
      <w:r w:rsidR="00FD2A57">
        <w:t xml:space="preserve">was </w:t>
      </w:r>
      <w:r w:rsidR="00593924">
        <w:t xml:space="preserve">observed </w:t>
      </w:r>
      <w:r w:rsidR="006278A1">
        <w:t>through</w:t>
      </w:r>
      <w:r w:rsidR="00FD2A57">
        <w:t xml:space="preserve"> evaluating </w:t>
      </w:r>
      <w:r w:rsidRPr="004F298C">
        <w:t xml:space="preserve">average </w:t>
      </w:r>
      <w:r w:rsidR="00623BCA">
        <w:t xml:space="preserve">locational marginal prices </w:t>
      </w:r>
      <w:r w:rsidR="00623BCA" w:rsidRPr="00DA64C1">
        <w:t>(</w:t>
      </w:r>
      <w:r w:rsidRPr="00DA64C1">
        <w:t>LMPs</w:t>
      </w:r>
      <w:r w:rsidR="00623BCA" w:rsidRPr="00DA64C1">
        <w:t>)</w:t>
      </w:r>
      <w:r w:rsidRPr="00DA64C1">
        <w:t xml:space="preserve"> </w:t>
      </w:r>
      <w:r w:rsidR="00FD2A57" w:rsidRPr="00DA64C1">
        <w:t>for</w:t>
      </w:r>
      <w:r w:rsidRPr="00DA64C1">
        <w:t xml:space="preserve"> selected RSP subareas</w:t>
      </w:r>
      <w:r w:rsidR="00FD2A57" w:rsidRPr="00DA64C1">
        <w:t xml:space="preserve">, </w:t>
      </w:r>
      <w:r w:rsidR="006278A1" w:rsidRPr="00DA64C1">
        <w:t>under</w:t>
      </w:r>
      <w:r w:rsidR="00FD2A57" w:rsidRPr="00DA64C1">
        <w:t xml:space="preserve"> </w:t>
      </w:r>
      <w:r w:rsidRPr="00DA64C1">
        <w:t xml:space="preserve">constrained and unconstrained </w:t>
      </w:r>
      <w:r w:rsidR="00FD2A57" w:rsidRPr="00DA64C1">
        <w:t>scenarios</w:t>
      </w:r>
      <w:r w:rsidRPr="00DA64C1">
        <w:t xml:space="preserve"> </w:t>
      </w:r>
      <w:r w:rsidR="00FD2A57" w:rsidRPr="00DA64C1">
        <w:t>of</w:t>
      </w:r>
      <w:r w:rsidRPr="00DA64C1">
        <w:t xml:space="preserve"> the 2030 study year</w:t>
      </w:r>
      <w:r w:rsidR="00BF1EA7" w:rsidRPr="00DA64C1">
        <w:t xml:space="preserve">. </w:t>
      </w:r>
      <w:r w:rsidR="00F45227" w:rsidRPr="00DA64C1">
        <w:t>The scenario</w:t>
      </w:r>
      <w:r w:rsidRPr="00DA64C1">
        <w:t xml:space="preserve">s analyzed </w:t>
      </w:r>
      <w:r w:rsidR="00F45227" w:rsidRPr="00DA64C1">
        <w:t>for the unconstrained cases show lower average systemwide LMPs</w:t>
      </w:r>
      <w:r w:rsidR="00F52DC2" w:rsidRPr="00DA64C1">
        <w:t xml:space="preserve"> as the a</w:t>
      </w:r>
      <w:r w:rsidR="00E45FAD" w:rsidRPr="00DA64C1">
        <w:t>m</w:t>
      </w:r>
      <w:r w:rsidR="00F52DC2" w:rsidRPr="00DA64C1">
        <w:t>ount of offshore wind increases</w:t>
      </w:r>
      <w:r w:rsidR="00F45227" w:rsidRPr="00DA64C1">
        <w:t xml:space="preserve"> because </w:t>
      </w:r>
      <w:r w:rsidR="00F52DC2" w:rsidRPr="00DA64C1">
        <w:t xml:space="preserve">these </w:t>
      </w:r>
      <w:r w:rsidR="00F45227" w:rsidRPr="00DA64C1">
        <w:t>price-taking resources produce greater amounts of energy</w:t>
      </w:r>
      <w:r w:rsidR="00F52DC2" w:rsidRPr="00DA64C1">
        <w:t xml:space="preserve">. The reduced LMPs occur when the offshore wind </w:t>
      </w:r>
      <w:r w:rsidR="00F45227" w:rsidRPr="00DA64C1">
        <w:t>displace</w:t>
      </w:r>
      <w:r w:rsidR="00F52DC2" w:rsidRPr="00DA64C1">
        <w:t>s</w:t>
      </w:r>
      <w:r w:rsidR="00F45227" w:rsidRPr="00DA64C1">
        <w:t xml:space="preserve"> less</w:t>
      </w:r>
      <w:r w:rsidR="00C63E57" w:rsidRPr="00DA64C1">
        <w:t xml:space="preserve"> </w:t>
      </w:r>
      <w:r w:rsidR="00F45227" w:rsidRPr="00DA64C1">
        <w:t xml:space="preserve">efficient fossil fuel generating </w:t>
      </w:r>
      <w:r w:rsidR="00C2081A" w:rsidRPr="00DA64C1">
        <w:t>resources</w:t>
      </w:r>
      <w:r w:rsidR="00F52DC2" w:rsidRPr="00DA64C1">
        <w:t xml:space="preserve"> and sometime set the LMP at their lower threshold price</w:t>
      </w:r>
      <w:r w:rsidR="00BF1EA7" w:rsidRPr="00DA64C1">
        <w:t xml:space="preserve">. </w:t>
      </w:r>
      <w:r w:rsidR="005A4381" w:rsidRPr="00DA64C1">
        <w:t xml:space="preserve">When SEMA/RI exports are constrained by transmission limits, the LMPs for </w:t>
      </w:r>
      <w:r w:rsidR="00F725B2" w:rsidRPr="00DA64C1">
        <w:t>G</w:t>
      </w:r>
      <w:r w:rsidR="005A4381" w:rsidRPr="00DA64C1">
        <w:t>reater New England are higher and affect a large fraction of New England’s load while the LMPs are lower within the SEMA/RI constrain</w:t>
      </w:r>
      <w:r w:rsidR="00B424EF" w:rsidRPr="00DA64C1">
        <w:t>ed subarea</w:t>
      </w:r>
      <w:r w:rsidR="005A4381" w:rsidRPr="00DA64C1">
        <w:t>, which affects a small fraction of New England’s load.</w:t>
      </w:r>
    </w:p>
    <w:p w14:paraId="0A3B781B" w14:textId="77777777" w:rsidR="007A5597" w:rsidRDefault="00C06F83" w:rsidP="00C06F83">
      <w:r w:rsidRPr="00F51ED3">
        <w:t>Constraints on the Surowiec South interface cause p</w:t>
      </w:r>
      <w:r w:rsidR="00441F4D" w:rsidRPr="00F51ED3">
        <w:t xml:space="preserve">rice separation. </w:t>
      </w:r>
      <w:r w:rsidR="00441F4D" w:rsidRPr="00441F4D">
        <w:t xml:space="preserve">The added demand associated with electrification </w:t>
      </w:r>
      <w:r w:rsidR="00290F31">
        <w:t xml:space="preserve">(as illustrated in the 10000_Sen </w:t>
      </w:r>
      <w:r w:rsidR="00A25A32">
        <w:t>scenario</w:t>
      </w:r>
      <w:r w:rsidR="00290F31">
        <w:t xml:space="preserve">) </w:t>
      </w:r>
      <w:r w:rsidR="00441F4D" w:rsidRPr="00441F4D">
        <w:t xml:space="preserve">increases LMPs. </w:t>
      </w:r>
      <w:r w:rsidR="00EF6D9E">
        <w:t>In the u</w:t>
      </w:r>
      <w:r w:rsidR="00441F4D" w:rsidRPr="00441F4D">
        <w:t>nconstrained cases</w:t>
      </w:r>
      <w:r w:rsidR="00EF6D9E">
        <w:t xml:space="preserve">, price-taking resources produce </w:t>
      </w:r>
      <w:r w:rsidR="00441F4D" w:rsidRPr="00441F4D">
        <w:t>more energy</w:t>
      </w:r>
      <w:r w:rsidR="00EF6D9E">
        <w:t xml:space="preserve">, </w:t>
      </w:r>
      <w:r w:rsidR="00441F4D" w:rsidRPr="00441F4D">
        <w:t>therefore result</w:t>
      </w:r>
      <w:r w:rsidR="00DD1162">
        <w:t>ing</w:t>
      </w:r>
      <w:r w:rsidR="00441F4D" w:rsidRPr="00441F4D">
        <w:t xml:space="preserve"> in slightly lower LMPs for </w:t>
      </w:r>
      <w:r w:rsidR="00290F31">
        <w:t xml:space="preserve">the </w:t>
      </w:r>
      <w:r w:rsidR="00441F4D" w:rsidRPr="00441F4D">
        <w:t>SME, NH, and Boston subareas.</w:t>
      </w:r>
      <w:r w:rsidR="00290F31" w:rsidRPr="00290F31">
        <w:t xml:space="preserve"> </w:t>
      </w:r>
      <w:r w:rsidR="00290F31" w:rsidRPr="005A589D">
        <w:t>As</w:t>
      </w:r>
      <w:r w:rsidR="00290F31">
        <w:t xml:space="preserve"> illustrated in </w:t>
      </w:r>
      <w:r w:rsidR="00290F31">
        <w:fldChar w:fldCharType="begin"/>
      </w:r>
      <w:r w:rsidR="00290F31">
        <w:instrText xml:space="preserve"> REF _Ref42675768 \h </w:instrText>
      </w:r>
      <w:r>
        <w:instrText xml:space="preserve"> \* MERGEFORMAT </w:instrText>
      </w:r>
      <w:r w:rsidR="00290F31">
        <w:fldChar w:fldCharType="separate"/>
      </w:r>
      <w:r w:rsidR="00E76F3A">
        <w:t xml:space="preserve">Figure </w:t>
      </w:r>
      <w:r w:rsidR="00E76F3A">
        <w:rPr>
          <w:noProof/>
        </w:rPr>
        <w:t>5</w:t>
      </w:r>
      <w:r w:rsidR="00E76F3A">
        <w:rPr>
          <w:noProof/>
        </w:rPr>
        <w:noBreakHyphen/>
        <w:t>6</w:t>
      </w:r>
      <w:r w:rsidR="00290F31">
        <w:fldChar w:fldCharType="end"/>
      </w:r>
      <w:r w:rsidR="00290F31">
        <w:t>, t</w:t>
      </w:r>
      <w:r w:rsidR="00290F31" w:rsidRPr="00C2081A">
        <w:t>he reference scenario has the largest price separation between BHE/ME and the rest of the system</w:t>
      </w:r>
      <w:r w:rsidR="00290F31">
        <w:t xml:space="preserve">. </w:t>
      </w:r>
      <w:r w:rsidR="00DD1162">
        <w:t>P</w:t>
      </w:r>
      <w:r w:rsidR="00290F31">
        <w:t>rice</w:t>
      </w:r>
      <w:r w:rsidR="00290F31" w:rsidRPr="00C2081A">
        <w:t xml:space="preserve"> separation </w:t>
      </w:r>
      <w:r w:rsidR="005A4381">
        <w:t>is persistent but decreased</w:t>
      </w:r>
      <w:r w:rsidR="00DD1162">
        <w:t xml:space="preserve"> </w:t>
      </w:r>
      <w:r w:rsidR="00290F31">
        <w:t>as more offshore wind is added</w:t>
      </w:r>
      <w:r w:rsidR="00DD1162">
        <w:t>,</w:t>
      </w:r>
      <w:r w:rsidR="00290F31">
        <w:t xml:space="preserve"> </w:t>
      </w:r>
      <w:r w:rsidR="00290F31" w:rsidRPr="00C2081A">
        <w:t xml:space="preserve">which lowers </w:t>
      </w:r>
      <w:r w:rsidR="00290F31">
        <w:t xml:space="preserve">the </w:t>
      </w:r>
      <w:r w:rsidR="00290F31" w:rsidRPr="00C2081A">
        <w:t>LMPs outside Maine</w:t>
      </w:r>
      <w:r w:rsidR="00290F31">
        <w:t>.</w:t>
      </w:r>
      <w:r w:rsidR="007A5597" w:rsidRPr="007A5597">
        <w:t xml:space="preserve"> </w:t>
      </w:r>
    </w:p>
    <w:p w14:paraId="267B667F" w14:textId="77777777" w:rsidR="007A5597" w:rsidRDefault="007A5597" w:rsidP="007A5597">
      <w:pPr>
        <w:spacing w:after="0" w:line="240" w:lineRule="auto"/>
        <w:jc w:val="center"/>
      </w:pPr>
      <w:r w:rsidRPr="007A5597">
        <w:rPr>
          <w:noProof/>
        </w:rPr>
        <w:drawing>
          <wp:inline distT="0" distB="0" distL="0" distR="0" wp14:anchorId="48224CD5" wp14:editId="66EA6869">
            <wp:extent cx="5140960" cy="2834888"/>
            <wp:effectExtent l="19050" t="19050" r="21590" b="228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51918" cy="2840931"/>
                    </a:xfrm>
                    <a:prstGeom prst="rect">
                      <a:avLst/>
                    </a:prstGeom>
                    <a:noFill/>
                    <a:ln w="3175">
                      <a:solidFill>
                        <a:srgbClr val="000000"/>
                      </a:solidFill>
                    </a:ln>
                  </pic:spPr>
                </pic:pic>
              </a:graphicData>
            </a:graphic>
          </wp:inline>
        </w:drawing>
      </w:r>
    </w:p>
    <w:p w14:paraId="6717E2F0" w14:textId="77777777" w:rsidR="00B13496" w:rsidRDefault="00913683" w:rsidP="00DA64C1">
      <w:pPr>
        <w:pStyle w:val="Caption"/>
        <w:spacing w:before="120" w:after="240"/>
        <w:ind w:left="360" w:firstLine="270"/>
        <w:rPr>
          <w:bCs w:val="0"/>
        </w:rPr>
      </w:pPr>
      <w:bookmarkStart w:id="73" w:name="_Ref42675768"/>
      <w:bookmarkStart w:id="74" w:name="_Toc52533813"/>
      <w:r>
        <w:t xml:space="preserve">Figure </w:t>
      </w:r>
      <w:r w:rsidR="000D5F76">
        <w:fldChar w:fldCharType="begin"/>
      </w:r>
      <w:r w:rsidR="000D5F76">
        <w:instrText xml:space="preserve"> STYLEREF 1 \s </w:instrText>
      </w:r>
      <w:r w:rsidR="000D5F76">
        <w:fldChar w:fldCharType="separate"/>
      </w:r>
      <w:r w:rsidR="00614C30">
        <w:rPr>
          <w:noProof/>
        </w:rPr>
        <w:t>5</w:t>
      </w:r>
      <w:r w:rsidR="000D5F76">
        <w:rPr>
          <w:noProof/>
        </w:rPr>
        <w:fldChar w:fldCharType="end"/>
      </w:r>
      <w:r w:rsidR="00702E16">
        <w:noBreakHyphen/>
      </w:r>
      <w:r w:rsidR="000D5F76">
        <w:fldChar w:fldCharType="begin"/>
      </w:r>
      <w:r w:rsidR="000D5F76">
        <w:instrText xml:space="preserve"> SEQ Figure \* ARABIC \s 1 </w:instrText>
      </w:r>
      <w:r w:rsidR="000D5F76">
        <w:fldChar w:fldCharType="separate"/>
      </w:r>
      <w:r w:rsidR="00614C30">
        <w:rPr>
          <w:noProof/>
        </w:rPr>
        <w:t>6</w:t>
      </w:r>
      <w:r w:rsidR="000D5F76">
        <w:rPr>
          <w:noProof/>
        </w:rPr>
        <w:fldChar w:fldCharType="end"/>
      </w:r>
      <w:bookmarkEnd w:id="73"/>
      <w:r>
        <w:t xml:space="preserve">: </w:t>
      </w:r>
      <w:r w:rsidRPr="001C4363">
        <w:rPr>
          <w:bCs w:val="0"/>
        </w:rPr>
        <w:t xml:space="preserve">Annual </w:t>
      </w:r>
      <w:r>
        <w:rPr>
          <w:bCs w:val="0"/>
        </w:rPr>
        <w:t>a</w:t>
      </w:r>
      <w:r w:rsidRPr="001C4363">
        <w:rPr>
          <w:bCs w:val="0"/>
        </w:rPr>
        <w:t xml:space="preserve">verage LMPs by RSP </w:t>
      </w:r>
      <w:r>
        <w:rPr>
          <w:bCs w:val="0"/>
        </w:rPr>
        <w:t>s</w:t>
      </w:r>
      <w:r w:rsidRPr="001C4363">
        <w:rPr>
          <w:bCs w:val="0"/>
        </w:rPr>
        <w:t>ubarea</w:t>
      </w:r>
      <w:r w:rsidR="002203D7">
        <w:rPr>
          <w:bCs w:val="0"/>
        </w:rPr>
        <w:t xml:space="preserve"> for constrained and unconstrained cases</w:t>
      </w:r>
      <w:r w:rsidRPr="001C4363">
        <w:rPr>
          <w:bCs w:val="0"/>
        </w:rPr>
        <w:t xml:space="preserve"> ($/MWh)</w:t>
      </w:r>
      <w:r>
        <w:rPr>
          <w:bCs w:val="0"/>
        </w:rPr>
        <w:t>.</w:t>
      </w:r>
      <w:bookmarkEnd w:id="74"/>
    </w:p>
    <w:p w14:paraId="1A69F1FF" w14:textId="77777777" w:rsidR="00B46E4F" w:rsidRDefault="00B46E4F" w:rsidP="00A25A32">
      <w:pPr>
        <w:pStyle w:val="Heading2"/>
      </w:pPr>
      <w:bookmarkStart w:id="75" w:name="_Toc52533801"/>
      <w:r w:rsidRPr="00B46E4F">
        <w:t>Load-</w:t>
      </w:r>
      <w:r w:rsidR="00913683">
        <w:t>S</w:t>
      </w:r>
      <w:r w:rsidRPr="00B46E4F">
        <w:t xml:space="preserve">erving </w:t>
      </w:r>
      <w:r w:rsidR="00913683">
        <w:t>E</w:t>
      </w:r>
      <w:r w:rsidRPr="00B46E4F">
        <w:t xml:space="preserve">ntity </w:t>
      </w:r>
      <w:r w:rsidR="00913683">
        <w:t>E</w:t>
      </w:r>
      <w:r w:rsidRPr="00B46E4F">
        <w:t xml:space="preserve">nergy </w:t>
      </w:r>
      <w:r w:rsidR="00913683">
        <w:t>E</w:t>
      </w:r>
      <w:r w:rsidRPr="00B46E4F">
        <w:t>xpense</w:t>
      </w:r>
      <w:r w:rsidR="00D66CA2">
        <w:t xml:space="preserve"> </w:t>
      </w:r>
      <w:r w:rsidRPr="00B46E4F">
        <w:t xml:space="preserve">and </w:t>
      </w:r>
      <w:r w:rsidR="00913683">
        <w:t>U</w:t>
      </w:r>
      <w:r w:rsidRPr="00B46E4F">
        <w:t>plift</w:t>
      </w:r>
      <w:r w:rsidR="00023487">
        <w:t xml:space="preserve"> Costs</w:t>
      </w:r>
      <w:bookmarkEnd w:id="75"/>
    </w:p>
    <w:p w14:paraId="6D75912F" w14:textId="77777777" w:rsidR="004743C7" w:rsidRDefault="00D66CA2" w:rsidP="00B13496">
      <w:r>
        <w:t xml:space="preserve">Load-serving entities represent organizations that directly serve </w:t>
      </w:r>
      <w:r w:rsidR="00703947">
        <w:t>retail</w:t>
      </w:r>
      <w:r>
        <w:t xml:space="preserve"> electric</w:t>
      </w:r>
      <w:r w:rsidR="00913683">
        <w:t>ity</w:t>
      </w:r>
      <w:r>
        <w:t xml:space="preserve"> customers</w:t>
      </w:r>
      <w:r w:rsidR="00BF1EA7">
        <w:t xml:space="preserve">. </w:t>
      </w:r>
      <w:r>
        <w:t>Risk ma</w:t>
      </w:r>
      <w:r w:rsidRPr="007F4A2F">
        <w:t xml:space="preserve">nagement is particularity important </w:t>
      </w:r>
      <w:r w:rsidR="009624E9" w:rsidRPr="007F4A2F">
        <w:t xml:space="preserve">to </w:t>
      </w:r>
      <w:r w:rsidR="00A576FA" w:rsidRPr="007F4A2F">
        <w:t>LSE</w:t>
      </w:r>
      <w:r w:rsidR="009624E9" w:rsidRPr="007F4A2F">
        <w:t xml:space="preserve">s </w:t>
      </w:r>
      <w:r w:rsidRPr="007F4A2F">
        <w:t xml:space="preserve">because </w:t>
      </w:r>
      <w:r w:rsidR="009624E9" w:rsidRPr="007F4A2F">
        <w:t>they</w:t>
      </w:r>
      <w:r w:rsidR="006562B4" w:rsidRPr="007F4A2F">
        <w:t xml:space="preserve"> </w:t>
      </w:r>
      <w:r w:rsidRPr="007F4A2F">
        <w:t>are sensitive to</w:t>
      </w:r>
      <w:r w:rsidR="00C53C0E" w:rsidRPr="007F4A2F">
        <w:t xml:space="preserve"> and may not be able to hedge against</w:t>
      </w:r>
      <w:r w:rsidRPr="007F4A2F">
        <w:t xml:space="preserve"> sudden or unexpected price variations</w:t>
      </w:r>
      <w:r w:rsidR="00AB05FB" w:rsidRPr="007F4A2F">
        <w:t xml:space="preserve"> that </w:t>
      </w:r>
      <w:r w:rsidR="009624E9" w:rsidRPr="007F4A2F">
        <w:t>could affect their customers</w:t>
      </w:r>
      <w:r w:rsidR="00BF1EA7" w:rsidRPr="007F4A2F">
        <w:t xml:space="preserve">. </w:t>
      </w:r>
      <w:r w:rsidR="00DD1162" w:rsidRPr="007F4A2F">
        <w:fldChar w:fldCharType="begin"/>
      </w:r>
      <w:r w:rsidR="00DD1162" w:rsidRPr="007F4A2F">
        <w:instrText xml:space="preserve"> REF _Ref49258094 \h </w:instrText>
      </w:r>
      <w:r w:rsidR="00C63E57" w:rsidRPr="007F4A2F">
        <w:instrText xml:space="preserve"> \* MERGEFORMAT </w:instrText>
      </w:r>
      <w:r w:rsidR="00DD1162" w:rsidRPr="007F4A2F">
        <w:fldChar w:fldCharType="separate"/>
      </w:r>
      <w:r w:rsidR="00E76F3A">
        <w:t xml:space="preserve">Figure </w:t>
      </w:r>
      <w:r w:rsidR="00E76F3A">
        <w:rPr>
          <w:noProof/>
        </w:rPr>
        <w:t>5</w:t>
      </w:r>
      <w:r w:rsidR="00E76F3A">
        <w:rPr>
          <w:noProof/>
        </w:rPr>
        <w:noBreakHyphen/>
        <w:t>7</w:t>
      </w:r>
      <w:r w:rsidR="00DD1162" w:rsidRPr="007F4A2F">
        <w:fldChar w:fldCharType="end"/>
      </w:r>
      <w:r w:rsidRPr="007F4A2F">
        <w:t xml:space="preserve"> shows l</w:t>
      </w:r>
      <w:r w:rsidR="004743C7" w:rsidRPr="007F4A2F">
        <w:t xml:space="preserve">oad-serving entity energy expenses and “uplift” costs (i.e., make-whole payments) </w:t>
      </w:r>
      <w:r w:rsidR="00EB0A33" w:rsidRPr="007F4A2F">
        <w:t>for all</w:t>
      </w:r>
      <w:r w:rsidRPr="007F4A2F">
        <w:t xml:space="preserve"> </w:t>
      </w:r>
      <w:r w:rsidR="004743C7" w:rsidRPr="007F4A2F">
        <w:t>constrained and unconstrained cases</w:t>
      </w:r>
      <w:r w:rsidR="00023487" w:rsidRPr="007F4A2F">
        <w:t>.</w:t>
      </w:r>
      <w:r w:rsidR="00BF1EA7" w:rsidRPr="007F4A2F">
        <w:t xml:space="preserve"> </w:t>
      </w:r>
      <w:r w:rsidR="005A4381" w:rsidRPr="007F4A2F">
        <w:t>This metric provides insight into one of the key costs borne by New England consumers. The decrease in LSE energy expense with high levels of offshore wind is a much larger magnitude than the reduction in production costs.</w:t>
      </w:r>
    </w:p>
    <w:p w14:paraId="524FB833" w14:textId="77777777" w:rsidR="00790833" w:rsidRDefault="00790833" w:rsidP="00790833">
      <w:pPr>
        <w:spacing w:after="0" w:line="240" w:lineRule="auto"/>
        <w:jc w:val="center"/>
      </w:pPr>
      <w:r w:rsidRPr="00790833">
        <w:rPr>
          <w:noProof/>
        </w:rPr>
        <w:drawing>
          <wp:inline distT="0" distB="0" distL="0" distR="0" wp14:anchorId="49B4669A" wp14:editId="28D0EF59">
            <wp:extent cx="4327525" cy="2542234"/>
            <wp:effectExtent l="19050" t="19050" r="15875"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27525" cy="2542234"/>
                    </a:xfrm>
                    <a:prstGeom prst="rect">
                      <a:avLst/>
                    </a:prstGeom>
                    <a:noFill/>
                    <a:ln w="3175">
                      <a:solidFill>
                        <a:srgbClr val="000000"/>
                      </a:solidFill>
                    </a:ln>
                  </pic:spPr>
                </pic:pic>
              </a:graphicData>
            </a:graphic>
          </wp:inline>
        </w:drawing>
      </w:r>
    </w:p>
    <w:p w14:paraId="575A6DBE" w14:textId="77777777" w:rsidR="00EB0A33" w:rsidRPr="00913683" w:rsidRDefault="00DD1162" w:rsidP="00DA64C1">
      <w:pPr>
        <w:pStyle w:val="Caption"/>
        <w:keepNext w:val="0"/>
        <w:keepLines w:val="0"/>
        <w:spacing w:before="120" w:after="240"/>
        <w:ind w:left="1260" w:right="990"/>
      </w:pPr>
      <w:bookmarkStart w:id="76" w:name="_Ref49258094"/>
      <w:bookmarkStart w:id="77" w:name="_Toc52533814"/>
      <w:r>
        <w:t xml:space="preserve">Figure </w:t>
      </w:r>
      <w:r w:rsidR="000D5F76">
        <w:fldChar w:fldCharType="begin"/>
      </w:r>
      <w:r w:rsidR="000D5F76">
        <w:instrText xml:space="preserve"> STYLEREF 1 \s </w:instrText>
      </w:r>
      <w:r w:rsidR="000D5F76">
        <w:fldChar w:fldCharType="separate"/>
      </w:r>
      <w:r w:rsidR="00614C30">
        <w:rPr>
          <w:noProof/>
        </w:rPr>
        <w:t>5</w:t>
      </w:r>
      <w:r w:rsidR="000D5F76">
        <w:rPr>
          <w:noProof/>
        </w:rPr>
        <w:fldChar w:fldCharType="end"/>
      </w:r>
      <w:r w:rsidR="00702E16">
        <w:noBreakHyphen/>
      </w:r>
      <w:r w:rsidR="000D5F76">
        <w:fldChar w:fldCharType="begin"/>
      </w:r>
      <w:r w:rsidR="000D5F76">
        <w:instrText xml:space="preserve"> SEQ Figure \* ARABIC \s 1 </w:instrText>
      </w:r>
      <w:r w:rsidR="000D5F76">
        <w:fldChar w:fldCharType="separate"/>
      </w:r>
      <w:r w:rsidR="00614C30">
        <w:rPr>
          <w:noProof/>
        </w:rPr>
        <w:t>7</w:t>
      </w:r>
      <w:r w:rsidR="000D5F76">
        <w:rPr>
          <w:noProof/>
        </w:rPr>
        <w:fldChar w:fldCharType="end"/>
      </w:r>
      <w:bookmarkEnd w:id="76"/>
      <w:r w:rsidR="00010AFC">
        <w:rPr>
          <w:bCs w:val="0"/>
        </w:rPr>
        <w:t xml:space="preserve">: </w:t>
      </w:r>
      <w:r w:rsidR="00EB0A33" w:rsidRPr="00913683">
        <w:rPr>
          <w:bCs w:val="0"/>
        </w:rPr>
        <w:t>Load-</w:t>
      </w:r>
      <w:r w:rsidR="00A25A32">
        <w:rPr>
          <w:bCs w:val="0"/>
        </w:rPr>
        <w:t>s</w:t>
      </w:r>
      <w:r w:rsidR="00EB0A33" w:rsidRPr="00913683">
        <w:rPr>
          <w:bCs w:val="0"/>
        </w:rPr>
        <w:t xml:space="preserve">erving </w:t>
      </w:r>
      <w:r>
        <w:rPr>
          <w:bCs w:val="0"/>
        </w:rPr>
        <w:t>e</w:t>
      </w:r>
      <w:r w:rsidR="00EB0A33" w:rsidRPr="00913683">
        <w:rPr>
          <w:bCs w:val="0"/>
        </w:rPr>
        <w:t xml:space="preserve">ntity </w:t>
      </w:r>
      <w:r>
        <w:rPr>
          <w:bCs w:val="0"/>
        </w:rPr>
        <w:t>e</w:t>
      </w:r>
      <w:r w:rsidR="00EB0A33" w:rsidRPr="00913683">
        <w:rPr>
          <w:bCs w:val="0"/>
        </w:rPr>
        <w:t xml:space="preserve">nergy </w:t>
      </w:r>
      <w:r>
        <w:rPr>
          <w:bCs w:val="0"/>
        </w:rPr>
        <w:t>e</w:t>
      </w:r>
      <w:r w:rsidR="00EB0A33" w:rsidRPr="00913683">
        <w:rPr>
          <w:bCs w:val="0"/>
        </w:rPr>
        <w:t>xpense</w:t>
      </w:r>
      <w:r w:rsidR="00D846E6">
        <w:rPr>
          <w:bCs w:val="0"/>
        </w:rPr>
        <w:t>s</w:t>
      </w:r>
      <w:r w:rsidR="00EB0A33" w:rsidRPr="00913683">
        <w:rPr>
          <w:bCs w:val="0"/>
        </w:rPr>
        <w:t xml:space="preserve"> and </w:t>
      </w:r>
      <w:r>
        <w:rPr>
          <w:bCs w:val="0"/>
        </w:rPr>
        <w:t>u</w:t>
      </w:r>
      <w:r w:rsidR="00EB0A33" w:rsidRPr="00913683">
        <w:rPr>
          <w:bCs w:val="0"/>
        </w:rPr>
        <w:t>plift</w:t>
      </w:r>
      <w:r w:rsidR="00913683">
        <w:rPr>
          <w:bCs w:val="0"/>
        </w:rPr>
        <w:t xml:space="preserve"> </w:t>
      </w:r>
      <w:r>
        <w:rPr>
          <w:bCs w:val="0"/>
        </w:rPr>
        <w:t>c</w:t>
      </w:r>
      <w:r w:rsidR="00913683">
        <w:rPr>
          <w:bCs w:val="0"/>
        </w:rPr>
        <w:t>osts</w:t>
      </w:r>
      <w:r w:rsidR="00EB0A33" w:rsidRPr="00913683">
        <w:rPr>
          <w:bCs w:val="0"/>
        </w:rPr>
        <w:t xml:space="preserve"> ($ </w:t>
      </w:r>
      <w:r>
        <w:rPr>
          <w:bCs w:val="0"/>
        </w:rPr>
        <w:t>m</w:t>
      </w:r>
      <w:r w:rsidR="00EB0A33" w:rsidRPr="00913683">
        <w:rPr>
          <w:bCs w:val="0"/>
        </w:rPr>
        <w:t>illion)</w:t>
      </w:r>
      <w:r>
        <w:rPr>
          <w:bCs w:val="0"/>
        </w:rPr>
        <w:t>, constrained and uncons</w:t>
      </w:r>
      <w:r w:rsidRPr="00F22055">
        <w:rPr>
          <w:bCs w:val="0"/>
        </w:rPr>
        <w:t>trained ($</w:t>
      </w:r>
      <w:r>
        <w:rPr>
          <w:bCs w:val="0"/>
        </w:rPr>
        <w:t xml:space="preserve"> </w:t>
      </w:r>
      <w:r w:rsidRPr="00790833">
        <w:rPr>
          <w:bCs w:val="0"/>
        </w:rPr>
        <w:t>million</w:t>
      </w:r>
      <w:r w:rsidRPr="00F22055">
        <w:rPr>
          <w:bCs w:val="0"/>
        </w:rPr>
        <w:t>).</w:t>
      </w:r>
      <w:bookmarkEnd w:id="77"/>
    </w:p>
    <w:p w14:paraId="4330FD79" w14:textId="77777777" w:rsidR="00010AFC" w:rsidRPr="00010AFC" w:rsidRDefault="00010AFC" w:rsidP="00DD1162">
      <w:r w:rsidRPr="00F51ED3">
        <w:t>LSE energy expenses and uplift costs decrease by approximately one</w:t>
      </w:r>
      <w:r w:rsidR="004C6E0F">
        <w:t>-</w:t>
      </w:r>
      <w:r w:rsidRPr="00F51ED3">
        <w:t>third with the addition of 8,</w:t>
      </w:r>
      <w:r w:rsidR="00DD1162" w:rsidRPr="00F51ED3">
        <w:t>000 </w:t>
      </w:r>
      <w:r w:rsidRPr="00F51ED3">
        <w:t>MW offshore wind from the reference scenario</w:t>
      </w:r>
      <w:r w:rsidRPr="00850F8C">
        <w:rPr>
          <w:b/>
        </w:rPr>
        <w:t xml:space="preserve">. </w:t>
      </w:r>
      <w:r w:rsidRPr="00F22055">
        <w:t xml:space="preserve">Incremental </w:t>
      </w:r>
      <w:r w:rsidR="002203D7">
        <w:t xml:space="preserve">savings of </w:t>
      </w:r>
      <w:r w:rsidRPr="002203D7">
        <w:t xml:space="preserve">LSE energy expenses </w:t>
      </w:r>
      <w:r w:rsidR="00850F8C" w:rsidRPr="00F22055">
        <w:t xml:space="preserve">are </w:t>
      </w:r>
      <w:r w:rsidR="00E87C63">
        <w:t>lower</w:t>
      </w:r>
      <w:r w:rsidR="00850F8C" w:rsidRPr="00F22055">
        <w:t xml:space="preserve"> </w:t>
      </w:r>
      <w:r w:rsidRPr="00F22055">
        <w:t>when more than 8,000 MW of offshore w</w:t>
      </w:r>
      <w:r>
        <w:t>ind</w:t>
      </w:r>
      <w:r w:rsidRPr="00010AFC">
        <w:t xml:space="preserve"> is interconnected. Uplift increases slightly as wind penetration reduces L</w:t>
      </w:r>
      <w:r w:rsidRPr="00C274BE">
        <w:t>MPs</w:t>
      </w:r>
      <w:r w:rsidR="005A4381" w:rsidRPr="00C274BE">
        <w:t xml:space="preserve"> and resources needed for reserves and system security </w:t>
      </w:r>
      <w:r w:rsidR="00C274BE" w:rsidRPr="00C274BE">
        <w:t>require</w:t>
      </w:r>
      <w:r w:rsidR="005A4381" w:rsidRPr="00C274BE">
        <w:t xml:space="preserve"> additional supplemental payments to cover their operating costs</w:t>
      </w:r>
      <w:r w:rsidR="00FF3EB1" w:rsidRPr="00C274BE">
        <w:t>.</w:t>
      </w:r>
      <w:r w:rsidR="00FF3EB1">
        <w:t xml:space="preserve"> </w:t>
      </w:r>
    </w:p>
    <w:p w14:paraId="4978D091" w14:textId="77777777" w:rsidR="00D75266" w:rsidRDefault="00D75266" w:rsidP="00A25A32">
      <w:pPr>
        <w:pStyle w:val="Heading2"/>
      </w:pPr>
      <w:bookmarkStart w:id="78" w:name="_Toc52533802"/>
      <w:r>
        <w:t>Native New England Resource CO</w:t>
      </w:r>
      <w:r w:rsidRPr="00E83C82">
        <w:rPr>
          <w:vertAlign w:val="subscript"/>
        </w:rPr>
        <w:t>2</w:t>
      </w:r>
      <w:r>
        <w:t xml:space="preserve"> E</w:t>
      </w:r>
      <w:r w:rsidRPr="00B46E4F">
        <w:t>missions</w:t>
      </w:r>
      <w:bookmarkEnd w:id="78"/>
    </w:p>
    <w:p w14:paraId="3AE61AB3" w14:textId="77777777" w:rsidR="00D75266" w:rsidRDefault="00D75266" w:rsidP="00F10C17">
      <w:r w:rsidRPr="00E83C82">
        <w:t>The results for the metrics that assessed the environmental impacts associated with the different scenarios provide some insight on future emission trends. The total CO</w:t>
      </w:r>
      <w:r w:rsidRPr="00E83C82">
        <w:rPr>
          <w:vertAlign w:val="subscript"/>
        </w:rPr>
        <w:t>2</w:t>
      </w:r>
      <w:r w:rsidRPr="00E83C82">
        <w:t xml:space="preserve"> emissions associated with the different scenarios are directly </w:t>
      </w:r>
      <w:r>
        <w:t>associated with</w:t>
      </w:r>
      <w:r w:rsidRPr="00E83C82">
        <w:t xml:space="preserve"> the type and amount of fossil fuels the different scenarios use to generate electricity</w:t>
      </w:r>
      <w:r>
        <w:t xml:space="preserve">. </w:t>
      </w:r>
    </w:p>
    <w:p w14:paraId="289B1E92" w14:textId="77777777" w:rsidR="00D75266" w:rsidRDefault="00D75266" w:rsidP="00A25A32">
      <w:r w:rsidRPr="00277F7A">
        <w:t xml:space="preserve">The addition of 8,000 MW </w:t>
      </w:r>
      <w:r w:rsidR="00F5532B" w:rsidRPr="00277F7A">
        <w:t>offshore wind</w:t>
      </w:r>
      <w:r w:rsidRPr="00277F7A">
        <w:t xml:space="preserve"> reduces </w:t>
      </w:r>
      <w:r w:rsidR="00E87C63" w:rsidRPr="00277F7A">
        <w:t xml:space="preserve">by </w:t>
      </w:r>
      <w:r w:rsidRPr="00277F7A">
        <w:t>more than one</w:t>
      </w:r>
      <w:r w:rsidR="004C6E0F">
        <w:t>-</w:t>
      </w:r>
      <w:r w:rsidRPr="00277F7A">
        <w:t xml:space="preserve">third the region’s carbon </w:t>
      </w:r>
      <w:r w:rsidR="00850F8C" w:rsidRPr="00277F7A">
        <w:t xml:space="preserve">dioxide </w:t>
      </w:r>
      <w:r w:rsidRPr="00277F7A">
        <w:t>emissions</w:t>
      </w:r>
      <w:r w:rsidR="00AB05FB" w:rsidRPr="00277F7A">
        <w:t xml:space="preserve"> from electric power generators</w:t>
      </w:r>
      <w:r w:rsidRPr="00277F7A">
        <w:t xml:space="preserve"> compared </w:t>
      </w:r>
      <w:r w:rsidR="00850F8C" w:rsidRPr="00277F7A">
        <w:t>with</w:t>
      </w:r>
      <w:r w:rsidRPr="00277F7A">
        <w:t xml:space="preserve"> the reference scenario. </w:t>
      </w:r>
      <w:r w:rsidRPr="00D75266">
        <w:t>C</w:t>
      </w:r>
      <w:r w:rsidR="008F29E5">
        <w:t>O</w:t>
      </w:r>
      <w:r w:rsidR="008F29E5" w:rsidRPr="00C63E57">
        <w:rPr>
          <w:vertAlign w:val="subscript"/>
        </w:rPr>
        <w:t>2</w:t>
      </w:r>
      <w:r w:rsidRPr="00D75266">
        <w:t xml:space="preserve"> emissions </w:t>
      </w:r>
      <w:r w:rsidR="008F29E5">
        <w:t>from</w:t>
      </w:r>
      <w:r w:rsidRPr="00D75266">
        <w:t xml:space="preserve"> the 10000_Sen scenario increase to level</w:t>
      </w:r>
      <w:r w:rsidR="00F5532B">
        <w:t>s comparable to the 8,000 MW offshore wind</w:t>
      </w:r>
      <w:r w:rsidRPr="00D75266">
        <w:t xml:space="preserve"> scenario because more energy production from natural</w:t>
      </w:r>
      <w:r w:rsidR="008F29E5">
        <w:t>-</w:t>
      </w:r>
      <w:r w:rsidRPr="00D75266">
        <w:t>gas</w:t>
      </w:r>
      <w:r w:rsidR="008F29E5">
        <w:t>-</w:t>
      </w:r>
      <w:r w:rsidRPr="00D75266">
        <w:t>fired units is required to meet the additional demand associated with electrification</w:t>
      </w:r>
      <w:r w:rsidR="004C6E0F">
        <w:t>,</w:t>
      </w:r>
      <w:r w:rsidR="00CA6B95">
        <w:t xml:space="preserve"> given the assumed interconnection points in the study and other assumptions</w:t>
      </w:r>
      <w:r w:rsidR="00FF3EB1">
        <w:t xml:space="preserve">. </w:t>
      </w:r>
      <w:r w:rsidR="001029A0" w:rsidRPr="00D75266">
        <w:t>C</w:t>
      </w:r>
      <w:r w:rsidR="001029A0">
        <w:t>O</w:t>
      </w:r>
      <w:r w:rsidR="001029A0" w:rsidRPr="00EF7CA9">
        <w:rPr>
          <w:vertAlign w:val="subscript"/>
        </w:rPr>
        <w:t>2</w:t>
      </w:r>
      <w:r w:rsidR="001029A0" w:rsidRPr="00D75266">
        <w:t xml:space="preserve"> emissions</w:t>
      </w:r>
      <w:r w:rsidR="001029A0" w:rsidRPr="001029A0">
        <w:t xml:space="preserve"> </w:t>
      </w:r>
      <w:r w:rsidR="00A25A32">
        <w:t xml:space="preserve">reduce only minimally </w:t>
      </w:r>
      <w:r w:rsidR="001029A0">
        <w:t xml:space="preserve">with the </w:t>
      </w:r>
      <w:r w:rsidR="00E87C63">
        <w:t>increase from 8,000 MW to</w:t>
      </w:r>
      <w:r w:rsidR="00442E48">
        <w:t xml:space="preserve"> </w:t>
      </w:r>
      <w:r w:rsidR="00E87C63">
        <w:t>12,000</w:t>
      </w:r>
      <w:r w:rsidR="001029A0" w:rsidRPr="001029A0">
        <w:t xml:space="preserve"> MW </w:t>
      </w:r>
      <w:r w:rsidR="00442E48">
        <w:t xml:space="preserve">of </w:t>
      </w:r>
      <w:r w:rsidR="001029A0">
        <w:t>offshore win</w:t>
      </w:r>
      <w:r w:rsidR="001029A0" w:rsidRPr="00BC77C0">
        <w:t>d and re</w:t>
      </w:r>
      <w:r w:rsidR="00A25A32" w:rsidRPr="00F10C17">
        <w:t xml:space="preserve">sulting </w:t>
      </w:r>
      <w:r w:rsidR="001029A0" w:rsidRPr="00BC77C0">
        <w:t xml:space="preserve">oversupply. </w:t>
      </w:r>
      <w:r w:rsidR="00094B89" w:rsidRPr="00BC77C0">
        <w:t>Because</w:t>
      </w:r>
      <w:r w:rsidR="001029A0" w:rsidRPr="00BC77C0">
        <w:t xml:space="preserve"> </w:t>
      </w:r>
      <w:r w:rsidR="00A82E7B" w:rsidRPr="00BC77C0">
        <w:t xml:space="preserve">a portion of </w:t>
      </w:r>
      <w:r w:rsidR="001029A0" w:rsidRPr="00BC77C0">
        <w:t xml:space="preserve">the additional 4,000 MW </w:t>
      </w:r>
      <w:r w:rsidR="00094B89" w:rsidRPr="00BC77C0">
        <w:t>is spilled and</w:t>
      </w:r>
      <w:r w:rsidR="005C45C6" w:rsidRPr="00BC77C0">
        <w:t xml:space="preserve"> </w:t>
      </w:r>
      <w:r w:rsidR="00AA1CD7" w:rsidRPr="00BC77C0">
        <w:t xml:space="preserve">does </w:t>
      </w:r>
      <w:r w:rsidR="001029A0" w:rsidRPr="00BC77C0">
        <w:t>not serve</w:t>
      </w:r>
      <w:r w:rsidR="001029A0">
        <w:t xml:space="preserve"> loa</w:t>
      </w:r>
      <w:r w:rsidR="00A82E7B">
        <w:t>d</w:t>
      </w:r>
      <w:r w:rsidR="00094B89">
        <w:t xml:space="preserve">, it </w:t>
      </w:r>
      <w:r w:rsidR="001029A0">
        <w:t>does</w:t>
      </w:r>
      <w:r w:rsidR="00094B89">
        <w:t xml:space="preserve"> </w:t>
      </w:r>
      <w:r w:rsidR="001029A0">
        <w:t xml:space="preserve">not contribute to </w:t>
      </w:r>
      <w:r w:rsidR="00A25A32">
        <w:t>reduc</w:t>
      </w:r>
      <w:r w:rsidR="00094B89">
        <w:t>ing</w:t>
      </w:r>
      <w:r w:rsidR="001029A0">
        <w:t xml:space="preserve"> </w:t>
      </w:r>
      <w:r w:rsidR="001029A0" w:rsidRPr="00D75266">
        <w:t>C</w:t>
      </w:r>
      <w:r w:rsidR="001029A0">
        <w:t>O</w:t>
      </w:r>
      <w:r w:rsidR="001029A0" w:rsidRPr="00EF7CA9">
        <w:rPr>
          <w:vertAlign w:val="subscript"/>
        </w:rPr>
        <w:t>2</w:t>
      </w:r>
      <w:r w:rsidR="001029A0" w:rsidRPr="00D75266">
        <w:t xml:space="preserve"> emissions</w:t>
      </w:r>
      <w:r w:rsidR="001029A0">
        <w:t>.</w:t>
      </w:r>
      <w:r w:rsidR="001029A0" w:rsidRPr="001029A0">
        <w:t xml:space="preserve"> </w:t>
      </w:r>
      <w:r w:rsidR="00094B89" w:rsidRPr="00573E19">
        <w:fldChar w:fldCharType="begin"/>
      </w:r>
      <w:r w:rsidR="00094B89" w:rsidRPr="00F22055">
        <w:instrText xml:space="preserve"> REF _Ref49259532 \h </w:instrText>
      </w:r>
      <w:r w:rsidR="00094B89">
        <w:instrText xml:space="preserve"> \* MERGEFORMAT </w:instrText>
      </w:r>
      <w:r w:rsidR="00094B89" w:rsidRPr="00573E19">
        <w:fldChar w:fldCharType="separate"/>
      </w:r>
      <w:r w:rsidR="00E76F3A">
        <w:t xml:space="preserve">Figure </w:t>
      </w:r>
      <w:r w:rsidR="00E76F3A">
        <w:rPr>
          <w:noProof/>
        </w:rPr>
        <w:t>5</w:t>
      </w:r>
      <w:r w:rsidR="00E76F3A">
        <w:rPr>
          <w:noProof/>
        </w:rPr>
        <w:noBreakHyphen/>
        <w:t>8</w:t>
      </w:r>
      <w:r w:rsidR="00094B89" w:rsidRPr="00573E19">
        <w:fldChar w:fldCharType="end"/>
      </w:r>
      <w:r w:rsidR="00094B89">
        <w:t xml:space="preserve"> illustrates t</w:t>
      </w:r>
      <w:r>
        <w:t>he decrease in CO</w:t>
      </w:r>
      <w:r w:rsidRPr="00F5532B">
        <w:rPr>
          <w:vertAlign w:val="subscript"/>
        </w:rPr>
        <w:t>2</w:t>
      </w:r>
      <w:r>
        <w:t xml:space="preserve"> emissions</w:t>
      </w:r>
      <w:r w:rsidRPr="00F22055">
        <w:t>.</w:t>
      </w:r>
    </w:p>
    <w:p w14:paraId="61F07CD6" w14:textId="77777777" w:rsidR="00790833" w:rsidRPr="00D75266" w:rsidRDefault="00790833" w:rsidP="00790833">
      <w:pPr>
        <w:keepNext/>
        <w:keepLines/>
        <w:spacing w:after="0" w:line="240" w:lineRule="auto"/>
        <w:jc w:val="center"/>
      </w:pPr>
      <w:r w:rsidRPr="00790833">
        <w:rPr>
          <w:noProof/>
        </w:rPr>
        <w:drawing>
          <wp:inline distT="0" distB="0" distL="0" distR="0" wp14:anchorId="727AF528" wp14:editId="721BF8D6">
            <wp:extent cx="5427025" cy="2579044"/>
            <wp:effectExtent l="19050" t="19050" r="21590"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32097" cy="2581454"/>
                    </a:xfrm>
                    <a:prstGeom prst="rect">
                      <a:avLst/>
                    </a:prstGeom>
                    <a:noFill/>
                    <a:ln w="3175">
                      <a:solidFill>
                        <a:srgbClr val="000000"/>
                      </a:solidFill>
                    </a:ln>
                  </pic:spPr>
                </pic:pic>
              </a:graphicData>
            </a:graphic>
          </wp:inline>
        </w:drawing>
      </w:r>
    </w:p>
    <w:p w14:paraId="61F2079D" w14:textId="77777777" w:rsidR="00D75266" w:rsidRDefault="002203D7" w:rsidP="00790833">
      <w:pPr>
        <w:pStyle w:val="Caption"/>
        <w:spacing w:before="120" w:after="240"/>
        <w:ind w:left="450" w:right="450"/>
      </w:pPr>
      <w:bookmarkStart w:id="79" w:name="_Ref49259532"/>
      <w:bookmarkStart w:id="80" w:name="_Toc52533815"/>
      <w:r>
        <w:t xml:space="preserve">Figure </w:t>
      </w:r>
      <w:r w:rsidR="000D5F76">
        <w:fldChar w:fldCharType="begin"/>
      </w:r>
      <w:r w:rsidR="000D5F76">
        <w:instrText xml:space="preserve"> STYLEREF 1 \s </w:instrText>
      </w:r>
      <w:r w:rsidR="000D5F76">
        <w:fldChar w:fldCharType="separate"/>
      </w:r>
      <w:r w:rsidR="00614C30">
        <w:rPr>
          <w:noProof/>
        </w:rPr>
        <w:t>5</w:t>
      </w:r>
      <w:r w:rsidR="000D5F76">
        <w:rPr>
          <w:noProof/>
        </w:rPr>
        <w:fldChar w:fldCharType="end"/>
      </w:r>
      <w:r w:rsidR="00702E16">
        <w:noBreakHyphen/>
      </w:r>
      <w:r w:rsidR="000D5F76">
        <w:fldChar w:fldCharType="begin"/>
      </w:r>
      <w:r w:rsidR="000D5F76">
        <w:instrText xml:space="preserve"> SEQ Figure \* ARABIC \s 1 </w:instrText>
      </w:r>
      <w:r w:rsidR="000D5F76">
        <w:fldChar w:fldCharType="separate"/>
      </w:r>
      <w:r w:rsidR="00614C30">
        <w:rPr>
          <w:noProof/>
        </w:rPr>
        <w:t>8</w:t>
      </w:r>
      <w:r w:rsidR="000D5F76">
        <w:rPr>
          <w:noProof/>
        </w:rPr>
        <w:fldChar w:fldCharType="end"/>
      </w:r>
      <w:bookmarkEnd w:id="79"/>
      <w:r w:rsidR="00D75266" w:rsidRPr="009A1C82">
        <w:rPr>
          <w:bCs w:val="0"/>
        </w:rPr>
        <w:t>: Native New</w:t>
      </w:r>
      <w:r w:rsidR="00D75266" w:rsidRPr="00D75266">
        <w:rPr>
          <w:bCs w:val="0"/>
        </w:rPr>
        <w:t xml:space="preserve"> England </w:t>
      </w:r>
      <w:r>
        <w:rPr>
          <w:bCs w:val="0"/>
        </w:rPr>
        <w:t>r</w:t>
      </w:r>
      <w:r w:rsidR="00D75266" w:rsidRPr="00D75266">
        <w:rPr>
          <w:bCs w:val="0"/>
        </w:rPr>
        <w:t>esource CO</w:t>
      </w:r>
      <w:r w:rsidR="00D75266" w:rsidRPr="00790833">
        <w:rPr>
          <w:bCs w:val="0"/>
          <w:vertAlign w:val="subscript"/>
        </w:rPr>
        <w:t xml:space="preserve">2 </w:t>
      </w:r>
      <w:r>
        <w:rPr>
          <w:bCs w:val="0"/>
        </w:rPr>
        <w:t>e</w:t>
      </w:r>
      <w:r w:rsidR="00D75266" w:rsidRPr="00D75266">
        <w:rPr>
          <w:bCs w:val="0"/>
        </w:rPr>
        <w:t>missions</w:t>
      </w:r>
      <w:r w:rsidR="008F29E5">
        <w:rPr>
          <w:bCs w:val="0"/>
        </w:rPr>
        <w:t>, constrained and unconstrained cases</w:t>
      </w:r>
      <w:r w:rsidR="00D75266" w:rsidRPr="00D75266">
        <w:rPr>
          <w:bCs w:val="0"/>
        </w:rPr>
        <w:t xml:space="preserve"> (millions of short tons)</w:t>
      </w:r>
      <w:r w:rsidR="008F29E5">
        <w:rPr>
          <w:bCs w:val="0"/>
        </w:rPr>
        <w:t>.</w:t>
      </w:r>
      <w:bookmarkEnd w:id="80"/>
    </w:p>
    <w:p w14:paraId="1D1B0521" w14:textId="77777777" w:rsidR="00B46E4F" w:rsidRPr="004C6E0F" w:rsidRDefault="00A64049" w:rsidP="00094B89">
      <w:pPr>
        <w:pStyle w:val="Heading2"/>
      </w:pPr>
      <w:bookmarkStart w:id="81" w:name="_Toc52533803"/>
      <w:r w:rsidRPr="004C6E0F">
        <w:t>Congestion by I</w:t>
      </w:r>
      <w:r w:rsidR="00B46E4F" w:rsidRPr="004C6E0F">
        <w:t>nterface</w:t>
      </w:r>
      <w:bookmarkEnd w:id="81"/>
    </w:p>
    <w:p w14:paraId="30A07677" w14:textId="77777777" w:rsidR="00B13496" w:rsidRDefault="004B3FA7" w:rsidP="000F1B39">
      <w:r w:rsidRPr="004C6E0F">
        <w:t xml:space="preserve">Locating </w:t>
      </w:r>
      <w:r w:rsidR="005D4EB4" w:rsidRPr="004C6E0F">
        <w:t xml:space="preserve">large amounts </w:t>
      </w:r>
      <w:r w:rsidR="00094B89" w:rsidRPr="004C6E0F">
        <w:t xml:space="preserve">of </w:t>
      </w:r>
      <w:r w:rsidRPr="004C6E0F">
        <w:t xml:space="preserve">new resources with relatively low production costs </w:t>
      </w:r>
      <w:r w:rsidR="006278A1" w:rsidRPr="004C6E0F">
        <w:t xml:space="preserve">(i.e., offshore wind) </w:t>
      </w:r>
      <w:r w:rsidR="00CA6B95" w:rsidRPr="004C6E0F">
        <w:t xml:space="preserve">into largely one area of the system—in this case, southeastern New England—instead of close to </w:t>
      </w:r>
      <w:r w:rsidRPr="004C6E0F">
        <w:t xml:space="preserve">load centers </w:t>
      </w:r>
      <w:r w:rsidR="005D4EB4" w:rsidRPr="004C6E0F">
        <w:t>increases congestion</w:t>
      </w:r>
      <w:r w:rsidR="00CA6B95" w:rsidRPr="004C6E0F">
        <w:t>.</w:t>
      </w:r>
      <w:r w:rsidR="004C6E0F" w:rsidRPr="004C6E0F">
        <w:t xml:space="preserve"> </w:t>
      </w:r>
      <w:r w:rsidR="0051748A" w:rsidRPr="004C6E0F">
        <w:t xml:space="preserve">Therefore, </w:t>
      </w:r>
      <w:r w:rsidR="00CA6B95" w:rsidRPr="004C6E0F">
        <w:t xml:space="preserve">when utilizing interconnections largely into one area, </w:t>
      </w:r>
      <w:r w:rsidR="004C6E0F">
        <w:t>o</w:t>
      </w:r>
      <w:r w:rsidR="005D4EB4" w:rsidRPr="004C6E0F">
        <w:t>ffshore wind additions in excess of 8,</w:t>
      </w:r>
      <w:r w:rsidR="00094B89" w:rsidRPr="004C6E0F">
        <w:t>000 </w:t>
      </w:r>
      <w:r w:rsidR="005D4EB4" w:rsidRPr="004C6E0F">
        <w:t>MW results in</w:t>
      </w:r>
      <w:r w:rsidR="005D4EB4">
        <w:t xml:space="preserve"> the</w:t>
      </w:r>
      <w:r w:rsidRPr="005D4EB4">
        <w:t xml:space="preserve"> need for transmission expansion</w:t>
      </w:r>
      <w:r w:rsidR="00E87C63">
        <w:t xml:space="preserve"> to avoid spillage and maximize the use of offshore wind</w:t>
      </w:r>
      <w:r w:rsidR="005D4EB4">
        <w:t>.</w:t>
      </w:r>
      <w:r w:rsidR="005D4EB4">
        <w:rPr>
          <w:rStyle w:val="FootnoteReference"/>
        </w:rPr>
        <w:footnoteReference w:id="33"/>
      </w:r>
      <w:r w:rsidR="00701FC8" w:rsidRPr="00277F7A">
        <w:t xml:space="preserve"> The SEMA/RI export interface is congested in the 8,000 to 12,000 MW scenarios because more offshore wind generation is required to serve load outside of the SEMA and RI areas with the assumed nuclear retirements</w:t>
      </w:r>
      <w:r w:rsidR="00FF3EB1" w:rsidRPr="00277F7A">
        <w:t xml:space="preserve">. </w:t>
      </w:r>
      <w:r w:rsidR="00701FC8" w:rsidRPr="00277F7A">
        <w:t>The Surowiec</w:t>
      </w:r>
      <w:r w:rsidR="00094B89" w:rsidRPr="00277F7A">
        <w:t xml:space="preserve"> </w:t>
      </w:r>
      <w:r w:rsidR="00701FC8" w:rsidRPr="00277F7A">
        <w:t>South in</w:t>
      </w:r>
      <w:r w:rsidR="00701FC8" w:rsidRPr="00AD3C52">
        <w:t>terface is also heavily constrained</w:t>
      </w:r>
      <w:r w:rsidR="00891DA5" w:rsidRPr="00AD3C52">
        <w:t xml:space="preserve"> due to the assumed interface limit binding with the addition of NECEC</w:t>
      </w:r>
      <w:r w:rsidR="00701FC8" w:rsidRPr="00AD3C52">
        <w:t>.</w:t>
      </w:r>
      <w:r w:rsidR="00701FC8" w:rsidRPr="00AD3C52">
        <w:rPr>
          <w:rStyle w:val="FootnoteReference"/>
        </w:rPr>
        <w:footnoteReference w:id="34"/>
      </w:r>
      <w:r w:rsidR="00701FC8" w:rsidRPr="00AD3C52">
        <w:t xml:space="preserve"> </w:t>
      </w:r>
      <w:r w:rsidR="00AD3C52" w:rsidRPr="00AD3C52">
        <w:t xml:space="preserve">The </w:t>
      </w:r>
      <w:r w:rsidR="00701FC8" w:rsidRPr="00AD3C52">
        <w:t xml:space="preserve">results </w:t>
      </w:r>
      <w:r w:rsidR="00AD3C52" w:rsidRPr="00AD3C52">
        <w:t xml:space="preserve">for all the other scenarios </w:t>
      </w:r>
      <w:r w:rsidR="00701FC8" w:rsidRPr="00AD3C52">
        <w:t xml:space="preserve">show </w:t>
      </w:r>
      <w:r w:rsidR="002A1FD1" w:rsidRPr="00AD3C52">
        <w:t xml:space="preserve">no </w:t>
      </w:r>
      <w:r w:rsidR="00701FC8" w:rsidRPr="00AD3C52">
        <w:t>transmission constraints</w:t>
      </w:r>
      <w:r w:rsidR="009305F3" w:rsidRPr="00AD3C52">
        <w:t>,</w:t>
      </w:r>
      <w:r w:rsidR="00701FC8" w:rsidRPr="00AD3C52">
        <w:t xml:space="preserve"> as</w:t>
      </w:r>
      <w:r w:rsidR="00A64049">
        <w:t xml:space="preserve"> illustrated in </w:t>
      </w:r>
      <w:r w:rsidR="002F06C2" w:rsidRPr="0005623C">
        <w:fldChar w:fldCharType="begin"/>
      </w:r>
      <w:r w:rsidR="002F06C2" w:rsidRPr="00A7517A">
        <w:instrText xml:space="preserve"> REF _Ref42678355 \h  \* MERGEFORMAT </w:instrText>
      </w:r>
      <w:r w:rsidR="002F06C2" w:rsidRPr="0005623C">
        <w:fldChar w:fldCharType="separate"/>
      </w:r>
      <w:r w:rsidR="00E76F3A" w:rsidRPr="00DA64C1">
        <w:t xml:space="preserve">Figure </w:t>
      </w:r>
      <w:r w:rsidR="00E76F3A">
        <w:rPr>
          <w:noProof/>
        </w:rPr>
        <w:t>5</w:t>
      </w:r>
      <w:r w:rsidR="00E76F3A" w:rsidRPr="00DA64C1">
        <w:rPr>
          <w:noProof/>
        </w:rPr>
        <w:noBreakHyphen/>
      </w:r>
      <w:r w:rsidR="00E76F3A">
        <w:rPr>
          <w:noProof/>
        </w:rPr>
        <w:t>9</w:t>
      </w:r>
      <w:r w:rsidR="002F06C2" w:rsidRPr="0005623C">
        <w:fldChar w:fldCharType="end"/>
      </w:r>
      <w:r w:rsidR="00FF3EB1">
        <w:t xml:space="preserve">. </w:t>
      </w:r>
      <w:r w:rsidR="000F184D">
        <w:t>As noted in the 10000_Sen scenario, e</w:t>
      </w:r>
      <w:r w:rsidR="000F184D" w:rsidRPr="000F184D">
        <w:t>lectrification adds approximately 5 TWh of demand annually</w:t>
      </w:r>
      <w:r w:rsidR="00FF3EB1">
        <w:t xml:space="preserve">. </w:t>
      </w:r>
      <w:r w:rsidR="00C274BE" w:rsidRPr="00C274BE">
        <w:t>A</w:t>
      </w:r>
      <w:r w:rsidR="00D47065" w:rsidRPr="00C274BE">
        <w:t xml:space="preserve">lthough spillage may be reduced, </w:t>
      </w:r>
      <w:r w:rsidR="00C616D2" w:rsidRPr="00C274BE">
        <w:t>the d</w:t>
      </w:r>
      <w:r w:rsidR="00C616D2" w:rsidRPr="00D527C6">
        <w:t xml:space="preserve">emand from </w:t>
      </w:r>
      <w:r w:rsidR="00C274BE">
        <w:t xml:space="preserve">heat pumps and electric vehicles </w:t>
      </w:r>
      <w:r w:rsidR="000F184D" w:rsidRPr="00D527C6">
        <w:t xml:space="preserve">may cause more frequent </w:t>
      </w:r>
      <w:r w:rsidR="00094B89" w:rsidRPr="00D527C6">
        <w:t xml:space="preserve">congestion of the </w:t>
      </w:r>
      <w:r w:rsidR="000F184D" w:rsidRPr="00D527C6">
        <w:t>SEMA/RI export interface</w:t>
      </w:r>
      <w:r w:rsidR="00C274BE">
        <w:t>, depending on the alignment of these loads with offshore wind production,</w:t>
      </w:r>
      <w:r w:rsidR="00AB05FB" w:rsidRPr="00D527C6">
        <w:t xml:space="preserve"> because of lower</w:t>
      </w:r>
      <w:r w:rsidR="00C616D2" w:rsidRPr="00D527C6">
        <w:t>-</w:t>
      </w:r>
      <w:r w:rsidR="00AB05FB" w:rsidRPr="00D527C6">
        <w:t xml:space="preserve">cost generation located in the </w:t>
      </w:r>
      <w:r w:rsidR="00C274BE">
        <w:t>this</w:t>
      </w:r>
      <w:r w:rsidR="00AB05FB" w:rsidRPr="00D527C6">
        <w:t xml:space="preserve"> zone.</w:t>
      </w:r>
    </w:p>
    <w:p w14:paraId="16ED84E8" w14:textId="77777777" w:rsidR="00530413" w:rsidRPr="00DA64C1" w:rsidRDefault="00530413" w:rsidP="00530413">
      <w:pPr>
        <w:spacing w:after="0" w:line="240" w:lineRule="auto"/>
        <w:jc w:val="center"/>
      </w:pPr>
      <w:r w:rsidRPr="00DA64C1">
        <w:rPr>
          <w:noProof/>
        </w:rPr>
        <w:drawing>
          <wp:inline distT="0" distB="0" distL="0" distR="0" wp14:anchorId="36262CF1" wp14:editId="7196F57C">
            <wp:extent cx="5028354" cy="2688343"/>
            <wp:effectExtent l="19050" t="19050" r="20320" b="171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39391" cy="2694244"/>
                    </a:xfrm>
                    <a:prstGeom prst="rect">
                      <a:avLst/>
                    </a:prstGeom>
                    <a:noFill/>
                    <a:ln w="3175">
                      <a:solidFill>
                        <a:srgbClr val="000000"/>
                      </a:solidFill>
                    </a:ln>
                  </pic:spPr>
                </pic:pic>
              </a:graphicData>
            </a:graphic>
          </wp:inline>
        </w:drawing>
      </w:r>
    </w:p>
    <w:p w14:paraId="31106B4F" w14:textId="77777777" w:rsidR="00D326E9" w:rsidRPr="00DA64C1" w:rsidRDefault="002F06C2" w:rsidP="00F10C17">
      <w:pPr>
        <w:pStyle w:val="Caption"/>
        <w:keepNext w:val="0"/>
        <w:keepLines w:val="0"/>
        <w:spacing w:before="120" w:after="240"/>
        <w:ind w:left="720"/>
      </w:pPr>
      <w:bookmarkStart w:id="82" w:name="_Ref42678355"/>
      <w:bookmarkStart w:id="83" w:name="_Toc52533816"/>
      <w:r w:rsidRPr="00DA64C1">
        <w:t xml:space="preserve">Figure </w:t>
      </w:r>
      <w:r w:rsidR="000D5F76">
        <w:fldChar w:fldCharType="begin"/>
      </w:r>
      <w:r w:rsidR="000D5F76">
        <w:instrText xml:space="preserve"> STYLEREF 1 \s </w:instrText>
      </w:r>
      <w:r w:rsidR="000D5F76">
        <w:fldChar w:fldCharType="separate"/>
      </w:r>
      <w:r w:rsidR="00614C30">
        <w:rPr>
          <w:noProof/>
        </w:rPr>
        <w:t>5</w:t>
      </w:r>
      <w:r w:rsidR="000D5F76">
        <w:rPr>
          <w:noProof/>
        </w:rPr>
        <w:fldChar w:fldCharType="end"/>
      </w:r>
      <w:r w:rsidR="00702E16" w:rsidRPr="00DA64C1">
        <w:noBreakHyphen/>
      </w:r>
      <w:r w:rsidR="000D5F76">
        <w:fldChar w:fldCharType="begin"/>
      </w:r>
      <w:r w:rsidR="000D5F76">
        <w:instrText xml:space="preserve"> SEQ Figure \* ARABIC \s 1 </w:instrText>
      </w:r>
      <w:r w:rsidR="000D5F76">
        <w:fldChar w:fldCharType="separate"/>
      </w:r>
      <w:r w:rsidR="00614C30">
        <w:rPr>
          <w:noProof/>
        </w:rPr>
        <w:t>9</w:t>
      </w:r>
      <w:r w:rsidR="000D5F76">
        <w:rPr>
          <w:noProof/>
        </w:rPr>
        <w:fldChar w:fldCharType="end"/>
      </w:r>
      <w:bookmarkEnd w:id="82"/>
      <w:r w:rsidRPr="00DA64C1">
        <w:t>: Congestion by interface</w:t>
      </w:r>
      <w:r w:rsidR="009305F3" w:rsidRPr="00DA64C1">
        <w:t xml:space="preserve"> (hours)</w:t>
      </w:r>
      <w:r w:rsidR="00D527C6" w:rsidRPr="00DA64C1">
        <w:t xml:space="preserve"> for the constrained cases</w:t>
      </w:r>
      <w:r w:rsidRPr="00DA64C1">
        <w:t>.</w:t>
      </w:r>
      <w:bookmarkEnd w:id="83"/>
    </w:p>
    <w:p w14:paraId="5DF183EC" w14:textId="77777777" w:rsidR="000F184D" w:rsidRDefault="009305F3" w:rsidP="000F184D">
      <w:r w:rsidRPr="00DA64C1">
        <w:t>T</w:t>
      </w:r>
      <w:r w:rsidR="000F184D" w:rsidRPr="00DA64C1">
        <w:t>he SEMA/RI export interface</w:t>
      </w:r>
      <w:r w:rsidRPr="00DA64C1">
        <w:t xml:space="preserve"> </w:t>
      </w:r>
      <w:r w:rsidR="000F184D" w:rsidRPr="00DA64C1">
        <w:t xml:space="preserve">is congested more frequently with the addition of </w:t>
      </w:r>
      <w:r w:rsidR="00D527C6" w:rsidRPr="00DA64C1">
        <w:t xml:space="preserve">1,500 MW of offshore wind </w:t>
      </w:r>
      <w:r w:rsidR="00F52DC2" w:rsidRPr="00DA64C1">
        <w:t xml:space="preserve">inside the interface (500 MW added </w:t>
      </w:r>
      <w:r w:rsidR="00D527C6" w:rsidRPr="00DA64C1">
        <w:t>to Kent County</w:t>
      </w:r>
      <w:r w:rsidR="00F52DC2" w:rsidRPr="00DA64C1">
        <w:t>, and 1,000 MW added to</w:t>
      </w:r>
      <w:r w:rsidR="00DA64C1">
        <w:t xml:space="preserve"> </w:t>
      </w:r>
      <w:r w:rsidR="00D527C6" w:rsidRPr="00DA64C1">
        <w:t>Brayton Point</w:t>
      </w:r>
      <w:r w:rsidR="00F52DC2" w:rsidRPr="00DA64C1">
        <w:t>)</w:t>
      </w:r>
      <w:r w:rsidR="00D527C6" w:rsidRPr="00DA64C1">
        <w:t xml:space="preserve"> associated with the </w:t>
      </w:r>
      <w:r w:rsidR="000F184D" w:rsidRPr="00DA64C1">
        <w:t xml:space="preserve">10,000 MW </w:t>
      </w:r>
      <w:r w:rsidR="00D527C6" w:rsidRPr="00DA64C1">
        <w:t xml:space="preserve">and 12,000 MW </w:t>
      </w:r>
      <w:r w:rsidR="000F184D" w:rsidRPr="00DA64C1">
        <w:t>of offshore wind</w:t>
      </w:r>
      <w:r w:rsidR="00D254D5">
        <w:t xml:space="preserve">, with congestion </w:t>
      </w:r>
      <w:r w:rsidR="000F184D" w:rsidRPr="00DA64C1">
        <w:t>rang</w:t>
      </w:r>
      <w:r w:rsidR="00D254D5">
        <w:t>ing</w:t>
      </w:r>
      <w:r w:rsidR="000F184D" w:rsidRPr="00DA64C1">
        <w:t xml:space="preserve"> from 93 to 1,478 hours per year. Th</w:t>
      </w:r>
      <w:r w:rsidRPr="00DA64C1">
        <w:t xml:space="preserve">is </w:t>
      </w:r>
      <w:r w:rsidR="000F184D" w:rsidRPr="00DA64C1">
        <w:t>congestion occurs most often in the winter months, followed by the shoulder months</w:t>
      </w:r>
      <w:r w:rsidR="00DA64C1" w:rsidRPr="00DA64C1">
        <w:t>.</w:t>
      </w:r>
      <w:r w:rsidR="00D47065" w:rsidRPr="00DA64C1">
        <w:t xml:space="preserve"> </w:t>
      </w:r>
      <w:r w:rsidR="000F184D" w:rsidRPr="00DA64C1">
        <w:t>The SEMA/RI interface is least congested in the summer months</w:t>
      </w:r>
      <w:r w:rsidR="00F52DC2" w:rsidRPr="00DA64C1">
        <w:t xml:space="preserve"> due to the higher local energy consumption</w:t>
      </w:r>
      <w:r w:rsidR="00FF3EB1" w:rsidRPr="00DA64C1">
        <w:t xml:space="preserve">. </w:t>
      </w:r>
      <w:r w:rsidR="00F10C17" w:rsidRPr="00DA64C1">
        <w:fldChar w:fldCharType="begin"/>
      </w:r>
      <w:r w:rsidR="00F10C17" w:rsidRPr="00DA64C1">
        <w:instrText xml:space="preserve"> REF _Ref49260707 \h </w:instrText>
      </w:r>
      <w:r w:rsidR="00DA64C1">
        <w:instrText xml:space="preserve"> \* MERGEFORMAT </w:instrText>
      </w:r>
      <w:r w:rsidR="00F10C17" w:rsidRPr="00DA64C1">
        <w:fldChar w:fldCharType="separate"/>
      </w:r>
      <w:r w:rsidR="00E76F3A" w:rsidRPr="009A1C82">
        <w:t xml:space="preserve">Figure </w:t>
      </w:r>
      <w:r w:rsidR="00E76F3A">
        <w:rPr>
          <w:noProof/>
        </w:rPr>
        <w:t>5</w:t>
      </w:r>
      <w:r w:rsidR="00E76F3A">
        <w:rPr>
          <w:noProof/>
        </w:rPr>
        <w:noBreakHyphen/>
        <w:t>10</w:t>
      </w:r>
      <w:r w:rsidR="00F10C17" w:rsidRPr="00DA64C1">
        <w:fldChar w:fldCharType="end"/>
      </w:r>
      <w:r w:rsidR="000F184D">
        <w:t xml:space="preserve"> provides a representation of monthly congestion for the </w:t>
      </w:r>
      <w:r w:rsidR="000F184D" w:rsidRPr="000F184D">
        <w:t>SEMA/RI interface</w:t>
      </w:r>
      <w:r w:rsidR="000F184D">
        <w:t xml:space="preserve"> for all scenarios studied</w:t>
      </w:r>
      <w:r w:rsidR="00AA1CD7">
        <w:t>.</w:t>
      </w:r>
    </w:p>
    <w:p w14:paraId="155EE6DA" w14:textId="77777777" w:rsidR="00530413" w:rsidRDefault="00530413" w:rsidP="00530413">
      <w:pPr>
        <w:spacing w:after="0" w:line="240" w:lineRule="auto"/>
        <w:jc w:val="center"/>
      </w:pPr>
      <w:r w:rsidRPr="00530413">
        <w:rPr>
          <w:noProof/>
        </w:rPr>
        <w:drawing>
          <wp:inline distT="0" distB="0" distL="0" distR="0" wp14:anchorId="47549161" wp14:editId="125A0F7B">
            <wp:extent cx="5003228" cy="3165809"/>
            <wp:effectExtent l="19050" t="19050" r="26035" b="158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09909" cy="3170036"/>
                    </a:xfrm>
                    <a:prstGeom prst="rect">
                      <a:avLst/>
                    </a:prstGeom>
                    <a:noFill/>
                    <a:ln w="3175">
                      <a:solidFill>
                        <a:srgbClr val="000000"/>
                      </a:solidFill>
                    </a:ln>
                  </pic:spPr>
                </pic:pic>
              </a:graphicData>
            </a:graphic>
          </wp:inline>
        </w:drawing>
      </w:r>
    </w:p>
    <w:p w14:paraId="12264DCB" w14:textId="77777777" w:rsidR="00E10BDF" w:rsidRDefault="009305F3" w:rsidP="00530413">
      <w:pPr>
        <w:pStyle w:val="Caption"/>
        <w:spacing w:before="120" w:after="240"/>
        <w:ind w:left="720" w:right="720"/>
        <w:sectPr w:rsidR="00E10BDF" w:rsidSect="004B074A">
          <w:pgSz w:w="12240" w:h="15840" w:code="1"/>
          <w:pgMar w:top="1440" w:right="1440" w:bottom="1440" w:left="1440" w:header="720" w:footer="720" w:gutter="0"/>
          <w:pgNumType w:start="1"/>
          <w:cols w:space="720"/>
          <w:docGrid w:linePitch="360"/>
        </w:sectPr>
      </w:pPr>
      <w:bookmarkStart w:id="84" w:name="_Ref49260707"/>
      <w:bookmarkStart w:id="85" w:name="_Toc52533817"/>
      <w:r w:rsidRPr="009A1C82">
        <w:t xml:space="preserve">Figure </w:t>
      </w:r>
      <w:r w:rsidR="000D5F76">
        <w:fldChar w:fldCharType="begin"/>
      </w:r>
      <w:r w:rsidR="000D5F76">
        <w:instrText xml:space="preserve"> STYLEREF 1 \s </w:instrText>
      </w:r>
      <w:r w:rsidR="000D5F76">
        <w:fldChar w:fldCharType="separate"/>
      </w:r>
      <w:r w:rsidR="00614C30">
        <w:rPr>
          <w:noProof/>
        </w:rPr>
        <w:t>5</w:t>
      </w:r>
      <w:r w:rsidR="000D5F76">
        <w:rPr>
          <w:noProof/>
        </w:rPr>
        <w:fldChar w:fldCharType="end"/>
      </w:r>
      <w:r w:rsidR="00702E16">
        <w:noBreakHyphen/>
      </w:r>
      <w:r w:rsidR="000D5F76">
        <w:fldChar w:fldCharType="begin"/>
      </w:r>
      <w:r w:rsidR="000D5F76">
        <w:instrText xml:space="preserve"> SEQ Figure \* ARABIC \s 1 </w:instrText>
      </w:r>
      <w:r w:rsidR="000D5F76">
        <w:fldChar w:fldCharType="separate"/>
      </w:r>
      <w:r w:rsidR="00614C30">
        <w:rPr>
          <w:noProof/>
        </w:rPr>
        <w:t>10</w:t>
      </w:r>
      <w:r w:rsidR="000D5F76">
        <w:rPr>
          <w:noProof/>
        </w:rPr>
        <w:fldChar w:fldCharType="end"/>
      </w:r>
      <w:bookmarkEnd w:id="84"/>
      <w:r w:rsidR="000F184D" w:rsidRPr="00530413">
        <w:t>: S</w:t>
      </w:r>
      <w:r w:rsidR="000F184D" w:rsidRPr="009A1C82">
        <w:rPr>
          <w:bCs w:val="0"/>
        </w:rPr>
        <w:t xml:space="preserve">EMA/RI </w:t>
      </w:r>
      <w:r w:rsidRPr="00573E19">
        <w:rPr>
          <w:bCs w:val="0"/>
        </w:rPr>
        <w:t>e</w:t>
      </w:r>
      <w:r w:rsidR="000F184D" w:rsidRPr="00124D80">
        <w:rPr>
          <w:bCs w:val="0"/>
        </w:rPr>
        <w:t xml:space="preserve">xport </w:t>
      </w:r>
      <w:r w:rsidRPr="00124D80">
        <w:rPr>
          <w:bCs w:val="0"/>
        </w:rPr>
        <w:t>i</w:t>
      </w:r>
      <w:r w:rsidR="000F184D" w:rsidRPr="00124D80">
        <w:rPr>
          <w:bCs w:val="0"/>
        </w:rPr>
        <w:t xml:space="preserve">nterface </w:t>
      </w:r>
      <w:r w:rsidRPr="00124D80">
        <w:rPr>
          <w:bCs w:val="0"/>
        </w:rPr>
        <w:t>c</w:t>
      </w:r>
      <w:r w:rsidR="000F184D" w:rsidRPr="00DE18A0">
        <w:rPr>
          <w:bCs w:val="0"/>
        </w:rPr>
        <w:t>onges</w:t>
      </w:r>
      <w:r w:rsidR="00530413">
        <w:rPr>
          <w:bCs w:val="0"/>
        </w:rPr>
        <w:t>t</w:t>
      </w:r>
      <w:r w:rsidR="000F184D" w:rsidRPr="00DE18A0">
        <w:rPr>
          <w:bCs w:val="0"/>
        </w:rPr>
        <w:t xml:space="preserve">ion by </w:t>
      </w:r>
      <w:r w:rsidRPr="005C3473">
        <w:rPr>
          <w:bCs w:val="0"/>
        </w:rPr>
        <w:t>m</w:t>
      </w:r>
      <w:r w:rsidR="000F184D" w:rsidRPr="0086248E">
        <w:rPr>
          <w:bCs w:val="0"/>
        </w:rPr>
        <w:t>onth</w:t>
      </w:r>
      <w:r w:rsidR="000F184D" w:rsidRPr="0086248E">
        <w:t xml:space="preserve"> (</w:t>
      </w:r>
      <w:r w:rsidRPr="0086248E">
        <w:t>%</w:t>
      </w:r>
      <w:r w:rsidR="000F184D" w:rsidRPr="0086248E">
        <w:t xml:space="preserve"> of </w:t>
      </w:r>
      <w:r w:rsidRPr="0086248E">
        <w:t>t</w:t>
      </w:r>
      <w:r w:rsidR="000F184D" w:rsidRPr="0086248E">
        <w:t xml:space="preserve">ime the </w:t>
      </w:r>
      <w:r w:rsidRPr="0086248E">
        <w:t>i</w:t>
      </w:r>
      <w:r w:rsidR="000F184D" w:rsidRPr="0086248E">
        <w:t>nterface is at its limit).</w:t>
      </w:r>
      <w:bookmarkEnd w:id="85"/>
    </w:p>
    <w:p w14:paraId="2B9249DE" w14:textId="77777777" w:rsidR="00803F1A" w:rsidRPr="00BD2B3A" w:rsidRDefault="00977DD4">
      <w:pPr>
        <w:pStyle w:val="Heading1"/>
      </w:pPr>
      <w:bookmarkStart w:id="86" w:name="_Ref166224595"/>
      <w:bookmarkStart w:id="87" w:name="_Toc173682315"/>
      <w:bookmarkStart w:id="88" w:name="_Ref462056355"/>
      <w:bookmarkStart w:id="89" w:name="_Ref476319046"/>
      <w:r>
        <w:br/>
      </w:r>
      <w:bookmarkStart w:id="90" w:name="_Toc52533804"/>
      <w:bookmarkEnd w:id="86"/>
      <w:bookmarkEnd w:id="87"/>
      <w:bookmarkEnd w:id="88"/>
      <w:bookmarkEnd w:id="89"/>
      <w:r w:rsidR="001E44EB">
        <w:t>Summary</w:t>
      </w:r>
      <w:bookmarkEnd w:id="90"/>
      <w:r w:rsidR="00803F1A" w:rsidRPr="00BD2B3A">
        <w:t xml:space="preserve"> </w:t>
      </w:r>
    </w:p>
    <w:p w14:paraId="26289E3F" w14:textId="77777777" w:rsidR="00A80F5C" w:rsidRPr="001572F2" w:rsidRDefault="001E44EB" w:rsidP="00A80F5C">
      <w:r w:rsidRPr="009A0A73">
        <w:t xml:space="preserve">This section summarizes the </w:t>
      </w:r>
      <w:r w:rsidR="003B1495">
        <w:t xml:space="preserve">results of the </w:t>
      </w:r>
      <w:r w:rsidR="00F22055">
        <w:t xml:space="preserve">2019 </w:t>
      </w:r>
      <w:r w:rsidR="00DE6511">
        <w:t>A</w:t>
      </w:r>
      <w:r w:rsidR="000B2CB6">
        <w:t>nbaric</w:t>
      </w:r>
      <w:r>
        <w:t xml:space="preserve"> Economic Study</w:t>
      </w:r>
      <w:r w:rsidR="00612438">
        <w:t>, which</w:t>
      </w:r>
      <w:r>
        <w:t xml:space="preserve"> </w:t>
      </w:r>
      <w:r w:rsidRPr="007175D2">
        <w:t>assess</w:t>
      </w:r>
      <w:r>
        <w:t>ed</w:t>
      </w:r>
      <w:r w:rsidRPr="007175D2">
        <w:t xml:space="preserve"> </w:t>
      </w:r>
      <w:r w:rsidRPr="001E1293">
        <w:t>the effects of</w:t>
      </w:r>
      <w:r>
        <w:t xml:space="preserve"> different offshore </w:t>
      </w:r>
      <w:r w:rsidRPr="00843BAF">
        <w:t>wind-expansion scen</w:t>
      </w:r>
      <w:r>
        <w:t>arios</w:t>
      </w:r>
      <w:r w:rsidRPr="001E1293">
        <w:t xml:space="preserve"> on the future electric power system</w:t>
      </w:r>
      <w:r>
        <w:t xml:space="preserve"> in New </w:t>
      </w:r>
      <w:r w:rsidRPr="00BD2B3A">
        <w:t xml:space="preserve">England. </w:t>
      </w:r>
      <w:r>
        <w:t xml:space="preserve">The results </w:t>
      </w:r>
      <w:r w:rsidR="003B1495">
        <w:t>for</w:t>
      </w:r>
      <w:r w:rsidRPr="001572F2">
        <w:t xml:space="preserve"> </w:t>
      </w:r>
      <w:r w:rsidR="000B2CB6">
        <w:t>four</w:t>
      </w:r>
      <w:r>
        <w:t xml:space="preserve"> </w:t>
      </w:r>
      <w:r w:rsidRPr="001572F2">
        <w:t>scenarios</w:t>
      </w:r>
      <w:r>
        <w:t xml:space="preserve"> and </w:t>
      </w:r>
      <w:r w:rsidR="002534D3">
        <w:t>threshold</w:t>
      </w:r>
      <w:r w:rsidR="00F22055">
        <w:t>-</w:t>
      </w:r>
      <w:r w:rsidR="002534D3">
        <w:t xml:space="preserve">price </w:t>
      </w:r>
      <w:r>
        <w:t>sensitives</w:t>
      </w:r>
      <w:r w:rsidRPr="001572F2">
        <w:t xml:space="preserve"> provide useful information when considered </w:t>
      </w:r>
      <w:r w:rsidR="00612438">
        <w:t>holistically because</w:t>
      </w:r>
      <w:r w:rsidR="009B656C">
        <w:t xml:space="preserve"> results of this study show a modest economic benefit for increasing offshore wind additions above 8,000 MW.</w:t>
      </w:r>
      <w:r w:rsidR="00D939AB">
        <w:t xml:space="preserve"> </w:t>
      </w:r>
      <w:r w:rsidR="00A80F5C">
        <w:t>All offshore</w:t>
      </w:r>
      <w:r w:rsidR="00F22055">
        <w:t>-</w:t>
      </w:r>
      <w:r w:rsidR="00A80F5C">
        <w:t>integration s</w:t>
      </w:r>
      <w:r w:rsidR="00A80F5C" w:rsidRPr="00D65EB4">
        <w:t xml:space="preserve">cenarios </w:t>
      </w:r>
      <w:r w:rsidR="00A80F5C">
        <w:t xml:space="preserve">produced </w:t>
      </w:r>
      <w:r w:rsidR="00D254D5">
        <w:t xml:space="preserve">directionally </w:t>
      </w:r>
      <w:r w:rsidR="00A80F5C">
        <w:t xml:space="preserve">similar results. Key observations of the </w:t>
      </w:r>
      <w:r w:rsidR="00F22055">
        <w:t xml:space="preserve">2019 </w:t>
      </w:r>
      <w:r w:rsidR="00A80F5C">
        <w:t>Anbaric Economic Study include</w:t>
      </w:r>
      <w:r w:rsidR="00F22055">
        <w:t xml:space="preserve"> the following</w:t>
      </w:r>
      <w:r w:rsidR="00A80F5C">
        <w:t>:</w:t>
      </w:r>
    </w:p>
    <w:p w14:paraId="7F4B8D22" w14:textId="77777777" w:rsidR="00CA6B95" w:rsidRDefault="004C6E0F" w:rsidP="00561A66">
      <w:pPr>
        <w:pStyle w:val="ListParagraph"/>
        <w:numPr>
          <w:ilvl w:val="0"/>
          <w:numId w:val="4"/>
        </w:numPr>
        <w:spacing w:line="240" w:lineRule="auto"/>
      </w:pPr>
      <w:r>
        <w:t>The reduction of s</w:t>
      </w:r>
      <w:r w:rsidR="00CA6B95">
        <w:t>ystemwide production costs by one-half with 8,000 MW of offshore wind</w:t>
      </w:r>
    </w:p>
    <w:p w14:paraId="10723EAD" w14:textId="77777777" w:rsidR="00CA6B95" w:rsidRDefault="004C6E0F" w:rsidP="00561A66">
      <w:pPr>
        <w:pStyle w:val="ListParagraph"/>
        <w:numPr>
          <w:ilvl w:val="0"/>
          <w:numId w:val="4"/>
        </w:numPr>
        <w:spacing w:line="240" w:lineRule="auto"/>
      </w:pPr>
      <w:r>
        <w:t>The reduction of c</w:t>
      </w:r>
      <w:r w:rsidR="00CA6B95">
        <w:t xml:space="preserve">arbon </w:t>
      </w:r>
      <w:r>
        <w:t xml:space="preserve">dioxide </w:t>
      </w:r>
      <w:r w:rsidR="00CA6B95">
        <w:t>emissions by one-third with 8,000 MW of offshore wind</w:t>
      </w:r>
    </w:p>
    <w:p w14:paraId="09DB26ED" w14:textId="77777777" w:rsidR="00A80F5C" w:rsidRPr="00DA64C1" w:rsidRDefault="00A80F5C" w:rsidP="00561A66">
      <w:pPr>
        <w:pStyle w:val="ListParagraph"/>
        <w:numPr>
          <w:ilvl w:val="0"/>
          <w:numId w:val="4"/>
        </w:numPr>
        <w:spacing w:line="240" w:lineRule="auto"/>
      </w:pPr>
      <w:r w:rsidRPr="00DA64C1">
        <w:t>The significant potential for spilling offshore wind energy</w:t>
      </w:r>
      <w:r w:rsidR="00CA6B95">
        <w:t>, if intercon</w:t>
      </w:r>
      <w:r w:rsidR="005A1CBA">
        <w:t xml:space="preserve">nections are largely in the SEMA/RI area and not made directly to load centers </w:t>
      </w:r>
    </w:p>
    <w:p w14:paraId="37710ECA" w14:textId="77777777" w:rsidR="00A80F5C" w:rsidRPr="00DA64C1" w:rsidRDefault="00A80F5C" w:rsidP="00931AC7">
      <w:pPr>
        <w:pStyle w:val="ListParagraph"/>
        <w:numPr>
          <w:ilvl w:val="0"/>
          <w:numId w:val="4"/>
        </w:numPr>
        <w:spacing w:after="240" w:line="240" w:lineRule="auto"/>
      </w:pPr>
      <w:r w:rsidRPr="00DA64C1">
        <w:t>Increase</w:t>
      </w:r>
      <w:r w:rsidR="00F22055" w:rsidRPr="00DA64C1">
        <w:t>d</w:t>
      </w:r>
      <w:r w:rsidRPr="00DA64C1">
        <w:t xml:space="preserve"> congestion of the SEMA/RI interface</w:t>
      </w:r>
    </w:p>
    <w:p w14:paraId="07513A2C" w14:textId="77777777" w:rsidR="00923737" w:rsidRDefault="00D939AB" w:rsidP="001E44EB">
      <w:r w:rsidRPr="00C63DBB">
        <w:t>T</w:t>
      </w:r>
      <w:r w:rsidR="001E44EB" w:rsidRPr="00C157F3">
        <w:t xml:space="preserve">he </w:t>
      </w:r>
      <w:r w:rsidR="003B1495" w:rsidRPr="00C157F3">
        <w:t xml:space="preserve">results </w:t>
      </w:r>
      <w:r w:rsidR="001E44EB" w:rsidRPr="00C157F3">
        <w:t xml:space="preserve">revealed that spillage is </w:t>
      </w:r>
      <w:r w:rsidR="00AB087C">
        <w:t>significant</w:t>
      </w:r>
      <w:r w:rsidR="00DF0367" w:rsidRPr="00C274BE">
        <w:t xml:space="preserve"> for </w:t>
      </w:r>
      <w:r w:rsidR="00AB087C">
        <w:t xml:space="preserve">each of </w:t>
      </w:r>
      <w:r w:rsidR="00DF0367" w:rsidRPr="00C274BE">
        <w:t xml:space="preserve">the various amounts of offshore wind </w:t>
      </w:r>
      <w:r w:rsidR="001E44EB" w:rsidRPr="00C274BE">
        <w:t>interconnect</w:t>
      </w:r>
      <w:r w:rsidR="008D4CB1" w:rsidRPr="00C274BE">
        <w:t>ed</w:t>
      </w:r>
      <w:r w:rsidR="008D4CB1" w:rsidRPr="00F0617A">
        <w:t xml:space="preserve"> </w:t>
      </w:r>
      <w:r w:rsidR="008D4CB1" w:rsidRPr="00C274BE">
        <w:t>to</w:t>
      </w:r>
      <w:r w:rsidR="008D4CB1">
        <w:t xml:space="preserve"> </w:t>
      </w:r>
      <w:r w:rsidR="001E44EB" w:rsidRPr="008D4CB1">
        <w:t>points in southern New England</w:t>
      </w:r>
      <w:r w:rsidR="0036470B" w:rsidRPr="008D4CB1">
        <w:t>, with t</w:t>
      </w:r>
      <w:r w:rsidR="001E44EB" w:rsidRPr="008D4CB1">
        <w:t>he rate of spillage increas</w:t>
      </w:r>
      <w:r w:rsidR="0036470B" w:rsidRPr="008D4CB1">
        <w:t>ing</w:t>
      </w:r>
      <w:r w:rsidR="001E44EB" w:rsidRPr="008D4CB1">
        <w:t xml:space="preserve"> as </w:t>
      </w:r>
      <w:r w:rsidR="009C7A83">
        <w:t xml:space="preserve">the </w:t>
      </w:r>
      <w:r w:rsidR="001E44EB" w:rsidRPr="008D4CB1">
        <w:t>offshore wind buildout increases</w:t>
      </w:r>
      <w:r w:rsidR="00BF1EA7" w:rsidRPr="00C157F3">
        <w:t>.</w:t>
      </w:r>
      <w:r w:rsidR="00F5532B" w:rsidRPr="00C157F3">
        <w:t xml:space="preserve"> </w:t>
      </w:r>
      <w:r w:rsidR="00C63986" w:rsidRPr="00C157F3">
        <w:t>Production cost analysis reveals that</w:t>
      </w:r>
      <w:r w:rsidR="004325CB" w:rsidRPr="00C157F3">
        <w:t>,</w:t>
      </w:r>
      <w:r w:rsidR="00C63986" w:rsidRPr="00C157F3">
        <w:t xml:space="preserve"> </w:t>
      </w:r>
      <w:r w:rsidR="004325CB" w:rsidRPr="00C157F3">
        <w:t xml:space="preserve">in this configuration, </w:t>
      </w:r>
      <w:r w:rsidR="009B656C">
        <w:t xml:space="preserve">the environmental benefits of </w:t>
      </w:r>
      <w:r w:rsidR="00C63986" w:rsidRPr="00C157F3">
        <w:t>the addition of 12,000 MW of offshore wind</w:t>
      </w:r>
      <w:r w:rsidR="009B656C">
        <w:t xml:space="preserve"> may not be realized because the wind cannot serve load due to transmission constraints.</w:t>
      </w:r>
      <w:r w:rsidR="004325CB" w:rsidRPr="00C157F3">
        <w:t xml:space="preserve"> </w:t>
      </w:r>
      <w:r w:rsidR="00F5532B" w:rsidRPr="00C157F3">
        <w:t xml:space="preserve">As illustrated in </w:t>
      </w:r>
      <w:r w:rsidR="00F5532B" w:rsidRPr="00DA64C1">
        <w:t>the 8,</w:t>
      </w:r>
      <w:r w:rsidR="00F22055" w:rsidRPr="00DA64C1">
        <w:t>000 </w:t>
      </w:r>
      <w:r w:rsidR="00F5532B" w:rsidRPr="00DA64C1">
        <w:t xml:space="preserve">MW scenario, spillage varies </w:t>
      </w:r>
      <w:r w:rsidR="00F5532B" w:rsidRPr="00DA64C1">
        <w:rPr>
          <w:i/>
        </w:rPr>
        <w:t>significantly</w:t>
      </w:r>
      <w:r w:rsidR="00F5532B" w:rsidRPr="00DA64C1">
        <w:t xml:space="preserve"> by month from 0.09 TWh in August to 1.74 TWh in April.</w:t>
      </w:r>
      <w:r w:rsidR="00BF1EA7" w:rsidRPr="00DA64C1">
        <w:t xml:space="preserve"> </w:t>
      </w:r>
      <w:r w:rsidR="00DA64C1">
        <w:t>Offshore wind may not be able to serve i</w:t>
      </w:r>
      <w:r w:rsidR="00923737" w:rsidRPr="00DA64C1">
        <w:t xml:space="preserve">ncreases in demand due to electrification </w:t>
      </w:r>
      <w:r w:rsidR="00C63DBB" w:rsidRPr="00DA64C1">
        <w:t xml:space="preserve">(approximately </w:t>
      </w:r>
      <w:r w:rsidR="008D4CB1" w:rsidRPr="00DA64C1">
        <w:t>5 </w:t>
      </w:r>
      <w:r w:rsidR="00C63DBB" w:rsidRPr="00DA64C1">
        <w:t xml:space="preserve">TWh annually total) </w:t>
      </w:r>
      <w:r w:rsidR="00DA64C1">
        <w:t>because of</w:t>
      </w:r>
      <w:r w:rsidR="008D4CB1" w:rsidRPr="00DA64C1">
        <w:t xml:space="preserve"> differences in the timing of when wind energy is available a</w:t>
      </w:r>
      <w:r w:rsidR="008D4CB1" w:rsidRPr="00442E48">
        <w:t xml:space="preserve">nd </w:t>
      </w:r>
      <w:r w:rsidR="00D254D5" w:rsidRPr="00442E48">
        <w:t xml:space="preserve">added </w:t>
      </w:r>
      <w:r w:rsidR="008D4CB1" w:rsidRPr="00442E48">
        <w:t>ele</w:t>
      </w:r>
      <w:r w:rsidR="008D4CB1" w:rsidRPr="00DA64C1">
        <w:t xml:space="preserve">ctrification load </w:t>
      </w:r>
      <w:r w:rsidR="009C7A83" w:rsidRPr="00DA64C1">
        <w:t>occurs</w:t>
      </w:r>
      <w:r w:rsidR="00FF3EB1" w:rsidRPr="00DA64C1">
        <w:t xml:space="preserve">. </w:t>
      </w:r>
      <w:r w:rsidR="00923737" w:rsidRPr="00DA64C1">
        <w:t>Study r</w:t>
      </w:r>
      <w:r w:rsidR="00923737" w:rsidRPr="00C157F3">
        <w:t xml:space="preserve">esults indicate that </w:t>
      </w:r>
      <w:r w:rsidR="00F5532B" w:rsidRPr="00C157F3">
        <w:t xml:space="preserve">the use of </w:t>
      </w:r>
      <w:r w:rsidR="00101293">
        <w:t xml:space="preserve">additional </w:t>
      </w:r>
      <w:r w:rsidR="00F5532B" w:rsidRPr="00C157F3">
        <w:t>battery storage</w:t>
      </w:r>
      <w:r w:rsidR="00923737" w:rsidRPr="00C157F3">
        <w:t xml:space="preserve"> as proposed by Anbaric would help lower offshore wind spillage</w:t>
      </w:r>
      <w:r w:rsidR="00F5532B" w:rsidRPr="00C157F3">
        <w:t xml:space="preserve">. </w:t>
      </w:r>
      <w:r w:rsidR="00B83793" w:rsidRPr="00C157F3">
        <w:rPr>
          <w:szCs w:val="20"/>
        </w:rPr>
        <w:t>While offshore wind continues to oversupply in shoulder seasons, it does</w:t>
      </w:r>
      <w:r w:rsidR="004325CB" w:rsidRPr="00C157F3">
        <w:rPr>
          <w:szCs w:val="20"/>
        </w:rPr>
        <w:t xml:space="preserve"> not</w:t>
      </w:r>
      <w:r w:rsidR="00B83793" w:rsidRPr="00C157F3">
        <w:rPr>
          <w:szCs w:val="20"/>
        </w:rPr>
        <w:t xml:space="preserve"> provide a steady supply </w:t>
      </w:r>
      <w:r w:rsidR="004325CB" w:rsidRPr="00C157F3">
        <w:rPr>
          <w:szCs w:val="20"/>
        </w:rPr>
        <w:t>in the high-demand months of July and August</w:t>
      </w:r>
      <w:r w:rsidR="006C6F2B">
        <w:rPr>
          <w:szCs w:val="20"/>
        </w:rPr>
        <w:t>.</w:t>
      </w:r>
    </w:p>
    <w:p w14:paraId="523154D8" w14:textId="77777777" w:rsidR="00BA161E" w:rsidRDefault="001F3D5D" w:rsidP="00BA161E">
      <w:r>
        <w:t xml:space="preserve">Increased congestion of the SEMA/RI interface can be alleviated by interconnection to load centers in Connecticut and </w:t>
      </w:r>
      <w:r w:rsidR="00A511A5">
        <w:t>Massachusetts</w:t>
      </w:r>
      <w:r>
        <w:t xml:space="preserve">. </w:t>
      </w:r>
      <w:r w:rsidR="00F5532B" w:rsidRPr="00C274BE">
        <w:t>T</w:t>
      </w:r>
      <w:r w:rsidR="00F5532B" w:rsidRPr="00F5532B">
        <w:t>he SEMA/RI export interface is congested in the 8,000</w:t>
      </w:r>
      <w:r w:rsidR="00D254D5">
        <w:t xml:space="preserve"> MW</w:t>
      </w:r>
      <w:r w:rsidR="00F5532B" w:rsidRPr="00F5532B">
        <w:t xml:space="preserve"> to 12,000 MW scenarios because more offshore wind generation is required to serve load outside the SEMA and RI areas with the assumed nuclear retirements</w:t>
      </w:r>
      <w:r w:rsidR="00FF3EB1" w:rsidRPr="00DD60C7">
        <w:t xml:space="preserve">. </w:t>
      </w:r>
    </w:p>
    <w:p w14:paraId="4990B869" w14:textId="77777777" w:rsidR="00BA161E" w:rsidRPr="000713C5" w:rsidRDefault="00BA161E" w:rsidP="00BA161E">
      <w:r w:rsidRPr="00BA161E">
        <w:t>The addition of 8,000 MW</w:t>
      </w:r>
      <w:r w:rsidR="009C7A83">
        <w:t xml:space="preserve"> of</w:t>
      </w:r>
      <w:r w:rsidRPr="00BA161E">
        <w:t xml:space="preserve"> offshore wind decreases systemwide production costs to approximately half the reference </w:t>
      </w:r>
      <w:r w:rsidR="00F22055">
        <w:t xml:space="preserve">scenario </w:t>
      </w:r>
      <w:r w:rsidRPr="00BA161E">
        <w:t>(0 MW of new offshore wind). However, the incr</w:t>
      </w:r>
      <w:r w:rsidRPr="000713C5">
        <w:t>em</w:t>
      </w:r>
      <w:r>
        <w:t xml:space="preserve">ental </w:t>
      </w:r>
      <w:r w:rsidR="00F22055">
        <w:t xml:space="preserve">savings in </w:t>
      </w:r>
      <w:r>
        <w:t xml:space="preserve">production costs </w:t>
      </w:r>
      <w:r w:rsidRPr="000713C5">
        <w:t xml:space="preserve">are less than $100 </w:t>
      </w:r>
      <w:r w:rsidR="00F22055">
        <w:t>m</w:t>
      </w:r>
      <w:r w:rsidRPr="000713C5">
        <w:t>illion per eac</w:t>
      </w:r>
      <w:r>
        <w:t>h 2,000 MW of additional offshore wind</w:t>
      </w:r>
      <w:r w:rsidR="00F22055">
        <w:t>,</w:t>
      </w:r>
      <w:r w:rsidRPr="000713C5">
        <w:t xml:space="preserve"> as seen in the 10</w:t>
      </w:r>
      <w:r>
        <w:t>,</w:t>
      </w:r>
      <w:r w:rsidRPr="000713C5">
        <w:t>000 MW and 12</w:t>
      </w:r>
      <w:r>
        <w:t>,</w:t>
      </w:r>
      <w:r w:rsidR="001E7007" w:rsidRPr="000713C5">
        <w:t>000</w:t>
      </w:r>
      <w:r w:rsidR="001E7007">
        <w:t> </w:t>
      </w:r>
      <w:r w:rsidRPr="000713C5">
        <w:t xml:space="preserve">MW </w:t>
      </w:r>
      <w:r>
        <w:t>offshore wind</w:t>
      </w:r>
      <w:r w:rsidRPr="000713C5">
        <w:t xml:space="preserve"> scenarios. </w:t>
      </w:r>
    </w:p>
    <w:p w14:paraId="4FFF7B18" w14:textId="77777777" w:rsidR="00635C26" w:rsidRPr="00675A2D" w:rsidRDefault="00E771CF" w:rsidP="00E712DA">
      <w:r w:rsidRPr="00F5532B">
        <w:t xml:space="preserve">The study of </w:t>
      </w:r>
      <w:r w:rsidR="002470CE">
        <w:t xml:space="preserve">the </w:t>
      </w:r>
      <w:r w:rsidRPr="00F5532B">
        <w:t>environmental impacts associated with different levels of offshore wind additions provide</w:t>
      </w:r>
      <w:r w:rsidR="00AB087C">
        <w:t>s</w:t>
      </w:r>
      <w:r w:rsidRPr="00F5532B">
        <w:t xml:space="preserve"> insight on future emission trends. The total CO</w:t>
      </w:r>
      <w:r w:rsidRPr="00F5532B">
        <w:rPr>
          <w:vertAlign w:val="subscript"/>
        </w:rPr>
        <w:t>2</w:t>
      </w:r>
      <w:r w:rsidRPr="00F5532B">
        <w:t xml:space="preserve"> emissions associated with the different scenarios analyzed in this study are </w:t>
      </w:r>
      <w:r w:rsidR="001E7007">
        <w:t xml:space="preserve">tied </w:t>
      </w:r>
      <w:r w:rsidRPr="00F5532B">
        <w:t>directly to the type and amount of fossil fuel</w:t>
      </w:r>
      <w:r w:rsidR="001F3D5D">
        <w:t xml:space="preserve"> </w:t>
      </w:r>
      <w:r w:rsidR="001E7007">
        <w:t>resources</w:t>
      </w:r>
      <w:r w:rsidR="001F3D5D">
        <w:t xml:space="preserve"> </w:t>
      </w:r>
      <w:r w:rsidRPr="00F5532B">
        <w:t>modeled</w:t>
      </w:r>
      <w:r w:rsidR="002470CE">
        <w:t xml:space="preserve"> and account for renewables </w:t>
      </w:r>
      <w:r w:rsidR="00092B8C">
        <w:t>dis</w:t>
      </w:r>
      <w:r w:rsidR="002470CE">
        <w:t>placi</w:t>
      </w:r>
      <w:r w:rsidR="002470CE" w:rsidRPr="00317B0F">
        <w:t>ng fossil fuel</w:t>
      </w:r>
      <w:r w:rsidR="001F3D5D">
        <w:t xml:space="preserve"> resources</w:t>
      </w:r>
      <w:r w:rsidRPr="00C274BE">
        <w:t xml:space="preserve">. </w:t>
      </w:r>
      <w:r w:rsidR="00951C58" w:rsidRPr="00C274BE">
        <w:t>Offshore wind additions reduce the New England carbon footprint but are</w:t>
      </w:r>
      <w:r w:rsidR="00101293" w:rsidRPr="00C274BE">
        <w:t xml:space="preserve"> </w:t>
      </w:r>
      <w:r w:rsidR="00951C58" w:rsidRPr="00F0617A">
        <w:t>weather dependent</w:t>
      </w:r>
      <w:r w:rsidR="008D4CB1" w:rsidRPr="00F0617A">
        <w:t>,</w:t>
      </w:r>
      <w:r w:rsidR="006C6F2B" w:rsidRPr="00F0617A">
        <w:t xml:space="preserve"> </w:t>
      </w:r>
      <w:r w:rsidR="00101293" w:rsidRPr="00C274BE">
        <w:t>which may result in an inability to consistently meet demand</w:t>
      </w:r>
      <w:r w:rsidR="005A1CBA">
        <w:t xml:space="preserve">. The consideration of transmission enhancements, storage, or both may be helpful in utilizing offshore wind more effectively </w:t>
      </w:r>
      <w:r w:rsidR="002470CE" w:rsidRPr="00C274BE">
        <w:t>Stu</w:t>
      </w:r>
      <w:r w:rsidR="002470CE">
        <w:t xml:space="preserve">dy results showed a reduction in </w:t>
      </w:r>
      <w:r w:rsidR="00126FCE">
        <w:t>CO</w:t>
      </w:r>
      <w:r w:rsidR="00126FCE">
        <w:rPr>
          <w:vertAlign w:val="subscript"/>
        </w:rPr>
        <w:t>2</w:t>
      </w:r>
      <w:r w:rsidRPr="00F5532B">
        <w:t xml:space="preserve"> emissions by approximately one-third in </w:t>
      </w:r>
      <w:r w:rsidR="00682338">
        <w:t>all</w:t>
      </w:r>
      <w:r w:rsidRPr="00F5532B">
        <w:t xml:space="preserve"> offshore wind scenarios compared with the </w:t>
      </w:r>
      <w:r w:rsidR="00C4588D">
        <w:t>r</w:t>
      </w:r>
      <w:r w:rsidRPr="00F5532B">
        <w:t xml:space="preserve">eference </w:t>
      </w:r>
      <w:r w:rsidR="00C4588D">
        <w:t>s</w:t>
      </w:r>
      <w:r w:rsidR="00F5532B" w:rsidRPr="00F5532B">
        <w:t>cenario</w:t>
      </w:r>
      <w:r w:rsidRPr="00F5532B">
        <w:t xml:space="preserve">. </w:t>
      </w:r>
      <w:r w:rsidR="00682338">
        <w:t>However, CO</w:t>
      </w:r>
      <w:r w:rsidR="00682338" w:rsidRPr="00277F7A">
        <w:rPr>
          <w:vertAlign w:val="subscript"/>
        </w:rPr>
        <w:t>2</w:t>
      </w:r>
      <w:r w:rsidR="00682338" w:rsidRPr="00682338">
        <w:t xml:space="preserve"> emissions of the </w:t>
      </w:r>
      <w:r w:rsidR="00682338" w:rsidRPr="0094163F">
        <w:t>Anbaric 10000</w:t>
      </w:r>
      <w:r w:rsidR="00FE162D">
        <w:t>_</w:t>
      </w:r>
      <w:r w:rsidR="00682338" w:rsidRPr="0094163F">
        <w:t>Sen scenario</w:t>
      </w:r>
      <w:r w:rsidR="00682338" w:rsidRPr="00682338">
        <w:t xml:space="preserve"> </w:t>
      </w:r>
      <w:r w:rsidR="00682338">
        <w:t xml:space="preserve">are slightly higher </w:t>
      </w:r>
      <w:r w:rsidR="00682338" w:rsidRPr="00682338">
        <w:t>because more energy production from natural</w:t>
      </w:r>
      <w:r w:rsidR="00BB4AF7">
        <w:t>-</w:t>
      </w:r>
      <w:r w:rsidR="00682338" w:rsidRPr="00682338">
        <w:t>gas</w:t>
      </w:r>
      <w:r w:rsidR="00BB4AF7">
        <w:t>-</w:t>
      </w:r>
      <w:r w:rsidR="00682338" w:rsidRPr="00682338">
        <w:t xml:space="preserve">fired units is required to meet the additional demand associated with electrification.  </w:t>
      </w:r>
    </w:p>
    <w:sectPr w:rsidR="00635C26" w:rsidRPr="00675A2D" w:rsidSect="00E10BDF">
      <w:pgSz w:w="12240" w:h="15840" w:code="1"/>
      <w:pgMar w:top="12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D9A4E1" w14:textId="77777777" w:rsidR="00AA4AB3" w:rsidRDefault="00AA4AB3">
      <w:r>
        <w:separator/>
      </w:r>
    </w:p>
    <w:p w14:paraId="17972C06" w14:textId="77777777" w:rsidR="00AA4AB3" w:rsidRDefault="00AA4AB3"/>
    <w:p w14:paraId="1D80A565" w14:textId="77777777" w:rsidR="00AA4AB3" w:rsidRDefault="00AA4AB3"/>
    <w:p w14:paraId="6B55C48B" w14:textId="77777777" w:rsidR="00AA4AB3" w:rsidRDefault="00AA4AB3"/>
    <w:p w14:paraId="5461F2D2" w14:textId="77777777" w:rsidR="00AA4AB3" w:rsidRDefault="00AA4AB3"/>
    <w:p w14:paraId="4CAD3289" w14:textId="77777777" w:rsidR="00AA4AB3" w:rsidRDefault="00AA4AB3"/>
    <w:p w14:paraId="2B78A037" w14:textId="77777777" w:rsidR="00AA4AB3" w:rsidRDefault="00AA4AB3"/>
    <w:p w14:paraId="4DA72DC7" w14:textId="77777777" w:rsidR="00AA4AB3" w:rsidRDefault="00AA4AB3"/>
    <w:p w14:paraId="2194164B" w14:textId="77777777" w:rsidR="00AA4AB3" w:rsidRDefault="00AA4AB3"/>
    <w:p w14:paraId="4927FD68" w14:textId="77777777" w:rsidR="00AA4AB3" w:rsidRDefault="00AA4AB3"/>
    <w:p w14:paraId="1E316789" w14:textId="77777777" w:rsidR="00AA4AB3" w:rsidRDefault="00AA4AB3"/>
    <w:p w14:paraId="685DA3B2" w14:textId="77777777" w:rsidR="00AA4AB3" w:rsidRDefault="00AA4AB3"/>
    <w:p w14:paraId="6B5DD4F4" w14:textId="77777777" w:rsidR="00AA4AB3" w:rsidRDefault="00AA4AB3"/>
    <w:p w14:paraId="09BF870F" w14:textId="77777777" w:rsidR="00AA4AB3" w:rsidRDefault="00AA4AB3"/>
    <w:p w14:paraId="13AD0C04" w14:textId="77777777" w:rsidR="00AA4AB3" w:rsidRDefault="00AA4AB3"/>
    <w:p w14:paraId="70B2A674" w14:textId="77777777" w:rsidR="00AA4AB3" w:rsidRDefault="00AA4AB3"/>
    <w:p w14:paraId="10A8A867" w14:textId="77777777" w:rsidR="00AA4AB3" w:rsidRDefault="00AA4AB3"/>
    <w:p w14:paraId="31513F6D" w14:textId="77777777" w:rsidR="00AA4AB3" w:rsidRDefault="00AA4AB3"/>
    <w:p w14:paraId="14FB016E" w14:textId="77777777" w:rsidR="00AA4AB3" w:rsidRDefault="00AA4AB3"/>
    <w:p w14:paraId="7C72A1B7" w14:textId="77777777" w:rsidR="00AA4AB3" w:rsidRDefault="00AA4AB3"/>
    <w:p w14:paraId="54B2D1A1" w14:textId="77777777" w:rsidR="00AA4AB3" w:rsidRDefault="00AA4AB3"/>
    <w:p w14:paraId="6B20F9E8" w14:textId="77777777" w:rsidR="00AA4AB3" w:rsidRDefault="00AA4AB3"/>
    <w:p w14:paraId="6B20331D" w14:textId="77777777" w:rsidR="00AA4AB3" w:rsidRDefault="00AA4AB3"/>
    <w:p w14:paraId="4D55C6DC" w14:textId="77777777" w:rsidR="00AA4AB3" w:rsidRDefault="00AA4AB3"/>
  </w:endnote>
  <w:endnote w:type="continuationSeparator" w:id="0">
    <w:p w14:paraId="10244D71" w14:textId="77777777" w:rsidR="00AA4AB3" w:rsidRDefault="00AA4AB3">
      <w:r>
        <w:continuationSeparator/>
      </w:r>
    </w:p>
    <w:p w14:paraId="5BBBA903" w14:textId="77777777" w:rsidR="00AA4AB3" w:rsidRDefault="00AA4AB3"/>
    <w:p w14:paraId="494FC470" w14:textId="77777777" w:rsidR="00AA4AB3" w:rsidRDefault="00AA4AB3"/>
    <w:p w14:paraId="142FC931" w14:textId="77777777" w:rsidR="00AA4AB3" w:rsidRDefault="00AA4AB3"/>
    <w:p w14:paraId="084621BD" w14:textId="77777777" w:rsidR="00AA4AB3" w:rsidRDefault="00AA4AB3"/>
    <w:p w14:paraId="05890756" w14:textId="77777777" w:rsidR="00AA4AB3" w:rsidRDefault="00AA4AB3"/>
    <w:p w14:paraId="74EB2024" w14:textId="77777777" w:rsidR="00AA4AB3" w:rsidRDefault="00AA4AB3"/>
    <w:p w14:paraId="7B3D043A" w14:textId="77777777" w:rsidR="00AA4AB3" w:rsidRDefault="00AA4AB3"/>
    <w:p w14:paraId="6ED82EB6" w14:textId="77777777" w:rsidR="00AA4AB3" w:rsidRDefault="00AA4AB3"/>
    <w:p w14:paraId="7684EFE1" w14:textId="77777777" w:rsidR="00AA4AB3" w:rsidRDefault="00AA4AB3"/>
    <w:p w14:paraId="64F37D01" w14:textId="77777777" w:rsidR="00AA4AB3" w:rsidRDefault="00AA4AB3"/>
    <w:p w14:paraId="6C0F695A" w14:textId="77777777" w:rsidR="00AA4AB3" w:rsidRDefault="00AA4AB3"/>
    <w:p w14:paraId="2649814E" w14:textId="77777777" w:rsidR="00AA4AB3" w:rsidRDefault="00AA4AB3"/>
    <w:p w14:paraId="6CF25E7B" w14:textId="77777777" w:rsidR="00AA4AB3" w:rsidRDefault="00AA4AB3"/>
    <w:p w14:paraId="291F8A06" w14:textId="77777777" w:rsidR="00AA4AB3" w:rsidRDefault="00AA4AB3"/>
    <w:p w14:paraId="39FECD0A" w14:textId="77777777" w:rsidR="00AA4AB3" w:rsidRDefault="00AA4AB3"/>
    <w:p w14:paraId="7F0CCFB2" w14:textId="77777777" w:rsidR="00AA4AB3" w:rsidRDefault="00AA4AB3"/>
    <w:p w14:paraId="2988E26A" w14:textId="77777777" w:rsidR="00AA4AB3" w:rsidRDefault="00AA4AB3"/>
    <w:p w14:paraId="0362D501" w14:textId="77777777" w:rsidR="00AA4AB3" w:rsidRDefault="00AA4AB3"/>
    <w:p w14:paraId="01922856" w14:textId="77777777" w:rsidR="00AA4AB3" w:rsidRDefault="00AA4AB3"/>
    <w:p w14:paraId="5F221BB8" w14:textId="77777777" w:rsidR="00AA4AB3" w:rsidRDefault="00AA4AB3"/>
    <w:p w14:paraId="3A8E4FB1" w14:textId="77777777" w:rsidR="00AA4AB3" w:rsidRDefault="00AA4AB3"/>
    <w:p w14:paraId="0094032F" w14:textId="77777777" w:rsidR="00AA4AB3" w:rsidRDefault="00AA4AB3"/>
    <w:p w14:paraId="494AD94C" w14:textId="77777777" w:rsidR="00AA4AB3" w:rsidRDefault="00AA4A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hitney-Book">
    <w:altName w:val="Whitney Book"/>
    <w:panose1 w:val="00000000000000000000"/>
    <w:charset w:val="4D"/>
    <w:family w:val="auto"/>
    <w:notTrueType/>
    <w:pitch w:val="default"/>
    <w:sig w:usb0="00000003" w:usb1="00000000" w:usb2="00000000" w:usb3="00000000" w:csb0="00000001" w:csb1="00000000"/>
  </w:font>
  <w:font w:name="OpenSans-Bold">
    <w:altName w:val="Open Sans"/>
    <w:charset w:val="00"/>
    <w:family w:val="auto"/>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F971D" w14:textId="77777777" w:rsidR="00E10BDF" w:rsidRDefault="00E10B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92C23" w14:textId="77777777" w:rsidR="00AA4AB3" w:rsidRPr="00E1050A" w:rsidRDefault="00AA4AB3" w:rsidP="00D85494">
    <w:pPr>
      <w:tabs>
        <w:tab w:val="left" w:pos="1480"/>
      </w:tabs>
      <w:adjustRightInd/>
      <w:spacing w:after="0" w:line="240" w:lineRule="auto"/>
      <w:textAlignment w:val="auto"/>
      <w:rPr>
        <w:rFonts w:eastAsia="Calibr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4D68D" w14:textId="77777777" w:rsidR="00E10BDF" w:rsidRDefault="00E10BD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BC8EC" w14:textId="77777777" w:rsidR="00AA4AB3" w:rsidRPr="00E1050A" w:rsidRDefault="00AA4AB3" w:rsidP="00D85494">
    <w:pPr>
      <w:tabs>
        <w:tab w:val="center" w:pos="4680"/>
        <w:tab w:val="right" w:pos="9360"/>
      </w:tabs>
      <w:adjustRightInd/>
      <w:spacing w:after="0" w:line="240" w:lineRule="auto"/>
      <w:jc w:val="center"/>
      <w:textAlignment w:val="auto"/>
      <w:rPr>
        <w:rFonts w:eastAsia="Calibri"/>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51400" w14:textId="024EE1AE" w:rsidR="00AA4AB3" w:rsidRDefault="00AA4AB3" w:rsidP="00A7198B">
    <w:pPr>
      <w:tabs>
        <w:tab w:val="center" w:pos="7200"/>
        <w:tab w:val="right" w:pos="9000"/>
      </w:tabs>
      <w:adjustRightInd/>
      <w:spacing w:after="0" w:line="240" w:lineRule="auto"/>
      <w:textAlignment w:val="auto"/>
      <w:rPr>
        <w:rFonts w:eastAsia="Calibri"/>
        <w:sz w:val="16"/>
        <w:szCs w:val="16"/>
      </w:rPr>
    </w:pPr>
    <w:r w:rsidRPr="00A7198B">
      <w:rPr>
        <w:rFonts w:eastAsia="Calibri"/>
        <w:i/>
        <w:sz w:val="16"/>
        <w:szCs w:val="16"/>
      </w:rPr>
      <w:t>2019 Economic Study:</w:t>
    </w:r>
    <w:r>
      <w:rPr>
        <w:rFonts w:eastAsia="Calibri"/>
        <w:i/>
        <w:sz w:val="16"/>
        <w:szCs w:val="16"/>
      </w:rPr>
      <w:t xml:space="preserve">  </w:t>
    </w:r>
    <w:r w:rsidRPr="00A7198B">
      <w:rPr>
        <w:rFonts w:eastAsia="Calibri"/>
        <w:i/>
        <w:sz w:val="16"/>
        <w:szCs w:val="16"/>
      </w:rPr>
      <w:t>Offshore Wind Integration</w:t>
    </w:r>
    <w:r w:rsidDel="00381209">
      <w:rPr>
        <w:rFonts w:eastAsia="Calibri"/>
        <w:i/>
        <w:sz w:val="16"/>
        <w:szCs w:val="16"/>
      </w:rPr>
      <w:t xml:space="preserve"> </w:t>
    </w:r>
    <w:r>
      <w:rPr>
        <w:rFonts w:eastAsia="Calibri"/>
        <w:i/>
        <w:sz w:val="16"/>
        <w:szCs w:val="16"/>
      </w:rPr>
      <w:t xml:space="preserve"> </w:t>
    </w:r>
    <w:r>
      <w:rPr>
        <w:rFonts w:eastAsia="Calibri"/>
        <w:i/>
        <w:sz w:val="16"/>
        <w:szCs w:val="16"/>
      </w:rPr>
      <w:tab/>
      <w:t xml:space="preserve">                                                                                      </w:t>
    </w:r>
    <w:r w:rsidRPr="00AB7EAC">
      <w:rPr>
        <w:rFonts w:eastAsia="Calibri"/>
        <w:sz w:val="16"/>
        <w:szCs w:val="16"/>
      </w:rPr>
      <w:t>pag</w:t>
    </w:r>
    <w:r>
      <w:rPr>
        <w:rFonts w:eastAsia="Calibri"/>
        <w:sz w:val="16"/>
        <w:szCs w:val="16"/>
      </w:rPr>
      <w:t>e</w:t>
    </w:r>
    <w:r w:rsidRPr="00AB7EAC">
      <w:rPr>
        <w:rFonts w:eastAsia="Calibri"/>
        <w:sz w:val="16"/>
        <w:szCs w:val="16"/>
      </w:rPr>
      <w:t xml:space="preserve"> </w:t>
    </w:r>
    <w:r w:rsidRPr="00AB7EAC">
      <w:rPr>
        <w:rFonts w:eastAsia="Calibri"/>
        <w:sz w:val="16"/>
        <w:szCs w:val="16"/>
      </w:rPr>
      <w:fldChar w:fldCharType="begin"/>
    </w:r>
    <w:r w:rsidRPr="00AB7EAC">
      <w:rPr>
        <w:rFonts w:eastAsia="Calibri"/>
        <w:sz w:val="16"/>
        <w:szCs w:val="16"/>
      </w:rPr>
      <w:instrText xml:space="preserve"> PAGE   \* MERGEFORMAT </w:instrText>
    </w:r>
    <w:r w:rsidRPr="00AB7EAC">
      <w:rPr>
        <w:rFonts w:eastAsia="Calibri"/>
        <w:sz w:val="16"/>
        <w:szCs w:val="16"/>
      </w:rPr>
      <w:fldChar w:fldCharType="separate"/>
    </w:r>
    <w:r w:rsidR="000D5F76">
      <w:rPr>
        <w:rFonts w:eastAsia="Calibri"/>
        <w:noProof/>
        <w:sz w:val="16"/>
        <w:szCs w:val="16"/>
      </w:rPr>
      <w:t>iii</w:t>
    </w:r>
    <w:r w:rsidRPr="00AB7EAC">
      <w:rPr>
        <w:rFonts w:eastAsia="Calibri"/>
        <w:noProof/>
        <w:sz w:val="16"/>
        <w:szCs w:val="16"/>
      </w:rPr>
      <w:fldChar w:fldCharType="end"/>
    </w:r>
    <w:r w:rsidRPr="00AB7EAC">
      <w:rPr>
        <w:rFonts w:eastAsia="Calibri"/>
        <w:sz w:val="16"/>
        <w:szCs w:val="16"/>
      </w:rPr>
      <w:tab/>
    </w:r>
  </w:p>
  <w:p w14:paraId="4A5D1885" w14:textId="77777777" w:rsidR="00AA4AB3" w:rsidRDefault="00AA4AB3" w:rsidP="00D85494">
    <w:pPr>
      <w:tabs>
        <w:tab w:val="left" w:pos="1480"/>
      </w:tabs>
      <w:adjustRightInd/>
      <w:spacing w:after="0" w:line="240" w:lineRule="auto"/>
      <w:textAlignment w:val="auto"/>
      <w:rPr>
        <w:rFonts w:eastAsia="Calibri"/>
        <w:sz w:val="16"/>
        <w:szCs w:val="16"/>
      </w:rPr>
    </w:pPr>
    <w:r>
      <w:rPr>
        <w:rFonts w:eastAsia="Calibri"/>
        <w:sz w:val="16"/>
        <w:szCs w:val="16"/>
      </w:rPr>
      <w:tab/>
    </w:r>
  </w:p>
  <w:p w14:paraId="70827BF5" w14:textId="77777777" w:rsidR="00AA4AB3" w:rsidRPr="00E1050A" w:rsidRDefault="00AA4AB3" w:rsidP="00D85494">
    <w:pPr>
      <w:tabs>
        <w:tab w:val="center" w:pos="4680"/>
        <w:tab w:val="right" w:pos="9360"/>
      </w:tabs>
      <w:adjustRightInd/>
      <w:spacing w:after="0" w:line="240" w:lineRule="auto"/>
      <w:jc w:val="center"/>
      <w:textAlignment w:val="auto"/>
      <w:rPr>
        <w:rFonts w:eastAsia="Calibri"/>
        <w:sz w:val="16"/>
        <w:szCs w:val="16"/>
      </w:rPr>
    </w:pPr>
    <w:r w:rsidRPr="00AB7EAC">
      <w:rPr>
        <w:rFonts w:eastAsia="Calibri"/>
        <w:sz w:val="16"/>
        <w:szCs w:val="16"/>
      </w:rPr>
      <w:t>ISO-NE</w:t>
    </w:r>
    <w:r w:rsidRPr="002166B7">
      <w:rPr>
        <w:rFonts w:eastAsia="Calibri"/>
        <w:sz w:val="16"/>
        <w:szCs w:val="16"/>
      </w:rPr>
      <w:t xml:space="preserve"> </w:t>
    </w:r>
    <w:r>
      <w:rPr>
        <w:rFonts w:eastAsia="Calibri"/>
        <w:sz w:val="16"/>
        <w:szCs w:val="16"/>
      </w:rPr>
      <w:t>PUBLIC</w:t>
    </w:r>
    <w:r w:rsidRPr="00AB7EAC">
      <w:rPr>
        <w:rFonts w:eastAsia="Calibri"/>
        <w:sz w:val="16"/>
        <w:szCs w:val="16"/>
      </w:rPr>
      <w:t xml:space="preserve"> USE</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98A8D" w14:textId="61668586" w:rsidR="00AA4AB3" w:rsidRDefault="00AA4AB3" w:rsidP="00A7198B">
    <w:pPr>
      <w:tabs>
        <w:tab w:val="center" w:pos="7200"/>
        <w:tab w:val="right" w:pos="9000"/>
      </w:tabs>
      <w:adjustRightInd/>
      <w:spacing w:after="0" w:line="240" w:lineRule="auto"/>
      <w:textAlignment w:val="auto"/>
      <w:rPr>
        <w:rFonts w:eastAsia="Calibri"/>
        <w:noProof/>
        <w:sz w:val="16"/>
        <w:szCs w:val="16"/>
      </w:rPr>
    </w:pPr>
    <w:r w:rsidRPr="00A7198B">
      <w:rPr>
        <w:rFonts w:eastAsia="Calibri"/>
        <w:i/>
        <w:sz w:val="16"/>
        <w:szCs w:val="16"/>
      </w:rPr>
      <w:t>2019 Economic Study:</w:t>
    </w:r>
    <w:r>
      <w:rPr>
        <w:rFonts w:eastAsia="Calibri"/>
        <w:i/>
        <w:sz w:val="16"/>
        <w:szCs w:val="16"/>
      </w:rPr>
      <w:t xml:space="preserve">  </w:t>
    </w:r>
    <w:r w:rsidRPr="00A7198B">
      <w:rPr>
        <w:rFonts w:eastAsia="Calibri"/>
        <w:i/>
        <w:sz w:val="16"/>
        <w:szCs w:val="16"/>
      </w:rPr>
      <w:t>Offshore Wind Integration</w:t>
    </w:r>
    <w:r w:rsidDel="00381209">
      <w:rPr>
        <w:rFonts w:eastAsia="Calibri"/>
        <w:i/>
        <w:sz w:val="16"/>
        <w:szCs w:val="16"/>
      </w:rPr>
      <w:t xml:space="preserve"> </w:t>
    </w:r>
    <w:r>
      <w:rPr>
        <w:rFonts w:eastAsia="Calibri"/>
        <w:i/>
        <w:sz w:val="16"/>
        <w:szCs w:val="16"/>
      </w:rPr>
      <w:t xml:space="preserve"> </w:t>
    </w:r>
    <w:r w:rsidDel="00381209">
      <w:rPr>
        <w:rFonts w:eastAsia="Calibri"/>
        <w:i/>
        <w:sz w:val="16"/>
        <w:szCs w:val="16"/>
      </w:rPr>
      <w:t xml:space="preserve"> </w:t>
    </w:r>
    <w:r>
      <w:rPr>
        <w:rFonts w:eastAsia="Calibri"/>
        <w:i/>
        <w:sz w:val="16"/>
        <w:szCs w:val="16"/>
      </w:rPr>
      <w:t xml:space="preserve">                                                                                       </w:t>
    </w:r>
    <w:r>
      <w:rPr>
        <w:rFonts w:eastAsia="Calibri"/>
        <w:i/>
        <w:sz w:val="16"/>
        <w:szCs w:val="16"/>
      </w:rPr>
      <w:tab/>
    </w:r>
    <w:r>
      <w:rPr>
        <w:rFonts w:eastAsia="Calibri"/>
        <w:i/>
        <w:sz w:val="16"/>
        <w:szCs w:val="16"/>
      </w:rPr>
      <w:tab/>
      <w:t xml:space="preserve"> </w:t>
    </w:r>
    <w:r w:rsidRPr="00AB7EAC">
      <w:rPr>
        <w:rFonts w:eastAsia="Calibri"/>
        <w:sz w:val="16"/>
        <w:szCs w:val="16"/>
      </w:rPr>
      <w:t>pag</w:t>
    </w:r>
    <w:r>
      <w:rPr>
        <w:rFonts w:eastAsia="Calibri"/>
        <w:sz w:val="16"/>
        <w:szCs w:val="16"/>
      </w:rPr>
      <w:t>e</w:t>
    </w:r>
    <w:r w:rsidRPr="00AB7EAC">
      <w:rPr>
        <w:rFonts w:eastAsia="Calibri"/>
        <w:sz w:val="16"/>
        <w:szCs w:val="16"/>
      </w:rPr>
      <w:t xml:space="preserve"> </w:t>
    </w:r>
    <w:r w:rsidRPr="00AB7EAC">
      <w:rPr>
        <w:rFonts w:eastAsia="Calibri"/>
        <w:sz w:val="16"/>
        <w:szCs w:val="16"/>
      </w:rPr>
      <w:fldChar w:fldCharType="begin"/>
    </w:r>
    <w:r w:rsidRPr="00AB7EAC">
      <w:rPr>
        <w:rFonts w:eastAsia="Calibri"/>
        <w:sz w:val="16"/>
        <w:szCs w:val="16"/>
      </w:rPr>
      <w:instrText xml:space="preserve"> PAGE   \* MERGEFORMAT </w:instrText>
    </w:r>
    <w:r w:rsidRPr="00AB7EAC">
      <w:rPr>
        <w:rFonts w:eastAsia="Calibri"/>
        <w:sz w:val="16"/>
        <w:szCs w:val="16"/>
      </w:rPr>
      <w:fldChar w:fldCharType="separate"/>
    </w:r>
    <w:r w:rsidR="000D5F76">
      <w:rPr>
        <w:rFonts w:eastAsia="Calibri"/>
        <w:noProof/>
        <w:sz w:val="16"/>
        <w:szCs w:val="16"/>
      </w:rPr>
      <w:t>v</w:t>
    </w:r>
    <w:r w:rsidRPr="00AB7EAC">
      <w:rPr>
        <w:rFonts w:eastAsia="Calibri"/>
        <w:noProof/>
        <w:sz w:val="16"/>
        <w:szCs w:val="16"/>
      </w:rPr>
      <w:fldChar w:fldCharType="end"/>
    </w:r>
  </w:p>
  <w:p w14:paraId="452530C5" w14:textId="77777777" w:rsidR="00AA4AB3" w:rsidRDefault="00AA4AB3" w:rsidP="00A7198B">
    <w:pPr>
      <w:tabs>
        <w:tab w:val="center" w:pos="7920"/>
        <w:tab w:val="right" w:pos="9360"/>
      </w:tabs>
      <w:adjustRightInd/>
      <w:spacing w:after="0" w:line="240" w:lineRule="auto"/>
      <w:textAlignment w:val="auto"/>
      <w:rPr>
        <w:rFonts w:eastAsia="Calibri"/>
        <w:sz w:val="16"/>
        <w:szCs w:val="16"/>
      </w:rPr>
    </w:pPr>
  </w:p>
  <w:p w14:paraId="3ECCBE79" w14:textId="77777777" w:rsidR="00AA4AB3" w:rsidRPr="00E1050A" w:rsidRDefault="00AA4AB3" w:rsidP="00381209">
    <w:pPr>
      <w:tabs>
        <w:tab w:val="center" w:pos="4680"/>
        <w:tab w:val="right" w:pos="9360"/>
      </w:tabs>
      <w:adjustRightInd/>
      <w:spacing w:after="0" w:line="240" w:lineRule="auto"/>
      <w:jc w:val="center"/>
      <w:textAlignment w:val="auto"/>
      <w:rPr>
        <w:rFonts w:eastAsia="Calibri"/>
        <w:sz w:val="16"/>
        <w:szCs w:val="16"/>
      </w:rPr>
    </w:pPr>
    <w:r w:rsidRPr="00AB7EAC">
      <w:rPr>
        <w:rFonts w:eastAsia="Calibri"/>
        <w:sz w:val="16"/>
        <w:szCs w:val="16"/>
      </w:rPr>
      <w:t xml:space="preserve">ISO-NE </w:t>
    </w:r>
    <w:r>
      <w:rPr>
        <w:rFonts w:eastAsia="Calibri"/>
        <w:sz w:val="16"/>
        <w:szCs w:val="16"/>
      </w:rPr>
      <w:t>PUBLIC</w:t>
    </w:r>
    <w:r w:rsidRPr="00AB7EAC">
      <w:rPr>
        <w:rFonts w:eastAsia="Calibri"/>
        <w:sz w:val="16"/>
        <w:szCs w:val="16"/>
      </w:rPr>
      <w:t xml:space="preserve"> USE</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FE5936" w14:textId="77777777" w:rsidR="00AA4AB3" w:rsidRDefault="00AA4AB3">
    <w:r>
      <w:cr/>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1065E" w14:textId="668A407D" w:rsidR="00AA4AB3" w:rsidRDefault="00AA4AB3" w:rsidP="003F3B1F">
    <w:pPr>
      <w:tabs>
        <w:tab w:val="center" w:pos="7200"/>
        <w:tab w:val="right" w:pos="9000"/>
      </w:tabs>
      <w:adjustRightInd/>
      <w:spacing w:after="0" w:line="240" w:lineRule="auto"/>
      <w:textAlignment w:val="auto"/>
      <w:rPr>
        <w:rFonts w:eastAsia="Calibri"/>
        <w:noProof/>
        <w:sz w:val="16"/>
        <w:szCs w:val="16"/>
      </w:rPr>
    </w:pPr>
    <w:r w:rsidRPr="00A7198B">
      <w:rPr>
        <w:rFonts w:eastAsia="Calibri"/>
        <w:i/>
        <w:sz w:val="16"/>
        <w:szCs w:val="16"/>
      </w:rPr>
      <w:t>2019 Economic Study:</w:t>
    </w:r>
    <w:r>
      <w:rPr>
        <w:rFonts w:eastAsia="Calibri"/>
        <w:i/>
        <w:sz w:val="16"/>
        <w:szCs w:val="16"/>
      </w:rPr>
      <w:t xml:space="preserve">  </w:t>
    </w:r>
    <w:r w:rsidRPr="00A7198B">
      <w:rPr>
        <w:rFonts w:eastAsia="Calibri"/>
        <w:i/>
        <w:sz w:val="16"/>
        <w:szCs w:val="16"/>
      </w:rPr>
      <w:t>Offshore Wind Integration</w:t>
    </w:r>
    <w:r w:rsidDel="00381209">
      <w:rPr>
        <w:rFonts w:eastAsia="Calibri"/>
        <w:i/>
        <w:sz w:val="16"/>
        <w:szCs w:val="16"/>
      </w:rPr>
      <w:t xml:space="preserve"> </w:t>
    </w:r>
    <w:r>
      <w:rPr>
        <w:rFonts w:eastAsia="Calibri"/>
        <w:i/>
        <w:sz w:val="16"/>
        <w:szCs w:val="16"/>
      </w:rPr>
      <w:t xml:space="preserve"> </w:t>
    </w:r>
    <w:r w:rsidDel="00381209">
      <w:rPr>
        <w:rFonts w:eastAsia="Calibri"/>
        <w:i/>
        <w:sz w:val="16"/>
        <w:szCs w:val="16"/>
      </w:rPr>
      <w:t xml:space="preserve"> </w:t>
    </w:r>
    <w:r>
      <w:rPr>
        <w:rFonts w:eastAsia="Calibri"/>
        <w:i/>
        <w:sz w:val="16"/>
        <w:szCs w:val="16"/>
      </w:rPr>
      <w:t xml:space="preserve">                                                                                       </w:t>
    </w:r>
    <w:r>
      <w:rPr>
        <w:rFonts w:eastAsia="Calibri"/>
        <w:i/>
        <w:sz w:val="16"/>
        <w:szCs w:val="16"/>
      </w:rPr>
      <w:tab/>
    </w:r>
    <w:r>
      <w:rPr>
        <w:rFonts w:eastAsia="Calibri"/>
        <w:i/>
        <w:sz w:val="16"/>
        <w:szCs w:val="16"/>
      </w:rPr>
      <w:tab/>
      <w:t xml:space="preserve"> </w:t>
    </w:r>
    <w:r w:rsidRPr="00AB7EAC">
      <w:rPr>
        <w:rFonts w:eastAsia="Calibri"/>
        <w:sz w:val="16"/>
        <w:szCs w:val="16"/>
      </w:rPr>
      <w:t>pag</w:t>
    </w:r>
    <w:r>
      <w:rPr>
        <w:rFonts w:eastAsia="Calibri"/>
        <w:sz w:val="16"/>
        <w:szCs w:val="16"/>
      </w:rPr>
      <w:t>e</w:t>
    </w:r>
    <w:r w:rsidRPr="00AB7EAC">
      <w:rPr>
        <w:rFonts w:eastAsia="Calibri"/>
        <w:sz w:val="16"/>
        <w:szCs w:val="16"/>
      </w:rPr>
      <w:t xml:space="preserve"> </w:t>
    </w:r>
    <w:r w:rsidRPr="00AB7EAC">
      <w:rPr>
        <w:rFonts w:eastAsia="Calibri"/>
        <w:sz w:val="16"/>
        <w:szCs w:val="16"/>
      </w:rPr>
      <w:fldChar w:fldCharType="begin"/>
    </w:r>
    <w:r w:rsidRPr="00AB7EAC">
      <w:rPr>
        <w:rFonts w:eastAsia="Calibri"/>
        <w:sz w:val="16"/>
        <w:szCs w:val="16"/>
      </w:rPr>
      <w:instrText xml:space="preserve"> PAGE   \* MERGEFORMAT </w:instrText>
    </w:r>
    <w:r w:rsidRPr="00AB7EAC">
      <w:rPr>
        <w:rFonts w:eastAsia="Calibri"/>
        <w:sz w:val="16"/>
        <w:szCs w:val="16"/>
      </w:rPr>
      <w:fldChar w:fldCharType="separate"/>
    </w:r>
    <w:r w:rsidR="000D5F76">
      <w:rPr>
        <w:rFonts w:eastAsia="Calibri"/>
        <w:noProof/>
        <w:sz w:val="16"/>
        <w:szCs w:val="16"/>
      </w:rPr>
      <w:t>15</w:t>
    </w:r>
    <w:r w:rsidRPr="00AB7EAC">
      <w:rPr>
        <w:rFonts w:eastAsia="Calibri"/>
        <w:noProof/>
        <w:sz w:val="16"/>
        <w:szCs w:val="16"/>
      </w:rPr>
      <w:fldChar w:fldCharType="end"/>
    </w:r>
  </w:p>
  <w:p w14:paraId="3B2E0A35" w14:textId="77777777" w:rsidR="00AA4AB3" w:rsidRPr="00D654E3" w:rsidRDefault="00AA4AB3" w:rsidP="003F3B1F">
    <w:pPr>
      <w:tabs>
        <w:tab w:val="center" w:pos="4680"/>
        <w:tab w:val="right" w:pos="9360"/>
      </w:tabs>
      <w:adjustRightInd/>
      <w:spacing w:after="0" w:line="240" w:lineRule="auto"/>
      <w:jc w:val="center"/>
      <w:textAlignment w:val="auto"/>
      <w:rPr>
        <w:rFonts w:eastAsia="Calibri"/>
        <w:b/>
        <w:sz w:val="16"/>
        <w:szCs w:val="16"/>
      </w:rPr>
    </w:pPr>
    <w:r w:rsidRPr="00AB7EAC">
      <w:rPr>
        <w:rFonts w:eastAsia="Calibri"/>
        <w:sz w:val="16"/>
        <w:szCs w:val="16"/>
      </w:rPr>
      <w:t xml:space="preserve">ISO-NE </w:t>
    </w:r>
    <w:r>
      <w:rPr>
        <w:rFonts w:eastAsia="Calibri"/>
        <w:sz w:val="16"/>
        <w:szCs w:val="16"/>
      </w:rPr>
      <w:t>PUBLIC</w:t>
    </w:r>
    <w:r w:rsidRPr="00AB7EAC">
      <w:rPr>
        <w:rFonts w:eastAsia="Calibri"/>
        <w:sz w:val="16"/>
        <w:szCs w:val="16"/>
      </w:rPr>
      <w:t xml:space="preserve"> USE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9C7577" w14:textId="77777777" w:rsidR="00AA4AB3" w:rsidRDefault="00AA4AB3">
      <w:r>
        <w:separator/>
      </w:r>
    </w:p>
  </w:footnote>
  <w:footnote w:type="continuationSeparator" w:id="0">
    <w:p w14:paraId="315D4E48" w14:textId="77777777" w:rsidR="00AA4AB3" w:rsidRDefault="00AA4AB3">
      <w:r>
        <w:continuationSeparator/>
      </w:r>
    </w:p>
  </w:footnote>
  <w:footnote w:type="continuationNotice" w:id="1">
    <w:p w14:paraId="475B70C8" w14:textId="77777777" w:rsidR="00AA4AB3" w:rsidRDefault="00AA4AB3">
      <w:pPr>
        <w:pStyle w:val="Footer"/>
      </w:pPr>
    </w:p>
  </w:footnote>
  <w:footnote w:id="2">
    <w:p w14:paraId="3255C416" w14:textId="77777777" w:rsidR="00AA4AB3" w:rsidRDefault="00AA4AB3">
      <w:pPr>
        <w:pStyle w:val="FootnoteText"/>
      </w:pPr>
      <w:r w:rsidRPr="00A8677E">
        <w:rPr>
          <w:rStyle w:val="FootnoteReference"/>
        </w:rPr>
        <w:footnoteRef/>
      </w:r>
      <w:r w:rsidRPr="00A8677E">
        <w:t xml:space="preserve"> ISO New England, </w:t>
      </w:r>
      <w:r w:rsidRPr="00420F5F">
        <w:rPr>
          <w:i/>
        </w:rPr>
        <w:t>2019 Economic Study: Offshore Wind Integration</w:t>
      </w:r>
      <w:r>
        <w:t xml:space="preserve"> (June 30, 2020), </w:t>
      </w:r>
      <w:hyperlink r:id="rId1" w:history="1">
        <w:r w:rsidRPr="00D5493B">
          <w:rPr>
            <w:rStyle w:val="Hyperlink"/>
          </w:rPr>
          <w:t>https://www.iso-ne.com/static-assets/documents/2020/06/2019_nescoe_economic_study_final.docx</w:t>
        </w:r>
      </w:hyperlink>
      <w:r>
        <w:rPr>
          <w:rStyle w:val="Hyperlink"/>
        </w:rPr>
        <w:t>.</w:t>
      </w:r>
      <w:r>
        <w:t xml:space="preserve"> </w:t>
      </w:r>
    </w:p>
  </w:footnote>
  <w:footnote w:id="3">
    <w:p w14:paraId="5958EDAC" w14:textId="40E9B0B2" w:rsidR="00AA4AB3" w:rsidRDefault="00AA4AB3" w:rsidP="00FA0A8F">
      <w:pPr>
        <w:pStyle w:val="FootnoteText"/>
      </w:pPr>
      <w:r>
        <w:rPr>
          <w:rStyle w:val="FootnoteReference"/>
        </w:rPr>
        <w:footnoteRef/>
      </w:r>
      <w:r>
        <w:t xml:space="preserve"> Refer to figure 6-13 in the NESCOE Economic Study; see above citation.</w:t>
      </w:r>
    </w:p>
  </w:footnote>
  <w:footnote w:id="4">
    <w:p w14:paraId="204F1746" w14:textId="77777777" w:rsidR="00AA4AB3" w:rsidRDefault="00AA4AB3" w:rsidP="00B56CF6">
      <w:pPr>
        <w:pStyle w:val="FootnoteText"/>
      </w:pPr>
      <w:r>
        <w:rPr>
          <w:rStyle w:val="FootnoteReference"/>
        </w:rPr>
        <w:footnoteRef/>
      </w:r>
      <w:r>
        <w:t xml:space="preserve"> Theodore Paradise (sr. vice president, Transmission Strategy and Counsel, Anbaric Development Partners, LLC), “</w:t>
      </w:r>
      <w:r w:rsidRPr="00566F24">
        <w:t>2019 ISO New England Economic Study Request for Offshore Wind Impacts</w:t>
      </w:r>
      <w:r>
        <w:t>,” letter to Peter Bernard</w:t>
      </w:r>
      <w:r w:rsidRPr="00566F24">
        <w:t xml:space="preserve"> </w:t>
      </w:r>
      <w:r>
        <w:t xml:space="preserve">(chair, </w:t>
      </w:r>
      <w:r w:rsidRPr="00566F24">
        <w:t>ISO New England Inc. Planning Advisory Committee</w:t>
      </w:r>
      <w:r>
        <w:t xml:space="preserve">) (April 1, 2019), </w:t>
      </w:r>
      <w:hyperlink r:id="rId2" w:history="1">
        <w:r w:rsidRPr="00677B50">
          <w:t>https://www.iso-ne.com/static-assets/documents/2019/04/anbaric_2019_economic_study_request.pdf</w:t>
        </w:r>
      </w:hyperlink>
      <w:r>
        <w:t>.</w:t>
      </w:r>
    </w:p>
  </w:footnote>
  <w:footnote w:id="5">
    <w:p w14:paraId="153C8A09" w14:textId="77777777" w:rsidR="00AA4AB3" w:rsidRDefault="00AA4AB3" w:rsidP="00053241">
      <w:pPr>
        <w:pStyle w:val="FootnoteText"/>
      </w:pPr>
      <w:r w:rsidRPr="00566F24">
        <w:rPr>
          <w:rStyle w:val="FootnoteReference"/>
        </w:rPr>
        <w:footnoteRef/>
      </w:r>
      <w:r w:rsidRPr="00566F24">
        <w:t xml:space="preserve"> The RENEW Economic Study requested the ISO to study the economic impact of conceptual increases in hourly operating limits on the Orrington-South interface from conceptual transmission upgrades. </w:t>
      </w:r>
      <w:r>
        <w:t xml:space="preserve">RENEW Northeast, </w:t>
      </w:r>
      <w:r w:rsidRPr="005B1275">
        <w:rPr>
          <w:i/>
        </w:rPr>
        <w:t>Proposal for Economic Study of Orrington-South Interface</w:t>
      </w:r>
      <w:r>
        <w:t xml:space="preserve">, PAC presentation (April 25, 2019), </w:t>
      </w:r>
      <w:hyperlink r:id="rId3" w:history="1">
        <w:r w:rsidRPr="00566F24">
          <w:rPr>
            <w:rStyle w:val="Hyperlink"/>
          </w:rPr>
          <w:t>https://www.iso-ne.com/static-assets/documents/2019/04/a2_renew_2019_economic_study_request_presentation.pdf</w:t>
        </w:r>
      </w:hyperlink>
      <w:r>
        <w:t xml:space="preserve">. </w:t>
      </w:r>
      <w:r w:rsidRPr="00CC32DA">
        <w:t xml:space="preserve">The NESCOE 2019 Economic Study examined transmission system and wholesale market impacts associated with the increasing penetration of </w:t>
      </w:r>
      <w:r>
        <w:t>incremental offshore wind resources</w:t>
      </w:r>
      <w:r w:rsidRPr="00CC32DA">
        <w:t xml:space="preserve"> strategically</w:t>
      </w:r>
      <w:r>
        <w:t xml:space="preserve"> placed in southern New England. NESCOE, </w:t>
      </w:r>
      <w:r w:rsidRPr="00CC32DA">
        <w:rPr>
          <w:i/>
        </w:rPr>
        <w:t>Offshore Wind Integration</w:t>
      </w:r>
      <w:r>
        <w:t xml:space="preserve">, PAC presentation (April 25, 2019), </w:t>
      </w:r>
      <w:hyperlink r:id="rId4" w:history="1">
        <w:r w:rsidRPr="00677B50">
          <w:rPr>
            <w:rStyle w:val="Hyperlink"/>
          </w:rPr>
          <w:t>https://www.iso-ne.com/static-assets/documents/2019/04/a2_nescoe_2019_economic_study_request_presentation.pptx</w:t>
        </w:r>
      </w:hyperlink>
      <w:r w:rsidRPr="003650D6">
        <w:t xml:space="preserve">. Also see, ISO New England, </w:t>
      </w:r>
      <w:r w:rsidRPr="003650D6">
        <w:rPr>
          <w:i/>
        </w:rPr>
        <w:t>2019 Economic Study: Offshore Wind Integration</w:t>
      </w:r>
      <w:r w:rsidRPr="00677B50">
        <w:t>, final report</w:t>
      </w:r>
      <w:r w:rsidRPr="003650D6">
        <w:t xml:space="preserve"> (June 30, 2020), </w:t>
      </w:r>
      <w:hyperlink r:id="rId5" w:history="1">
        <w:r w:rsidRPr="003650D6">
          <w:rPr>
            <w:rStyle w:val="Hyperlink"/>
          </w:rPr>
          <w:t>https://www.iso-ne.com/static-assets/documents/2020/06/2019_nescoe_economic_study_final.docx</w:t>
        </w:r>
      </w:hyperlink>
      <w:r w:rsidRPr="003650D6">
        <w:rPr>
          <w:rStyle w:val="Hyperlink"/>
        </w:rPr>
        <w:t>.</w:t>
      </w:r>
      <w:r w:rsidRPr="003650D6">
        <w:t xml:space="preserve"> </w:t>
      </w:r>
    </w:p>
  </w:footnote>
  <w:footnote w:id="6">
    <w:p w14:paraId="4E883830" w14:textId="77777777" w:rsidR="00AA4AB3" w:rsidRPr="00AA5267" w:rsidRDefault="00AA4AB3" w:rsidP="00053241">
      <w:pPr>
        <w:pStyle w:val="FootnoteText"/>
      </w:pPr>
      <w:r w:rsidRPr="00513625">
        <w:rPr>
          <w:rStyle w:val="FootnoteReference"/>
        </w:rPr>
        <w:footnoteRef/>
      </w:r>
      <w:r w:rsidRPr="00513625">
        <w:t xml:space="preserve"> </w:t>
      </w:r>
      <w:r>
        <w:t xml:space="preserve">ISO New England, </w:t>
      </w:r>
      <w:r w:rsidRPr="009C2B5B">
        <w:rPr>
          <w:i/>
        </w:rPr>
        <w:t>ISO New England Inc. Transmission, Markets, and Services Tariff</w:t>
      </w:r>
      <w:r w:rsidRPr="009C2B5B">
        <w:t xml:space="preserve"> (ISO tariff), Section II, </w:t>
      </w:r>
      <w:r w:rsidRPr="009C2B5B">
        <w:rPr>
          <w:i/>
        </w:rPr>
        <w:t>Open Access Transmission Tariff</w:t>
      </w:r>
      <w:r w:rsidRPr="00002E84">
        <w:t>,</w:t>
      </w:r>
      <w:r w:rsidRPr="009C2B5B">
        <w:t xml:space="preserve"> Attachment K, “Regional System Planning Pro</w:t>
      </w:r>
      <w:r w:rsidRPr="00BE03A8">
        <w:t xml:space="preserve">cess” </w:t>
      </w:r>
      <w:r>
        <w:t>(January 22, 2020</w:t>
      </w:r>
      <w:r w:rsidRPr="00FA2D54">
        <w:t>),</w:t>
      </w:r>
      <w:r w:rsidRPr="00BE03A8">
        <w:t xml:space="preserve"> </w:t>
      </w:r>
      <w:hyperlink r:id="rId6" w:history="1">
        <w:r w:rsidRPr="00AA5267">
          <w:rPr>
            <w:rStyle w:val="Hyperlink"/>
          </w:rPr>
          <w:t>https://www.iso-ne.com/static-assets/documents/regulatory/tariff/sect_2/oatt/sect_ii.pdf</w:t>
        </w:r>
      </w:hyperlink>
      <w:r w:rsidRPr="00AA5267">
        <w:t xml:space="preserve">. </w:t>
      </w:r>
    </w:p>
  </w:footnote>
  <w:footnote w:id="7">
    <w:p w14:paraId="5AE056C3" w14:textId="28E7F4A9" w:rsidR="00AA4AB3" w:rsidRPr="00AA5267" w:rsidRDefault="00AA4AB3" w:rsidP="00053241">
      <w:pPr>
        <w:pStyle w:val="FootnoteText"/>
      </w:pPr>
      <w:r w:rsidRPr="00AA5267">
        <w:rPr>
          <w:rStyle w:val="FootnoteReference"/>
        </w:rPr>
        <w:footnoteRef/>
      </w:r>
      <w:r w:rsidRPr="00AA5267">
        <w:t xml:space="preserve"> </w:t>
      </w:r>
      <w:r w:rsidRPr="00AA5267">
        <w:rPr>
          <w:i/>
        </w:rPr>
        <w:t>Load-serving entity (LSE) energy expenses</w:t>
      </w:r>
      <w:r w:rsidRPr="00AA5267">
        <w:t xml:space="preserve"> are the costs the LSEs pay for the energy at the receipt point’s calculated locational marginal price (LMP). They equal the total electric energy revenues that resources and imports from neighboring systems would receive for supplying electric energy to the wholesale market plus the cost of congestion.</w:t>
      </w:r>
    </w:p>
  </w:footnote>
  <w:footnote w:id="8">
    <w:p w14:paraId="6B6D620F" w14:textId="77777777" w:rsidR="00AA4AB3" w:rsidRPr="00E4172A" w:rsidRDefault="00AA4AB3" w:rsidP="00053241">
      <w:pPr>
        <w:pStyle w:val="FootnoteText"/>
      </w:pPr>
      <w:r w:rsidRPr="00AA5267">
        <w:rPr>
          <w:rStyle w:val="FootnoteReference"/>
          <w:sz w:val="18"/>
          <w:szCs w:val="18"/>
        </w:rPr>
        <w:footnoteRef/>
      </w:r>
      <w:r w:rsidRPr="00AA5267">
        <w:t xml:space="preserve"> OATT, Attachment K, Section 4.1b.</w:t>
      </w:r>
    </w:p>
  </w:footnote>
  <w:footnote w:id="9">
    <w:p w14:paraId="5E57D6E1" w14:textId="77777777" w:rsidR="00AA4AB3" w:rsidRPr="003650D6" w:rsidRDefault="00AA4AB3" w:rsidP="000504EB">
      <w:pPr>
        <w:pStyle w:val="FootnoteText"/>
      </w:pPr>
      <w:r w:rsidRPr="00026619">
        <w:rPr>
          <w:rStyle w:val="FootnoteReference"/>
          <w:sz w:val="18"/>
          <w:szCs w:val="18"/>
        </w:rPr>
        <w:footnoteRef/>
      </w:r>
      <w:r w:rsidRPr="00026619">
        <w:t xml:space="preserve"> This tool was developed to evaluate the reliability impacts of Forward Capacity Market (FCM) retirement delist bids, substitution auction demand bids, bilateral transactions, and all reconfiguration auction demand bids on system fuel security, as required by Section III.13.2.5.</w:t>
      </w:r>
      <w:r w:rsidRPr="00A34BB6">
        <w:t xml:space="preserve">2.5A of the ISO tariff for the 2022-23 and 2023-24 capacity commitment periods. See: Robert Ethier (vice president, System Planning, ISO New England), “Regarding 2019 Economic Study Request,” memo to Theodore Paradise (sr. vice president, Transmission Strategy and Counsel) (February 13, 2020), </w:t>
      </w:r>
      <w:hyperlink r:id="rId7" w:history="1">
        <w:r w:rsidRPr="00026619">
          <w:rPr>
            <w:color w:val="0000FF"/>
            <w:u w:val="single"/>
          </w:rPr>
          <w:t>https://www.iso-ne.com/static-assets/documents/2020/02/2019_anbaric_econ_study_request.pdf</w:t>
        </w:r>
      </w:hyperlink>
      <w:r w:rsidRPr="00026619">
        <w:rPr>
          <w:color w:val="0000FF"/>
          <w:u w:val="single"/>
        </w:rPr>
        <w:t xml:space="preserve">; and </w:t>
      </w:r>
      <w:r w:rsidRPr="00026619">
        <w:t>ISO tariff, Se</w:t>
      </w:r>
      <w:r w:rsidRPr="00A34BB6">
        <w:t xml:space="preserve">ction III.13.2.5.2.5A (August 1, 2020), </w:t>
      </w:r>
      <w:hyperlink r:id="rId8" w:history="1">
        <w:r w:rsidRPr="00026619">
          <w:rPr>
            <w:color w:val="0000FF"/>
            <w:u w:val="single"/>
          </w:rPr>
          <w:t>https://www.iso-ne.com/static-assets/documents/regulatory/tariff/sect_3/mr1_sec_13_14.pdf</w:t>
        </w:r>
      </w:hyperlink>
      <w:r w:rsidRPr="00026619">
        <w:rPr>
          <w:color w:val="0000FF"/>
          <w:u w:val="single"/>
        </w:rPr>
        <w:t>.</w:t>
      </w:r>
    </w:p>
  </w:footnote>
  <w:footnote w:id="10">
    <w:p w14:paraId="6ADB5246" w14:textId="77777777" w:rsidR="00AA4AB3" w:rsidRPr="003650D6" w:rsidRDefault="00AA4AB3" w:rsidP="00994CCF">
      <w:pPr>
        <w:pStyle w:val="FootnoteText"/>
      </w:pPr>
      <w:r w:rsidRPr="003650D6">
        <w:rPr>
          <w:rStyle w:val="FootnoteReference"/>
        </w:rPr>
        <w:footnoteRef/>
      </w:r>
      <w:r w:rsidRPr="003650D6">
        <w:t xml:space="preserve"> ISO New England, </w:t>
      </w:r>
      <w:r w:rsidRPr="000D7139">
        <w:rPr>
          <w:i/>
        </w:rPr>
        <w:t>ANBARIC 2019 Economic Study—Offshore Wind Results</w:t>
      </w:r>
      <w:r w:rsidRPr="003650D6">
        <w:t xml:space="preserve">, PAC presentation (March 18, 2020), </w:t>
      </w:r>
      <w:hyperlink r:id="rId9" w:history="1">
        <w:r w:rsidRPr="003650D6">
          <w:rPr>
            <w:rStyle w:val="Hyperlink"/>
          </w:rPr>
          <w:t>https://www.iso-ne.com/static-assets/documents/2020/03/a8_anbaric_2019_economic_study_prelim_results_marpac.pdf</w:t>
        </w:r>
      </w:hyperlink>
      <w:r>
        <w:rPr>
          <w:rStyle w:val="Hyperlink"/>
        </w:rPr>
        <w:t xml:space="preserve">, and </w:t>
      </w:r>
      <w:r w:rsidRPr="004556A5">
        <w:rPr>
          <w:i/>
        </w:rPr>
        <w:t>Anbaric 2019 Economic Study—Follow-</w:t>
      </w:r>
      <w:r>
        <w:rPr>
          <w:i/>
        </w:rPr>
        <w:t>U</w:t>
      </w:r>
      <w:r w:rsidRPr="004556A5">
        <w:rPr>
          <w:i/>
        </w:rPr>
        <w:t>p to the March 2020 PAC Meeting,</w:t>
      </w:r>
      <w:r>
        <w:t xml:space="preserve"> PAC presentation (May 20, 2020), </w:t>
      </w:r>
      <w:hyperlink r:id="rId10" w:history="1">
        <w:r w:rsidRPr="004556A5">
          <w:rPr>
            <w:rStyle w:val="Hyperlink"/>
          </w:rPr>
          <w:t>https://www.iso-ne.com/static-assets/documents/2020/05/a6_anbaric_2019_economic_study_follow_up_to_march_2020_pac_meeting.pdf</w:t>
        </w:r>
      </w:hyperlink>
      <w:r w:rsidRPr="004556A5">
        <w:rPr>
          <w:rStyle w:val="Hyperlink"/>
        </w:rPr>
        <w:t>.</w:t>
      </w:r>
    </w:p>
  </w:footnote>
  <w:footnote w:id="11">
    <w:p w14:paraId="7AF02DC7" w14:textId="77777777" w:rsidR="00AA4AB3" w:rsidRPr="005215B0" w:rsidRDefault="00AA4AB3" w:rsidP="00994CCF">
      <w:pPr>
        <w:pStyle w:val="FootnoteText"/>
      </w:pPr>
      <w:r w:rsidRPr="003650D6">
        <w:rPr>
          <w:rStyle w:val="FootnoteReference"/>
        </w:rPr>
        <w:footnoteRef/>
      </w:r>
      <w:r w:rsidRPr="003650D6">
        <w:t xml:space="preserve"> ISO New E</w:t>
      </w:r>
      <w:r>
        <w:t xml:space="preserve">ngland, </w:t>
      </w:r>
      <w:r w:rsidRPr="000D7139">
        <w:rPr>
          <w:i/>
        </w:rPr>
        <w:t>Energy Storage Modeling in 2019 Anbaric Study—Follow-Up to the May 2020 PAC Meeting</w:t>
      </w:r>
      <w:r>
        <w:t xml:space="preserve">, PAC presentation (June 17, </w:t>
      </w:r>
      <w:r w:rsidRPr="003650D6">
        <w:t>2020)</w:t>
      </w:r>
      <w:r>
        <w:t>,</w:t>
      </w:r>
      <w:r w:rsidRPr="003650D6">
        <w:t xml:space="preserve"> </w:t>
      </w:r>
      <w:hyperlink r:id="rId11" w:history="1">
        <w:r w:rsidRPr="003650D6">
          <w:rPr>
            <w:rStyle w:val="Hyperlink"/>
          </w:rPr>
          <w:t>https://www.iso-ne.com/static-assets/documents/2020/07/energy_storage_in_2019_anbaric_study_june_2020_pac.pdf</w:t>
        </w:r>
      </w:hyperlink>
      <w:r w:rsidRPr="000D7139">
        <w:rPr>
          <w:rStyle w:val="Hyperlink"/>
        </w:rPr>
        <w:t>.</w:t>
      </w:r>
      <w:r w:rsidRPr="003650D6">
        <w:t xml:space="preserve"> </w:t>
      </w:r>
    </w:p>
  </w:footnote>
  <w:footnote w:id="12">
    <w:p w14:paraId="6B19304A" w14:textId="77777777" w:rsidR="00AA4AB3" w:rsidRDefault="00AA4AB3" w:rsidP="00053241">
      <w:pPr>
        <w:pStyle w:val="FootnoteText"/>
      </w:pPr>
      <w:r w:rsidRPr="005B1275">
        <w:rPr>
          <w:rStyle w:val="FootnoteReference"/>
        </w:rPr>
        <w:footnoteRef/>
      </w:r>
      <w:r w:rsidRPr="005B1275">
        <w:t xml:space="preserve"> </w:t>
      </w:r>
      <w:r w:rsidRPr="00762275">
        <w:t xml:space="preserve">Information on how to access Critical Energy Infrastructure Information (CEII) materials is available at the ISO’s </w:t>
      </w:r>
      <w:r w:rsidRPr="00650E69">
        <w:t xml:space="preserve">“Request Data and Information,” webpage (2020), </w:t>
      </w:r>
      <w:hyperlink r:id="rId12" w:history="1">
        <w:r w:rsidRPr="00C252FA">
          <w:rPr>
            <w:rStyle w:val="Hyperlink"/>
          </w:rPr>
          <w:t>https://www.iso-ne.com/participate/support/request-information</w:t>
        </w:r>
      </w:hyperlink>
      <w:r w:rsidRPr="00650E69">
        <w:t>.</w:t>
      </w:r>
    </w:p>
  </w:footnote>
  <w:footnote w:id="13">
    <w:p w14:paraId="405E709B" w14:textId="7D95FAEA" w:rsidR="00AA4AB3" w:rsidRPr="009C02EB" w:rsidRDefault="00AA4AB3" w:rsidP="00B2258E">
      <w:pPr>
        <w:pStyle w:val="FootnoteText"/>
      </w:pPr>
      <w:r w:rsidRPr="00E712DA">
        <w:rPr>
          <w:rStyle w:val="FootnoteReference"/>
          <w:sz w:val="18"/>
          <w:szCs w:val="18"/>
        </w:rPr>
        <w:footnoteRef/>
      </w:r>
      <w:r w:rsidRPr="009C02EB">
        <w:t xml:space="preserve"> </w:t>
      </w:r>
      <w:r>
        <w:t xml:space="preserve">The ISO determined </w:t>
      </w:r>
      <w:r w:rsidR="00CB1687">
        <w:t xml:space="preserve">optimal </w:t>
      </w:r>
      <w:r>
        <w:t>i</w:t>
      </w:r>
      <w:r w:rsidRPr="005B6AE8">
        <w:t>nterconnection points early in the study process</w:t>
      </w:r>
      <w:r>
        <w:t xml:space="preserve">, which it </w:t>
      </w:r>
      <w:r w:rsidRPr="005B6AE8">
        <w:t>presented to stakeholders at the May 21, 2019</w:t>
      </w:r>
      <w:r>
        <w:t>,</w:t>
      </w:r>
      <w:r w:rsidRPr="005B6AE8">
        <w:t xml:space="preserve"> PAC meeting</w:t>
      </w:r>
      <w:r>
        <w:t xml:space="preserve">; see </w:t>
      </w:r>
      <w:r w:rsidRPr="009E7A62">
        <w:rPr>
          <w:i/>
        </w:rPr>
        <w:t>2019 Economic Studies</w:t>
      </w:r>
      <w:r>
        <w:rPr>
          <w:i/>
        </w:rPr>
        <w:t>,</w:t>
      </w:r>
      <w:r w:rsidRPr="005B6AE8">
        <w:t xml:space="preserve"> </w:t>
      </w:r>
      <w:hyperlink r:id="rId13" w:history="1">
        <w:r w:rsidRPr="005B6AE8">
          <w:rPr>
            <w:rStyle w:val="Hyperlink"/>
          </w:rPr>
          <w:t>https://www.iso-ne.com/static-assets/documents/2019/05/a2_2019_economic_study_draft_scope_of_work_and_high_level_assumptions.pptx</w:t>
        </w:r>
      </w:hyperlink>
      <w:r w:rsidRPr="009C02EB">
        <w:t xml:space="preserve">. </w:t>
      </w:r>
      <w:r>
        <w:t>The study assumed that th</w:t>
      </w:r>
      <w:r w:rsidR="00CB1687">
        <w:t xml:space="preserve">ese interconnections </w:t>
      </w:r>
      <w:r>
        <w:t xml:space="preserve">would need a combination of </w:t>
      </w:r>
      <w:r w:rsidRPr="005B6AE8">
        <w:t>345 kV reinforcement</w:t>
      </w:r>
      <w:r>
        <w:t xml:space="preserve">s and </w:t>
      </w:r>
      <w:r w:rsidRPr="005B6AE8">
        <w:t xml:space="preserve">expansion and </w:t>
      </w:r>
      <w:r>
        <w:t xml:space="preserve">that </w:t>
      </w:r>
      <w:r w:rsidRPr="005B6AE8">
        <w:t xml:space="preserve">not all </w:t>
      </w:r>
      <w:r>
        <w:t xml:space="preserve">the </w:t>
      </w:r>
      <w:r w:rsidRPr="005B6AE8">
        <w:t>8,000</w:t>
      </w:r>
      <w:r>
        <w:t> </w:t>
      </w:r>
      <w:r w:rsidRPr="005B6AE8">
        <w:t xml:space="preserve">MW of offshore wind </w:t>
      </w:r>
      <w:r>
        <w:t>would</w:t>
      </w:r>
      <w:r w:rsidRPr="005B6AE8">
        <w:t xml:space="preserve"> be able to operate simultaneously at nameplate levels</w:t>
      </w:r>
      <w:r w:rsidRPr="009C02EB">
        <w:t xml:space="preserve">. </w:t>
      </w:r>
    </w:p>
  </w:footnote>
  <w:footnote w:id="14">
    <w:p w14:paraId="0212CF8A" w14:textId="77777777" w:rsidR="00AA4AB3" w:rsidRPr="00B34D81" w:rsidRDefault="00AA4AB3" w:rsidP="00986FF9">
      <w:pPr>
        <w:pStyle w:val="FootnoteText"/>
      </w:pPr>
      <w:r>
        <w:rPr>
          <w:rStyle w:val="FootnoteReference"/>
        </w:rPr>
        <w:footnoteRef/>
      </w:r>
      <w:r>
        <w:t xml:space="preserve">“Transmission Service Agreement Unitil—12.317 MW) by and between Central Maine Power Company, as Owner, And </w:t>
      </w:r>
      <w:r w:rsidRPr="00B34D81">
        <w:t xml:space="preserve">H.Q. Energy Services (U.S.) INC., as Purchaser,” (June 13, 2018), </w:t>
      </w:r>
      <w:hyperlink r:id="rId14" w:history="1">
        <w:r w:rsidRPr="00B34D81">
          <w:rPr>
            <w:rStyle w:val="Hyperlink"/>
          </w:rPr>
          <w:t>https://www.sec.gov/Archives/edgar/data/1634997/000156459018018891/agr-ex106_142.htm</w:t>
        </w:r>
      </w:hyperlink>
      <w:r w:rsidRPr="00B34D81">
        <w:t>.</w:t>
      </w:r>
    </w:p>
  </w:footnote>
  <w:footnote w:id="15">
    <w:p w14:paraId="26B0A3D2" w14:textId="3C226977" w:rsidR="00AA4AB3" w:rsidRDefault="00AA4AB3" w:rsidP="004341C8">
      <w:pPr>
        <w:pStyle w:val="FootnoteText"/>
      </w:pPr>
      <w:r w:rsidRPr="00B34D81">
        <w:rPr>
          <w:rStyle w:val="FootnoteReference"/>
        </w:rPr>
        <w:footnoteRef/>
      </w:r>
      <w:r w:rsidRPr="00B34D81">
        <w:t>Refer</w:t>
      </w:r>
      <w:r w:rsidRPr="00DA59F7">
        <w:t xml:space="preserve"> to footnot</w:t>
      </w:r>
      <w:r w:rsidRPr="004B074A">
        <w:t xml:space="preserve">e </w:t>
      </w:r>
      <w:r w:rsidRPr="004B074A">
        <w:fldChar w:fldCharType="begin"/>
      </w:r>
      <w:r w:rsidRPr="004B074A">
        <w:instrText xml:space="preserve"> NOTEREF _Ref52527162 \h  \* MERGEFORMAT </w:instrText>
      </w:r>
      <w:r w:rsidRPr="004B074A">
        <w:fldChar w:fldCharType="separate"/>
      </w:r>
      <w:r w:rsidRPr="004B074A">
        <w:t>4</w:t>
      </w:r>
      <w:r w:rsidRPr="004B074A">
        <w:fldChar w:fldCharType="end"/>
      </w:r>
      <w:r w:rsidRPr="004B074A">
        <w:t>; s</w:t>
      </w:r>
      <w:r w:rsidRPr="00DA59F7">
        <w:t xml:space="preserve">ee Figure 6-13 in the NESCOE study. </w:t>
      </w:r>
    </w:p>
  </w:footnote>
  <w:footnote w:id="16">
    <w:p w14:paraId="61897C17" w14:textId="77777777" w:rsidR="00AA4AB3" w:rsidRPr="00F22055" w:rsidRDefault="00AA4AB3" w:rsidP="008B19BD">
      <w:pPr>
        <w:pStyle w:val="FootnoteText"/>
      </w:pPr>
      <w:r w:rsidRPr="00C553FE">
        <w:rPr>
          <w:rStyle w:val="FootnoteReference"/>
          <w:sz w:val="18"/>
          <w:szCs w:val="18"/>
        </w:rPr>
        <w:footnoteRef/>
      </w:r>
      <w:r w:rsidRPr="00F22055">
        <w:t xml:space="preserve"> The 29 MW Block Island offshore wind resource was considered an existing resource for this study.</w:t>
      </w:r>
    </w:p>
  </w:footnote>
  <w:footnote w:id="17">
    <w:p w14:paraId="726A762A" w14:textId="77777777" w:rsidR="00AA4AB3" w:rsidRPr="00F22055" w:rsidRDefault="00AA4AB3" w:rsidP="002D05A2">
      <w:pPr>
        <w:pStyle w:val="FootnoteText"/>
      </w:pPr>
      <w:r w:rsidRPr="00C553FE">
        <w:rPr>
          <w:rStyle w:val="FootnoteReference"/>
          <w:sz w:val="18"/>
          <w:szCs w:val="18"/>
        </w:rPr>
        <w:footnoteRef/>
      </w:r>
      <w:r w:rsidRPr="00F22055">
        <w:t xml:space="preserve"> The ISO New England Interconnection Request Queue lists the status of requests for the interconnection of new or uprated (increased capacity) generating facilities in New England, including elective transmission upgrades (ETUs) and transmission service requests; see </w:t>
      </w:r>
      <w:hyperlink r:id="rId15" w:history="1">
        <w:r w:rsidRPr="00F22055">
          <w:rPr>
            <w:rStyle w:val="Hyperlink"/>
          </w:rPr>
          <w:t>https://www.iso-ne.com/system-planning/transmission-planning/interconnection-request-queue/</w:t>
        </w:r>
      </w:hyperlink>
      <w:r w:rsidRPr="00F22055">
        <w:rPr>
          <w:rStyle w:val="Hyperlink"/>
          <w:color w:val="auto"/>
          <w:u w:val="none"/>
        </w:rPr>
        <w:t xml:space="preserve"> and </w:t>
      </w:r>
      <w:hyperlink r:id="rId16" w:history="1">
        <w:r w:rsidRPr="00F22055">
          <w:rPr>
            <w:rStyle w:val="Hyperlink"/>
          </w:rPr>
          <w:t>https://irtt.iso-ne.com/reports/external</w:t>
        </w:r>
      </w:hyperlink>
      <w:r w:rsidRPr="00F22055">
        <w:rPr>
          <w:rStyle w:val="Hyperlink"/>
        </w:rPr>
        <w:t>.</w:t>
      </w:r>
    </w:p>
    <w:p w14:paraId="7944141A" w14:textId="77777777" w:rsidR="00AA4AB3" w:rsidRPr="00D01C55" w:rsidRDefault="00AA4AB3" w:rsidP="002D05A2">
      <w:pPr>
        <w:pStyle w:val="FootnoteText"/>
      </w:pPr>
      <w:r w:rsidRPr="00F22055">
        <w:t xml:space="preserve"> The interconnection process is described in Schedule 22, </w:t>
      </w:r>
      <w:r w:rsidRPr="00F22055">
        <w:rPr>
          <w:i/>
          <w:iCs/>
        </w:rPr>
        <w:t>Large Generator Interconnection Procedures</w:t>
      </w:r>
      <w:r w:rsidRPr="00F22055">
        <w:t xml:space="preserve"> (LGIP) (</w:t>
      </w:r>
      <w:hyperlink r:id="rId17" w:history="1">
        <w:r w:rsidRPr="00F22055">
          <w:rPr>
            <w:rStyle w:val="Hyperlink"/>
          </w:rPr>
          <w:t>https://www.iso-ne.com/static-assets/documents/regulatory/tariff/sect_2/sch22/sch_22_lgip.pdf</w:t>
        </w:r>
      </w:hyperlink>
      <w:r w:rsidRPr="00F22055">
        <w:t xml:space="preserve">), Schedule 23, </w:t>
      </w:r>
      <w:r w:rsidRPr="00F22055">
        <w:rPr>
          <w:i/>
          <w:iCs/>
        </w:rPr>
        <w:t>Small Generator Interconnection Procedures</w:t>
      </w:r>
      <w:r w:rsidRPr="00F22055">
        <w:t xml:space="preserve"> (SGIP) (</w:t>
      </w:r>
      <w:hyperlink r:id="rId18" w:history="1">
        <w:r w:rsidRPr="00F22055">
          <w:rPr>
            <w:rStyle w:val="Hyperlink"/>
          </w:rPr>
          <w:t>https://www.iso-ne.com/static-assets/documents/regulatory/tariff/sect_2/sch23/sch_23_sgip.pdf</w:t>
        </w:r>
      </w:hyperlink>
      <w:r w:rsidRPr="00F22055">
        <w:t>), and</w:t>
      </w:r>
      <w:r w:rsidRPr="00F22055">
        <w:rPr>
          <w:rFonts w:ascii="Arial" w:hAnsi="Arial" w:cs="Arial"/>
          <w:color w:val="4A5E67"/>
          <w:lang w:val="en"/>
        </w:rPr>
        <w:t xml:space="preserve"> </w:t>
      </w:r>
      <w:r w:rsidRPr="00F22055">
        <w:t xml:space="preserve">Schedule 25, </w:t>
      </w:r>
      <w:r w:rsidRPr="00F22055">
        <w:rPr>
          <w:i/>
          <w:iCs/>
        </w:rPr>
        <w:t>Elective Transmission Upgrade</w:t>
      </w:r>
      <w:r w:rsidRPr="005E30AB">
        <w:rPr>
          <w:i/>
          <w:iCs/>
        </w:rPr>
        <w:t xml:space="preserve"> Interconnection Procedures</w:t>
      </w:r>
      <w:r w:rsidRPr="005E30AB">
        <w:t xml:space="preserve"> (ETU) (</w:t>
      </w:r>
      <w:hyperlink r:id="rId19" w:history="1">
        <w:r w:rsidRPr="005E30AB">
          <w:rPr>
            <w:rStyle w:val="Hyperlink"/>
          </w:rPr>
          <w:t>https://www.iso-ne.com/static-assets/documents/2015/02/sch_25.pdf</w:t>
        </w:r>
      </w:hyperlink>
      <w:r w:rsidRPr="005E30AB">
        <w:t>).</w:t>
      </w:r>
      <w:r w:rsidRPr="00CF080D">
        <w:t xml:space="preserve"> </w:t>
      </w:r>
    </w:p>
  </w:footnote>
  <w:footnote w:id="18">
    <w:p w14:paraId="43C42A8C" w14:textId="77777777" w:rsidR="00AA4AB3" w:rsidRPr="00A16DB1" w:rsidRDefault="00AA4AB3" w:rsidP="00D24022">
      <w:pPr>
        <w:pStyle w:val="FootnoteText"/>
      </w:pPr>
      <w:r w:rsidRPr="00A16DB1">
        <w:rPr>
          <w:rStyle w:val="FootnoteReference"/>
        </w:rPr>
        <w:footnoteRef/>
      </w:r>
      <w:r w:rsidRPr="00A16DB1">
        <w:t xml:space="preserve"> ISO New England, PAC presentations, </w:t>
      </w:r>
      <w:r w:rsidRPr="00A16DB1">
        <w:rPr>
          <w:i/>
        </w:rPr>
        <w:t>2019 Economic Studies—Draft Scope of Work and High-Level Assumptions</w:t>
      </w:r>
      <w:r w:rsidRPr="00A16DB1">
        <w:t xml:space="preserve"> (May</w:t>
      </w:r>
      <w:r>
        <w:t> </w:t>
      </w:r>
      <w:r w:rsidRPr="00A16DB1">
        <w:t xml:space="preserve">21, 2019), </w:t>
      </w:r>
      <w:hyperlink r:id="rId20" w:history="1">
        <w:r w:rsidRPr="00A16DB1">
          <w:rPr>
            <w:rStyle w:val="Hyperlink"/>
          </w:rPr>
          <w:t>https://www.iso-ne.com/static-assets/documents/2019/05/a2_2019_economic_study_draft_scope_of_work_and_high_level_assumptions.pptx</w:t>
        </w:r>
      </w:hyperlink>
      <w:r w:rsidRPr="00A16DB1">
        <w:t xml:space="preserve">; </w:t>
      </w:r>
      <w:r w:rsidRPr="00A16DB1">
        <w:rPr>
          <w:i/>
        </w:rPr>
        <w:t>2019 Economic Studies—Detailed Assumptions</w:t>
      </w:r>
      <w:r w:rsidRPr="00A16DB1">
        <w:t xml:space="preserve"> (August 8, 2019), </w:t>
      </w:r>
      <w:hyperlink r:id="rId21" w:history="1">
        <w:r w:rsidRPr="00A16DB1">
          <w:rPr>
            <w:rStyle w:val="Hyperlink"/>
          </w:rPr>
          <w:t>https://www.iso-ne.com/static-assets/documents/2019/08/a8_2019_economic_studies_detailed_assumptions.pptx</w:t>
        </w:r>
      </w:hyperlink>
      <w:r w:rsidRPr="00A16DB1">
        <w:t>.</w:t>
      </w:r>
    </w:p>
  </w:footnote>
  <w:footnote w:id="19">
    <w:p w14:paraId="57A11580" w14:textId="77777777" w:rsidR="00AA4AB3" w:rsidRPr="00F22055" w:rsidRDefault="00AA4AB3">
      <w:pPr>
        <w:pStyle w:val="FootnoteText"/>
      </w:pPr>
      <w:r w:rsidRPr="00A16DB1">
        <w:rPr>
          <w:rStyle w:val="FootnoteReference"/>
        </w:rPr>
        <w:footnoteRef/>
      </w:r>
      <w:r w:rsidRPr="00A16DB1">
        <w:t xml:space="preserve"> ISO New England, </w:t>
      </w:r>
      <w:r w:rsidRPr="00A16DB1">
        <w:rPr>
          <w:i/>
        </w:rPr>
        <w:t>2019 Economic Study Requests Status Update</w:t>
      </w:r>
      <w:r w:rsidRPr="00A16DB1">
        <w:t xml:space="preserve">, PAC presentation (November 20, 2019), </w:t>
      </w:r>
      <w:hyperlink r:id="rId22" w:history="1">
        <w:r w:rsidRPr="00A16DB1">
          <w:rPr>
            <w:rStyle w:val="Hyperlink"/>
          </w:rPr>
          <w:t>https://www.iso-ne.com/static-assets/documents/2019/11/a6_2019_economic_study_request_status_update.pdf</w:t>
        </w:r>
      </w:hyperlink>
      <w:r w:rsidRPr="00A16DB1">
        <w:t>.</w:t>
      </w:r>
    </w:p>
  </w:footnote>
  <w:footnote w:id="20">
    <w:p w14:paraId="59C2A4C4" w14:textId="77777777" w:rsidR="00AA4AB3" w:rsidRDefault="00AA4AB3" w:rsidP="00A73CF6">
      <w:pPr>
        <w:pStyle w:val="FootnoteText"/>
      </w:pPr>
      <w:r>
        <w:rPr>
          <w:rStyle w:val="FootnoteReference"/>
        </w:rPr>
        <w:footnoteRef/>
      </w:r>
      <w:r>
        <w:t xml:space="preserve"> GridView is not a power-flow model; refer to Section </w:t>
      </w:r>
      <w:r>
        <w:fldChar w:fldCharType="begin"/>
      </w:r>
      <w:r>
        <w:instrText xml:space="preserve"> REF _Ref42679720 \r \h </w:instrText>
      </w:r>
      <w:r>
        <w:fldChar w:fldCharType="separate"/>
      </w:r>
      <w:r>
        <w:t>5.2.1</w:t>
      </w:r>
      <w:r>
        <w:fldChar w:fldCharType="end"/>
      </w:r>
      <w:r>
        <w:t xml:space="preserve"> for more details.</w:t>
      </w:r>
    </w:p>
  </w:footnote>
  <w:footnote w:id="21">
    <w:p w14:paraId="1B37E82B" w14:textId="77777777" w:rsidR="00AA4AB3" w:rsidRDefault="00AA4AB3" w:rsidP="00135F16">
      <w:pPr>
        <w:pStyle w:val="FootnoteText"/>
      </w:pPr>
      <w:r w:rsidRPr="00F22055">
        <w:rPr>
          <w:rStyle w:val="FootnoteReference"/>
        </w:rPr>
        <w:footnoteRef/>
      </w:r>
      <w:r w:rsidRPr="00F22055">
        <w:t xml:space="preserve"> Detailed transmission interface limits for 2025 used for this study are available in the ISO’s PAC presentation, </w:t>
      </w:r>
      <w:r w:rsidRPr="00F22055">
        <w:rPr>
          <w:i/>
        </w:rPr>
        <w:t xml:space="preserve">Forward Capacity Auction 14 Transmission Transfer Capabilities and Capacity </w:t>
      </w:r>
      <w:r w:rsidRPr="00412665">
        <w:rPr>
          <w:i/>
        </w:rPr>
        <w:t>Zone Development</w:t>
      </w:r>
      <w:r w:rsidRPr="00F22055">
        <w:t xml:space="preserve"> (March 21, 2019), slide 25,</w:t>
      </w:r>
      <w:r w:rsidRPr="00F0617A">
        <w:rPr>
          <w:sz w:val="20"/>
          <w:szCs w:val="22"/>
        </w:rPr>
        <w:t xml:space="preserve"> </w:t>
      </w:r>
      <w:hyperlink r:id="rId23" w:history="1">
        <w:r w:rsidRPr="00F0617A">
          <w:rPr>
            <w:rStyle w:val="Hyperlink"/>
          </w:rPr>
          <w:t>https://www.iso-ne.com/static-assets/documents/2019/03/a8_fca14_transmission_transfer_capabilities_and_capacity_zone_development.pdf</w:t>
        </w:r>
      </w:hyperlink>
      <w:r>
        <w:t>.</w:t>
      </w:r>
      <w:r w:rsidRPr="00F22055">
        <w:t xml:space="preserve"> </w:t>
      </w:r>
    </w:p>
  </w:footnote>
  <w:footnote w:id="22">
    <w:p w14:paraId="4AD281DA" w14:textId="77777777" w:rsidR="00AA4AB3" w:rsidRDefault="00AA4AB3" w:rsidP="00EA37C5">
      <w:pPr>
        <w:pStyle w:val="FootnoteText"/>
      </w:pPr>
      <w:r>
        <w:rPr>
          <w:rStyle w:val="FootnoteReference"/>
        </w:rPr>
        <w:footnoteRef/>
      </w:r>
      <w:r>
        <w:t xml:space="preserve"> </w:t>
      </w:r>
      <w:r w:rsidRPr="00D11A72">
        <w:t>Normal</w:t>
      </w:r>
      <w:r w:rsidRPr="00EE2D3C">
        <w:t xml:space="preserve"> transmission system transfer limi</w:t>
      </w:r>
      <w:r w:rsidRPr="0026318A">
        <w:t xml:space="preserve">ts account for transmission system security constraints, which consider expected </w:t>
      </w:r>
      <w:r w:rsidRPr="00702132">
        <w:t>transmission facilities i</w:t>
      </w:r>
      <w:r w:rsidRPr="003650D6">
        <w:t>n service and first-contingency</w:t>
      </w:r>
      <w:r w:rsidRPr="003650D6">
        <w:rPr>
          <w:i/>
        </w:rPr>
        <w:t xml:space="preserve"> </w:t>
      </w:r>
      <w:r w:rsidRPr="003650D6">
        <w:t xml:space="preserve">(N-1) criteria. A </w:t>
      </w:r>
      <w:r w:rsidRPr="003650D6">
        <w:rPr>
          <w:i/>
        </w:rPr>
        <w:t xml:space="preserve">first contingency </w:t>
      </w:r>
      <w:r w:rsidRPr="003650D6">
        <w:t>is</w:t>
      </w:r>
      <w:r w:rsidRPr="003650D6">
        <w:rPr>
          <w:i/>
        </w:rPr>
        <w:t xml:space="preserve"> </w:t>
      </w:r>
      <w:r w:rsidRPr="003650D6">
        <w:t xml:space="preserve">the loss of the power system element (facility) with the largest impact on system reliability. A </w:t>
      </w:r>
      <w:r w:rsidRPr="003650D6">
        <w:rPr>
          <w:i/>
        </w:rPr>
        <w:t xml:space="preserve">second contingency </w:t>
      </w:r>
      <w:r w:rsidRPr="003650D6">
        <w:t>(N-1-1) occurs after a first contingency when the facility that, at that time, has the largest impact on the system is lost. N-1-1 also can refer to a constraint met by maintaining an operating reserve that can increase output when the first contingency occurs.</w:t>
      </w:r>
    </w:p>
  </w:footnote>
  <w:footnote w:id="23">
    <w:p w14:paraId="08CC65EF" w14:textId="77777777" w:rsidR="00AA4AB3" w:rsidRDefault="00AA4AB3">
      <w:pPr>
        <w:pStyle w:val="FootnoteText"/>
      </w:pPr>
      <w:r w:rsidRPr="00F22055">
        <w:rPr>
          <w:rStyle w:val="FootnoteReference"/>
        </w:rPr>
        <w:footnoteRef/>
      </w:r>
      <w:r w:rsidRPr="00F22055">
        <w:t xml:space="preserve"> For more information on RSP areas, refer to the “System Planning Subareas” map at this ISO website link: </w:t>
      </w:r>
      <w:hyperlink r:id="rId24" w:anchor="system-planning-subareas" w:history="1">
        <w:r w:rsidRPr="00F22055">
          <w:rPr>
            <w:rStyle w:val="Hyperlink"/>
          </w:rPr>
          <w:t>https://www.iso-ne.com/about/key-stats/maps-and-diagrams/#system-planning-subareas</w:t>
        </w:r>
      </w:hyperlink>
      <w:r w:rsidRPr="00F22055">
        <w:t xml:space="preserve">. Also refer to the ISO’s “Regional System Plan” webpage at: </w:t>
      </w:r>
      <w:hyperlink r:id="rId25" w:history="1">
        <w:r w:rsidRPr="00F22055">
          <w:rPr>
            <w:rStyle w:val="Hyperlink"/>
          </w:rPr>
          <w:t>https://www.iso-ne.com/system-planning/system-plans-studies/rsp/</w:t>
        </w:r>
      </w:hyperlink>
      <w:r w:rsidRPr="00F22055">
        <w:t>.</w:t>
      </w:r>
    </w:p>
  </w:footnote>
  <w:footnote w:id="24">
    <w:p w14:paraId="246F3E38" w14:textId="77777777" w:rsidR="00AA4AB3" w:rsidRDefault="00AA4AB3" w:rsidP="002510B1">
      <w:pPr>
        <w:pStyle w:val="FootnoteText"/>
      </w:pPr>
      <w:r w:rsidRPr="00142D42">
        <w:rPr>
          <w:rStyle w:val="FootnoteReference"/>
        </w:rPr>
        <w:footnoteRef/>
      </w:r>
      <w:r w:rsidRPr="00142D42">
        <w:t xml:space="preserve"> NREL, “EVI-Pro Lite Tool Paves the Way for Future Electric Vehicle Infrastructure Planning,” website article (May 16, 2018), </w:t>
      </w:r>
      <w:hyperlink r:id="rId26" w:history="1">
        <w:r w:rsidRPr="00F0617A">
          <w:rPr>
            <w:rStyle w:val="Hyperlink"/>
          </w:rPr>
          <w:t>https://www.nrel.gov/news/program/2018/nrels-evi-pro-lite-tool-paves-the-way-for-future-electric-vehicle-infrastructure-planning.html</w:t>
        </w:r>
      </w:hyperlink>
      <w:r w:rsidRPr="00F0617A">
        <w:t>.</w:t>
      </w:r>
    </w:p>
  </w:footnote>
  <w:footnote w:id="25">
    <w:p w14:paraId="5AB2AD41" w14:textId="77777777" w:rsidR="00AA4AB3" w:rsidRPr="00AC0544" w:rsidRDefault="00AA4AB3" w:rsidP="0052653B">
      <w:pPr>
        <w:pStyle w:val="FootnoteText"/>
      </w:pPr>
      <w:r w:rsidRPr="006A0629">
        <w:rPr>
          <w:rStyle w:val="FootnoteReference"/>
          <w:sz w:val="18"/>
          <w:szCs w:val="18"/>
        </w:rPr>
        <w:footnoteRef/>
      </w:r>
      <w:r w:rsidRPr="003650D6">
        <w:t xml:space="preserve"> Although offshore wind resources were modeled as price-taking resources in this study due to their threshold price of $0/MWh, these resources do exhibit some flexibility if they are “held-back” for reserves or operated under do-not-exceed dispatch (DNE) provisions. The DNE methodology sets an upper limit of how much generation the system can accommodate from an intermittent power resource. The resource may operate freely between 0 MW and this limit but must not exceed it. This helps maximize the amount of intermittent generation on the system by accommodating the variable nature of these resources’ fuel.</w:t>
      </w:r>
    </w:p>
  </w:footnote>
  <w:footnote w:id="26">
    <w:p w14:paraId="13AD7853" w14:textId="77777777" w:rsidR="00AA4AB3" w:rsidRPr="003650D6" w:rsidRDefault="00AA4AB3" w:rsidP="00F95844">
      <w:pPr>
        <w:spacing w:after="80" w:line="240" w:lineRule="auto"/>
        <w:rPr>
          <w:sz w:val="18"/>
          <w:szCs w:val="18"/>
        </w:rPr>
      </w:pPr>
      <w:r w:rsidRPr="003650D6">
        <w:rPr>
          <w:rStyle w:val="FootnoteReference"/>
          <w:sz w:val="18"/>
          <w:szCs w:val="18"/>
        </w:rPr>
        <w:footnoteRef/>
      </w:r>
      <w:r w:rsidRPr="003650D6">
        <w:rPr>
          <w:sz w:val="18"/>
          <w:szCs w:val="18"/>
        </w:rPr>
        <w:t xml:space="preserve"> Petition of Massachusetts Electric Company and Nantucket Electric Company, each d/b/a National Grid for approval by the [Massachusetts] Department of Public Utilities (DPU) of a long-term contract for procurement of Clean Energy Generation, pursuant to Section 83D of </w:t>
      </w:r>
      <w:r w:rsidRPr="003650D6">
        <w:rPr>
          <w:i/>
          <w:sz w:val="18"/>
          <w:szCs w:val="18"/>
        </w:rPr>
        <w:t>An Act Relative to Green Communities</w:t>
      </w:r>
      <w:r w:rsidRPr="003650D6">
        <w:rPr>
          <w:sz w:val="18"/>
          <w:szCs w:val="18"/>
        </w:rPr>
        <w:t xml:space="preserve">, St. 2008, c. 169, as amended by St. 2016, c. </w:t>
      </w:r>
      <w:r w:rsidRPr="00B94AD1">
        <w:rPr>
          <w:sz w:val="18"/>
          <w:szCs w:val="18"/>
        </w:rPr>
        <w:t>188, § 12, DPU 18-64; DPU 18-65; with three Power Purchase Agreements for firm qualified</w:t>
      </w:r>
      <w:r w:rsidRPr="00F22055">
        <w:rPr>
          <w:sz w:val="18"/>
          <w:szCs w:val="18"/>
        </w:rPr>
        <w:t xml:space="preserve"> clean energy from hydroelectric generation and between the following parties and H.Q. Energy Services (US) Inc. as of June 13, 2018: (1) NSTAR Electric Co. d/b/a Eversource Energy (US) Inc., Exhibit JU-3-A Page 1 of 87, revised October 17, 2018 (</w:t>
      </w:r>
      <w:hyperlink r:id="rId27" w:history="1">
        <w:r w:rsidRPr="00F22055">
          <w:rPr>
            <w:color w:val="0000FF"/>
            <w:sz w:val="18"/>
            <w:szCs w:val="18"/>
            <w:u w:val="single"/>
          </w:rPr>
          <w:t>https://fileservice.eea.comacloud.net/FileService.Api/file/FileRoom/9946888</w:t>
        </w:r>
      </w:hyperlink>
      <w:r w:rsidRPr="00F22055">
        <w:rPr>
          <w:sz w:val="18"/>
          <w:szCs w:val="18"/>
        </w:rPr>
        <w:t>); (2) Massachusetts Electric Company and Nantucket Electric Company d/b/a National Grid, redacted DPU 18-64/18-65/18-66, October 17, 2018, Exhibit JU-3-B, Page 1 of 97 (</w:t>
      </w:r>
      <w:hyperlink r:id="rId28" w:history="1">
        <w:r w:rsidRPr="00F22055">
          <w:rPr>
            <w:color w:val="0000FF"/>
            <w:sz w:val="18"/>
            <w:szCs w:val="18"/>
            <w:u w:val="single"/>
          </w:rPr>
          <w:t>https://fileservice.eea.comacloud.net/FileService.Api/file/FileRoom/9946889</w:t>
        </w:r>
      </w:hyperlink>
      <w:r w:rsidRPr="00F22055">
        <w:rPr>
          <w:sz w:val="18"/>
          <w:szCs w:val="18"/>
        </w:rPr>
        <w:t>); and (3) Fitchburg Gas and Electric Light Co. d/b/a Unitil DPU 18-64/18-65/18-66, revised October 17, 2018, Exhibit JU-3-C, Page 1 of 85 (</w:t>
      </w:r>
      <w:hyperlink r:id="rId29" w:history="1">
        <w:r w:rsidRPr="00F22055">
          <w:rPr>
            <w:color w:val="0000FF"/>
            <w:sz w:val="18"/>
            <w:szCs w:val="18"/>
            <w:u w:val="single"/>
          </w:rPr>
          <w:t>https://fileservice.eea.comacloud.net/FileService.Api/file/FileRoom/9946890</w:t>
        </w:r>
      </w:hyperlink>
      <w:r w:rsidRPr="00F22055">
        <w:rPr>
          <w:sz w:val="18"/>
          <w:szCs w:val="18"/>
        </w:rPr>
        <w:t xml:space="preserve">). Docket (accessed June 22, 2020): </w:t>
      </w:r>
      <w:hyperlink r:id="rId30" w:history="1">
        <w:r w:rsidRPr="00F22055">
          <w:rPr>
            <w:color w:val="0000FF"/>
            <w:sz w:val="18"/>
            <w:szCs w:val="18"/>
            <w:u w:val="single"/>
          </w:rPr>
          <w:t>https://eeaonline.eea.state.ma.us/DPU/Fileroom/dockets/bynumber/18-65</w:t>
        </w:r>
      </w:hyperlink>
      <w:r w:rsidRPr="00F22055">
        <w:rPr>
          <w:sz w:val="18"/>
          <w:szCs w:val="18"/>
        </w:rPr>
        <w:t>.</w:t>
      </w:r>
    </w:p>
    <w:p w14:paraId="00EDB63D" w14:textId="77777777" w:rsidR="00AA4AB3" w:rsidRPr="00837709" w:rsidRDefault="00AA4AB3" w:rsidP="00D939AB">
      <w:pPr>
        <w:spacing w:after="80" w:line="240" w:lineRule="auto"/>
        <w:rPr>
          <w:color w:val="1F497D"/>
        </w:rPr>
      </w:pPr>
    </w:p>
  </w:footnote>
  <w:footnote w:id="27">
    <w:p w14:paraId="3A74EA79" w14:textId="55907F17" w:rsidR="00AA4AB3" w:rsidRDefault="00AA4AB3">
      <w:pPr>
        <w:pStyle w:val="FootnoteText"/>
      </w:pPr>
      <w:r>
        <w:rPr>
          <w:rStyle w:val="FootnoteReference"/>
        </w:rPr>
        <w:footnoteRef/>
      </w:r>
      <w:r>
        <w:t xml:space="preserve"> </w:t>
      </w:r>
      <w:r w:rsidRPr="00D4529E">
        <w:t xml:space="preserve">Transmission system upgrades to accommodate 8,000 MW or more of offshore wind were discussed in the NESCOE 2019 Economic Study (Section 6.1.9.), for which  the ISO determined  that approximately 7,000 MW of new offshore wind (5,800 MW connected to the southern shore substations and 1,200 MW connected to Mystic) has the potential to be interconnected without major additional 345 kV reinforcements.  </w:t>
      </w:r>
    </w:p>
  </w:footnote>
  <w:footnote w:id="28">
    <w:p w14:paraId="3253F329" w14:textId="635A37BD" w:rsidR="00AA4AB3" w:rsidRDefault="00AA4AB3" w:rsidP="00276639">
      <w:pPr>
        <w:pStyle w:val="FootnoteText"/>
      </w:pPr>
      <w:r w:rsidRPr="009C6D62">
        <w:rPr>
          <w:rStyle w:val="FootnoteReference"/>
          <w:sz w:val="18"/>
          <w:szCs w:val="18"/>
        </w:rPr>
        <w:footnoteRef/>
      </w:r>
      <w:r w:rsidRPr="0012062C">
        <w:t xml:space="preserve"> Addi</w:t>
      </w:r>
      <w:r w:rsidRPr="00C77403">
        <w:t xml:space="preserve">tional results are included in </w:t>
      </w:r>
      <w:r>
        <w:t xml:space="preserve">the ISO’s </w:t>
      </w:r>
      <w:r w:rsidRPr="00C77403">
        <w:t>PAC presentations</w:t>
      </w:r>
      <w:r>
        <w:t xml:space="preserve"> from</w:t>
      </w:r>
      <w:r w:rsidRPr="00C77403">
        <w:t xml:space="preserve"> December 19, 2019</w:t>
      </w:r>
      <w:r>
        <w:t>, and</w:t>
      </w:r>
      <w:r w:rsidRPr="00C77403">
        <w:t xml:space="preserve"> January 23, </w:t>
      </w:r>
      <w:r w:rsidRPr="00130529">
        <w:t>February 20,</w:t>
      </w:r>
      <w:r>
        <w:t xml:space="preserve"> </w:t>
      </w:r>
      <w:r w:rsidRPr="0006063C">
        <w:t>April</w:t>
      </w:r>
      <w:r>
        <w:t> </w:t>
      </w:r>
      <w:r w:rsidRPr="0006063C">
        <w:t xml:space="preserve">23, </w:t>
      </w:r>
      <w:r w:rsidRPr="00130529">
        <w:rPr>
          <w:rStyle w:val="Hyperlink"/>
          <w:color w:val="auto"/>
          <w:u w:val="none"/>
        </w:rPr>
        <w:t xml:space="preserve">and </w:t>
      </w:r>
      <w:r w:rsidRPr="00130529">
        <w:t xml:space="preserve">May 20, 2020. Transmission interconnection results are summarized in the </w:t>
      </w:r>
      <w:r w:rsidRPr="003637E0">
        <w:t>April 23</w:t>
      </w:r>
      <w:r>
        <w:t xml:space="preserve"> </w:t>
      </w:r>
      <w:r w:rsidRPr="00130529">
        <w:t>and May 20, 2020,</w:t>
      </w:r>
      <w:r w:rsidRPr="00130529">
        <w:rPr>
          <w:rStyle w:val="Hyperlink"/>
          <w:color w:val="auto"/>
          <w:u w:val="none"/>
        </w:rPr>
        <w:t xml:space="preserve"> PAC presentations</w:t>
      </w:r>
      <w:r w:rsidRPr="00130529">
        <w:t xml:space="preserve">. </w:t>
      </w:r>
      <w:r>
        <w:t xml:space="preserve">See: </w:t>
      </w:r>
      <w:r w:rsidRPr="00E43C69">
        <w:rPr>
          <w:b/>
        </w:rPr>
        <w:t xml:space="preserve">(1) </w:t>
      </w:r>
      <w:r w:rsidRPr="009C02EB">
        <w:rPr>
          <w:i/>
        </w:rPr>
        <w:t>2019 Economic Study—Preliminary NESCOE Results</w:t>
      </w:r>
      <w:r w:rsidRPr="009C02EB">
        <w:t xml:space="preserve"> (December 19, 2019), </w:t>
      </w:r>
      <w:hyperlink r:id="rId31" w:history="1">
        <w:r w:rsidRPr="009C02EB">
          <w:rPr>
            <w:rStyle w:val="Hyperlink"/>
          </w:rPr>
          <w:t>https://www.iso-ne.com/static-assets/documents/2019/12/a3_2019_economic_study_preliminary_nescoe_results.pdf</w:t>
        </w:r>
      </w:hyperlink>
      <w:r w:rsidRPr="009C02EB">
        <w:t xml:space="preserve">; </w:t>
      </w:r>
      <w:r w:rsidRPr="00E43C69">
        <w:rPr>
          <w:b/>
        </w:rPr>
        <w:t xml:space="preserve">(2) </w:t>
      </w:r>
      <w:r w:rsidRPr="009C02EB">
        <w:rPr>
          <w:i/>
        </w:rPr>
        <w:t>2019 Economic Study—Follow-Up to the December 2019 Meetin</w:t>
      </w:r>
      <w:r w:rsidRPr="009C02EB">
        <w:t xml:space="preserve">g (January 23, 2020), </w:t>
      </w:r>
      <w:hyperlink r:id="rId32" w:history="1">
        <w:r w:rsidRPr="009C02EB">
          <w:rPr>
            <w:rStyle w:val="Hyperlink"/>
          </w:rPr>
          <w:t>https://www.iso-ne.com/static-assets/documents/2020/01/a4_jan_2020_economic_study_qa_final-67f4425e.pdf</w:t>
        </w:r>
      </w:hyperlink>
      <w:r>
        <w:t>;</w:t>
      </w:r>
      <w:r w:rsidRPr="00925623">
        <w:t xml:space="preserve"> </w:t>
      </w:r>
      <w:r w:rsidRPr="00E43C69">
        <w:rPr>
          <w:b/>
        </w:rPr>
        <w:t xml:space="preserve">(3) </w:t>
      </w:r>
      <w:r w:rsidRPr="00650E69">
        <w:rPr>
          <w:i/>
        </w:rPr>
        <w:t>NESCOE 2019 Economic Study—8,000 MW Offshore Wind Results</w:t>
      </w:r>
      <w:r w:rsidRPr="00650E69">
        <w:t xml:space="preserve"> (February 20, 2020), </w:t>
      </w:r>
      <w:hyperlink r:id="rId33" w:history="1">
        <w:r w:rsidRPr="00C252FA">
          <w:rPr>
            <w:rStyle w:val="Hyperlink"/>
          </w:rPr>
          <w:t>https://www.iso-ne.com/static-assets/documents/2020/02/a6_nescoe_2019_Econ_8000.pdf</w:t>
        </w:r>
      </w:hyperlink>
      <w:r w:rsidRPr="00650E69">
        <w:t xml:space="preserve">; </w:t>
      </w:r>
      <w:r w:rsidRPr="00E43C69">
        <w:rPr>
          <w:b/>
        </w:rPr>
        <w:t>(4)</w:t>
      </w:r>
      <w:r>
        <w:t xml:space="preserve"> </w:t>
      </w:r>
      <w:r w:rsidRPr="00650E69">
        <w:rPr>
          <w:i/>
        </w:rPr>
        <w:t>2019 NESCOE Economic Study—Follow-Up to the February 2020 Meeting</w:t>
      </w:r>
      <w:r w:rsidRPr="00650E69">
        <w:t xml:space="preserve"> (April 23, 2020), </w:t>
      </w:r>
      <w:hyperlink r:id="rId34" w:history="1">
        <w:r w:rsidRPr="00130529">
          <w:rPr>
            <w:rStyle w:val="Hyperlink"/>
          </w:rPr>
          <w:t>https://www.iso-ne.com/static-assets/documents/2020/04/a5-nescoe-2019-econ-study-follow-to-the-feb-2019.pdf</w:t>
        </w:r>
      </w:hyperlink>
      <w:r w:rsidRPr="00130529">
        <w:t>.</w:t>
      </w:r>
      <w:r w:rsidRPr="00130529">
        <w:rPr>
          <w:b/>
        </w:rPr>
        <w:t xml:space="preserve"> </w:t>
      </w:r>
      <w:r w:rsidRPr="00E43C69">
        <w:rPr>
          <w:b/>
        </w:rPr>
        <w:t>(</w:t>
      </w:r>
      <w:r w:rsidRPr="00130529">
        <w:rPr>
          <w:b/>
        </w:rPr>
        <w:t>5</w:t>
      </w:r>
      <w:r w:rsidRPr="00E43C69">
        <w:rPr>
          <w:b/>
        </w:rPr>
        <w:t xml:space="preserve">) </w:t>
      </w:r>
      <w:r w:rsidRPr="00130529">
        <w:rPr>
          <w:i/>
        </w:rPr>
        <w:t>20</w:t>
      </w:r>
      <w:r w:rsidRPr="00EE16FB">
        <w:rPr>
          <w:i/>
        </w:rPr>
        <w:t>19 Economic Study Offshore Wind Transmission Interconnection Analysis</w:t>
      </w:r>
      <w:r>
        <w:t xml:space="preserve"> (May 20, 2020),</w:t>
      </w:r>
      <w:r w:rsidRPr="00441136">
        <w:t xml:space="preserve"> </w:t>
      </w:r>
      <w:hyperlink r:id="rId35" w:history="1">
        <w:r w:rsidRPr="00441136">
          <w:rPr>
            <w:rStyle w:val="Hyperlink"/>
          </w:rPr>
          <w:t>https://smd.iso-ne.com/operations-services/ceii/pac/2020/05/a3_2019_economic_study_offshore_wind_transmission_interconnection_analysis_ceii.pdf</w:t>
        </w:r>
      </w:hyperlink>
      <w:r w:rsidRPr="00650E69">
        <w:t>.</w:t>
      </w:r>
    </w:p>
  </w:footnote>
  <w:footnote w:id="29">
    <w:p w14:paraId="59A42A9C" w14:textId="77777777" w:rsidR="00AA4AB3" w:rsidRDefault="00AA4AB3">
      <w:pPr>
        <w:pStyle w:val="FootnoteText"/>
      </w:pPr>
      <w:r w:rsidRPr="00373637">
        <w:rPr>
          <w:rStyle w:val="FootnoteReference"/>
        </w:rPr>
        <w:footnoteRef/>
      </w:r>
      <w:r w:rsidRPr="00373637">
        <w:t xml:space="preserve"> As dis</w:t>
      </w:r>
      <w:r w:rsidRPr="00E76F3A">
        <w:t>cussed in Section</w:t>
      </w:r>
      <w:r w:rsidRPr="00E76F3A">
        <w:fldChar w:fldCharType="begin"/>
      </w:r>
      <w:r w:rsidRPr="00E76F3A">
        <w:instrText xml:space="preserve"> REF _Ref44401152 \w \h </w:instrText>
      </w:r>
      <w:r>
        <w:instrText xml:space="preserve"> \* MERGEFORMAT </w:instrText>
      </w:r>
      <w:r w:rsidRPr="00E76F3A">
        <w:fldChar w:fldCharType="separate"/>
      </w:r>
      <w:r w:rsidRPr="00E76F3A">
        <w:t>4.2.5</w:t>
      </w:r>
      <w:r w:rsidRPr="00E76F3A">
        <w:fldChar w:fldCharType="end"/>
      </w:r>
      <w:r w:rsidRPr="00E76F3A">
        <w:t xml:space="preserve">, threshold prices drive the curtailment of specific resources and the order of the spilled resources; the prices do not reflect actual expectations of market outcomes. The 2019 Anbaric Economic Study used the 2015 weather year to shape the 2030 wind, solar, and load profiles (see Section </w:t>
      </w:r>
      <w:r w:rsidRPr="00E76F3A">
        <w:fldChar w:fldCharType="begin"/>
      </w:r>
      <w:r w:rsidRPr="00E76F3A">
        <w:instrText xml:space="preserve"> REF _Ref49244754 \w \h </w:instrText>
      </w:r>
      <w:r>
        <w:instrText xml:space="preserve"> \* MERGEFORMAT </w:instrText>
      </w:r>
      <w:r w:rsidRPr="00E76F3A">
        <w:fldChar w:fldCharType="separate"/>
      </w:r>
      <w:r w:rsidRPr="00E76F3A">
        <w:t>4.2.4</w:t>
      </w:r>
      <w:r w:rsidRPr="00E76F3A">
        <w:fldChar w:fldCharType="end"/>
      </w:r>
      <w:r w:rsidRPr="00E76F3A">
        <w:t>). If</w:t>
      </w:r>
      <w:r w:rsidRPr="00F22055">
        <w:t xml:space="preserve"> a</w:t>
      </w:r>
      <w:r w:rsidRPr="00E810E3">
        <w:t xml:space="preserve"> different weather year were</w:t>
      </w:r>
      <w:r>
        <w:t xml:space="preserve"> </w:t>
      </w:r>
      <w:r w:rsidRPr="002D0A9E">
        <w:t>used</w:t>
      </w:r>
      <w:r w:rsidRPr="00E810E3">
        <w:t>, the results would differ.</w:t>
      </w:r>
    </w:p>
  </w:footnote>
  <w:footnote w:id="30">
    <w:p w14:paraId="0A037DCA" w14:textId="77777777" w:rsidR="00AA4AB3" w:rsidRDefault="00AA4AB3" w:rsidP="00416DA1">
      <w:pPr>
        <w:pStyle w:val="FootnoteText"/>
      </w:pPr>
      <w:r>
        <w:rPr>
          <w:rStyle w:val="FootnoteReference"/>
        </w:rPr>
        <w:footnoteRef/>
      </w:r>
      <w:r>
        <w:t xml:space="preserve"> As a general trend, offshore wind</w:t>
      </w:r>
      <w:r w:rsidRPr="00202F55">
        <w:t xml:space="preserve"> pattern</w:t>
      </w:r>
      <w:r>
        <w:t>s vary when</w:t>
      </w:r>
      <w:r w:rsidRPr="00202F55">
        <w:t xml:space="preserve"> wind production </w:t>
      </w:r>
      <w:r>
        <w:t>is</w:t>
      </w:r>
      <w:r w:rsidRPr="00202F55">
        <w:t xml:space="preserve"> highest in the sho</w:t>
      </w:r>
      <w:r>
        <w:t>u</w:t>
      </w:r>
      <w:r w:rsidRPr="00202F55">
        <w:t>lder months and lower during the peak months.</w:t>
      </w:r>
    </w:p>
  </w:footnote>
  <w:footnote w:id="31">
    <w:p w14:paraId="42FD5D10" w14:textId="77777777" w:rsidR="00AA4AB3" w:rsidRDefault="00AA4AB3">
      <w:pPr>
        <w:pStyle w:val="FootnoteText"/>
      </w:pPr>
      <w:r w:rsidRPr="0094163F">
        <w:rPr>
          <w:rStyle w:val="FootnoteReference"/>
        </w:rPr>
        <w:footnoteRef/>
      </w:r>
      <w:r w:rsidRPr="0094163F">
        <w:t xml:space="preserve"> Electrification and additional batteries across New England</w:t>
      </w:r>
      <w:r w:rsidRPr="00A56B91">
        <w:t>,</w:t>
      </w:r>
      <w:r w:rsidRPr="0094163F">
        <w:t xml:space="preserve"> plus additional flexibility to redirect offshore wind delivery outside the constrained SEMA/RI interface via in</w:t>
      </w:r>
      <w:r w:rsidRPr="002A1FD1">
        <w:t>terconnections to Mystic substation (Boston, MA) and Montville substation (Montville, CT), reduced total spillage</w:t>
      </w:r>
      <w:r w:rsidRPr="0094163F">
        <w:t xml:space="preserve"> by 1.15 TWh</w:t>
      </w:r>
      <w:r w:rsidRPr="00A56B91">
        <w:t>,</w:t>
      </w:r>
      <w:r w:rsidRPr="0094163F">
        <w:t xml:space="preserve"> even though the SEMA/RI interface was constrained 186</w:t>
      </w:r>
      <w:r>
        <w:t xml:space="preserve"> hours </w:t>
      </w:r>
      <w:r w:rsidRPr="0094163F">
        <w:t>more.</w:t>
      </w:r>
    </w:p>
  </w:footnote>
  <w:footnote w:id="32">
    <w:p w14:paraId="0CE80EE0" w14:textId="77777777" w:rsidR="00AA4AB3" w:rsidRDefault="00AA4AB3">
      <w:pPr>
        <w:pStyle w:val="FootnoteText"/>
      </w:pPr>
      <w:r>
        <w:rPr>
          <w:rStyle w:val="FootnoteReference"/>
        </w:rPr>
        <w:footnoteRef/>
      </w:r>
      <w:r>
        <w:t xml:space="preserve"> Natural gas</w:t>
      </w:r>
      <w:r w:rsidRPr="000713C5">
        <w:t xml:space="preserve">, </w:t>
      </w:r>
      <w:r>
        <w:t>offshore wind, imports, and h</w:t>
      </w:r>
      <w:r w:rsidRPr="000713C5">
        <w:t>ydro</w:t>
      </w:r>
      <w:r>
        <w:t xml:space="preserve"> resources are the primary fuel types supplying electrification demand (heat pumps and electric vehicles)</w:t>
      </w:r>
      <w:r w:rsidRPr="000713C5">
        <w:t>.</w:t>
      </w:r>
    </w:p>
  </w:footnote>
  <w:footnote w:id="33">
    <w:p w14:paraId="3D8F559B" w14:textId="77777777" w:rsidR="00AA4AB3" w:rsidRPr="00974836" w:rsidRDefault="00AA4AB3">
      <w:pPr>
        <w:pStyle w:val="FootnoteText"/>
      </w:pPr>
      <w:r>
        <w:rPr>
          <w:rStyle w:val="FootnoteReference"/>
        </w:rPr>
        <w:footnoteRef/>
      </w:r>
      <w:r>
        <w:t xml:space="preserve"> As part of the 2019 NESCOE Economic Study, </w:t>
      </w:r>
      <w:r w:rsidRPr="005D4EB4">
        <w:t>the ISO developed future interconnection scenarios for offshore wind</w:t>
      </w:r>
      <w:r>
        <w:t xml:space="preserve"> and </w:t>
      </w:r>
      <w:r w:rsidRPr="005D4EB4">
        <w:t xml:space="preserve">identified the approximate megawatt quantities of inverter-based resources (e.g., offshore wind) that could interconnect without major transmission upgrades beyond these local points. </w:t>
      </w:r>
      <w:r>
        <w:t>T</w:t>
      </w:r>
      <w:r w:rsidRPr="005D4EB4">
        <w:t xml:space="preserve">he ISO determined that with the expected transmission topology for the 2030 study year, approximately 7,000 MW of new offshore wind (5,800 MW connected to the southern shore substations and 1,200 MW connected </w:t>
      </w:r>
      <w:r w:rsidRPr="002470CE">
        <w:t>to Mystic) h</w:t>
      </w:r>
      <w:r w:rsidRPr="005D4EB4">
        <w:t>as the potential to be interconnected without major additional 3</w:t>
      </w:r>
      <w:r w:rsidRPr="004325CB">
        <w:t>4</w:t>
      </w:r>
      <w:r w:rsidRPr="00974836">
        <w:t xml:space="preserve">5 kV reinforcements. See 2019 NESCOE Economic Study report, Section 6.1.9, </w:t>
      </w:r>
      <w:hyperlink r:id="rId36" w:history="1">
        <w:r w:rsidRPr="00974836">
          <w:rPr>
            <w:rStyle w:val="Hyperlink"/>
          </w:rPr>
          <w:t>https://www.iso-ne.com/static-assets/documents/2020/06/2019_nescoe_economic_study_final.docx</w:t>
        </w:r>
      </w:hyperlink>
      <w:r w:rsidRPr="00974836">
        <w:rPr>
          <w:rStyle w:val="Hyperlink"/>
        </w:rPr>
        <w:t>.</w:t>
      </w:r>
      <w:r w:rsidRPr="00974836">
        <w:t xml:space="preserve"> </w:t>
      </w:r>
    </w:p>
  </w:footnote>
  <w:footnote w:id="34">
    <w:p w14:paraId="3ED3F7EC" w14:textId="77777777" w:rsidR="00AA4AB3" w:rsidRDefault="00AA4AB3">
      <w:pPr>
        <w:pStyle w:val="FootnoteText"/>
      </w:pPr>
      <w:r w:rsidRPr="00F10C17">
        <w:rPr>
          <w:rStyle w:val="FootnoteReference"/>
        </w:rPr>
        <w:footnoteRef/>
      </w:r>
      <w:r w:rsidRPr="00F10C17">
        <w:t xml:space="preserve"> This study assumed a Sur</w:t>
      </w:r>
      <w:r w:rsidRPr="00974836">
        <w:t>owiec South interface transfer limit of 1,500 MW. However, the Surowiec South interface transfer limit is expected to increase to 2,500 MW once NECEC and its associated transmission upgrades are in service.</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B08D9" w14:textId="77777777" w:rsidR="00E10BDF" w:rsidRDefault="00E10B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7BF80" w14:textId="77777777" w:rsidR="00AA4AB3" w:rsidRPr="00D85494" w:rsidRDefault="00AA4AB3" w:rsidP="005813F5">
    <w:pPr>
      <w:pStyle w:val="Header"/>
      <w:jc w:val="center"/>
      <w:rPr>
        <w:rFonts w:asciiTheme="majorHAnsi" w:hAnsiTheme="majorHAnsi"/>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7DE07" w14:textId="77777777" w:rsidR="00E10BDF" w:rsidRDefault="00E10BD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FFBF2" w14:textId="77777777" w:rsidR="00AA4AB3" w:rsidRPr="00D85494" w:rsidRDefault="00AA4AB3" w:rsidP="005813F5">
    <w:pPr>
      <w:pStyle w:val="Header"/>
      <w:jc w:val="center"/>
      <w:rPr>
        <w:rFonts w:asciiTheme="majorHAnsi" w:hAnsiTheme="majorHAnsi"/>
        <w:szCs w:val="2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1B23D" w14:textId="77777777" w:rsidR="00AA4AB3" w:rsidRPr="005813F5" w:rsidRDefault="00AA4AB3" w:rsidP="00420F5F">
    <w:pPr>
      <w:pStyle w:val="Header"/>
      <w:spacing w:after="0" w:line="240" w:lineRule="auto"/>
      <w:jc w:val="cent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DC0CC8"/>
    <w:multiLevelType w:val="hybridMultilevel"/>
    <w:tmpl w:val="F3106B24"/>
    <w:lvl w:ilvl="0" w:tplc="A8C29478">
      <w:start w:val="1"/>
      <w:numFmt w:val="lowerLetter"/>
      <w:lvlText w:val="(%1)"/>
      <w:lvlJc w:val="left"/>
      <w:pPr>
        <w:ind w:left="720" w:hanging="360"/>
      </w:pPr>
      <w:rPr>
        <w:rFonts w:asciiTheme="majorHAnsi" w:hAnsiTheme="majorHAnsi" w:cstheme="majorHAnsi" w:hint="default"/>
        <w:color w:val="auto"/>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DF4299"/>
    <w:multiLevelType w:val="multilevel"/>
    <w:tmpl w:val="5AA4CA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BC07FE1"/>
    <w:multiLevelType w:val="hybridMultilevel"/>
    <w:tmpl w:val="84287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9E49E2"/>
    <w:multiLevelType w:val="multilevel"/>
    <w:tmpl w:val="E942114E"/>
    <w:lvl w:ilvl="0">
      <w:start w:val="1"/>
      <w:numFmt w:val="decimal"/>
      <w:pStyle w:val="Heading1"/>
      <w:suff w:val="nothing"/>
      <w:lvlText w:val="Section %1"/>
      <w:lvlJc w:val="left"/>
      <w:pPr>
        <w:ind w:left="0" w:firstLine="0"/>
      </w:pPr>
      <w:rPr>
        <w:rFonts w:ascii="Calibri" w:hAnsi="Calibri" w:hint="default"/>
        <w:b/>
        <w:i w:val="0"/>
        <w:color w:val="1795D2"/>
        <w:spacing w:val="0"/>
        <w:sz w:val="36"/>
      </w:rPr>
    </w:lvl>
    <w:lvl w:ilvl="1">
      <w:start w:val="1"/>
      <w:numFmt w:val="decimal"/>
      <w:pStyle w:val="Heading2"/>
      <w:suff w:val="space"/>
      <w:lvlText w:val="%1.%2"/>
      <w:lvlJc w:val="left"/>
      <w:pPr>
        <w:ind w:left="0" w:firstLine="0"/>
      </w:pPr>
      <w:rPr>
        <w:rFonts w:ascii="Calibri" w:hAnsi="Calibri" w:hint="default"/>
        <w:b/>
        <w:i w:val="0"/>
        <w:color w:val="auto"/>
        <w:sz w:val="24"/>
      </w:rPr>
    </w:lvl>
    <w:lvl w:ilvl="2">
      <w:start w:val="1"/>
      <w:numFmt w:val="decimal"/>
      <w:pStyle w:val="Heading3"/>
      <w:suff w:val="space"/>
      <w:lvlText w:val="%1.%2.%3"/>
      <w:lvlJc w:val="left"/>
      <w:pPr>
        <w:ind w:left="450"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suff w:val="space"/>
      <w:lvlText w:val="%1.%2.%3.%4"/>
      <w:lvlJc w:val="left"/>
      <w:pPr>
        <w:ind w:left="0" w:firstLine="0"/>
      </w:pPr>
      <w:rPr>
        <w:rFonts w:ascii="Calibri" w:hAnsi="Calibri" w:hint="default"/>
        <w:b w:val="0"/>
        <w:i/>
        <w:sz w:val="20"/>
        <w:szCs w:val="20"/>
      </w:rPr>
    </w:lvl>
    <w:lvl w:ilvl="4">
      <w:start w:val="1"/>
      <w:numFmt w:val="decimal"/>
      <w:lvlRestart w:val="0"/>
      <w:suff w:val="space"/>
      <w:lvlText w:val="%1.%2.%3.%4.%5"/>
      <w:lvlJc w:val="left"/>
      <w:pPr>
        <w:ind w:left="0" w:firstLine="0"/>
      </w:pPr>
      <w:rPr>
        <w:rFonts w:hint="default"/>
      </w:rPr>
    </w:lvl>
    <w:lvl w:ilvl="5">
      <w:start w:val="1"/>
      <w:numFmt w:val="decimal"/>
      <w:lvlRestart w:val="0"/>
      <w:lvlText w:val="%1.%2.%3.%4.%5.%6"/>
      <w:lvlJc w:val="left"/>
      <w:pPr>
        <w:tabs>
          <w:tab w:val="num" w:pos="1800"/>
        </w:tabs>
        <w:ind w:left="0" w:firstLine="0"/>
      </w:pPr>
      <w:rPr>
        <w:rFonts w:hint="default"/>
      </w:rPr>
    </w:lvl>
    <w:lvl w:ilvl="6">
      <w:start w:val="1"/>
      <w:numFmt w:val="decimal"/>
      <w:lvlRestart w:val="0"/>
      <w:lvlText w:val="%1.%2.%3.%4.%5.%6.%7"/>
      <w:lvlJc w:val="left"/>
      <w:pPr>
        <w:tabs>
          <w:tab w:val="num" w:pos="2160"/>
        </w:tabs>
        <w:ind w:left="0" w:firstLine="0"/>
      </w:pPr>
      <w:rPr>
        <w:rFonts w:hint="default"/>
      </w:rPr>
    </w:lvl>
    <w:lvl w:ilvl="7">
      <w:start w:val="1"/>
      <w:numFmt w:val="decimal"/>
      <w:lvlRestart w:val="0"/>
      <w:lvlText w:val="%1.%2.%3.%4.%5.%6.%7.%8"/>
      <w:lvlJc w:val="left"/>
      <w:pPr>
        <w:tabs>
          <w:tab w:val="num" w:pos="2520"/>
        </w:tabs>
        <w:ind w:left="0" w:firstLine="0"/>
      </w:pPr>
      <w:rPr>
        <w:rFonts w:hint="default"/>
      </w:rPr>
    </w:lvl>
    <w:lvl w:ilvl="8">
      <w:start w:val="1"/>
      <w:numFmt w:val="decimal"/>
      <w:lvlRestart w:val="0"/>
      <w:lvlText w:val="%1.%2.%3.%4.%5.%6.%7.%8.%9"/>
      <w:lvlJc w:val="left"/>
      <w:pPr>
        <w:tabs>
          <w:tab w:val="num" w:pos="2880"/>
        </w:tabs>
        <w:ind w:left="0" w:firstLine="0"/>
      </w:pPr>
      <w:rPr>
        <w:rFonts w:hint="default"/>
      </w:rPr>
    </w:lvl>
  </w:abstractNum>
  <w:abstractNum w:abstractNumId="4" w15:restartNumberingAfterBreak="0">
    <w:nsid w:val="573731B5"/>
    <w:multiLevelType w:val="hybridMultilevel"/>
    <w:tmpl w:val="76787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C10978"/>
    <w:multiLevelType w:val="hybridMultilevel"/>
    <w:tmpl w:val="D24A0CE0"/>
    <w:lvl w:ilvl="0" w:tplc="B8064E66">
      <w:start w:val="1"/>
      <w:numFmt w:val="bullet"/>
      <w:lvlText w:val=""/>
      <w:lvlJc w:val="left"/>
      <w:pPr>
        <w:ind w:left="768" w:hanging="360"/>
      </w:pPr>
      <w:rPr>
        <w:rFonts w:ascii="Wingdings" w:hAnsi="Wingdings" w:hint="default"/>
        <w:b/>
        <w:i w:val="0"/>
        <w:sz w:val="22"/>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6" w15:restartNumberingAfterBreak="0">
    <w:nsid w:val="5CAB60CD"/>
    <w:multiLevelType w:val="hybridMultilevel"/>
    <w:tmpl w:val="FC4EEA0C"/>
    <w:lvl w:ilvl="0" w:tplc="10FCFC3A">
      <w:start w:val="1"/>
      <w:numFmt w:val="lowerLetter"/>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7" w15:restartNumberingAfterBreak="0">
    <w:nsid w:val="63172F9A"/>
    <w:multiLevelType w:val="hybridMultilevel"/>
    <w:tmpl w:val="B1524C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F9448D"/>
    <w:multiLevelType w:val="hybridMultilevel"/>
    <w:tmpl w:val="134251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7381537"/>
    <w:multiLevelType w:val="hybridMultilevel"/>
    <w:tmpl w:val="0374F4BC"/>
    <w:name w:val="Article1"/>
    <w:lvl w:ilvl="0" w:tplc="D9BCABA6">
      <w:start w:val="1"/>
      <w:numFmt w:val="bullet"/>
      <w:pStyle w:val="ListBullet"/>
      <w:lvlText w:val=""/>
      <w:lvlJc w:val="left"/>
      <w:pPr>
        <w:tabs>
          <w:tab w:val="num" w:pos="1080"/>
        </w:tabs>
        <w:ind w:left="1080" w:hanging="360"/>
      </w:pPr>
      <w:rPr>
        <w:rFonts w:ascii="Symbol" w:hAnsi="Symbol" w:hint="default"/>
      </w:rPr>
    </w:lvl>
    <w:lvl w:ilvl="1" w:tplc="AF6A2324" w:tentative="1">
      <w:start w:val="1"/>
      <w:numFmt w:val="bullet"/>
      <w:lvlText w:val="o"/>
      <w:lvlJc w:val="left"/>
      <w:pPr>
        <w:tabs>
          <w:tab w:val="num" w:pos="1440"/>
        </w:tabs>
        <w:ind w:left="1440" w:hanging="360"/>
      </w:pPr>
      <w:rPr>
        <w:rFonts w:ascii="Courier New" w:hAnsi="Courier New" w:cs="Courier New" w:hint="default"/>
      </w:rPr>
    </w:lvl>
    <w:lvl w:ilvl="2" w:tplc="A31E20D6" w:tentative="1">
      <w:start w:val="1"/>
      <w:numFmt w:val="bullet"/>
      <w:lvlText w:val=""/>
      <w:lvlJc w:val="left"/>
      <w:pPr>
        <w:tabs>
          <w:tab w:val="num" w:pos="2160"/>
        </w:tabs>
        <w:ind w:left="2160" w:hanging="360"/>
      </w:pPr>
      <w:rPr>
        <w:rFonts w:ascii="Wingdings" w:hAnsi="Wingdings" w:hint="default"/>
      </w:rPr>
    </w:lvl>
    <w:lvl w:ilvl="3" w:tplc="2A08D876" w:tentative="1">
      <w:start w:val="1"/>
      <w:numFmt w:val="bullet"/>
      <w:lvlText w:val=""/>
      <w:lvlJc w:val="left"/>
      <w:pPr>
        <w:tabs>
          <w:tab w:val="num" w:pos="2880"/>
        </w:tabs>
        <w:ind w:left="2880" w:hanging="360"/>
      </w:pPr>
      <w:rPr>
        <w:rFonts w:ascii="Symbol" w:hAnsi="Symbol" w:hint="default"/>
      </w:rPr>
    </w:lvl>
    <w:lvl w:ilvl="4" w:tplc="CCD0E79C" w:tentative="1">
      <w:start w:val="1"/>
      <w:numFmt w:val="bullet"/>
      <w:lvlText w:val="o"/>
      <w:lvlJc w:val="left"/>
      <w:pPr>
        <w:tabs>
          <w:tab w:val="num" w:pos="3600"/>
        </w:tabs>
        <w:ind w:left="3600" w:hanging="360"/>
      </w:pPr>
      <w:rPr>
        <w:rFonts w:ascii="Courier New" w:hAnsi="Courier New" w:cs="Courier New" w:hint="default"/>
      </w:rPr>
    </w:lvl>
    <w:lvl w:ilvl="5" w:tplc="D8861DFC" w:tentative="1">
      <w:start w:val="1"/>
      <w:numFmt w:val="bullet"/>
      <w:lvlText w:val=""/>
      <w:lvlJc w:val="left"/>
      <w:pPr>
        <w:tabs>
          <w:tab w:val="num" w:pos="4320"/>
        </w:tabs>
        <w:ind w:left="4320" w:hanging="360"/>
      </w:pPr>
      <w:rPr>
        <w:rFonts w:ascii="Wingdings" w:hAnsi="Wingdings" w:hint="default"/>
      </w:rPr>
    </w:lvl>
    <w:lvl w:ilvl="6" w:tplc="A7CA73D6" w:tentative="1">
      <w:start w:val="1"/>
      <w:numFmt w:val="bullet"/>
      <w:lvlText w:val=""/>
      <w:lvlJc w:val="left"/>
      <w:pPr>
        <w:tabs>
          <w:tab w:val="num" w:pos="5040"/>
        </w:tabs>
        <w:ind w:left="5040" w:hanging="360"/>
      </w:pPr>
      <w:rPr>
        <w:rFonts w:ascii="Symbol" w:hAnsi="Symbol" w:hint="default"/>
      </w:rPr>
    </w:lvl>
    <w:lvl w:ilvl="7" w:tplc="3484F9E4" w:tentative="1">
      <w:start w:val="1"/>
      <w:numFmt w:val="bullet"/>
      <w:lvlText w:val="o"/>
      <w:lvlJc w:val="left"/>
      <w:pPr>
        <w:tabs>
          <w:tab w:val="num" w:pos="5760"/>
        </w:tabs>
        <w:ind w:left="5760" w:hanging="360"/>
      </w:pPr>
      <w:rPr>
        <w:rFonts w:ascii="Courier New" w:hAnsi="Courier New" w:cs="Courier New" w:hint="default"/>
      </w:rPr>
    </w:lvl>
    <w:lvl w:ilvl="8" w:tplc="2890A81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54C473D"/>
    <w:multiLevelType w:val="hybridMultilevel"/>
    <w:tmpl w:val="35DA66E6"/>
    <w:lvl w:ilvl="0" w:tplc="BCE8BE76">
      <w:start w:val="1"/>
      <w:numFmt w:val="bullet"/>
      <w:pStyle w:val="BulletedLis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243C71BC">
      <w:start w:val="1"/>
      <w:numFmt w:val="bullet"/>
      <w:pStyle w:val="BulletedList"/>
      <w:lvlText w:val=""/>
      <w:lvlJc w:val="left"/>
      <w:pPr>
        <w:tabs>
          <w:tab w:val="num" w:pos="720"/>
        </w:tabs>
        <w:ind w:left="720" w:hanging="360"/>
      </w:pPr>
      <w:rPr>
        <w:rFonts w:ascii="Symbol" w:hAnsi="Symbol" w:hint="default"/>
        <w:sz w:val="22"/>
        <w:szCs w:val="22"/>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0"/>
  </w:num>
  <w:num w:numId="3">
    <w:abstractNumId w:val="3"/>
  </w:num>
  <w:num w:numId="4">
    <w:abstractNumId w:val="7"/>
  </w:num>
  <w:num w:numId="5">
    <w:abstractNumId w:val="2"/>
  </w:num>
  <w:num w:numId="6">
    <w:abstractNumId w:val="0"/>
  </w:num>
  <w:num w:numId="7">
    <w:abstractNumId w:val="6"/>
  </w:num>
  <w:num w:numId="8">
    <w:abstractNumId w:val="1"/>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5"/>
  </w:num>
  <w:num w:numId="14">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96"/>
  <w:removePersonalInformation/>
  <w:removeDateAndTime/>
  <w:hideSpellingErrors/>
  <w:hideGrammaticalErrors/>
  <w:activeWritingStyle w:appName="MSWord" w:lang="en-US" w:vendorID="64" w:dllVersion="6" w:nlCheck="1" w:checkStyle="0"/>
  <w:activeWritingStyle w:appName="MSWord" w:lang="fr-FR" w:vendorID="64" w:dllVersion="6" w:nlCheck="1" w:checkStyle="1"/>
  <w:activeWritingStyle w:appName="MSWord" w:lang="en-US" w:vendorID="64" w:dllVersion="5" w:nlCheck="1" w:checkStyle="1"/>
  <w:activeWritingStyle w:appName="MSWord" w:lang="en-US" w:vendorID="64" w:dllVersion="4096"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readOnly" w:enforcement="0"/>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 w:name="_AMO_UniqueIdentifier" w:val="703d2899-21a2-4196-b5cf-e4880afbe394"/>
  </w:docVars>
  <w:rsids>
    <w:rsidRoot w:val="00CB6AC6"/>
    <w:rsid w:val="00000270"/>
    <w:rsid w:val="000005C0"/>
    <w:rsid w:val="0000108A"/>
    <w:rsid w:val="000014F1"/>
    <w:rsid w:val="00001545"/>
    <w:rsid w:val="0000156E"/>
    <w:rsid w:val="00001E14"/>
    <w:rsid w:val="00002257"/>
    <w:rsid w:val="000024C0"/>
    <w:rsid w:val="000027D9"/>
    <w:rsid w:val="00002BD6"/>
    <w:rsid w:val="00002D04"/>
    <w:rsid w:val="00002E84"/>
    <w:rsid w:val="00003561"/>
    <w:rsid w:val="00003F65"/>
    <w:rsid w:val="00004025"/>
    <w:rsid w:val="0000515C"/>
    <w:rsid w:val="00005201"/>
    <w:rsid w:val="000058A3"/>
    <w:rsid w:val="0000596B"/>
    <w:rsid w:val="00005E48"/>
    <w:rsid w:val="00005F52"/>
    <w:rsid w:val="00006124"/>
    <w:rsid w:val="00006292"/>
    <w:rsid w:val="0000663A"/>
    <w:rsid w:val="00006EB9"/>
    <w:rsid w:val="00006FD6"/>
    <w:rsid w:val="0000711C"/>
    <w:rsid w:val="000079CF"/>
    <w:rsid w:val="00010076"/>
    <w:rsid w:val="00010570"/>
    <w:rsid w:val="00010AFC"/>
    <w:rsid w:val="00010F88"/>
    <w:rsid w:val="00010FE9"/>
    <w:rsid w:val="0001177C"/>
    <w:rsid w:val="00011896"/>
    <w:rsid w:val="000124D9"/>
    <w:rsid w:val="00012B34"/>
    <w:rsid w:val="00012FAD"/>
    <w:rsid w:val="00013559"/>
    <w:rsid w:val="0001462B"/>
    <w:rsid w:val="00014922"/>
    <w:rsid w:val="00015319"/>
    <w:rsid w:val="000153B5"/>
    <w:rsid w:val="000154B6"/>
    <w:rsid w:val="000154CE"/>
    <w:rsid w:val="000159EB"/>
    <w:rsid w:val="00015C82"/>
    <w:rsid w:val="00015ECB"/>
    <w:rsid w:val="00017228"/>
    <w:rsid w:val="000172CC"/>
    <w:rsid w:val="000179CA"/>
    <w:rsid w:val="00017E7E"/>
    <w:rsid w:val="0002011E"/>
    <w:rsid w:val="00020133"/>
    <w:rsid w:val="0002026A"/>
    <w:rsid w:val="000202C3"/>
    <w:rsid w:val="00020C5A"/>
    <w:rsid w:val="00020E5D"/>
    <w:rsid w:val="00020E91"/>
    <w:rsid w:val="00020FE6"/>
    <w:rsid w:val="00021588"/>
    <w:rsid w:val="00021829"/>
    <w:rsid w:val="000219F1"/>
    <w:rsid w:val="00021E38"/>
    <w:rsid w:val="00022865"/>
    <w:rsid w:val="000229CE"/>
    <w:rsid w:val="00023487"/>
    <w:rsid w:val="000242A4"/>
    <w:rsid w:val="00024994"/>
    <w:rsid w:val="00024D4A"/>
    <w:rsid w:val="00024DDA"/>
    <w:rsid w:val="0002530A"/>
    <w:rsid w:val="000255E3"/>
    <w:rsid w:val="00026294"/>
    <w:rsid w:val="00026619"/>
    <w:rsid w:val="00026A09"/>
    <w:rsid w:val="00026B6B"/>
    <w:rsid w:val="00026DFA"/>
    <w:rsid w:val="0002795E"/>
    <w:rsid w:val="00027DE4"/>
    <w:rsid w:val="00027E45"/>
    <w:rsid w:val="00027EDF"/>
    <w:rsid w:val="00027FAE"/>
    <w:rsid w:val="000301D7"/>
    <w:rsid w:val="0003095D"/>
    <w:rsid w:val="00030A7A"/>
    <w:rsid w:val="00030BF0"/>
    <w:rsid w:val="00030CE5"/>
    <w:rsid w:val="00031071"/>
    <w:rsid w:val="00031333"/>
    <w:rsid w:val="0003139A"/>
    <w:rsid w:val="000313F2"/>
    <w:rsid w:val="00031D2C"/>
    <w:rsid w:val="00032B2D"/>
    <w:rsid w:val="00033075"/>
    <w:rsid w:val="0003320F"/>
    <w:rsid w:val="00033404"/>
    <w:rsid w:val="0003396C"/>
    <w:rsid w:val="00033F6C"/>
    <w:rsid w:val="000346F7"/>
    <w:rsid w:val="00034C1B"/>
    <w:rsid w:val="000357EE"/>
    <w:rsid w:val="00035C76"/>
    <w:rsid w:val="00035DB9"/>
    <w:rsid w:val="000363BD"/>
    <w:rsid w:val="00036D3C"/>
    <w:rsid w:val="00036DD4"/>
    <w:rsid w:val="00036F5B"/>
    <w:rsid w:val="00037105"/>
    <w:rsid w:val="000372B9"/>
    <w:rsid w:val="00037303"/>
    <w:rsid w:val="00037383"/>
    <w:rsid w:val="00037407"/>
    <w:rsid w:val="00037766"/>
    <w:rsid w:val="000378A1"/>
    <w:rsid w:val="00037B13"/>
    <w:rsid w:val="00037C94"/>
    <w:rsid w:val="00037CF0"/>
    <w:rsid w:val="00037D25"/>
    <w:rsid w:val="00037E90"/>
    <w:rsid w:val="00037FE3"/>
    <w:rsid w:val="0004079C"/>
    <w:rsid w:val="000407F3"/>
    <w:rsid w:val="000410EA"/>
    <w:rsid w:val="00041327"/>
    <w:rsid w:val="0004165F"/>
    <w:rsid w:val="00041785"/>
    <w:rsid w:val="00041793"/>
    <w:rsid w:val="0004198B"/>
    <w:rsid w:val="000424D5"/>
    <w:rsid w:val="00042A2F"/>
    <w:rsid w:val="00042D88"/>
    <w:rsid w:val="00042F5A"/>
    <w:rsid w:val="00043578"/>
    <w:rsid w:val="0004373C"/>
    <w:rsid w:val="00043CC4"/>
    <w:rsid w:val="00044076"/>
    <w:rsid w:val="000442E4"/>
    <w:rsid w:val="000445D3"/>
    <w:rsid w:val="00044683"/>
    <w:rsid w:val="00044854"/>
    <w:rsid w:val="00044B8A"/>
    <w:rsid w:val="00044C62"/>
    <w:rsid w:val="00044CE8"/>
    <w:rsid w:val="0004550F"/>
    <w:rsid w:val="000460D9"/>
    <w:rsid w:val="000461BF"/>
    <w:rsid w:val="000463A6"/>
    <w:rsid w:val="000465A9"/>
    <w:rsid w:val="00046C8C"/>
    <w:rsid w:val="00046E91"/>
    <w:rsid w:val="00047546"/>
    <w:rsid w:val="0004775F"/>
    <w:rsid w:val="000478CF"/>
    <w:rsid w:val="00047D24"/>
    <w:rsid w:val="000504EB"/>
    <w:rsid w:val="000517FA"/>
    <w:rsid w:val="00051BFC"/>
    <w:rsid w:val="00052025"/>
    <w:rsid w:val="0005215E"/>
    <w:rsid w:val="00053241"/>
    <w:rsid w:val="0005329B"/>
    <w:rsid w:val="000536F7"/>
    <w:rsid w:val="00053A32"/>
    <w:rsid w:val="00053A93"/>
    <w:rsid w:val="00054A84"/>
    <w:rsid w:val="0005513C"/>
    <w:rsid w:val="000554D4"/>
    <w:rsid w:val="00055684"/>
    <w:rsid w:val="000558C1"/>
    <w:rsid w:val="00055FBE"/>
    <w:rsid w:val="0005623C"/>
    <w:rsid w:val="00056618"/>
    <w:rsid w:val="000569AA"/>
    <w:rsid w:val="00056A47"/>
    <w:rsid w:val="00057090"/>
    <w:rsid w:val="00057485"/>
    <w:rsid w:val="000577CF"/>
    <w:rsid w:val="00057AB7"/>
    <w:rsid w:val="00057ACE"/>
    <w:rsid w:val="00057E20"/>
    <w:rsid w:val="0006040A"/>
    <w:rsid w:val="0006063C"/>
    <w:rsid w:val="00060728"/>
    <w:rsid w:val="0006098B"/>
    <w:rsid w:val="000611D6"/>
    <w:rsid w:val="000613FD"/>
    <w:rsid w:val="0006162A"/>
    <w:rsid w:val="0006174F"/>
    <w:rsid w:val="00062479"/>
    <w:rsid w:val="00062538"/>
    <w:rsid w:val="00062B59"/>
    <w:rsid w:val="00064855"/>
    <w:rsid w:val="00064EF8"/>
    <w:rsid w:val="00064FD8"/>
    <w:rsid w:val="0006548E"/>
    <w:rsid w:val="0006584A"/>
    <w:rsid w:val="0006596A"/>
    <w:rsid w:val="000659E8"/>
    <w:rsid w:val="00065D4E"/>
    <w:rsid w:val="00065E26"/>
    <w:rsid w:val="0006624D"/>
    <w:rsid w:val="00066296"/>
    <w:rsid w:val="00066542"/>
    <w:rsid w:val="00066B08"/>
    <w:rsid w:val="00066F69"/>
    <w:rsid w:val="00067212"/>
    <w:rsid w:val="000676D3"/>
    <w:rsid w:val="00067853"/>
    <w:rsid w:val="000701ED"/>
    <w:rsid w:val="00070BB1"/>
    <w:rsid w:val="00070D31"/>
    <w:rsid w:val="000713C5"/>
    <w:rsid w:val="00071774"/>
    <w:rsid w:val="00071B6A"/>
    <w:rsid w:val="00071DD3"/>
    <w:rsid w:val="00071F92"/>
    <w:rsid w:val="00071FAC"/>
    <w:rsid w:val="00072923"/>
    <w:rsid w:val="00072D6A"/>
    <w:rsid w:val="00072DC3"/>
    <w:rsid w:val="00073D35"/>
    <w:rsid w:val="00074314"/>
    <w:rsid w:val="00074469"/>
    <w:rsid w:val="00074522"/>
    <w:rsid w:val="00074D2D"/>
    <w:rsid w:val="000758E1"/>
    <w:rsid w:val="0007591B"/>
    <w:rsid w:val="000760E1"/>
    <w:rsid w:val="00076F5F"/>
    <w:rsid w:val="000772F4"/>
    <w:rsid w:val="000773BE"/>
    <w:rsid w:val="00077B46"/>
    <w:rsid w:val="00077F54"/>
    <w:rsid w:val="000800A7"/>
    <w:rsid w:val="00080481"/>
    <w:rsid w:val="0008070D"/>
    <w:rsid w:val="00080721"/>
    <w:rsid w:val="00080AD6"/>
    <w:rsid w:val="00080C32"/>
    <w:rsid w:val="00080D89"/>
    <w:rsid w:val="00080FC7"/>
    <w:rsid w:val="0008148E"/>
    <w:rsid w:val="000821C8"/>
    <w:rsid w:val="00082296"/>
    <w:rsid w:val="0008288C"/>
    <w:rsid w:val="00082945"/>
    <w:rsid w:val="00083134"/>
    <w:rsid w:val="00083147"/>
    <w:rsid w:val="0008368B"/>
    <w:rsid w:val="00083AEC"/>
    <w:rsid w:val="00083F30"/>
    <w:rsid w:val="00084382"/>
    <w:rsid w:val="00084E12"/>
    <w:rsid w:val="000851D0"/>
    <w:rsid w:val="0008522E"/>
    <w:rsid w:val="00085368"/>
    <w:rsid w:val="00086C8C"/>
    <w:rsid w:val="00087581"/>
    <w:rsid w:val="00087839"/>
    <w:rsid w:val="000879B2"/>
    <w:rsid w:val="00087E1A"/>
    <w:rsid w:val="0009018E"/>
    <w:rsid w:val="00090E7B"/>
    <w:rsid w:val="00091215"/>
    <w:rsid w:val="000914EB"/>
    <w:rsid w:val="00091655"/>
    <w:rsid w:val="00091FF3"/>
    <w:rsid w:val="00092637"/>
    <w:rsid w:val="0009294B"/>
    <w:rsid w:val="00092B29"/>
    <w:rsid w:val="00092B8C"/>
    <w:rsid w:val="00092CC8"/>
    <w:rsid w:val="00092E81"/>
    <w:rsid w:val="00093A59"/>
    <w:rsid w:val="000941CB"/>
    <w:rsid w:val="000944C5"/>
    <w:rsid w:val="00094584"/>
    <w:rsid w:val="00094A0C"/>
    <w:rsid w:val="00094B89"/>
    <w:rsid w:val="00095197"/>
    <w:rsid w:val="000952FD"/>
    <w:rsid w:val="000953C4"/>
    <w:rsid w:val="00095A04"/>
    <w:rsid w:val="00096B10"/>
    <w:rsid w:val="00096BB0"/>
    <w:rsid w:val="00096C6D"/>
    <w:rsid w:val="0009710E"/>
    <w:rsid w:val="00097785"/>
    <w:rsid w:val="000979CA"/>
    <w:rsid w:val="000979E7"/>
    <w:rsid w:val="000A0041"/>
    <w:rsid w:val="000A0085"/>
    <w:rsid w:val="000A0272"/>
    <w:rsid w:val="000A0340"/>
    <w:rsid w:val="000A0429"/>
    <w:rsid w:val="000A0A1F"/>
    <w:rsid w:val="000A0CD8"/>
    <w:rsid w:val="000A1009"/>
    <w:rsid w:val="000A138C"/>
    <w:rsid w:val="000A1B29"/>
    <w:rsid w:val="000A24B0"/>
    <w:rsid w:val="000A25F9"/>
    <w:rsid w:val="000A2842"/>
    <w:rsid w:val="000A29DF"/>
    <w:rsid w:val="000A37E6"/>
    <w:rsid w:val="000A4048"/>
    <w:rsid w:val="000A40A4"/>
    <w:rsid w:val="000A4D9C"/>
    <w:rsid w:val="000A5067"/>
    <w:rsid w:val="000A56F0"/>
    <w:rsid w:val="000A5F5E"/>
    <w:rsid w:val="000A76BF"/>
    <w:rsid w:val="000A7BE3"/>
    <w:rsid w:val="000B03FF"/>
    <w:rsid w:val="000B040E"/>
    <w:rsid w:val="000B0879"/>
    <w:rsid w:val="000B0A5C"/>
    <w:rsid w:val="000B1B94"/>
    <w:rsid w:val="000B1BC2"/>
    <w:rsid w:val="000B1C7F"/>
    <w:rsid w:val="000B1DA6"/>
    <w:rsid w:val="000B1E5E"/>
    <w:rsid w:val="000B20B2"/>
    <w:rsid w:val="000B228A"/>
    <w:rsid w:val="000B22E3"/>
    <w:rsid w:val="000B266F"/>
    <w:rsid w:val="000B2865"/>
    <w:rsid w:val="000B2921"/>
    <w:rsid w:val="000B2CB6"/>
    <w:rsid w:val="000B3288"/>
    <w:rsid w:val="000B359C"/>
    <w:rsid w:val="000B3B05"/>
    <w:rsid w:val="000B3D38"/>
    <w:rsid w:val="000B43A1"/>
    <w:rsid w:val="000B43E9"/>
    <w:rsid w:val="000B4431"/>
    <w:rsid w:val="000B5865"/>
    <w:rsid w:val="000B5ACD"/>
    <w:rsid w:val="000B5B4A"/>
    <w:rsid w:val="000B637D"/>
    <w:rsid w:val="000B6629"/>
    <w:rsid w:val="000B668E"/>
    <w:rsid w:val="000B6A1D"/>
    <w:rsid w:val="000B6B30"/>
    <w:rsid w:val="000B6E02"/>
    <w:rsid w:val="000B737D"/>
    <w:rsid w:val="000B79CF"/>
    <w:rsid w:val="000C0444"/>
    <w:rsid w:val="000C0B6D"/>
    <w:rsid w:val="000C200E"/>
    <w:rsid w:val="000C239C"/>
    <w:rsid w:val="000C2473"/>
    <w:rsid w:val="000C2F4A"/>
    <w:rsid w:val="000C354D"/>
    <w:rsid w:val="000C3A16"/>
    <w:rsid w:val="000C3FC8"/>
    <w:rsid w:val="000C4466"/>
    <w:rsid w:val="000C469B"/>
    <w:rsid w:val="000C47BE"/>
    <w:rsid w:val="000C4D9F"/>
    <w:rsid w:val="000C503E"/>
    <w:rsid w:val="000C5066"/>
    <w:rsid w:val="000C506F"/>
    <w:rsid w:val="000C5333"/>
    <w:rsid w:val="000C5445"/>
    <w:rsid w:val="000C59DC"/>
    <w:rsid w:val="000C5CB5"/>
    <w:rsid w:val="000C674F"/>
    <w:rsid w:val="000C69F3"/>
    <w:rsid w:val="000C748F"/>
    <w:rsid w:val="000C7D66"/>
    <w:rsid w:val="000D0032"/>
    <w:rsid w:val="000D01D5"/>
    <w:rsid w:val="000D09B2"/>
    <w:rsid w:val="000D0E6D"/>
    <w:rsid w:val="000D0EAA"/>
    <w:rsid w:val="000D0F11"/>
    <w:rsid w:val="000D12EF"/>
    <w:rsid w:val="000D14EF"/>
    <w:rsid w:val="000D1CBE"/>
    <w:rsid w:val="000D1D1D"/>
    <w:rsid w:val="000D1DB8"/>
    <w:rsid w:val="000D242F"/>
    <w:rsid w:val="000D2806"/>
    <w:rsid w:val="000D3476"/>
    <w:rsid w:val="000D380A"/>
    <w:rsid w:val="000D4787"/>
    <w:rsid w:val="000D4B1B"/>
    <w:rsid w:val="000D4B7A"/>
    <w:rsid w:val="000D4D6D"/>
    <w:rsid w:val="000D4E71"/>
    <w:rsid w:val="000D5396"/>
    <w:rsid w:val="000D5F76"/>
    <w:rsid w:val="000D624E"/>
    <w:rsid w:val="000D6336"/>
    <w:rsid w:val="000D6385"/>
    <w:rsid w:val="000D6544"/>
    <w:rsid w:val="000D6644"/>
    <w:rsid w:val="000D68FB"/>
    <w:rsid w:val="000D7139"/>
    <w:rsid w:val="000D75B3"/>
    <w:rsid w:val="000D7821"/>
    <w:rsid w:val="000D7C95"/>
    <w:rsid w:val="000D7F9C"/>
    <w:rsid w:val="000E0180"/>
    <w:rsid w:val="000E02A9"/>
    <w:rsid w:val="000E0F0B"/>
    <w:rsid w:val="000E1361"/>
    <w:rsid w:val="000E14D6"/>
    <w:rsid w:val="000E1E45"/>
    <w:rsid w:val="000E1E97"/>
    <w:rsid w:val="000E237F"/>
    <w:rsid w:val="000E2501"/>
    <w:rsid w:val="000E2571"/>
    <w:rsid w:val="000E275B"/>
    <w:rsid w:val="000E28FE"/>
    <w:rsid w:val="000E2CE8"/>
    <w:rsid w:val="000E338B"/>
    <w:rsid w:val="000E3992"/>
    <w:rsid w:val="000E39C0"/>
    <w:rsid w:val="000E39E2"/>
    <w:rsid w:val="000E3B08"/>
    <w:rsid w:val="000E3F8E"/>
    <w:rsid w:val="000E412E"/>
    <w:rsid w:val="000E41D4"/>
    <w:rsid w:val="000E4664"/>
    <w:rsid w:val="000E4A74"/>
    <w:rsid w:val="000E4E61"/>
    <w:rsid w:val="000E5441"/>
    <w:rsid w:val="000E5A70"/>
    <w:rsid w:val="000E5E61"/>
    <w:rsid w:val="000E653C"/>
    <w:rsid w:val="000E66CA"/>
    <w:rsid w:val="000E68AE"/>
    <w:rsid w:val="000E6B3F"/>
    <w:rsid w:val="000E6B71"/>
    <w:rsid w:val="000E706C"/>
    <w:rsid w:val="000F0286"/>
    <w:rsid w:val="000F038C"/>
    <w:rsid w:val="000F0A8A"/>
    <w:rsid w:val="000F1398"/>
    <w:rsid w:val="000F140B"/>
    <w:rsid w:val="000F14B9"/>
    <w:rsid w:val="000F184D"/>
    <w:rsid w:val="000F1B39"/>
    <w:rsid w:val="000F20E5"/>
    <w:rsid w:val="000F2557"/>
    <w:rsid w:val="000F2E7D"/>
    <w:rsid w:val="000F33A8"/>
    <w:rsid w:val="000F38EE"/>
    <w:rsid w:val="000F3A0B"/>
    <w:rsid w:val="000F437F"/>
    <w:rsid w:val="000F4433"/>
    <w:rsid w:val="000F523C"/>
    <w:rsid w:val="000F5518"/>
    <w:rsid w:val="000F6561"/>
    <w:rsid w:val="000F663A"/>
    <w:rsid w:val="000F66DF"/>
    <w:rsid w:val="000F6A5D"/>
    <w:rsid w:val="000F6B76"/>
    <w:rsid w:val="000F6CF7"/>
    <w:rsid w:val="000F6FD9"/>
    <w:rsid w:val="000F7C42"/>
    <w:rsid w:val="00100222"/>
    <w:rsid w:val="00100364"/>
    <w:rsid w:val="00100B36"/>
    <w:rsid w:val="00100C4D"/>
    <w:rsid w:val="00101293"/>
    <w:rsid w:val="0010154E"/>
    <w:rsid w:val="00101BC9"/>
    <w:rsid w:val="00102744"/>
    <w:rsid w:val="001029A0"/>
    <w:rsid w:val="0010340C"/>
    <w:rsid w:val="001036A6"/>
    <w:rsid w:val="001037BC"/>
    <w:rsid w:val="001044B2"/>
    <w:rsid w:val="00104E02"/>
    <w:rsid w:val="00105065"/>
    <w:rsid w:val="001053F5"/>
    <w:rsid w:val="00105513"/>
    <w:rsid w:val="00105EBC"/>
    <w:rsid w:val="001069E7"/>
    <w:rsid w:val="00106A9F"/>
    <w:rsid w:val="00106DA5"/>
    <w:rsid w:val="00107F6B"/>
    <w:rsid w:val="001105A0"/>
    <w:rsid w:val="00110681"/>
    <w:rsid w:val="001109CA"/>
    <w:rsid w:val="001111C9"/>
    <w:rsid w:val="001119E7"/>
    <w:rsid w:val="00111C27"/>
    <w:rsid w:val="001120D1"/>
    <w:rsid w:val="0011272A"/>
    <w:rsid w:val="001127B8"/>
    <w:rsid w:val="001128A8"/>
    <w:rsid w:val="00112921"/>
    <w:rsid w:val="00112AD5"/>
    <w:rsid w:val="00112C60"/>
    <w:rsid w:val="0011334E"/>
    <w:rsid w:val="00113CB1"/>
    <w:rsid w:val="00114436"/>
    <w:rsid w:val="00114CE8"/>
    <w:rsid w:val="00115140"/>
    <w:rsid w:val="0011576D"/>
    <w:rsid w:val="0011658A"/>
    <w:rsid w:val="00116EF4"/>
    <w:rsid w:val="00117EEA"/>
    <w:rsid w:val="0012044B"/>
    <w:rsid w:val="0012062C"/>
    <w:rsid w:val="0012089B"/>
    <w:rsid w:val="00120EAE"/>
    <w:rsid w:val="0012102A"/>
    <w:rsid w:val="00121278"/>
    <w:rsid w:val="001213A2"/>
    <w:rsid w:val="001214BB"/>
    <w:rsid w:val="00122169"/>
    <w:rsid w:val="00122634"/>
    <w:rsid w:val="00122734"/>
    <w:rsid w:val="001227A4"/>
    <w:rsid w:val="00122AC3"/>
    <w:rsid w:val="00122E1B"/>
    <w:rsid w:val="0012342C"/>
    <w:rsid w:val="00123628"/>
    <w:rsid w:val="00123947"/>
    <w:rsid w:val="001239FB"/>
    <w:rsid w:val="00123CCB"/>
    <w:rsid w:val="0012435C"/>
    <w:rsid w:val="00124D80"/>
    <w:rsid w:val="00124EF8"/>
    <w:rsid w:val="00125170"/>
    <w:rsid w:val="001253F8"/>
    <w:rsid w:val="0012560F"/>
    <w:rsid w:val="00125799"/>
    <w:rsid w:val="00125975"/>
    <w:rsid w:val="001259D9"/>
    <w:rsid w:val="00125DA8"/>
    <w:rsid w:val="00125E4C"/>
    <w:rsid w:val="001264F1"/>
    <w:rsid w:val="00126D4D"/>
    <w:rsid w:val="00126FCE"/>
    <w:rsid w:val="001274C4"/>
    <w:rsid w:val="0013046E"/>
    <w:rsid w:val="00130529"/>
    <w:rsid w:val="00130DDD"/>
    <w:rsid w:val="00131D63"/>
    <w:rsid w:val="001320BC"/>
    <w:rsid w:val="001325D0"/>
    <w:rsid w:val="00132D8D"/>
    <w:rsid w:val="00133238"/>
    <w:rsid w:val="0013387A"/>
    <w:rsid w:val="00133FC0"/>
    <w:rsid w:val="001346B2"/>
    <w:rsid w:val="00134B71"/>
    <w:rsid w:val="00134B94"/>
    <w:rsid w:val="00134F1A"/>
    <w:rsid w:val="00135114"/>
    <w:rsid w:val="00135192"/>
    <w:rsid w:val="00135411"/>
    <w:rsid w:val="0013561F"/>
    <w:rsid w:val="00135F16"/>
    <w:rsid w:val="001360D6"/>
    <w:rsid w:val="00137115"/>
    <w:rsid w:val="00137B0F"/>
    <w:rsid w:val="00137C1B"/>
    <w:rsid w:val="001401E7"/>
    <w:rsid w:val="001403AC"/>
    <w:rsid w:val="0014044E"/>
    <w:rsid w:val="001408BC"/>
    <w:rsid w:val="00141F4E"/>
    <w:rsid w:val="00142159"/>
    <w:rsid w:val="0014266D"/>
    <w:rsid w:val="00142D42"/>
    <w:rsid w:val="00142F6B"/>
    <w:rsid w:val="00143635"/>
    <w:rsid w:val="00145071"/>
    <w:rsid w:val="001451E2"/>
    <w:rsid w:val="00145385"/>
    <w:rsid w:val="0014543E"/>
    <w:rsid w:val="0014547F"/>
    <w:rsid w:val="001454A3"/>
    <w:rsid w:val="00145B1F"/>
    <w:rsid w:val="00145E8A"/>
    <w:rsid w:val="00146526"/>
    <w:rsid w:val="00146B1B"/>
    <w:rsid w:val="0014723D"/>
    <w:rsid w:val="001475FB"/>
    <w:rsid w:val="001477D1"/>
    <w:rsid w:val="00147ACD"/>
    <w:rsid w:val="00147DA2"/>
    <w:rsid w:val="001501D6"/>
    <w:rsid w:val="001502BF"/>
    <w:rsid w:val="00151038"/>
    <w:rsid w:val="0015116A"/>
    <w:rsid w:val="001517D3"/>
    <w:rsid w:val="001525EE"/>
    <w:rsid w:val="001532E8"/>
    <w:rsid w:val="00153749"/>
    <w:rsid w:val="001539A1"/>
    <w:rsid w:val="0015418B"/>
    <w:rsid w:val="001541BD"/>
    <w:rsid w:val="00154AE5"/>
    <w:rsid w:val="00154D89"/>
    <w:rsid w:val="00154EF6"/>
    <w:rsid w:val="00155151"/>
    <w:rsid w:val="00156428"/>
    <w:rsid w:val="0015696E"/>
    <w:rsid w:val="00156B1D"/>
    <w:rsid w:val="001570C6"/>
    <w:rsid w:val="001572F2"/>
    <w:rsid w:val="00157912"/>
    <w:rsid w:val="00157A52"/>
    <w:rsid w:val="001601D2"/>
    <w:rsid w:val="001605B8"/>
    <w:rsid w:val="001612FA"/>
    <w:rsid w:val="001616AA"/>
    <w:rsid w:val="00161AB7"/>
    <w:rsid w:val="0016281B"/>
    <w:rsid w:val="00162D21"/>
    <w:rsid w:val="00163453"/>
    <w:rsid w:val="00163462"/>
    <w:rsid w:val="0016379D"/>
    <w:rsid w:val="00163AAE"/>
    <w:rsid w:val="00163ABC"/>
    <w:rsid w:val="00164928"/>
    <w:rsid w:val="00164EDD"/>
    <w:rsid w:val="00164F9E"/>
    <w:rsid w:val="001651B0"/>
    <w:rsid w:val="00165945"/>
    <w:rsid w:val="00165AFA"/>
    <w:rsid w:val="00165C6B"/>
    <w:rsid w:val="00165C9A"/>
    <w:rsid w:val="00165FC0"/>
    <w:rsid w:val="00166054"/>
    <w:rsid w:val="001662BA"/>
    <w:rsid w:val="0016663D"/>
    <w:rsid w:val="0016672D"/>
    <w:rsid w:val="00167126"/>
    <w:rsid w:val="00167366"/>
    <w:rsid w:val="001675BB"/>
    <w:rsid w:val="00167F0D"/>
    <w:rsid w:val="00170108"/>
    <w:rsid w:val="00170DF2"/>
    <w:rsid w:val="00171E26"/>
    <w:rsid w:val="00171FD0"/>
    <w:rsid w:val="001722FB"/>
    <w:rsid w:val="00172409"/>
    <w:rsid w:val="001727AA"/>
    <w:rsid w:val="001728EF"/>
    <w:rsid w:val="00172BE3"/>
    <w:rsid w:val="00172DC4"/>
    <w:rsid w:val="0017301C"/>
    <w:rsid w:val="00173DA9"/>
    <w:rsid w:val="00174950"/>
    <w:rsid w:val="001757C0"/>
    <w:rsid w:val="00176330"/>
    <w:rsid w:val="00176755"/>
    <w:rsid w:val="001768DA"/>
    <w:rsid w:val="00176CFE"/>
    <w:rsid w:val="00176F93"/>
    <w:rsid w:val="001772E7"/>
    <w:rsid w:val="00180946"/>
    <w:rsid w:val="00180DFF"/>
    <w:rsid w:val="00180F52"/>
    <w:rsid w:val="00181C55"/>
    <w:rsid w:val="00182464"/>
    <w:rsid w:val="00182787"/>
    <w:rsid w:val="001829AE"/>
    <w:rsid w:val="00182A32"/>
    <w:rsid w:val="0018309B"/>
    <w:rsid w:val="001830DC"/>
    <w:rsid w:val="0018404F"/>
    <w:rsid w:val="001842CF"/>
    <w:rsid w:val="00184834"/>
    <w:rsid w:val="00184A11"/>
    <w:rsid w:val="001850C1"/>
    <w:rsid w:val="0018538E"/>
    <w:rsid w:val="00186690"/>
    <w:rsid w:val="001868BC"/>
    <w:rsid w:val="001868C6"/>
    <w:rsid w:val="00186E33"/>
    <w:rsid w:val="00187873"/>
    <w:rsid w:val="00187E1A"/>
    <w:rsid w:val="0019013E"/>
    <w:rsid w:val="00190760"/>
    <w:rsid w:val="00190EC1"/>
    <w:rsid w:val="00191250"/>
    <w:rsid w:val="00191A03"/>
    <w:rsid w:val="00191A24"/>
    <w:rsid w:val="00191A77"/>
    <w:rsid w:val="00191DA6"/>
    <w:rsid w:val="001927FF"/>
    <w:rsid w:val="00192C65"/>
    <w:rsid w:val="001934E9"/>
    <w:rsid w:val="00193782"/>
    <w:rsid w:val="00193956"/>
    <w:rsid w:val="00193A02"/>
    <w:rsid w:val="00193EC4"/>
    <w:rsid w:val="0019455F"/>
    <w:rsid w:val="00194C1D"/>
    <w:rsid w:val="00195019"/>
    <w:rsid w:val="00195114"/>
    <w:rsid w:val="00195218"/>
    <w:rsid w:val="001956AC"/>
    <w:rsid w:val="001957F7"/>
    <w:rsid w:val="00195B55"/>
    <w:rsid w:val="00196199"/>
    <w:rsid w:val="001962F9"/>
    <w:rsid w:val="00196639"/>
    <w:rsid w:val="0019677D"/>
    <w:rsid w:val="00196BE6"/>
    <w:rsid w:val="00196C36"/>
    <w:rsid w:val="00197291"/>
    <w:rsid w:val="0019734C"/>
    <w:rsid w:val="00197771"/>
    <w:rsid w:val="001977E0"/>
    <w:rsid w:val="00197A73"/>
    <w:rsid w:val="00197AB7"/>
    <w:rsid w:val="00197DD9"/>
    <w:rsid w:val="001A11D5"/>
    <w:rsid w:val="001A1B22"/>
    <w:rsid w:val="001A216F"/>
    <w:rsid w:val="001A2220"/>
    <w:rsid w:val="001A2D2F"/>
    <w:rsid w:val="001A3B5B"/>
    <w:rsid w:val="001A42B0"/>
    <w:rsid w:val="001A49F8"/>
    <w:rsid w:val="001A4C6D"/>
    <w:rsid w:val="001A504D"/>
    <w:rsid w:val="001A5687"/>
    <w:rsid w:val="001A571B"/>
    <w:rsid w:val="001A5FA1"/>
    <w:rsid w:val="001A644C"/>
    <w:rsid w:val="001A68A0"/>
    <w:rsid w:val="001A6BC5"/>
    <w:rsid w:val="001A708C"/>
    <w:rsid w:val="001A74F6"/>
    <w:rsid w:val="001A7B12"/>
    <w:rsid w:val="001B0684"/>
    <w:rsid w:val="001B133A"/>
    <w:rsid w:val="001B13D5"/>
    <w:rsid w:val="001B159B"/>
    <w:rsid w:val="001B18FC"/>
    <w:rsid w:val="001B1A6A"/>
    <w:rsid w:val="001B1B98"/>
    <w:rsid w:val="001B1FF6"/>
    <w:rsid w:val="001B21E0"/>
    <w:rsid w:val="001B24CE"/>
    <w:rsid w:val="001B2E9D"/>
    <w:rsid w:val="001B3143"/>
    <w:rsid w:val="001B3307"/>
    <w:rsid w:val="001B3579"/>
    <w:rsid w:val="001B3A6E"/>
    <w:rsid w:val="001B3ACB"/>
    <w:rsid w:val="001B3B09"/>
    <w:rsid w:val="001B4057"/>
    <w:rsid w:val="001B4311"/>
    <w:rsid w:val="001B5DD9"/>
    <w:rsid w:val="001B6579"/>
    <w:rsid w:val="001B6993"/>
    <w:rsid w:val="001B6D26"/>
    <w:rsid w:val="001B7808"/>
    <w:rsid w:val="001B78A7"/>
    <w:rsid w:val="001B7A38"/>
    <w:rsid w:val="001B7C02"/>
    <w:rsid w:val="001B7F3E"/>
    <w:rsid w:val="001C0093"/>
    <w:rsid w:val="001C012A"/>
    <w:rsid w:val="001C02B0"/>
    <w:rsid w:val="001C0DA1"/>
    <w:rsid w:val="001C1430"/>
    <w:rsid w:val="001C1700"/>
    <w:rsid w:val="001C1A85"/>
    <w:rsid w:val="001C1B36"/>
    <w:rsid w:val="001C20B1"/>
    <w:rsid w:val="001C2789"/>
    <w:rsid w:val="001C2C7F"/>
    <w:rsid w:val="001C3046"/>
    <w:rsid w:val="001C3380"/>
    <w:rsid w:val="001C42B6"/>
    <w:rsid w:val="001C45FE"/>
    <w:rsid w:val="001C4B4C"/>
    <w:rsid w:val="001C4DAF"/>
    <w:rsid w:val="001C4FAA"/>
    <w:rsid w:val="001C514C"/>
    <w:rsid w:val="001C537B"/>
    <w:rsid w:val="001C562F"/>
    <w:rsid w:val="001C5B2C"/>
    <w:rsid w:val="001C7535"/>
    <w:rsid w:val="001C7756"/>
    <w:rsid w:val="001C788F"/>
    <w:rsid w:val="001C79BE"/>
    <w:rsid w:val="001D02A4"/>
    <w:rsid w:val="001D0654"/>
    <w:rsid w:val="001D0873"/>
    <w:rsid w:val="001D0AA5"/>
    <w:rsid w:val="001D13B4"/>
    <w:rsid w:val="001D1813"/>
    <w:rsid w:val="001D1BCD"/>
    <w:rsid w:val="001D262E"/>
    <w:rsid w:val="001D2C3B"/>
    <w:rsid w:val="001D3E98"/>
    <w:rsid w:val="001D408D"/>
    <w:rsid w:val="001D41ED"/>
    <w:rsid w:val="001D53F4"/>
    <w:rsid w:val="001D545D"/>
    <w:rsid w:val="001D583D"/>
    <w:rsid w:val="001D5AD5"/>
    <w:rsid w:val="001D5F6A"/>
    <w:rsid w:val="001D61C8"/>
    <w:rsid w:val="001D644C"/>
    <w:rsid w:val="001D67C5"/>
    <w:rsid w:val="001D6DE1"/>
    <w:rsid w:val="001E0702"/>
    <w:rsid w:val="001E0E83"/>
    <w:rsid w:val="001E1293"/>
    <w:rsid w:val="001E1A83"/>
    <w:rsid w:val="001E20E5"/>
    <w:rsid w:val="001E22EB"/>
    <w:rsid w:val="001E2301"/>
    <w:rsid w:val="001E2448"/>
    <w:rsid w:val="001E28AF"/>
    <w:rsid w:val="001E29BA"/>
    <w:rsid w:val="001E2EF5"/>
    <w:rsid w:val="001E2FB2"/>
    <w:rsid w:val="001E333F"/>
    <w:rsid w:val="001E3514"/>
    <w:rsid w:val="001E37B3"/>
    <w:rsid w:val="001E3832"/>
    <w:rsid w:val="001E3BD7"/>
    <w:rsid w:val="001E44EB"/>
    <w:rsid w:val="001E499A"/>
    <w:rsid w:val="001E4A09"/>
    <w:rsid w:val="001E7007"/>
    <w:rsid w:val="001E700D"/>
    <w:rsid w:val="001E788E"/>
    <w:rsid w:val="001E7A1B"/>
    <w:rsid w:val="001E7CB8"/>
    <w:rsid w:val="001E7DA1"/>
    <w:rsid w:val="001F11D4"/>
    <w:rsid w:val="001F16DD"/>
    <w:rsid w:val="001F1A1F"/>
    <w:rsid w:val="001F1FD7"/>
    <w:rsid w:val="001F2115"/>
    <w:rsid w:val="001F27B8"/>
    <w:rsid w:val="001F2AB5"/>
    <w:rsid w:val="001F2B2A"/>
    <w:rsid w:val="001F359C"/>
    <w:rsid w:val="001F3D5D"/>
    <w:rsid w:val="001F427F"/>
    <w:rsid w:val="001F44B8"/>
    <w:rsid w:val="001F51A3"/>
    <w:rsid w:val="001F53B5"/>
    <w:rsid w:val="001F5E1A"/>
    <w:rsid w:val="001F6039"/>
    <w:rsid w:val="001F659A"/>
    <w:rsid w:val="001F6B46"/>
    <w:rsid w:val="001F6CBD"/>
    <w:rsid w:val="001F7209"/>
    <w:rsid w:val="001F72AA"/>
    <w:rsid w:val="001F7D13"/>
    <w:rsid w:val="001F7FF0"/>
    <w:rsid w:val="0020039A"/>
    <w:rsid w:val="00200D5E"/>
    <w:rsid w:val="00200E20"/>
    <w:rsid w:val="00200EDE"/>
    <w:rsid w:val="0020156F"/>
    <w:rsid w:val="00201D25"/>
    <w:rsid w:val="002022DF"/>
    <w:rsid w:val="0020247B"/>
    <w:rsid w:val="00202494"/>
    <w:rsid w:val="002026E8"/>
    <w:rsid w:val="00202B1E"/>
    <w:rsid w:val="00202D0A"/>
    <w:rsid w:val="002030A8"/>
    <w:rsid w:val="0020333A"/>
    <w:rsid w:val="00203623"/>
    <w:rsid w:val="0020385B"/>
    <w:rsid w:val="00203A5C"/>
    <w:rsid w:val="00203E41"/>
    <w:rsid w:val="00203FB2"/>
    <w:rsid w:val="0020432B"/>
    <w:rsid w:val="0020459D"/>
    <w:rsid w:val="002048B7"/>
    <w:rsid w:val="00204FC1"/>
    <w:rsid w:val="00205ED6"/>
    <w:rsid w:val="00206276"/>
    <w:rsid w:val="00206320"/>
    <w:rsid w:val="00206C75"/>
    <w:rsid w:val="00206DE8"/>
    <w:rsid w:val="00207A82"/>
    <w:rsid w:val="00207EA9"/>
    <w:rsid w:val="00210826"/>
    <w:rsid w:val="00210C18"/>
    <w:rsid w:val="002124A7"/>
    <w:rsid w:val="00212F35"/>
    <w:rsid w:val="00213310"/>
    <w:rsid w:val="002134F1"/>
    <w:rsid w:val="00213911"/>
    <w:rsid w:val="00213FBE"/>
    <w:rsid w:val="0021450D"/>
    <w:rsid w:val="00214760"/>
    <w:rsid w:val="002150AB"/>
    <w:rsid w:val="00215121"/>
    <w:rsid w:val="00215290"/>
    <w:rsid w:val="00215663"/>
    <w:rsid w:val="002158B2"/>
    <w:rsid w:val="00215E1C"/>
    <w:rsid w:val="002164EA"/>
    <w:rsid w:val="00216615"/>
    <w:rsid w:val="002166B7"/>
    <w:rsid w:val="0021685F"/>
    <w:rsid w:val="00216A04"/>
    <w:rsid w:val="00216B32"/>
    <w:rsid w:val="00216DD9"/>
    <w:rsid w:val="00216E9E"/>
    <w:rsid w:val="002170A4"/>
    <w:rsid w:val="00217156"/>
    <w:rsid w:val="002176D2"/>
    <w:rsid w:val="002177A3"/>
    <w:rsid w:val="00217902"/>
    <w:rsid w:val="00217E28"/>
    <w:rsid w:val="0022006C"/>
    <w:rsid w:val="002203D7"/>
    <w:rsid w:val="0022054E"/>
    <w:rsid w:val="00220C46"/>
    <w:rsid w:val="00221CCC"/>
    <w:rsid w:val="00221D93"/>
    <w:rsid w:val="00221DCC"/>
    <w:rsid w:val="002221FD"/>
    <w:rsid w:val="00222655"/>
    <w:rsid w:val="00222C81"/>
    <w:rsid w:val="00222F3F"/>
    <w:rsid w:val="00223A5D"/>
    <w:rsid w:val="00223ECC"/>
    <w:rsid w:val="002248B2"/>
    <w:rsid w:val="0022493F"/>
    <w:rsid w:val="002249FB"/>
    <w:rsid w:val="00224A44"/>
    <w:rsid w:val="00225442"/>
    <w:rsid w:val="00225933"/>
    <w:rsid w:val="00225B89"/>
    <w:rsid w:val="00225C77"/>
    <w:rsid w:val="00225CC7"/>
    <w:rsid w:val="00226389"/>
    <w:rsid w:val="0022732E"/>
    <w:rsid w:val="00227ADC"/>
    <w:rsid w:val="00227CA6"/>
    <w:rsid w:val="00230404"/>
    <w:rsid w:val="002309A3"/>
    <w:rsid w:val="00230CC5"/>
    <w:rsid w:val="00230D9A"/>
    <w:rsid w:val="00230F35"/>
    <w:rsid w:val="00230FBF"/>
    <w:rsid w:val="002310A5"/>
    <w:rsid w:val="002320F8"/>
    <w:rsid w:val="002321AA"/>
    <w:rsid w:val="00232283"/>
    <w:rsid w:val="002328BC"/>
    <w:rsid w:val="00232AA1"/>
    <w:rsid w:val="00233DD9"/>
    <w:rsid w:val="00233F57"/>
    <w:rsid w:val="0023476C"/>
    <w:rsid w:val="002349E4"/>
    <w:rsid w:val="00235196"/>
    <w:rsid w:val="002354CA"/>
    <w:rsid w:val="0023578C"/>
    <w:rsid w:val="00235AB4"/>
    <w:rsid w:val="00235B9A"/>
    <w:rsid w:val="002360BE"/>
    <w:rsid w:val="0023627D"/>
    <w:rsid w:val="00236848"/>
    <w:rsid w:val="00236C8A"/>
    <w:rsid w:val="00237060"/>
    <w:rsid w:val="002370F7"/>
    <w:rsid w:val="00237772"/>
    <w:rsid w:val="002377ED"/>
    <w:rsid w:val="00237CBF"/>
    <w:rsid w:val="002401F4"/>
    <w:rsid w:val="00240963"/>
    <w:rsid w:val="002412C1"/>
    <w:rsid w:val="00241793"/>
    <w:rsid w:val="00241D21"/>
    <w:rsid w:val="00241EAF"/>
    <w:rsid w:val="002438BC"/>
    <w:rsid w:val="002439B2"/>
    <w:rsid w:val="00243CD1"/>
    <w:rsid w:val="00244700"/>
    <w:rsid w:val="00244911"/>
    <w:rsid w:val="0024493D"/>
    <w:rsid w:val="0024526D"/>
    <w:rsid w:val="00245E69"/>
    <w:rsid w:val="00245FF6"/>
    <w:rsid w:val="0024639D"/>
    <w:rsid w:val="00246BDD"/>
    <w:rsid w:val="00246F13"/>
    <w:rsid w:val="002470CE"/>
    <w:rsid w:val="00247CF4"/>
    <w:rsid w:val="00250400"/>
    <w:rsid w:val="002508AE"/>
    <w:rsid w:val="00250C2E"/>
    <w:rsid w:val="00250CD7"/>
    <w:rsid w:val="002510B1"/>
    <w:rsid w:val="0025131D"/>
    <w:rsid w:val="0025180E"/>
    <w:rsid w:val="002518EA"/>
    <w:rsid w:val="00251C06"/>
    <w:rsid w:val="002520BF"/>
    <w:rsid w:val="00252A5C"/>
    <w:rsid w:val="0025307E"/>
    <w:rsid w:val="002534D3"/>
    <w:rsid w:val="00253590"/>
    <w:rsid w:val="0025416F"/>
    <w:rsid w:val="0025436A"/>
    <w:rsid w:val="00254C7D"/>
    <w:rsid w:val="00254C80"/>
    <w:rsid w:val="00255289"/>
    <w:rsid w:val="00255638"/>
    <w:rsid w:val="00255641"/>
    <w:rsid w:val="002558B7"/>
    <w:rsid w:val="0025631B"/>
    <w:rsid w:val="00256491"/>
    <w:rsid w:val="00256C40"/>
    <w:rsid w:val="00256CE8"/>
    <w:rsid w:val="00256D20"/>
    <w:rsid w:val="00257A28"/>
    <w:rsid w:val="002607CF"/>
    <w:rsid w:val="002609BD"/>
    <w:rsid w:val="00260A60"/>
    <w:rsid w:val="002617E0"/>
    <w:rsid w:val="00261826"/>
    <w:rsid w:val="002619E9"/>
    <w:rsid w:val="00261C5F"/>
    <w:rsid w:val="00261D3D"/>
    <w:rsid w:val="00261F85"/>
    <w:rsid w:val="00262055"/>
    <w:rsid w:val="00262BFE"/>
    <w:rsid w:val="00262D12"/>
    <w:rsid w:val="0026318A"/>
    <w:rsid w:val="00263485"/>
    <w:rsid w:val="00263722"/>
    <w:rsid w:val="002637BB"/>
    <w:rsid w:val="00263B08"/>
    <w:rsid w:val="00263EFA"/>
    <w:rsid w:val="00263F70"/>
    <w:rsid w:val="002650FD"/>
    <w:rsid w:val="00266284"/>
    <w:rsid w:val="00266410"/>
    <w:rsid w:val="002664A0"/>
    <w:rsid w:val="00266762"/>
    <w:rsid w:val="00266E50"/>
    <w:rsid w:val="00267025"/>
    <w:rsid w:val="00267B16"/>
    <w:rsid w:val="002713D0"/>
    <w:rsid w:val="00272FB5"/>
    <w:rsid w:val="00273311"/>
    <w:rsid w:val="00273337"/>
    <w:rsid w:val="00273362"/>
    <w:rsid w:val="002736F1"/>
    <w:rsid w:val="00274378"/>
    <w:rsid w:val="0027485F"/>
    <w:rsid w:val="00274C1A"/>
    <w:rsid w:val="00274D96"/>
    <w:rsid w:val="00275141"/>
    <w:rsid w:val="002753FB"/>
    <w:rsid w:val="002758A2"/>
    <w:rsid w:val="00276639"/>
    <w:rsid w:val="00276A24"/>
    <w:rsid w:val="00276B65"/>
    <w:rsid w:val="00276E7C"/>
    <w:rsid w:val="00276FEA"/>
    <w:rsid w:val="00277658"/>
    <w:rsid w:val="00277F7A"/>
    <w:rsid w:val="002800E7"/>
    <w:rsid w:val="00280262"/>
    <w:rsid w:val="00280A37"/>
    <w:rsid w:val="00280AFD"/>
    <w:rsid w:val="00280E6F"/>
    <w:rsid w:val="00281330"/>
    <w:rsid w:val="00281E76"/>
    <w:rsid w:val="002823E4"/>
    <w:rsid w:val="002827FF"/>
    <w:rsid w:val="00282A21"/>
    <w:rsid w:val="002833B9"/>
    <w:rsid w:val="002833C1"/>
    <w:rsid w:val="0028434A"/>
    <w:rsid w:val="00284D94"/>
    <w:rsid w:val="00285647"/>
    <w:rsid w:val="00285729"/>
    <w:rsid w:val="00285B87"/>
    <w:rsid w:val="00286406"/>
    <w:rsid w:val="00286469"/>
    <w:rsid w:val="00286937"/>
    <w:rsid w:val="0028717C"/>
    <w:rsid w:val="0028742C"/>
    <w:rsid w:val="0028767E"/>
    <w:rsid w:val="00287D89"/>
    <w:rsid w:val="00287FD9"/>
    <w:rsid w:val="00290F31"/>
    <w:rsid w:val="002910BA"/>
    <w:rsid w:val="002915C5"/>
    <w:rsid w:val="002917A0"/>
    <w:rsid w:val="002917BA"/>
    <w:rsid w:val="00291D63"/>
    <w:rsid w:val="002922F4"/>
    <w:rsid w:val="00292A49"/>
    <w:rsid w:val="00292B94"/>
    <w:rsid w:val="00292FC9"/>
    <w:rsid w:val="00293572"/>
    <w:rsid w:val="00293C1C"/>
    <w:rsid w:val="002943B5"/>
    <w:rsid w:val="00294A9A"/>
    <w:rsid w:val="00294EC5"/>
    <w:rsid w:val="002957A9"/>
    <w:rsid w:val="00295F71"/>
    <w:rsid w:val="002964DE"/>
    <w:rsid w:val="002966F9"/>
    <w:rsid w:val="00296C8F"/>
    <w:rsid w:val="00296F3D"/>
    <w:rsid w:val="00296F90"/>
    <w:rsid w:val="00297119"/>
    <w:rsid w:val="00297BB6"/>
    <w:rsid w:val="00297EF7"/>
    <w:rsid w:val="002A082D"/>
    <w:rsid w:val="002A096D"/>
    <w:rsid w:val="002A115C"/>
    <w:rsid w:val="002A126C"/>
    <w:rsid w:val="002A15AD"/>
    <w:rsid w:val="002A18F5"/>
    <w:rsid w:val="002A1BE5"/>
    <w:rsid w:val="002A1E8B"/>
    <w:rsid w:val="002A1FD1"/>
    <w:rsid w:val="002A2543"/>
    <w:rsid w:val="002A2DAF"/>
    <w:rsid w:val="002A35A0"/>
    <w:rsid w:val="002A3DDE"/>
    <w:rsid w:val="002A437F"/>
    <w:rsid w:val="002A48C8"/>
    <w:rsid w:val="002A5030"/>
    <w:rsid w:val="002A5852"/>
    <w:rsid w:val="002A5ECE"/>
    <w:rsid w:val="002A68CF"/>
    <w:rsid w:val="002A68EB"/>
    <w:rsid w:val="002A6D54"/>
    <w:rsid w:val="002A7121"/>
    <w:rsid w:val="002A731E"/>
    <w:rsid w:val="002B059C"/>
    <w:rsid w:val="002B05F3"/>
    <w:rsid w:val="002B1442"/>
    <w:rsid w:val="002B15F0"/>
    <w:rsid w:val="002B1714"/>
    <w:rsid w:val="002B1E0C"/>
    <w:rsid w:val="002B2179"/>
    <w:rsid w:val="002B2A20"/>
    <w:rsid w:val="002B2CAA"/>
    <w:rsid w:val="002B2D31"/>
    <w:rsid w:val="002B2D3A"/>
    <w:rsid w:val="002B2D3B"/>
    <w:rsid w:val="002B39C6"/>
    <w:rsid w:val="002B3EA9"/>
    <w:rsid w:val="002B4931"/>
    <w:rsid w:val="002B4F16"/>
    <w:rsid w:val="002B53C4"/>
    <w:rsid w:val="002B5BF8"/>
    <w:rsid w:val="002B632A"/>
    <w:rsid w:val="002B6BA1"/>
    <w:rsid w:val="002B7E3F"/>
    <w:rsid w:val="002C0AFB"/>
    <w:rsid w:val="002C0C8F"/>
    <w:rsid w:val="002C10A8"/>
    <w:rsid w:val="002C14AE"/>
    <w:rsid w:val="002C155F"/>
    <w:rsid w:val="002C1D0E"/>
    <w:rsid w:val="002C1D43"/>
    <w:rsid w:val="002C2388"/>
    <w:rsid w:val="002C2534"/>
    <w:rsid w:val="002C2A27"/>
    <w:rsid w:val="002C2A63"/>
    <w:rsid w:val="002C2AD6"/>
    <w:rsid w:val="002C3025"/>
    <w:rsid w:val="002C3A34"/>
    <w:rsid w:val="002C3A95"/>
    <w:rsid w:val="002C44F4"/>
    <w:rsid w:val="002C4879"/>
    <w:rsid w:val="002C490F"/>
    <w:rsid w:val="002C4AAF"/>
    <w:rsid w:val="002C5910"/>
    <w:rsid w:val="002C59FB"/>
    <w:rsid w:val="002C5C46"/>
    <w:rsid w:val="002C5CFF"/>
    <w:rsid w:val="002C5F41"/>
    <w:rsid w:val="002C61F3"/>
    <w:rsid w:val="002C69EC"/>
    <w:rsid w:val="002C6BF4"/>
    <w:rsid w:val="002C7399"/>
    <w:rsid w:val="002C7978"/>
    <w:rsid w:val="002C7A07"/>
    <w:rsid w:val="002C7A1C"/>
    <w:rsid w:val="002C7E36"/>
    <w:rsid w:val="002D0151"/>
    <w:rsid w:val="002D05A2"/>
    <w:rsid w:val="002D0951"/>
    <w:rsid w:val="002D099C"/>
    <w:rsid w:val="002D0A9E"/>
    <w:rsid w:val="002D0B95"/>
    <w:rsid w:val="002D101E"/>
    <w:rsid w:val="002D123B"/>
    <w:rsid w:val="002D155F"/>
    <w:rsid w:val="002D1913"/>
    <w:rsid w:val="002D1DFD"/>
    <w:rsid w:val="002D1F7A"/>
    <w:rsid w:val="002D2043"/>
    <w:rsid w:val="002D20DC"/>
    <w:rsid w:val="002D2756"/>
    <w:rsid w:val="002D3A86"/>
    <w:rsid w:val="002D3BAB"/>
    <w:rsid w:val="002D3E35"/>
    <w:rsid w:val="002D42F6"/>
    <w:rsid w:val="002D4548"/>
    <w:rsid w:val="002D5261"/>
    <w:rsid w:val="002D5473"/>
    <w:rsid w:val="002D5668"/>
    <w:rsid w:val="002D58B4"/>
    <w:rsid w:val="002D5B2B"/>
    <w:rsid w:val="002D631F"/>
    <w:rsid w:val="002D6462"/>
    <w:rsid w:val="002D69C8"/>
    <w:rsid w:val="002D7073"/>
    <w:rsid w:val="002D7AFD"/>
    <w:rsid w:val="002E0282"/>
    <w:rsid w:val="002E0948"/>
    <w:rsid w:val="002E09FB"/>
    <w:rsid w:val="002E0E68"/>
    <w:rsid w:val="002E1079"/>
    <w:rsid w:val="002E1458"/>
    <w:rsid w:val="002E163D"/>
    <w:rsid w:val="002E18DB"/>
    <w:rsid w:val="002E2158"/>
    <w:rsid w:val="002E22EB"/>
    <w:rsid w:val="002E2415"/>
    <w:rsid w:val="002E2A33"/>
    <w:rsid w:val="002E302C"/>
    <w:rsid w:val="002E3103"/>
    <w:rsid w:val="002E4D59"/>
    <w:rsid w:val="002E542B"/>
    <w:rsid w:val="002E5621"/>
    <w:rsid w:val="002E5DC0"/>
    <w:rsid w:val="002E6004"/>
    <w:rsid w:val="002E6583"/>
    <w:rsid w:val="002E668E"/>
    <w:rsid w:val="002E6F71"/>
    <w:rsid w:val="002E7391"/>
    <w:rsid w:val="002E77A3"/>
    <w:rsid w:val="002E7809"/>
    <w:rsid w:val="002F02F1"/>
    <w:rsid w:val="002F06C2"/>
    <w:rsid w:val="002F0D0F"/>
    <w:rsid w:val="002F1412"/>
    <w:rsid w:val="002F1417"/>
    <w:rsid w:val="002F2390"/>
    <w:rsid w:val="002F2E7D"/>
    <w:rsid w:val="002F2F9F"/>
    <w:rsid w:val="002F3235"/>
    <w:rsid w:val="002F39F2"/>
    <w:rsid w:val="002F4045"/>
    <w:rsid w:val="002F432F"/>
    <w:rsid w:val="002F45F6"/>
    <w:rsid w:val="002F4604"/>
    <w:rsid w:val="002F4EAD"/>
    <w:rsid w:val="002F53D6"/>
    <w:rsid w:val="002F5599"/>
    <w:rsid w:val="002F5886"/>
    <w:rsid w:val="002F6416"/>
    <w:rsid w:val="002F6523"/>
    <w:rsid w:val="002F67C7"/>
    <w:rsid w:val="002F71DB"/>
    <w:rsid w:val="002F7916"/>
    <w:rsid w:val="002F7B36"/>
    <w:rsid w:val="002F7E6D"/>
    <w:rsid w:val="00300295"/>
    <w:rsid w:val="00300BFD"/>
    <w:rsid w:val="00301D2E"/>
    <w:rsid w:val="003024BA"/>
    <w:rsid w:val="00302748"/>
    <w:rsid w:val="00302948"/>
    <w:rsid w:val="00302BCA"/>
    <w:rsid w:val="003030DF"/>
    <w:rsid w:val="00304756"/>
    <w:rsid w:val="00305BEA"/>
    <w:rsid w:val="0030601D"/>
    <w:rsid w:val="00306289"/>
    <w:rsid w:val="003066B5"/>
    <w:rsid w:val="00306791"/>
    <w:rsid w:val="0030680A"/>
    <w:rsid w:val="00307232"/>
    <w:rsid w:val="00307E87"/>
    <w:rsid w:val="0031028D"/>
    <w:rsid w:val="00310773"/>
    <w:rsid w:val="00310A2E"/>
    <w:rsid w:val="00310DB6"/>
    <w:rsid w:val="00310E65"/>
    <w:rsid w:val="003117CF"/>
    <w:rsid w:val="003118C7"/>
    <w:rsid w:val="00311947"/>
    <w:rsid w:val="00311C1A"/>
    <w:rsid w:val="003124D0"/>
    <w:rsid w:val="003125D5"/>
    <w:rsid w:val="003129D6"/>
    <w:rsid w:val="00313019"/>
    <w:rsid w:val="003131E7"/>
    <w:rsid w:val="003134C4"/>
    <w:rsid w:val="00313725"/>
    <w:rsid w:val="00313F26"/>
    <w:rsid w:val="00314C18"/>
    <w:rsid w:val="00314C45"/>
    <w:rsid w:val="0031539C"/>
    <w:rsid w:val="003179B3"/>
    <w:rsid w:val="00317B0F"/>
    <w:rsid w:val="003208D9"/>
    <w:rsid w:val="0032099F"/>
    <w:rsid w:val="00320CE0"/>
    <w:rsid w:val="00320F15"/>
    <w:rsid w:val="00321107"/>
    <w:rsid w:val="003230C3"/>
    <w:rsid w:val="00323916"/>
    <w:rsid w:val="00323C02"/>
    <w:rsid w:val="0032445A"/>
    <w:rsid w:val="00324765"/>
    <w:rsid w:val="00324BE6"/>
    <w:rsid w:val="00324D11"/>
    <w:rsid w:val="003252DA"/>
    <w:rsid w:val="003262F1"/>
    <w:rsid w:val="00326ACC"/>
    <w:rsid w:val="00326AF4"/>
    <w:rsid w:val="00326B0C"/>
    <w:rsid w:val="00326B3B"/>
    <w:rsid w:val="00326C78"/>
    <w:rsid w:val="00326DE0"/>
    <w:rsid w:val="00327657"/>
    <w:rsid w:val="00327B5C"/>
    <w:rsid w:val="00327F16"/>
    <w:rsid w:val="00330100"/>
    <w:rsid w:val="00330863"/>
    <w:rsid w:val="00330AD7"/>
    <w:rsid w:val="003312AC"/>
    <w:rsid w:val="00331422"/>
    <w:rsid w:val="00333297"/>
    <w:rsid w:val="003333E0"/>
    <w:rsid w:val="003334A3"/>
    <w:rsid w:val="003339DE"/>
    <w:rsid w:val="00333F34"/>
    <w:rsid w:val="003348D4"/>
    <w:rsid w:val="0033544D"/>
    <w:rsid w:val="003355AB"/>
    <w:rsid w:val="00335F07"/>
    <w:rsid w:val="003363A0"/>
    <w:rsid w:val="003364A8"/>
    <w:rsid w:val="003365D0"/>
    <w:rsid w:val="0033669C"/>
    <w:rsid w:val="003369B6"/>
    <w:rsid w:val="00336B96"/>
    <w:rsid w:val="00336BFF"/>
    <w:rsid w:val="00336D42"/>
    <w:rsid w:val="0033755F"/>
    <w:rsid w:val="00337F08"/>
    <w:rsid w:val="00340279"/>
    <w:rsid w:val="00340328"/>
    <w:rsid w:val="0034058F"/>
    <w:rsid w:val="003407E7"/>
    <w:rsid w:val="0034105D"/>
    <w:rsid w:val="003414BF"/>
    <w:rsid w:val="0034154A"/>
    <w:rsid w:val="00341FBB"/>
    <w:rsid w:val="00342666"/>
    <w:rsid w:val="00342AAB"/>
    <w:rsid w:val="00342C58"/>
    <w:rsid w:val="00342DDE"/>
    <w:rsid w:val="00343106"/>
    <w:rsid w:val="003433CB"/>
    <w:rsid w:val="003433E5"/>
    <w:rsid w:val="00343A52"/>
    <w:rsid w:val="00344320"/>
    <w:rsid w:val="00344C2C"/>
    <w:rsid w:val="0034545B"/>
    <w:rsid w:val="00345BD9"/>
    <w:rsid w:val="00345E85"/>
    <w:rsid w:val="00346EAE"/>
    <w:rsid w:val="00347602"/>
    <w:rsid w:val="00350287"/>
    <w:rsid w:val="0035083F"/>
    <w:rsid w:val="003511C9"/>
    <w:rsid w:val="003514BD"/>
    <w:rsid w:val="00351C95"/>
    <w:rsid w:val="00351D7B"/>
    <w:rsid w:val="003525F5"/>
    <w:rsid w:val="003527BF"/>
    <w:rsid w:val="00352DC9"/>
    <w:rsid w:val="003530B0"/>
    <w:rsid w:val="00353382"/>
    <w:rsid w:val="003533CD"/>
    <w:rsid w:val="003536FD"/>
    <w:rsid w:val="00353971"/>
    <w:rsid w:val="00353DA6"/>
    <w:rsid w:val="00354C52"/>
    <w:rsid w:val="00354FD6"/>
    <w:rsid w:val="00355252"/>
    <w:rsid w:val="00355F94"/>
    <w:rsid w:val="00356040"/>
    <w:rsid w:val="003564EE"/>
    <w:rsid w:val="00356D10"/>
    <w:rsid w:val="00356D7F"/>
    <w:rsid w:val="00357388"/>
    <w:rsid w:val="00357ACC"/>
    <w:rsid w:val="00357C13"/>
    <w:rsid w:val="00357EA7"/>
    <w:rsid w:val="00360024"/>
    <w:rsid w:val="00360927"/>
    <w:rsid w:val="00360F50"/>
    <w:rsid w:val="00360F92"/>
    <w:rsid w:val="0036141E"/>
    <w:rsid w:val="0036149C"/>
    <w:rsid w:val="00361798"/>
    <w:rsid w:val="00361EA5"/>
    <w:rsid w:val="003625C5"/>
    <w:rsid w:val="0036287F"/>
    <w:rsid w:val="00362ADD"/>
    <w:rsid w:val="0036348F"/>
    <w:rsid w:val="003635D8"/>
    <w:rsid w:val="003637E0"/>
    <w:rsid w:val="003638E7"/>
    <w:rsid w:val="0036398C"/>
    <w:rsid w:val="00363C4E"/>
    <w:rsid w:val="00363F2B"/>
    <w:rsid w:val="00363F4B"/>
    <w:rsid w:val="0036406B"/>
    <w:rsid w:val="00364529"/>
    <w:rsid w:val="0036470B"/>
    <w:rsid w:val="00364760"/>
    <w:rsid w:val="00364AF5"/>
    <w:rsid w:val="00364EBB"/>
    <w:rsid w:val="003650D6"/>
    <w:rsid w:val="0036526B"/>
    <w:rsid w:val="003652B3"/>
    <w:rsid w:val="00365828"/>
    <w:rsid w:val="00365B1C"/>
    <w:rsid w:val="00365B44"/>
    <w:rsid w:val="00365EFA"/>
    <w:rsid w:val="00365F6D"/>
    <w:rsid w:val="00366118"/>
    <w:rsid w:val="00366DA0"/>
    <w:rsid w:val="00366EEB"/>
    <w:rsid w:val="00366F42"/>
    <w:rsid w:val="00367387"/>
    <w:rsid w:val="0036781D"/>
    <w:rsid w:val="00367EF4"/>
    <w:rsid w:val="0037001D"/>
    <w:rsid w:val="003702DC"/>
    <w:rsid w:val="0037045E"/>
    <w:rsid w:val="003706FB"/>
    <w:rsid w:val="00370701"/>
    <w:rsid w:val="0037075A"/>
    <w:rsid w:val="0037132E"/>
    <w:rsid w:val="003713A1"/>
    <w:rsid w:val="0037185E"/>
    <w:rsid w:val="003724C2"/>
    <w:rsid w:val="00372CA8"/>
    <w:rsid w:val="00373637"/>
    <w:rsid w:val="003745BD"/>
    <w:rsid w:val="00374696"/>
    <w:rsid w:val="00374740"/>
    <w:rsid w:val="00375A8D"/>
    <w:rsid w:val="00375D34"/>
    <w:rsid w:val="003761CA"/>
    <w:rsid w:val="003763E4"/>
    <w:rsid w:val="00376A28"/>
    <w:rsid w:val="0037711E"/>
    <w:rsid w:val="00377779"/>
    <w:rsid w:val="003804D7"/>
    <w:rsid w:val="00380B10"/>
    <w:rsid w:val="003811D6"/>
    <w:rsid w:val="00381209"/>
    <w:rsid w:val="003816A7"/>
    <w:rsid w:val="00381785"/>
    <w:rsid w:val="0038192C"/>
    <w:rsid w:val="00381A8C"/>
    <w:rsid w:val="00381EA9"/>
    <w:rsid w:val="00381FC6"/>
    <w:rsid w:val="003825FD"/>
    <w:rsid w:val="00382D2D"/>
    <w:rsid w:val="003837A7"/>
    <w:rsid w:val="003838A3"/>
    <w:rsid w:val="0038394A"/>
    <w:rsid w:val="00383BDC"/>
    <w:rsid w:val="00383CA6"/>
    <w:rsid w:val="00383E06"/>
    <w:rsid w:val="003845CF"/>
    <w:rsid w:val="00384D5F"/>
    <w:rsid w:val="00384D63"/>
    <w:rsid w:val="00384D88"/>
    <w:rsid w:val="003852EA"/>
    <w:rsid w:val="00386008"/>
    <w:rsid w:val="00386645"/>
    <w:rsid w:val="0038685F"/>
    <w:rsid w:val="00386A98"/>
    <w:rsid w:val="00386EDA"/>
    <w:rsid w:val="00387F15"/>
    <w:rsid w:val="0039051B"/>
    <w:rsid w:val="003908B2"/>
    <w:rsid w:val="00390F7F"/>
    <w:rsid w:val="0039110A"/>
    <w:rsid w:val="0039133F"/>
    <w:rsid w:val="00392602"/>
    <w:rsid w:val="00392D2A"/>
    <w:rsid w:val="00392E8A"/>
    <w:rsid w:val="00393352"/>
    <w:rsid w:val="00393D94"/>
    <w:rsid w:val="0039417B"/>
    <w:rsid w:val="0039430B"/>
    <w:rsid w:val="003944A8"/>
    <w:rsid w:val="00394986"/>
    <w:rsid w:val="00394F27"/>
    <w:rsid w:val="003953ED"/>
    <w:rsid w:val="003955C1"/>
    <w:rsid w:val="00395617"/>
    <w:rsid w:val="0039565E"/>
    <w:rsid w:val="00395A31"/>
    <w:rsid w:val="00395C44"/>
    <w:rsid w:val="00396C4E"/>
    <w:rsid w:val="00396E23"/>
    <w:rsid w:val="00396E74"/>
    <w:rsid w:val="00397487"/>
    <w:rsid w:val="003A0CF2"/>
    <w:rsid w:val="003A0D27"/>
    <w:rsid w:val="003A0D64"/>
    <w:rsid w:val="003A103A"/>
    <w:rsid w:val="003A10E0"/>
    <w:rsid w:val="003A1309"/>
    <w:rsid w:val="003A1318"/>
    <w:rsid w:val="003A1A47"/>
    <w:rsid w:val="003A1D17"/>
    <w:rsid w:val="003A1D66"/>
    <w:rsid w:val="003A2597"/>
    <w:rsid w:val="003A2CA8"/>
    <w:rsid w:val="003A2D37"/>
    <w:rsid w:val="003A30F4"/>
    <w:rsid w:val="003A3452"/>
    <w:rsid w:val="003A3A26"/>
    <w:rsid w:val="003A3E7F"/>
    <w:rsid w:val="003A3EE5"/>
    <w:rsid w:val="003A41E6"/>
    <w:rsid w:val="003A4727"/>
    <w:rsid w:val="003A4B37"/>
    <w:rsid w:val="003A5E06"/>
    <w:rsid w:val="003A6BD7"/>
    <w:rsid w:val="003A70E5"/>
    <w:rsid w:val="003A73BB"/>
    <w:rsid w:val="003A775C"/>
    <w:rsid w:val="003A7D62"/>
    <w:rsid w:val="003B0588"/>
    <w:rsid w:val="003B0DCB"/>
    <w:rsid w:val="003B1093"/>
    <w:rsid w:val="003B1495"/>
    <w:rsid w:val="003B15C7"/>
    <w:rsid w:val="003B181E"/>
    <w:rsid w:val="003B1A7F"/>
    <w:rsid w:val="003B1CA7"/>
    <w:rsid w:val="003B1D75"/>
    <w:rsid w:val="003B1F3F"/>
    <w:rsid w:val="003B2C27"/>
    <w:rsid w:val="003B3DE8"/>
    <w:rsid w:val="003B3F1E"/>
    <w:rsid w:val="003B3FF9"/>
    <w:rsid w:val="003B49BA"/>
    <w:rsid w:val="003B4DA7"/>
    <w:rsid w:val="003B4DA9"/>
    <w:rsid w:val="003B5004"/>
    <w:rsid w:val="003B52F1"/>
    <w:rsid w:val="003B54BF"/>
    <w:rsid w:val="003B57FB"/>
    <w:rsid w:val="003B59C9"/>
    <w:rsid w:val="003B5C2F"/>
    <w:rsid w:val="003B5C54"/>
    <w:rsid w:val="003B5EA7"/>
    <w:rsid w:val="003B60B8"/>
    <w:rsid w:val="003B6564"/>
    <w:rsid w:val="003B67AF"/>
    <w:rsid w:val="003B70C5"/>
    <w:rsid w:val="003B729F"/>
    <w:rsid w:val="003B748B"/>
    <w:rsid w:val="003B7B60"/>
    <w:rsid w:val="003B7B71"/>
    <w:rsid w:val="003C0535"/>
    <w:rsid w:val="003C0B4E"/>
    <w:rsid w:val="003C0C74"/>
    <w:rsid w:val="003C1642"/>
    <w:rsid w:val="003C1BF9"/>
    <w:rsid w:val="003C1CA8"/>
    <w:rsid w:val="003C1DAD"/>
    <w:rsid w:val="003C1EAE"/>
    <w:rsid w:val="003C2314"/>
    <w:rsid w:val="003C2943"/>
    <w:rsid w:val="003C2992"/>
    <w:rsid w:val="003C332E"/>
    <w:rsid w:val="003C3547"/>
    <w:rsid w:val="003C39D8"/>
    <w:rsid w:val="003C3C38"/>
    <w:rsid w:val="003C440F"/>
    <w:rsid w:val="003C48AF"/>
    <w:rsid w:val="003C5280"/>
    <w:rsid w:val="003C5515"/>
    <w:rsid w:val="003C5766"/>
    <w:rsid w:val="003C5EE8"/>
    <w:rsid w:val="003C6BC7"/>
    <w:rsid w:val="003C6D74"/>
    <w:rsid w:val="003C7345"/>
    <w:rsid w:val="003C7365"/>
    <w:rsid w:val="003C7979"/>
    <w:rsid w:val="003C7B19"/>
    <w:rsid w:val="003D06B9"/>
    <w:rsid w:val="003D0E54"/>
    <w:rsid w:val="003D1C50"/>
    <w:rsid w:val="003D1D4A"/>
    <w:rsid w:val="003D30F1"/>
    <w:rsid w:val="003D3B73"/>
    <w:rsid w:val="003D3B89"/>
    <w:rsid w:val="003D3CC6"/>
    <w:rsid w:val="003D3D1A"/>
    <w:rsid w:val="003D40F3"/>
    <w:rsid w:val="003D4347"/>
    <w:rsid w:val="003D43F0"/>
    <w:rsid w:val="003D4715"/>
    <w:rsid w:val="003D479D"/>
    <w:rsid w:val="003D47DA"/>
    <w:rsid w:val="003D5080"/>
    <w:rsid w:val="003D5607"/>
    <w:rsid w:val="003E0650"/>
    <w:rsid w:val="003E0BC0"/>
    <w:rsid w:val="003E0EAE"/>
    <w:rsid w:val="003E1486"/>
    <w:rsid w:val="003E182F"/>
    <w:rsid w:val="003E223F"/>
    <w:rsid w:val="003E3100"/>
    <w:rsid w:val="003E329C"/>
    <w:rsid w:val="003E33CC"/>
    <w:rsid w:val="003E3742"/>
    <w:rsid w:val="003E376A"/>
    <w:rsid w:val="003E4526"/>
    <w:rsid w:val="003E498C"/>
    <w:rsid w:val="003E4A1D"/>
    <w:rsid w:val="003E4A2F"/>
    <w:rsid w:val="003E5152"/>
    <w:rsid w:val="003E543B"/>
    <w:rsid w:val="003E581B"/>
    <w:rsid w:val="003E687C"/>
    <w:rsid w:val="003E6A09"/>
    <w:rsid w:val="003E6A75"/>
    <w:rsid w:val="003E7339"/>
    <w:rsid w:val="003E73B6"/>
    <w:rsid w:val="003E7823"/>
    <w:rsid w:val="003E7B12"/>
    <w:rsid w:val="003F00E6"/>
    <w:rsid w:val="003F05D1"/>
    <w:rsid w:val="003F0CE6"/>
    <w:rsid w:val="003F1313"/>
    <w:rsid w:val="003F1442"/>
    <w:rsid w:val="003F1510"/>
    <w:rsid w:val="003F1903"/>
    <w:rsid w:val="003F1914"/>
    <w:rsid w:val="003F1B00"/>
    <w:rsid w:val="003F2228"/>
    <w:rsid w:val="003F24A2"/>
    <w:rsid w:val="003F25E9"/>
    <w:rsid w:val="003F309F"/>
    <w:rsid w:val="003F30A0"/>
    <w:rsid w:val="003F345D"/>
    <w:rsid w:val="003F366A"/>
    <w:rsid w:val="003F3B1F"/>
    <w:rsid w:val="003F3D54"/>
    <w:rsid w:val="003F4911"/>
    <w:rsid w:val="003F4E70"/>
    <w:rsid w:val="003F5381"/>
    <w:rsid w:val="003F5CB9"/>
    <w:rsid w:val="003F6171"/>
    <w:rsid w:val="003F6DA9"/>
    <w:rsid w:val="003F772A"/>
    <w:rsid w:val="004003CD"/>
    <w:rsid w:val="0040053F"/>
    <w:rsid w:val="0040073E"/>
    <w:rsid w:val="00400EA4"/>
    <w:rsid w:val="00401026"/>
    <w:rsid w:val="00401465"/>
    <w:rsid w:val="00401536"/>
    <w:rsid w:val="0040198C"/>
    <w:rsid w:val="00402545"/>
    <w:rsid w:val="00402663"/>
    <w:rsid w:val="00402B8D"/>
    <w:rsid w:val="00402DA8"/>
    <w:rsid w:val="004030FD"/>
    <w:rsid w:val="0040344E"/>
    <w:rsid w:val="00403920"/>
    <w:rsid w:val="00403A28"/>
    <w:rsid w:val="004043D0"/>
    <w:rsid w:val="00404690"/>
    <w:rsid w:val="00404D8C"/>
    <w:rsid w:val="00404DAC"/>
    <w:rsid w:val="0040532A"/>
    <w:rsid w:val="0040558B"/>
    <w:rsid w:val="0040584D"/>
    <w:rsid w:val="00405936"/>
    <w:rsid w:val="0040595B"/>
    <w:rsid w:val="00405F77"/>
    <w:rsid w:val="004063C5"/>
    <w:rsid w:val="0040654F"/>
    <w:rsid w:val="00406D8C"/>
    <w:rsid w:val="00407143"/>
    <w:rsid w:val="004074F6"/>
    <w:rsid w:val="0040758F"/>
    <w:rsid w:val="00407696"/>
    <w:rsid w:val="004077D9"/>
    <w:rsid w:val="004077EB"/>
    <w:rsid w:val="00407E1E"/>
    <w:rsid w:val="00407E90"/>
    <w:rsid w:val="00407EFF"/>
    <w:rsid w:val="00410161"/>
    <w:rsid w:val="00410563"/>
    <w:rsid w:val="00410593"/>
    <w:rsid w:val="0041087B"/>
    <w:rsid w:val="00410CA9"/>
    <w:rsid w:val="00410D5D"/>
    <w:rsid w:val="0041118A"/>
    <w:rsid w:val="00411A22"/>
    <w:rsid w:val="00411B02"/>
    <w:rsid w:val="00411CE7"/>
    <w:rsid w:val="00411FF2"/>
    <w:rsid w:val="00412361"/>
    <w:rsid w:val="004124ED"/>
    <w:rsid w:val="004124F0"/>
    <w:rsid w:val="00412665"/>
    <w:rsid w:val="00412D37"/>
    <w:rsid w:val="00413539"/>
    <w:rsid w:val="0041409D"/>
    <w:rsid w:val="004143F4"/>
    <w:rsid w:val="0041462C"/>
    <w:rsid w:val="004164E3"/>
    <w:rsid w:val="004167F9"/>
    <w:rsid w:val="00416CBE"/>
    <w:rsid w:val="00416DA1"/>
    <w:rsid w:val="0041788D"/>
    <w:rsid w:val="00420F5F"/>
    <w:rsid w:val="00421110"/>
    <w:rsid w:val="00421343"/>
    <w:rsid w:val="0042153F"/>
    <w:rsid w:val="00421AB8"/>
    <w:rsid w:val="00421C2A"/>
    <w:rsid w:val="004224B2"/>
    <w:rsid w:val="004229A4"/>
    <w:rsid w:val="004229F1"/>
    <w:rsid w:val="00422B86"/>
    <w:rsid w:val="00422DEE"/>
    <w:rsid w:val="00423442"/>
    <w:rsid w:val="00423ACB"/>
    <w:rsid w:val="00423FAA"/>
    <w:rsid w:val="00423FBC"/>
    <w:rsid w:val="00424136"/>
    <w:rsid w:val="004242C8"/>
    <w:rsid w:val="004243DC"/>
    <w:rsid w:val="00424511"/>
    <w:rsid w:val="004245E6"/>
    <w:rsid w:val="0042479D"/>
    <w:rsid w:val="004248FE"/>
    <w:rsid w:val="00424C09"/>
    <w:rsid w:val="00424EA8"/>
    <w:rsid w:val="004251D0"/>
    <w:rsid w:val="00425334"/>
    <w:rsid w:val="004259E4"/>
    <w:rsid w:val="0042658F"/>
    <w:rsid w:val="004267B6"/>
    <w:rsid w:val="0042797D"/>
    <w:rsid w:val="00427F9F"/>
    <w:rsid w:val="004301A0"/>
    <w:rsid w:val="004302F4"/>
    <w:rsid w:val="00430311"/>
    <w:rsid w:val="004304B8"/>
    <w:rsid w:val="00430BFD"/>
    <w:rsid w:val="00430F16"/>
    <w:rsid w:val="00431087"/>
    <w:rsid w:val="004310C7"/>
    <w:rsid w:val="00431552"/>
    <w:rsid w:val="00431578"/>
    <w:rsid w:val="004315EE"/>
    <w:rsid w:val="0043172B"/>
    <w:rsid w:val="00431A85"/>
    <w:rsid w:val="00431B6C"/>
    <w:rsid w:val="00431CC2"/>
    <w:rsid w:val="004325CB"/>
    <w:rsid w:val="004326C5"/>
    <w:rsid w:val="004329B8"/>
    <w:rsid w:val="00432C2B"/>
    <w:rsid w:val="00433793"/>
    <w:rsid w:val="00433F35"/>
    <w:rsid w:val="004341C8"/>
    <w:rsid w:val="0043452B"/>
    <w:rsid w:val="00434563"/>
    <w:rsid w:val="00434E8D"/>
    <w:rsid w:val="00434F60"/>
    <w:rsid w:val="00435271"/>
    <w:rsid w:val="00435329"/>
    <w:rsid w:val="00435A2B"/>
    <w:rsid w:val="00435AE2"/>
    <w:rsid w:val="004360F8"/>
    <w:rsid w:val="00436305"/>
    <w:rsid w:val="004363A0"/>
    <w:rsid w:val="00436599"/>
    <w:rsid w:val="004374CA"/>
    <w:rsid w:val="0043778E"/>
    <w:rsid w:val="0043788D"/>
    <w:rsid w:val="00437A9A"/>
    <w:rsid w:val="00437E18"/>
    <w:rsid w:val="00437EB1"/>
    <w:rsid w:val="004401BD"/>
    <w:rsid w:val="00440885"/>
    <w:rsid w:val="00440FB3"/>
    <w:rsid w:val="00440FD1"/>
    <w:rsid w:val="004419B4"/>
    <w:rsid w:val="004419F3"/>
    <w:rsid w:val="00441F4D"/>
    <w:rsid w:val="00442C5E"/>
    <w:rsid w:val="00442CC8"/>
    <w:rsid w:val="00442D44"/>
    <w:rsid w:val="00442D47"/>
    <w:rsid w:val="00442E48"/>
    <w:rsid w:val="004435B2"/>
    <w:rsid w:val="0044362D"/>
    <w:rsid w:val="00443C4E"/>
    <w:rsid w:val="00444185"/>
    <w:rsid w:val="0044446D"/>
    <w:rsid w:val="00444710"/>
    <w:rsid w:val="00444C3D"/>
    <w:rsid w:val="00444F3E"/>
    <w:rsid w:val="0044513B"/>
    <w:rsid w:val="004451E8"/>
    <w:rsid w:val="00445221"/>
    <w:rsid w:val="004454E0"/>
    <w:rsid w:val="004457B8"/>
    <w:rsid w:val="004462E6"/>
    <w:rsid w:val="004463F1"/>
    <w:rsid w:val="00447FC5"/>
    <w:rsid w:val="00450524"/>
    <w:rsid w:val="0045159A"/>
    <w:rsid w:val="0045163D"/>
    <w:rsid w:val="004517C3"/>
    <w:rsid w:val="004531DE"/>
    <w:rsid w:val="00453B15"/>
    <w:rsid w:val="00453EBB"/>
    <w:rsid w:val="00454980"/>
    <w:rsid w:val="00454B03"/>
    <w:rsid w:val="00454E40"/>
    <w:rsid w:val="004552FC"/>
    <w:rsid w:val="004556A8"/>
    <w:rsid w:val="0045585B"/>
    <w:rsid w:val="00455A74"/>
    <w:rsid w:val="00455AC9"/>
    <w:rsid w:val="00455BD1"/>
    <w:rsid w:val="00456037"/>
    <w:rsid w:val="004565FD"/>
    <w:rsid w:val="0045709D"/>
    <w:rsid w:val="004577C7"/>
    <w:rsid w:val="00457EA9"/>
    <w:rsid w:val="00460207"/>
    <w:rsid w:val="004602FB"/>
    <w:rsid w:val="004606CB"/>
    <w:rsid w:val="00460EDE"/>
    <w:rsid w:val="00460F16"/>
    <w:rsid w:val="004613FA"/>
    <w:rsid w:val="004616A5"/>
    <w:rsid w:val="00461A62"/>
    <w:rsid w:val="00461A8B"/>
    <w:rsid w:val="00461B0F"/>
    <w:rsid w:val="00461B5D"/>
    <w:rsid w:val="004620D6"/>
    <w:rsid w:val="00462171"/>
    <w:rsid w:val="00462E53"/>
    <w:rsid w:val="0046331C"/>
    <w:rsid w:val="00463A17"/>
    <w:rsid w:val="00463A45"/>
    <w:rsid w:val="00464371"/>
    <w:rsid w:val="00464BB7"/>
    <w:rsid w:val="004655C6"/>
    <w:rsid w:val="00465709"/>
    <w:rsid w:val="004659D8"/>
    <w:rsid w:val="00466201"/>
    <w:rsid w:val="00466D12"/>
    <w:rsid w:val="00466D29"/>
    <w:rsid w:val="00466F9E"/>
    <w:rsid w:val="00466FBF"/>
    <w:rsid w:val="00467DD1"/>
    <w:rsid w:val="00470165"/>
    <w:rsid w:val="00470792"/>
    <w:rsid w:val="00470870"/>
    <w:rsid w:val="00470B01"/>
    <w:rsid w:val="00470B7C"/>
    <w:rsid w:val="00471567"/>
    <w:rsid w:val="004731C2"/>
    <w:rsid w:val="00473D3B"/>
    <w:rsid w:val="004743C7"/>
    <w:rsid w:val="004743F9"/>
    <w:rsid w:val="004747E1"/>
    <w:rsid w:val="00474A37"/>
    <w:rsid w:val="00474D29"/>
    <w:rsid w:val="004750A2"/>
    <w:rsid w:val="00475A95"/>
    <w:rsid w:val="00475FB2"/>
    <w:rsid w:val="004766D0"/>
    <w:rsid w:val="004768A5"/>
    <w:rsid w:val="00477316"/>
    <w:rsid w:val="00477416"/>
    <w:rsid w:val="00477DB7"/>
    <w:rsid w:val="00477E3D"/>
    <w:rsid w:val="004803CA"/>
    <w:rsid w:val="004803D4"/>
    <w:rsid w:val="00480CA6"/>
    <w:rsid w:val="00481760"/>
    <w:rsid w:val="00481842"/>
    <w:rsid w:val="00481899"/>
    <w:rsid w:val="00481B68"/>
    <w:rsid w:val="00481BA9"/>
    <w:rsid w:val="00482530"/>
    <w:rsid w:val="004826D9"/>
    <w:rsid w:val="0048313F"/>
    <w:rsid w:val="00483372"/>
    <w:rsid w:val="00483752"/>
    <w:rsid w:val="00483D07"/>
    <w:rsid w:val="00484345"/>
    <w:rsid w:val="004845F2"/>
    <w:rsid w:val="004849AD"/>
    <w:rsid w:val="00484C2A"/>
    <w:rsid w:val="00484D42"/>
    <w:rsid w:val="00484DDB"/>
    <w:rsid w:val="004852D1"/>
    <w:rsid w:val="0048530E"/>
    <w:rsid w:val="00485805"/>
    <w:rsid w:val="004865CA"/>
    <w:rsid w:val="004865D4"/>
    <w:rsid w:val="00487098"/>
    <w:rsid w:val="0048775C"/>
    <w:rsid w:val="00487985"/>
    <w:rsid w:val="004879FC"/>
    <w:rsid w:val="00490397"/>
    <w:rsid w:val="00490D79"/>
    <w:rsid w:val="004916E8"/>
    <w:rsid w:val="00491864"/>
    <w:rsid w:val="0049192A"/>
    <w:rsid w:val="00491B9F"/>
    <w:rsid w:val="00492526"/>
    <w:rsid w:val="0049252C"/>
    <w:rsid w:val="00492CBF"/>
    <w:rsid w:val="00493151"/>
    <w:rsid w:val="004931FC"/>
    <w:rsid w:val="004936A0"/>
    <w:rsid w:val="004938BB"/>
    <w:rsid w:val="00494A6D"/>
    <w:rsid w:val="00494AD3"/>
    <w:rsid w:val="00494C19"/>
    <w:rsid w:val="0049519A"/>
    <w:rsid w:val="0049567E"/>
    <w:rsid w:val="00495B92"/>
    <w:rsid w:val="004960A0"/>
    <w:rsid w:val="00496106"/>
    <w:rsid w:val="004961FC"/>
    <w:rsid w:val="00496920"/>
    <w:rsid w:val="00496E99"/>
    <w:rsid w:val="00497DF0"/>
    <w:rsid w:val="004A03E8"/>
    <w:rsid w:val="004A045A"/>
    <w:rsid w:val="004A0B9D"/>
    <w:rsid w:val="004A0EC4"/>
    <w:rsid w:val="004A222F"/>
    <w:rsid w:val="004A233F"/>
    <w:rsid w:val="004A2421"/>
    <w:rsid w:val="004A2480"/>
    <w:rsid w:val="004A2528"/>
    <w:rsid w:val="004A254C"/>
    <w:rsid w:val="004A258F"/>
    <w:rsid w:val="004A28FB"/>
    <w:rsid w:val="004A2BE5"/>
    <w:rsid w:val="004A2DCA"/>
    <w:rsid w:val="004A2FF8"/>
    <w:rsid w:val="004A3842"/>
    <w:rsid w:val="004A3A2B"/>
    <w:rsid w:val="004A3FA5"/>
    <w:rsid w:val="004A40FD"/>
    <w:rsid w:val="004A4FB4"/>
    <w:rsid w:val="004A52FA"/>
    <w:rsid w:val="004A5A8A"/>
    <w:rsid w:val="004A5F6F"/>
    <w:rsid w:val="004A6379"/>
    <w:rsid w:val="004A6A8C"/>
    <w:rsid w:val="004A6EFB"/>
    <w:rsid w:val="004A71A1"/>
    <w:rsid w:val="004A75DD"/>
    <w:rsid w:val="004A7A99"/>
    <w:rsid w:val="004B019B"/>
    <w:rsid w:val="004B074A"/>
    <w:rsid w:val="004B149C"/>
    <w:rsid w:val="004B1520"/>
    <w:rsid w:val="004B203F"/>
    <w:rsid w:val="004B25A7"/>
    <w:rsid w:val="004B2A9B"/>
    <w:rsid w:val="004B2CD3"/>
    <w:rsid w:val="004B3868"/>
    <w:rsid w:val="004B393F"/>
    <w:rsid w:val="004B3AB7"/>
    <w:rsid w:val="004B3F6A"/>
    <w:rsid w:val="004B3FA7"/>
    <w:rsid w:val="004B44C6"/>
    <w:rsid w:val="004B4C32"/>
    <w:rsid w:val="004B5372"/>
    <w:rsid w:val="004B5D23"/>
    <w:rsid w:val="004B5EE1"/>
    <w:rsid w:val="004B6B72"/>
    <w:rsid w:val="004B6D43"/>
    <w:rsid w:val="004B6F55"/>
    <w:rsid w:val="004B7348"/>
    <w:rsid w:val="004B73C7"/>
    <w:rsid w:val="004B79AA"/>
    <w:rsid w:val="004C01DF"/>
    <w:rsid w:val="004C0361"/>
    <w:rsid w:val="004C04F8"/>
    <w:rsid w:val="004C07B3"/>
    <w:rsid w:val="004C0C16"/>
    <w:rsid w:val="004C1096"/>
    <w:rsid w:val="004C2274"/>
    <w:rsid w:val="004C236F"/>
    <w:rsid w:val="004C2828"/>
    <w:rsid w:val="004C289B"/>
    <w:rsid w:val="004C2FE1"/>
    <w:rsid w:val="004C3146"/>
    <w:rsid w:val="004C316C"/>
    <w:rsid w:val="004C3378"/>
    <w:rsid w:val="004C3527"/>
    <w:rsid w:val="004C3825"/>
    <w:rsid w:val="004C46A7"/>
    <w:rsid w:val="004C4881"/>
    <w:rsid w:val="004C5719"/>
    <w:rsid w:val="004C5955"/>
    <w:rsid w:val="004C5D83"/>
    <w:rsid w:val="004C6E0F"/>
    <w:rsid w:val="004C7304"/>
    <w:rsid w:val="004C73DD"/>
    <w:rsid w:val="004C73F1"/>
    <w:rsid w:val="004C75D5"/>
    <w:rsid w:val="004C7A46"/>
    <w:rsid w:val="004D01FC"/>
    <w:rsid w:val="004D09B8"/>
    <w:rsid w:val="004D0C0A"/>
    <w:rsid w:val="004D1898"/>
    <w:rsid w:val="004D2445"/>
    <w:rsid w:val="004D3935"/>
    <w:rsid w:val="004D3C82"/>
    <w:rsid w:val="004D4007"/>
    <w:rsid w:val="004D4153"/>
    <w:rsid w:val="004D46A9"/>
    <w:rsid w:val="004D4D9C"/>
    <w:rsid w:val="004D4E9C"/>
    <w:rsid w:val="004D5080"/>
    <w:rsid w:val="004D5523"/>
    <w:rsid w:val="004D5CAD"/>
    <w:rsid w:val="004D6AB6"/>
    <w:rsid w:val="004D70FA"/>
    <w:rsid w:val="004D7A6A"/>
    <w:rsid w:val="004D7C64"/>
    <w:rsid w:val="004E0263"/>
    <w:rsid w:val="004E0D6E"/>
    <w:rsid w:val="004E0FE3"/>
    <w:rsid w:val="004E104C"/>
    <w:rsid w:val="004E1B5E"/>
    <w:rsid w:val="004E25EC"/>
    <w:rsid w:val="004E2EA3"/>
    <w:rsid w:val="004E338C"/>
    <w:rsid w:val="004E35E8"/>
    <w:rsid w:val="004E4274"/>
    <w:rsid w:val="004E4601"/>
    <w:rsid w:val="004E4A14"/>
    <w:rsid w:val="004E4AD2"/>
    <w:rsid w:val="004E538F"/>
    <w:rsid w:val="004E55C6"/>
    <w:rsid w:val="004E5960"/>
    <w:rsid w:val="004E614A"/>
    <w:rsid w:val="004E649A"/>
    <w:rsid w:val="004E6DFE"/>
    <w:rsid w:val="004E6EAB"/>
    <w:rsid w:val="004E6F7C"/>
    <w:rsid w:val="004F0090"/>
    <w:rsid w:val="004F0384"/>
    <w:rsid w:val="004F041A"/>
    <w:rsid w:val="004F06F9"/>
    <w:rsid w:val="004F0BCB"/>
    <w:rsid w:val="004F0C52"/>
    <w:rsid w:val="004F11DC"/>
    <w:rsid w:val="004F1384"/>
    <w:rsid w:val="004F1B90"/>
    <w:rsid w:val="004F1E92"/>
    <w:rsid w:val="004F2312"/>
    <w:rsid w:val="004F24B6"/>
    <w:rsid w:val="004F294B"/>
    <w:rsid w:val="004F298C"/>
    <w:rsid w:val="004F2A2C"/>
    <w:rsid w:val="004F2B2C"/>
    <w:rsid w:val="004F2D4A"/>
    <w:rsid w:val="004F3BA8"/>
    <w:rsid w:val="004F3E03"/>
    <w:rsid w:val="004F4376"/>
    <w:rsid w:val="004F440C"/>
    <w:rsid w:val="004F47A3"/>
    <w:rsid w:val="004F4AD2"/>
    <w:rsid w:val="004F5192"/>
    <w:rsid w:val="004F57FF"/>
    <w:rsid w:val="004F586B"/>
    <w:rsid w:val="004F5A72"/>
    <w:rsid w:val="004F5C04"/>
    <w:rsid w:val="004F62A9"/>
    <w:rsid w:val="004F6713"/>
    <w:rsid w:val="004F68E2"/>
    <w:rsid w:val="004F71C7"/>
    <w:rsid w:val="004F7523"/>
    <w:rsid w:val="004F7A05"/>
    <w:rsid w:val="00500020"/>
    <w:rsid w:val="005001AE"/>
    <w:rsid w:val="005002AD"/>
    <w:rsid w:val="00500C5F"/>
    <w:rsid w:val="00500FD9"/>
    <w:rsid w:val="005011A4"/>
    <w:rsid w:val="00501DC0"/>
    <w:rsid w:val="00501FD2"/>
    <w:rsid w:val="00502041"/>
    <w:rsid w:val="005024DA"/>
    <w:rsid w:val="00502604"/>
    <w:rsid w:val="00502976"/>
    <w:rsid w:val="00502ADD"/>
    <w:rsid w:val="00503081"/>
    <w:rsid w:val="00503653"/>
    <w:rsid w:val="00503C8E"/>
    <w:rsid w:val="00503D26"/>
    <w:rsid w:val="005043AC"/>
    <w:rsid w:val="005044EF"/>
    <w:rsid w:val="00504AB5"/>
    <w:rsid w:val="00505004"/>
    <w:rsid w:val="005050AE"/>
    <w:rsid w:val="005050C8"/>
    <w:rsid w:val="00505251"/>
    <w:rsid w:val="005052C0"/>
    <w:rsid w:val="00505409"/>
    <w:rsid w:val="00505693"/>
    <w:rsid w:val="00505CCF"/>
    <w:rsid w:val="00505D93"/>
    <w:rsid w:val="00505DC7"/>
    <w:rsid w:val="00505EAE"/>
    <w:rsid w:val="005061EC"/>
    <w:rsid w:val="0050799C"/>
    <w:rsid w:val="00507E04"/>
    <w:rsid w:val="005108C7"/>
    <w:rsid w:val="00510C51"/>
    <w:rsid w:val="00510D31"/>
    <w:rsid w:val="00511343"/>
    <w:rsid w:val="00511717"/>
    <w:rsid w:val="00512480"/>
    <w:rsid w:val="00512719"/>
    <w:rsid w:val="00512720"/>
    <w:rsid w:val="00512AA4"/>
    <w:rsid w:val="00512EBA"/>
    <w:rsid w:val="005133B0"/>
    <w:rsid w:val="00513625"/>
    <w:rsid w:val="00513770"/>
    <w:rsid w:val="00513801"/>
    <w:rsid w:val="0051440E"/>
    <w:rsid w:val="00514D96"/>
    <w:rsid w:val="005154A7"/>
    <w:rsid w:val="00515802"/>
    <w:rsid w:val="00515AE6"/>
    <w:rsid w:val="00515E5B"/>
    <w:rsid w:val="005163F9"/>
    <w:rsid w:val="00516EA7"/>
    <w:rsid w:val="00517118"/>
    <w:rsid w:val="0051748A"/>
    <w:rsid w:val="00520648"/>
    <w:rsid w:val="00520691"/>
    <w:rsid w:val="00520709"/>
    <w:rsid w:val="00520A1D"/>
    <w:rsid w:val="00521087"/>
    <w:rsid w:val="005213D3"/>
    <w:rsid w:val="005215B0"/>
    <w:rsid w:val="005218F6"/>
    <w:rsid w:val="00521AD0"/>
    <w:rsid w:val="00521B2D"/>
    <w:rsid w:val="00521E42"/>
    <w:rsid w:val="00521F94"/>
    <w:rsid w:val="00522001"/>
    <w:rsid w:val="00522774"/>
    <w:rsid w:val="005227B1"/>
    <w:rsid w:val="00522C66"/>
    <w:rsid w:val="00522CB6"/>
    <w:rsid w:val="00522D85"/>
    <w:rsid w:val="005233B1"/>
    <w:rsid w:val="005233EB"/>
    <w:rsid w:val="00523500"/>
    <w:rsid w:val="00523DEE"/>
    <w:rsid w:val="00523EE3"/>
    <w:rsid w:val="00523F08"/>
    <w:rsid w:val="00524C48"/>
    <w:rsid w:val="00524DAD"/>
    <w:rsid w:val="0052501A"/>
    <w:rsid w:val="00525605"/>
    <w:rsid w:val="00526115"/>
    <w:rsid w:val="005262AA"/>
    <w:rsid w:val="0052653B"/>
    <w:rsid w:val="00526632"/>
    <w:rsid w:val="00526637"/>
    <w:rsid w:val="00526A01"/>
    <w:rsid w:val="00526C8B"/>
    <w:rsid w:val="005272F8"/>
    <w:rsid w:val="005275D2"/>
    <w:rsid w:val="005276E5"/>
    <w:rsid w:val="00530064"/>
    <w:rsid w:val="00530258"/>
    <w:rsid w:val="00530285"/>
    <w:rsid w:val="0053032C"/>
    <w:rsid w:val="00530413"/>
    <w:rsid w:val="00530A93"/>
    <w:rsid w:val="00531246"/>
    <w:rsid w:val="00531CC1"/>
    <w:rsid w:val="005322CF"/>
    <w:rsid w:val="00532809"/>
    <w:rsid w:val="0053286A"/>
    <w:rsid w:val="00532B07"/>
    <w:rsid w:val="00532D16"/>
    <w:rsid w:val="00532F3A"/>
    <w:rsid w:val="00532F85"/>
    <w:rsid w:val="00533008"/>
    <w:rsid w:val="0053314D"/>
    <w:rsid w:val="0053326F"/>
    <w:rsid w:val="0053349B"/>
    <w:rsid w:val="0053379A"/>
    <w:rsid w:val="00533BA0"/>
    <w:rsid w:val="00534CC6"/>
    <w:rsid w:val="00535379"/>
    <w:rsid w:val="00535530"/>
    <w:rsid w:val="00535A3A"/>
    <w:rsid w:val="0053606A"/>
    <w:rsid w:val="005366B2"/>
    <w:rsid w:val="005368C8"/>
    <w:rsid w:val="005370B6"/>
    <w:rsid w:val="005371E8"/>
    <w:rsid w:val="0053728E"/>
    <w:rsid w:val="005378E6"/>
    <w:rsid w:val="00537A29"/>
    <w:rsid w:val="00537CB5"/>
    <w:rsid w:val="00540287"/>
    <w:rsid w:val="005403BF"/>
    <w:rsid w:val="005406C8"/>
    <w:rsid w:val="00540733"/>
    <w:rsid w:val="00540E71"/>
    <w:rsid w:val="00541881"/>
    <w:rsid w:val="005418F0"/>
    <w:rsid w:val="00541A37"/>
    <w:rsid w:val="00541B42"/>
    <w:rsid w:val="00541E9D"/>
    <w:rsid w:val="00542204"/>
    <w:rsid w:val="00542627"/>
    <w:rsid w:val="0054279D"/>
    <w:rsid w:val="00543810"/>
    <w:rsid w:val="005439D5"/>
    <w:rsid w:val="005439D7"/>
    <w:rsid w:val="00543A4E"/>
    <w:rsid w:val="00544F6F"/>
    <w:rsid w:val="005454AD"/>
    <w:rsid w:val="00546FC3"/>
    <w:rsid w:val="00547892"/>
    <w:rsid w:val="00547903"/>
    <w:rsid w:val="00547AFC"/>
    <w:rsid w:val="00547C5B"/>
    <w:rsid w:val="005502C1"/>
    <w:rsid w:val="005507B4"/>
    <w:rsid w:val="0055089B"/>
    <w:rsid w:val="00550900"/>
    <w:rsid w:val="00550BFD"/>
    <w:rsid w:val="00550E4D"/>
    <w:rsid w:val="0055117F"/>
    <w:rsid w:val="00551479"/>
    <w:rsid w:val="0055148D"/>
    <w:rsid w:val="00551E4E"/>
    <w:rsid w:val="00552000"/>
    <w:rsid w:val="0055237C"/>
    <w:rsid w:val="005523C8"/>
    <w:rsid w:val="005524BA"/>
    <w:rsid w:val="00553160"/>
    <w:rsid w:val="00553AD7"/>
    <w:rsid w:val="00553D41"/>
    <w:rsid w:val="005543D5"/>
    <w:rsid w:val="00554650"/>
    <w:rsid w:val="00554EA2"/>
    <w:rsid w:val="00554F1D"/>
    <w:rsid w:val="0055500F"/>
    <w:rsid w:val="00555994"/>
    <w:rsid w:val="005559A8"/>
    <w:rsid w:val="00555FCA"/>
    <w:rsid w:val="00556B67"/>
    <w:rsid w:val="00557124"/>
    <w:rsid w:val="00557261"/>
    <w:rsid w:val="00557FEA"/>
    <w:rsid w:val="00561154"/>
    <w:rsid w:val="0056126F"/>
    <w:rsid w:val="005615DE"/>
    <w:rsid w:val="00561684"/>
    <w:rsid w:val="0056190E"/>
    <w:rsid w:val="00561A66"/>
    <w:rsid w:val="00561E1E"/>
    <w:rsid w:val="00561FA2"/>
    <w:rsid w:val="0056222F"/>
    <w:rsid w:val="00562350"/>
    <w:rsid w:val="005628EB"/>
    <w:rsid w:val="00562B62"/>
    <w:rsid w:val="00563472"/>
    <w:rsid w:val="0056421E"/>
    <w:rsid w:val="005642C2"/>
    <w:rsid w:val="005645AA"/>
    <w:rsid w:val="005645C9"/>
    <w:rsid w:val="00564740"/>
    <w:rsid w:val="00565160"/>
    <w:rsid w:val="00565206"/>
    <w:rsid w:val="00565E39"/>
    <w:rsid w:val="00566A5F"/>
    <w:rsid w:val="00566D46"/>
    <w:rsid w:val="00566F24"/>
    <w:rsid w:val="00566FC8"/>
    <w:rsid w:val="00566FFF"/>
    <w:rsid w:val="00567108"/>
    <w:rsid w:val="005674A1"/>
    <w:rsid w:val="00567CA2"/>
    <w:rsid w:val="00567E62"/>
    <w:rsid w:val="00570001"/>
    <w:rsid w:val="00570C3C"/>
    <w:rsid w:val="00570F13"/>
    <w:rsid w:val="0057126C"/>
    <w:rsid w:val="00571532"/>
    <w:rsid w:val="00571F88"/>
    <w:rsid w:val="005726DC"/>
    <w:rsid w:val="00572705"/>
    <w:rsid w:val="0057280D"/>
    <w:rsid w:val="00572EF7"/>
    <w:rsid w:val="00572F45"/>
    <w:rsid w:val="00573DE8"/>
    <w:rsid w:val="00573E19"/>
    <w:rsid w:val="00573FED"/>
    <w:rsid w:val="0057471F"/>
    <w:rsid w:val="00574C24"/>
    <w:rsid w:val="005750EE"/>
    <w:rsid w:val="0057536C"/>
    <w:rsid w:val="005753DB"/>
    <w:rsid w:val="0057594B"/>
    <w:rsid w:val="00575C4B"/>
    <w:rsid w:val="00576644"/>
    <w:rsid w:val="00576B9F"/>
    <w:rsid w:val="00576FCF"/>
    <w:rsid w:val="005777E6"/>
    <w:rsid w:val="005801D0"/>
    <w:rsid w:val="00580B2F"/>
    <w:rsid w:val="00580D91"/>
    <w:rsid w:val="00580E4F"/>
    <w:rsid w:val="00581392"/>
    <w:rsid w:val="005813F5"/>
    <w:rsid w:val="0058192F"/>
    <w:rsid w:val="00581EAF"/>
    <w:rsid w:val="00582371"/>
    <w:rsid w:val="00582BD7"/>
    <w:rsid w:val="00582CDC"/>
    <w:rsid w:val="00582F1B"/>
    <w:rsid w:val="00582FFC"/>
    <w:rsid w:val="0058306F"/>
    <w:rsid w:val="00583432"/>
    <w:rsid w:val="005835F1"/>
    <w:rsid w:val="00583654"/>
    <w:rsid w:val="0058370C"/>
    <w:rsid w:val="0058381A"/>
    <w:rsid w:val="00583B44"/>
    <w:rsid w:val="005846BF"/>
    <w:rsid w:val="005848B3"/>
    <w:rsid w:val="00584CDB"/>
    <w:rsid w:val="00584D32"/>
    <w:rsid w:val="00585EA6"/>
    <w:rsid w:val="00586327"/>
    <w:rsid w:val="00586925"/>
    <w:rsid w:val="00586D96"/>
    <w:rsid w:val="005872D8"/>
    <w:rsid w:val="00587D05"/>
    <w:rsid w:val="0059014F"/>
    <w:rsid w:val="00590233"/>
    <w:rsid w:val="005906A9"/>
    <w:rsid w:val="00591298"/>
    <w:rsid w:val="005918F8"/>
    <w:rsid w:val="00591E75"/>
    <w:rsid w:val="00591F4E"/>
    <w:rsid w:val="00591FFB"/>
    <w:rsid w:val="00592386"/>
    <w:rsid w:val="00592864"/>
    <w:rsid w:val="00592914"/>
    <w:rsid w:val="00592F7F"/>
    <w:rsid w:val="0059382D"/>
    <w:rsid w:val="00593924"/>
    <w:rsid w:val="00593A39"/>
    <w:rsid w:val="005940BB"/>
    <w:rsid w:val="0059480B"/>
    <w:rsid w:val="00595073"/>
    <w:rsid w:val="00595247"/>
    <w:rsid w:val="00596940"/>
    <w:rsid w:val="00596B6B"/>
    <w:rsid w:val="00596C13"/>
    <w:rsid w:val="00597755"/>
    <w:rsid w:val="00597B92"/>
    <w:rsid w:val="00597C12"/>
    <w:rsid w:val="005A067F"/>
    <w:rsid w:val="005A0A2D"/>
    <w:rsid w:val="005A0BA1"/>
    <w:rsid w:val="005A158C"/>
    <w:rsid w:val="005A1789"/>
    <w:rsid w:val="005A1868"/>
    <w:rsid w:val="005A1BBB"/>
    <w:rsid w:val="005A1CBA"/>
    <w:rsid w:val="005A1F9E"/>
    <w:rsid w:val="005A232F"/>
    <w:rsid w:val="005A246C"/>
    <w:rsid w:val="005A2506"/>
    <w:rsid w:val="005A2866"/>
    <w:rsid w:val="005A2A65"/>
    <w:rsid w:val="005A2B50"/>
    <w:rsid w:val="005A2BA4"/>
    <w:rsid w:val="005A2F25"/>
    <w:rsid w:val="005A303A"/>
    <w:rsid w:val="005A3474"/>
    <w:rsid w:val="005A4381"/>
    <w:rsid w:val="005A49F5"/>
    <w:rsid w:val="005A4E41"/>
    <w:rsid w:val="005A51F9"/>
    <w:rsid w:val="005A589D"/>
    <w:rsid w:val="005A58F1"/>
    <w:rsid w:val="005A5A02"/>
    <w:rsid w:val="005A5B5E"/>
    <w:rsid w:val="005A6664"/>
    <w:rsid w:val="005A6DEA"/>
    <w:rsid w:val="005A7024"/>
    <w:rsid w:val="005A7181"/>
    <w:rsid w:val="005A71AC"/>
    <w:rsid w:val="005A78E5"/>
    <w:rsid w:val="005B003E"/>
    <w:rsid w:val="005B0585"/>
    <w:rsid w:val="005B0690"/>
    <w:rsid w:val="005B077E"/>
    <w:rsid w:val="005B07AF"/>
    <w:rsid w:val="005B0EB2"/>
    <w:rsid w:val="005B1E40"/>
    <w:rsid w:val="005B2AC9"/>
    <w:rsid w:val="005B2B0E"/>
    <w:rsid w:val="005B305A"/>
    <w:rsid w:val="005B32CA"/>
    <w:rsid w:val="005B36AB"/>
    <w:rsid w:val="005B3B8B"/>
    <w:rsid w:val="005B3C04"/>
    <w:rsid w:val="005B3EC2"/>
    <w:rsid w:val="005B3FF2"/>
    <w:rsid w:val="005B4A21"/>
    <w:rsid w:val="005B4D9E"/>
    <w:rsid w:val="005B5738"/>
    <w:rsid w:val="005B5EAF"/>
    <w:rsid w:val="005B612C"/>
    <w:rsid w:val="005B6820"/>
    <w:rsid w:val="005B698D"/>
    <w:rsid w:val="005B6AE8"/>
    <w:rsid w:val="005B6E59"/>
    <w:rsid w:val="005B7651"/>
    <w:rsid w:val="005B7F32"/>
    <w:rsid w:val="005B7F7A"/>
    <w:rsid w:val="005C06DB"/>
    <w:rsid w:val="005C0B4B"/>
    <w:rsid w:val="005C0BD3"/>
    <w:rsid w:val="005C0C5F"/>
    <w:rsid w:val="005C0E8B"/>
    <w:rsid w:val="005C0ECA"/>
    <w:rsid w:val="005C106D"/>
    <w:rsid w:val="005C10A7"/>
    <w:rsid w:val="005C10D2"/>
    <w:rsid w:val="005C1686"/>
    <w:rsid w:val="005C17A4"/>
    <w:rsid w:val="005C1E89"/>
    <w:rsid w:val="005C1EFA"/>
    <w:rsid w:val="005C2B74"/>
    <w:rsid w:val="005C2C9F"/>
    <w:rsid w:val="005C3473"/>
    <w:rsid w:val="005C34C8"/>
    <w:rsid w:val="005C4006"/>
    <w:rsid w:val="005C4068"/>
    <w:rsid w:val="005C44FB"/>
    <w:rsid w:val="005C45C6"/>
    <w:rsid w:val="005C469B"/>
    <w:rsid w:val="005C4945"/>
    <w:rsid w:val="005C4AB1"/>
    <w:rsid w:val="005C4BC2"/>
    <w:rsid w:val="005C4BF3"/>
    <w:rsid w:val="005C5E2F"/>
    <w:rsid w:val="005C5F7C"/>
    <w:rsid w:val="005C6415"/>
    <w:rsid w:val="005C6A08"/>
    <w:rsid w:val="005C7469"/>
    <w:rsid w:val="005C74DB"/>
    <w:rsid w:val="005C7DD1"/>
    <w:rsid w:val="005D0AC9"/>
    <w:rsid w:val="005D0C05"/>
    <w:rsid w:val="005D0CD9"/>
    <w:rsid w:val="005D0DCD"/>
    <w:rsid w:val="005D0F2B"/>
    <w:rsid w:val="005D0F93"/>
    <w:rsid w:val="005D1EAD"/>
    <w:rsid w:val="005D20DB"/>
    <w:rsid w:val="005D2233"/>
    <w:rsid w:val="005D2502"/>
    <w:rsid w:val="005D2975"/>
    <w:rsid w:val="005D2CFE"/>
    <w:rsid w:val="005D3349"/>
    <w:rsid w:val="005D34B5"/>
    <w:rsid w:val="005D463B"/>
    <w:rsid w:val="005D493A"/>
    <w:rsid w:val="005D4BEF"/>
    <w:rsid w:val="005D4CE3"/>
    <w:rsid w:val="005D4EB4"/>
    <w:rsid w:val="005D50BF"/>
    <w:rsid w:val="005D5238"/>
    <w:rsid w:val="005D5A9E"/>
    <w:rsid w:val="005D5CBE"/>
    <w:rsid w:val="005D6286"/>
    <w:rsid w:val="005D774D"/>
    <w:rsid w:val="005D7A92"/>
    <w:rsid w:val="005D7D1A"/>
    <w:rsid w:val="005D7F23"/>
    <w:rsid w:val="005E0875"/>
    <w:rsid w:val="005E098B"/>
    <w:rsid w:val="005E0AE0"/>
    <w:rsid w:val="005E1048"/>
    <w:rsid w:val="005E11C6"/>
    <w:rsid w:val="005E1296"/>
    <w:rsid w:val="005E13F2"/>
    <w:rsid w:val="005E182A"/>
    <w:rsid w:val="005E1C85"/>
    <w:rsid w:val="005E24C2"/>
    <w:rsid w:val="005E24F5"/>
    <w:rsid w:val="005E30AB"/>
    <w:rsid w:val="005E3C1A"/>
    <w:rsid w:val="005E3D55"/>
    <w:rsid w:val="005E4018"/>
    <w:rsid w:val="005E406A"/>
    <w:rsid w:val="005E450C"/>
    <w:rsid w:val="005E4798"/>
    <w:rsid w:val="005E52AC"/>
    <w:rsid w:val="005E52B4"/>
    <w:rsid w:val="005E64A7"/>
    <w:rsid w:val="005E65AB"/>
    <w:rsid w:val="005E6960"/>
    <w:rsid w:val="005E6B42"/>
    <w:rsid w:val="005E6D5A"/>
    <w:rsid w:val="005F0665"/>
    <w:rsid w:val="005F0967"/>
    <w:rsid w:val="005F0CB1"/>
    <w:rsid w:val="005F0ED4"/>
    <w:rsid w:val="005F1766"/>
    <w:rsid w:val="005F2987"/>
    <w:rsid w:val="005F2A50"/>
    <w:rsid w:val="005F3C4F"/>
    <w:rsid w:val="005F493D"/>
    <w:rsid w:val="005F54D5"/>
    <w:rsid w:val="005F5542"/>
    <w:rsid w:val="005F5673"/>
    <w:rsid w:val="005F5BDF"/>
    <w:rsid w:val="005F6394"/>
    <w:rsid w:val="005F63F0"/>
    <w:rsid w:val="005F6568"/>
    <w:rsid w:val="005F68C3"/>
    <w:rsid w:val="005F68F4"/>
    <w:rsid w:val="005F6A46"/>
    <w:rsid w:val="005F7454"/>
    <w:rsid w:val="005F746C"/>
    <w:rsid w:val="005F75CB"/>
    <w:rsid w:val="005F7C2C"/>
    <w:rsid w:val="005F7D29"/>
    <w:rsid w:val="005F7FED"/>
    <w:rsid w:val="006000B5"/>
    <w:rsid w:val="0060060E"/>
    <w:rsid w:val="00600820"/>
    <w:rsid w:val="006009CA"/>
    <w:rsid w:val="006011CE"/>
    <w:rsid w:val="006012E0"/>
    <w:rsid w:val="006015B0"/>
    <w:rsid w:val="00601AE4"/>
    <w:rsid w:val="00602021"/>
    <w:rsid w:val="00602208"/>
    <w:rsid w:val="006023CD"/>
    <w:rsid w:val="00602B59"/>
    <w:rsid w:val="00602F56"/>
    <w:rsid w:val="0060321B"/>
    <w:rsid w:val="0060381C"/>
    <w:rsid w:val="00603C2C"/>
    <w:rsid w:val="0060488F"/>
    <w:rsid w:val="00604D72"/>
    <w:rsid w:val="00605246"/>
    <w:rsid w:val="00605740"/>
    <w:rsid w:val="00605F2A"/>
    <w:rsid w:val="0060641C"/>
    <w:rsid w:val="00607050"/>
    <w:rsid w:val="006070B0"/>
    <w:rsid w:val="00607262"/>
    <w:rsid w:val="0060736F"/>
    <w:rsid w:val="00607ECB"/>
    <w:rsid w:val="00610060"/>
    <w:rsid w:val="0061012A"/>
    <w:rsid w:val="00610780"/>
    <w:rsid w:val="00610B77"/>
    <w:rsid w:val="00611019"/>
    <w:rsid w:val="00611857"/>
    <w:rsid w:val="00612438"/>
    <w:rsid w:val="00612481"/>
    <w:rsid w:val="00612894"/>
    <w:rsid w:val="006132F4"/>
    <w:rsid w:val="0061344E"/>
    <w:rsid w:val="00613C83"/>
    <w:rsid w:val="00613ED2"/>
    <w:rsid w:val="00614106"/>
    <w:rsid w:val="0061455B"/>
    <w:rsid w:val="00614842"/>
    <w:rsid w:val="00614C30"/>
    <w:rsid w:val="00614C4E"/>
    <w:rsid w:val="00614F8A"/>
    <w:rsid w:val="0061545A"/>
    <w:rsid w:val="006156A9"/>
    <w:rsid w:val="00616756"/>
    <w:rsid w:val="00616B00"/>
    <w:rsid w:val="006172D9"/>
    <w:rsid w:val="00617382"/>
    <w:rsid w:val="00617505"/>
    <w:rsid w:val="00617796"/>
    <w:rsid w:val="00617A23"/>
    <w:rsid w:val="006209E5"/>
    <w:rsid w:val="00621583"/>
    <w:rsid w:val="0062191D"/>
    <w:rsid w:val="00621DC6"/>
    <w:rsid w:val="006224B6"/>
    <w:rsid w:val="00622F75"/>
    <w:rsid w:val="006238ED"/>
    <w:rsid w:val="00623BCA"/>
    <w:rsid w:val="00623DCF"/>
    <w:rsid w:val="00623EAF"/>
    <w:rsid w:val="00624122"/>
    <w:rsid w:val="006245BF"/>
    <w:rsid w:val="00624D5F"/>
    <w:rsid w:val="00624D99"/>
    <w:rsid w:val="00624E33"/>
    <w:rsid w:val="006251C7"/>
    <w:rsid w:val="006253E7"/>
    <w:rsid w:val="00625C9C"/>
    <w:rsid w:val="00626354"/>
    <w:rsid w:val="006267A3"/>
    <w:rsid w:val="006278A1"/>
    <w:rsid w:val="006279BA"/>
    <w:rsid w:val="006301F4"/>
    <w:rsid w:val="0063026C"/>
    <w:rsid w:val="0063062F"/>
    <w:rsid w:val="0063067D"/>
    <w:rsid w:val="006310B4"/>
    <w:rsid w:val="00631756"/>
    <w:rsid w:val="00632560"/>
    <w:rsid w:val="00632AC8"/>
    <w:rsid w:val="00632C9C"/>
    <w:rsid w:val="00633936"/>
    <w:rsid w:val="00633C23"/>
    <w:rsid w:val="006342FB"/>
    <w:rsid w:val="00634470"/>
    <w:rsid w:val="00634703"/>
    <w:rsid w:val="006349D3"/>
    <w:rsid w:val="00634A56"/>
    <w:rsid w:val="00634B16"/>
    <w:rsid w:val="00634DA1"/>
    <w:rsid w:val="00634F8E"/>
    <w:rsid w:val="00634FD2"/>
    <w:rsid w:val="00635499"/>
    <w:rsid w:val="00635C26"/>
    <w:rsid w:val="006364FE"/>
    <w:rsid w:val="0063670B"/>
    <w:rsid w:val="006368D4"/>
    <w:rsid w:val="00636B5A"/>
    <w:rsid w:val="0063743E"/>
    <w:rsid w:val="006374B9"/>
    <w:rsid w:val="00637C8E"/>
    <w:rsid w:val="00637EFC"/>
    <w:rsid w:val="0064081A"/>
    <w:rsid w:val="0064139C"/>
    <w:rsid w:val="00641B57"/>
    <w:rsid w:val="00642A08"/>
    <w:rsid w:val="00642F93"/>
    <w:rsid w:val="0064395B"/>
    <w:rsid w:val="00643ACA"/>
    <w:rsid w:val="00643C5A"/>
    <w:rsid w:val="00643D1C"/>
    <w:rsid w:val="0064438D"/>
    <w:rsid w:val="006443C1"/>
    <w:rsid w:val="006450FA"/>
    <w:rsid w:val="006457C7"/>
    <w:rsid w:val="00645FAC"/>
    <w:rsid w:val="00646397"/>
    <w:rsid w:val="006463DE"/>
    <w:rsid w:val="00647461"/>
    <w:rsid w:val="00647EC9"/>
    <w:rsid w:val="0065035A"/>
    <w:rsid w:val="00650639"/>
    <w:rsid w:val="006507FB"/>
    <w:rsid w:val="00650E04"/>
    <w:rsid w:val="00650E69"/>
    <w:rsid w:val="006510F0"/>
    <w:rsid w:val="0065126D"/>
    <w:rsid w:val="0065166A"/>
    <w:rsid w:val="00651F44"/>
    <w:rsid w:val="006521D5"/>
    <w:rsid w:val="0065236C"/>
    <w:rsid w:val="006524D2"/>
    <w:rsid w:val="00652A83"/>
    <w:rsid w:val="00652F45"/>
    <w:rsid w:val="0065304A"/>
    <w:rsid w:val="006531B7"/>
    <w:rsid w:val="00653B91"/>
    <w:rsid w:val="0065416B"/>
    <w:rsid w:val="00654561"/>
    <w:rsid w:val="0065472C"/>
    <w:rsid w:val="00654C47"/>
    <w:rsid w:val="00655535"/>
    <w:rsid w:val="006558F0"/>
    <w:rsid w:val="00655A55"/>
    <w:rsid w:val="006562B4"/>
    <w:rsid w:val="006563FE"/>
    <w:rsid w:val="00656770"/>
    <w:rsid w:val="00656AE7"/>
    <w:rsid w:val="006573F2"/>
    <w:rsid w:val="00657791"/>
    <w:rsid w:val="0065781B"/>
    <w:rsid w:val="00657F17"/>
    <w:rsid w:val="0066001E"/>
    <w:rsid w:val="0066055E"/>
    <w:rsid w:val="006612F1"/>
    <w:rsid w:val="006614B2"/>
    <w:rsid w:val="006615CA"/>
    <w:rsid w:val="00661778"/>
    <w:rsid w:val="00661DF7"/>
    <w:rsid w:val="006622D1"/>
    <w:rsid w:val="00662649"/>
    <w:rsid w:val="0066269A"/>
    <w:rsid w:val="00662F30"/>
    <w:rsid w:val="00663A1B"/>
    <w:rsid w:val="00664BBC"/>
    <w:rsid w:val="0066519B"/>
    <w:rsid w:val="00665464"/>
    <w:rsid w:val="006658B3"/>
    <w:rsid w:val="00665C70"/>
    <w:rsid w:val="00665E77"/>
    <w:rsid w:val="00666359"/>
    <w:rsid w:val="00666A3B"/>
    <w:rsid w:val="00666AFF"/>
    <w:rsid w:val="006671AE"/>
    <w:rsid w:val="006708F4"/>
    <w:rsid w:val="006708F5"/>
    <w:rsid w:val="00670EE5"/>
    <w:rsid w:val="0067168E"/>
    <w:rsid w:val="0067174B"/>
    <w:rsid w:val="0067188F"/>
    <w:rsid w:val="00671A49"/>
    <w:rsid w:val="00671AB3"/>
    <w:rsid w:val="00671E06"/>
    <w:rsid w:val="00671F77"/>
    <w:rsid w:val="006723EC"/>
    <w:rsid w:val="00672475"/>
    <w:rsid w:val="006725D7"/>
    <w:rsid w:val="00672F29"/>
    <w:rsid w:val="0067448A"/>
    <w:rsid w:val="0067451B"/>
    <w:rsid w:val="00674932"/>
    <w:rsid w:val="00674EF7"/>
    <w:rsid w:val="00675A2D"/>
    <w:rsid w:val="0067607E"/>
    <w:rsid w:val="0067610C"/>
    <w:rsid w:val="00676A04"/>
    <w:rsid w:val="006770D7"/>
    <w:rsid w:val="0067732D"/>
    <w:rsid w:val="00677A03"/>
    <w:rsid w:val="00677B50"/>
    <w:rsid w:val="00677FB6"/>
    <w:rsid w:val="006809F4"/>
    <w:rsid w:val="006812B3"/>
    <w:rsid w:val="00681319"/>
    <w:rsid w:val="006819A8"/>
    <w:rsid w:val="00682180"/>
    <w:rsid w:val="00682338"/>
    <w:rsid w:val="00684153"/>
    <w:rsid w:val="006845EF"/>
    <w:rsid w:val="00684B5A"/>
    <w:rsid w:val="00684C2E"/>
    <w:rsid w:val="00684CB7"/>
    <w:rsid w:val="0068569A"/>
    <w:rsid w:val="00685890"/>
    <w:rsid w:val="00685947"/>
    <w:rsid w:val="00685B07"/>
    <w:rsid w:val="00686415"/>
    <w:rsid w:val="0068661F"/>
    <w:rsid w:val="00686755"/>
    <w:rsid w:val="00686EB5"/>
    <w:rsid w:val="00687764"/>
    <w:rsid w:val="0068777A"/>
    <w:rsid w:val="00687E74"/>
    <w:rsid w:val="006902F5"/>
    <w:rsid w:val="006904D5"/>
    <w:rsid w:val="0069085C"/>
    <w:rsid w:val="00690BED"/>
    <w:rsid w:val="00691256"/>
    <w:rsid w:val="00691755"/>
    <w:rsid w:val="00691BE6"/>
    <w:rsid w:val="00691C86"/>
    <w:rsid w:val="00691EA1"/>
    <w:rsid w:val="00692162"/>
    <w:rsid w:val="006939B7"/>
    <w:rsid w:val="00693A1F"/>
    <w:rsid w:val="00693D65"/>
    <w:rsid w:val="00693E61"/>
    <w:rsid w:val="0069454B"/>
    <w:rsid w:val="00694DBC"/>
    <w:rsid w:val="00694F2C"/>
    <w:rsid w:val="006952FF"/>
    <w:rsid w:val="00695D4E"/>
    <w:rsid w:val="006960B1"/>
    <w:rsid w:val="006961F4"/>
    <w:rsid w:val="0069768C"/>
    <w:rsid w:val="006A00F7"/>
    <w:rsid w:val="006A0629"/>
    <w:rsid w:val="006A107A"/>
    <w:rsid w:val="006A1C63"/>
    <w:rsid w:val="006A20AC"/>
    <w:rsid w:val="006A2436"/>
    <w:rsid w:val="006A3300"/>
    <w:rsid w:val="006A33CC"/>
    <w:rsid w:val="006A34F3"/>
    <w:rsid w:val="006A358A"/>
    <w:rsid w:val="006A385E"/>
    <w:rsid w:val="006A3BE0"/>
    <w:rsid w:val="006A3EA9"/>
    <w:rsid w:val="006A3FBC"/>
    <w:rsid w:val="006A44C0"/>
    <w:rsid w:val="006A458E"/>
    <w:rsid w:val="006A49F9"/>
    <w:rsid w:val="006A4E50"/>
    <w:rsid w:val="006A532A"/>
    <w:rsid w:val="006A5EC0"/>
    <w:rsid w:val="006A6997"/>
    <w:rsid w:val="006A6A91"/>
    <w:rsid w:val="006A70DB"/>
    <w:rsid w:val="006A76EF"/>
    <w:rsid w:val="006B01DD"/>
    <w:rsid w:val="006B0339"/>
    <w:rsid w:val="006B03C3"/>
    <w:rsid w:val="006B07E8"/>
    <w:rsid w:val="006B0A2A"/>
    <w:rsid w:val="006B0A3B"/>
    <w:rsid w:val="006B0E4C"/>
    <w:rsid w:val="006B1815"/>
    <w:rsid w:val="006B1A30"/>
    <w:rsid w:val="006B1BC0"/>
    <w:rsid w:val="006B1CBE"/>
    <w:rsid w:val="006B24E9"/>
    <w:rsid w:val="006B2ABD"/>
    <w:rsid w:val="006B2D49"/>
    <w:rsid w:val="006B3721"/>
    <w:rsid w:val="006B37C3"/>
    <w:rsid w:val="006B439D"/>
    <w:rsid w:val="006B4441"/>
    <w:rsid w:val="006B4479"/>
    <w:rsid w:val="006B452A"/>
    <w:rsid w:val="006B4818"/>
    <w:rsid w:val="006B4823"/>
    <w:rsid w:val="006B5148"/>
    <w:rsid w:val="006B6288"/>
    <w:rsid w:val="006B6330"/>
    <w:rsid w:val="006B6513"/>
    <w:rsid w:val="006B6F11"/>
    <w:rsid w:val="006B7007"/>
    <w:rsid w:val="006B764F"/>
    <w:rsid w:val="006B76E0"/>
    <w:rsid w:val="006B789C"/>
    <w:rsid w:val="006B793E"/>
    <w:rsid w:val="006B7AB0"/>
    <w:rsid w:val="006B7D3B"/>
    <w:rsid w:val="006C0021"/>
    <w:rsid w:val="006C02AF"/>
    <w:rsid w:val="006C080D"/>
    <w:rsid w:val="006C0843"/>
    <w:rsid w:val="006C091B"/>
    <w:rsid w:val="006C0989"/>
    <w:rsid w:val="006C1769"/>
    <w:rsid w:val="006C1B04"/>
    <w:rsid w:val="006C1EA8"/>
    <w:rsid w:val="006C29E2"/>
    <w:rsid w:val="006C320C"/>
    <w:rsid w:val="006C37E5"/>
    <w:rsid w:val="006C3A17"/>
    <w:rsid w:val="006C3F6F"/>
    <w:rsid w:val="006C40D1"/>
    <w:rsid w:val="006C44C4"/>
    <w:rsid w:val="006C4900"/>
    <w:rsid w:val="006C53A2"/>
    <w:rsid w:val="006C5C34"/>
    <w:rsid w:val="006C5CAD"/>
    <w:rsid w:val="006C5F0F"/>
    <w:rsid w:val="006C6650"/>
    <w:rsid w:val="006C66E4"/>
    <w:rsid w:val="006C6B12"/>
    <w:rsid w:val="006C6C0A"/>
    <w:rsid w:val="006C6D11"/>
    <w:rsid w:val="006C6F2B"/>
    <w:rsid w:val="006C78CB"/>
    <w:rsid w:val="006C78F0"/>
    <w:rsid w:val="006C7C12"/>
    <w:rsid w:val="006C7CBC"/>
    <w:rsid w:val="006D02A8"/>
    <w:rsid w:val="006D04F5"/>
    <w:rsid w:val="006D08BB"/>
    <w:rsid w:val="006D0AEF"/>
    <w:rsid w:val="006D0D61"/>
    <w:rsid w:val="006D0F8D"/>
    <w:rsid w:val="006D13B2"/>
    <w:rsid w:val="006D1C6F"/>
    <w:rsid w:val="006D27D8"/>
    <w:rsid w:val="006D3258"/>
    <w:rsid w:val="006D4074"/>
    <w:rsid w:val="006D4289"/>
    <w:rsid w:val="006D435A"/>
    <w:rsid w:val="006D4399"/>
    <w:rsid w:val="006D53B2"/>
    <w:rsid w:val="006D5735"/>
    <w:rsid w:val="006D5D0E"/>
    <w:rsid w:val="006D614B"/>
    <w:rsid w:val="006D7133"/>
    <w:rsid w:val="006D7D8E"/>
    <w:rsid w:val="006D7FC7"/>
    <w:rsid w:val="006E01B6"/>
    <w:rsid w:val="006E076F"/>
    <w:rsid w:val="006E0F6E"/>
    <w:rsid w:val="006E182C"/>
    <w:rsid w:val="006E2022"/>
    <w:rsid w:val="006E2181"/>
    <w:rsid w:val="006E2384"/>
    <w:rsid w:val="006E23F2"/>
    <w:rsid w:val="006E311C"/>
    <w:rsid w:val="006E341D"/>
    <w:rsid w:val="006E35BA"/>
    <w:rsid w:val="006E38D0"/>
    <w:rsid w:val="006E4418"/>
    <w:rsid w:val="006E44BD"/>
    <w:rsid w:val="006E49D5"/>
    <w:rsid w:val="006E4F34"/>
    <w:rsid w:val="006E5231"/>
    <w:rsid w:val="006E5F05"/>
    <w:rsid w:val="006E5FFA"/>
    <w:rsid w:val="006E6925"/>
    <w:rsid w:val="006E75A7"/>
    <w:rsid w:val="006E7768"/>
    <w:rsid w:val="006F0DB2"/>
    <w:rsid w:val="006F0DD8"/>
    <w:rsid w:val="006F0DE6"/>
    <w:rsid w:val="006F10C6"/>
    <w:rsid w:val="006F1290"/>
    <w:rsid w:val="006F1B33"/>
    <w:rsid w:val="006F1D34"/>
    <w:rsid w:val="006F1DD9"/>
    <w:rsid w:val="006F1F79"/>
    <w:rsid w:val="006F20CD"/>
    <w:rsid w:val="006F2233"/>
    <w:rsid w:val="006F2288"/>
    <w:rsid w:val="006F264D"/>
    <w:rsid w:val="006F27E1"/>
    <w:rsid w:val="006F29E1"/>
    <w:rsid w:val="006F2D0A"/>
    <w:rsid w:val="006F31DE"/>
    <w:rsid w:val="006F34B4"/>
    <w:rsid w:val="006F3640"/>
    <w:rsid w:val="006F416A"/>
    <w:rsid w:val="006F43BD"/>
    <w:rsid w:val="006F43D6"/>
    <w:rsid w:val="006F4487"/>
    <w:rsid w:val="006F52FF"/>
    <w:rsid w:val="006F5541"/>
    <w:rsid w:val="006F58A6"/>
    <w:rsid w:val="006F597A"/>
    <w:rsid w:val="006F5A8B"/>
    <w:rsid w:val="006F6382"/>
    <w:rsid w:val="006F7FF1"/>
    <w:rsid w:val="007001DE"/>
    <w:rsid w:val="00700518"/>
    <w:rsid w:val="00700820"/>
    <w:rsid w:val="0070159E"/>
    <w:rsid w:val="00701C26"/>
    <w:rsid w:val="00701C54"/>
    <w:rsid w:val="00701FC8"/>
    <w:rsid w:val="00702132"/>
    <w:rsid w:val="0070227A"/>
    <w:rsid w:val="00702498"/>
    <w:rsid w:val="00702517"/>
    <w:rsid w:val="0070261F"/>
    <w:rsid w:val="00702E16"/>
    <w:rsid w:val="00702EDC"/>
    <w:rsid w:val="007034C4"/>
    <w:rsid w:val="00703843"/>
    <w:rsid w:val="00703947"/>
    <w:rsid w:val="007039B2"/>
    <w:rsid w:val="00703ACF"/>
    <w:rsid w:val="00703DB9"/>
    <w:rsid w:val="00703FFC"/>
    <w:rsid w:val="007041C8"/>
    <w:rsid w:val="00704827"/>
    <w:rsid w:val="007048D0"/>
    <w:rsid w:val="00705402"/>
    <w:rsid w:val="00706385"/>
    <w:rsid w:val="007069C7"/>
    <w:rsid w:val="0070721B"/>
    <w:rsid w:val="007073F2"/>
    <w:rsid w:val="00707522"/>
    <w:rsid w:val="00707DFC"/>
    <w:rsid w:val="00707FA2"/>
    <w:rsid w:val="007100AF"/>
    <w:rsid w:val="00710845"/>
    <w:rsid w:val="00710E65"/>
    <w:rsid w:val="007110DD"/>
    <w:rsid w:val="0071144D"/>
    <w:rsid w:val="007117A8"/>
    <w:rsid w:val="00711BEA"/>
    <w:rsid w:val="00711C88"/>
    <w:rsid w:val="00712EAF"/>
    <w:rsid w:val="00712F7A"/>
    <w:rsid w:val="0071323A"/>
    <w:rsid w:val="007132C3"/>
    <w:rsid w:val="00713CE5"/>
    <w:rsid w:val="0071416F"/>
    <w:rsid w:val="00714344"/>
    <w:rsid w:val="007145E4"/>
    <w:rsid w:val="00715C11"/>
    <w:rsid w:val="00715C6E"/>
    <w:rsid w:val="00715FBE"/>
    <w:rsid w:val="007160F1"/>
    <w:rsid w:val="007168AF"/>
    <w:rsid w:val="007169AA"/>
    <w:rsid w:val="007174CA"/>
    <w:rsid w:val="007175D2"/>
    <w:rsid w:val="0072013B"/>
    <w:rsid w:val="00720F76"/>
    <w:rsid w:val="00722113"/>
    <w:rsid w:val="0072213A"/>
    <w:rsid w:val="0072250E"/>
    <w:rsid w:val="00722B7B"/>
    <w:rsid w:val="00722E0B"/>
    <w:rsid w:val="00723A25"/>
    <w:rsid w:val="00723AA8"/>
    <w:rsid w:val="00723CA2"/>
    <w:rsid w:val="0072412E"/>
    <w:rsid w:val="0072492B"/>
    <w:rsid w:val="00724B51"/>
    <w:rsid w:val="007256D6"/>
    <w:rsid w:val="0072572F"/>
    <w:rsid w:val="00725964"/>
    <w:rsid w:val="0072598A"/>
    <w:rsid w:val="00725EF2"/>
    <w:rsid w:val="00725F0B"/>
    <w:rsid w:val="00725F71"/>
    <w:rsid w:val="00726AF9"/>
    <w:rsid w:val="00726B3F"/>
    <w:rsid w:val="00726B40"/>
    <w:rsid w:val="00727661"/>
    <w:rsid w:val="00727AC3"/>
    <w:rsid w:val="00727C57"/>
    <w:rsid w:val="00727D43"/>
    <w:rsid w:val="00727DC8"/>
    <w:rsid w:val="0073008B"/>
    <w:rsid w:val="00730674"/>
    <w:rsid w:val="00730810"/>
    <w:rsid w:val="007309D2"/>
    <w:rsid w:val="00731279"/>
    <w:rsid w:val="00731545"/>
    <w:rsid w:val="00731662"/>
    <w:rsid w:val="00731A14"/>
    <w:rsid w:val="00731BED"/>
    <w:rsid w:val="00731C19"/>
    <w:rsid w:val="00732A14"/>
    <w:rsid w:val="00732C86"/>
    <w:rsid w:val="0073326F"/>
    <w:rsid w:val="0073373A"/>
    <w:rsid w:val="0073473B"/>
    <w:rsid w:val="00734AC4"/>
    <w:rsid w:val="00734CDA"/>
    <w:rsid w:val="007355B4"/>
    <w:rsid w:val="007357CF"/>
    <w:rsid w:val="00735F27"/>
    <w:rsid w:val="00736314"/>
    <w:rsid w:val="00736446"/>
    <w:rsid w:val="00736928"/>
    <w:rsid w:val="00736D41"/>
    <w:rsid w:val="00736DEB"/>
    <w:rsid w:val="00736E59"/>
    <w:rsid w:val="00737600"/>
    <w:rsid w:val="00737F47"/>
    <w:rsid w:val="00737F69"/>
    <w:rsid w:val="007405D4"/>
    <w:rsid w:val="00740BEB"/>
    <w:rsid w:val="00740FBD"/>
    <w:rsid w:val="0074147F"/>
    <w:rsid w:val="00741EAD"/>
    <w:rsid w:val="0074280B"/>
    <w:rsid w:val="00742B49"/>
    <w:rsid w:val="00743CC0"/>
    <w:rsid w:val="0074408E"/>
    <w:rsid w:val="007441C9"/>
    <w:rsid w:val="00744C70"/>
    <w:rsid w:val="00744D35"/>
    <w:rsid w:val="00744D44"/>
    <w:rsid w:val="00745105"/>
    <w:rsid w:val="00745932"/>
    <w:rsid w:val="007459E0"/>
    <w:rsid w:val="00745A9D"/>
    <w:rsid w:val="00746660"/>
    <w:rsid w:val="0074693B"/>
    <w:rsid w:val="00746EB9"/>
    <w:rsid w:val="00747147"/>
    <w:rsid w:val="00747895"/>
    <w:rsid w:val="00750A22"/>
    <w:rsid w:val="00750DAB"/>
    <w:rsid w:val="007518CB"/>
    <w:rsid w:val="00752167"/>
    <w:rsid w:val="007522A9"/>
    <w:rsid w:val="0075245C"/>
    <w:rsid w:val="007527A7"/>
    <w:rsid w:val="007534FE"/>
    <w:rsid w:val="0075352F"/>
    <w:rsid w:val="0075480E"/>
    <w:rsid w:val="00755884"/>
    <w:rsid w:val="0075594E"/>
    <w:rsid w:val="007564B9"/>
    <w:rsid w:val="00756557"/>
    <w:rsid w:val="0075682B"/>
    <w:rsid w:val="007570A2"/>
    <w:rsid w:val="00757339"/>
    <w:rsid w:val="0075767E"/>
    <w:rsid w:val="00757925"/>
    <w:rsid w:val="00757C56"/>
    <w:rsid w:val="00760519"/>
    <w:rsid w:val="00760C87"/>
    <w:rsid w:val="00760DBC"/>
    <w:rsid w:val="00760F7D"/>
    <w:rsid w:val="00760F8B"/>
    <w:rsid w:val="0076114A"/>
    <w:rsid w:val="0076146C"/>
    <w:rsid w:val="00761479"/>
    <w:rsid w:val="00761A89"/>
    <w:rsid w:val="00762275"/>
    <w:rsid w:val="0076247A"/>
    <w:rsid w:val="0076248F"/>
    <w:rsid w:val="00763384"/>
    <w:rsid w:val="007642C0"/>
    <w:rsid w:val="007645AB"/>
    <w:rsid w:val="00764969"/>
    <w:rsid w:val="0076496F"/>
    <w:rsid w:val="00764A02"/>
    <w:rsid w:val="0076511C"/>
    <w:rsid w:val="007653A5"/>
    <w:rsid w:val="00765B5A"/>
    <w:rsid w:val="00765FFE"/>
    <w:rsid w:val="0076738F"/>
    <w:rsid w:val="00767472"/>
    <w:rsid w:val="00770250"/>
    <w:rsid w:val="00771904"/>
    <w:rsid w:val="00772410"/>
    <w:rsid w:val="00772DDB"/>
    <w:rsid w:val="007730AA"/>
    <w:rsid w:val="00773BC6"/>
    <w:rsid w:val="00773EA4"/>
    <w:rsid w:val="00773F28"/>
    <w:rsid w:val="007747BB"/>
    <w:rsid w:val="007748CB"/>
    <w:rsid w:val="00774D4B"/>
    <w:rsid w:val="00775877"/>
    <w:rsid w:val="007758C7"/>
    <w:rsid w:val="00775D2E"/>
    <w:rsid w:val="00776148"/>
    <w:rsid w:val="00776386"/>
    <w:rsid w:val="00776514"/>
    <w:rsid w:val="00776803"/>
    <w:rsid w:val="007801C1"/>
    <w:rsid w:val="007801D2"/>
    <w:rsid w:val="00780817"/>
    <w:rsid w:val="00780EC9"/>
    <w:rsid w:val="007818DD"/>
    <w:rsid w:val="00781C02"/>
    <w:rsid w:val="0078269A"/>
    <w:rsid w:val="007832AE"/>
    <w:rsid w:val="00783E62"/>
    <w:rsid w:val="0078408B"/>
    <w:rsid w:val="007840EF"/>
    <w:rsid w:val="00784658"/>
    <w:rsid w:val="0078471C"/>
    <w:rsid w:val="00784768"/>
    <w:rsid w:val="00784A61"/>
    <w:rsid w:val="00784EB5"/>
    <w:rsid w:val="00785269"/>
    <w:rsid w:val="007855A6"/>
    <w:rsid w:val="0078574E"/>
    <w:rsid w:val="007857A8"/>
    <w:rsid w:val="00785939"/>
    <w:rsid w:val="00785A04"/>
    <w:rsid w:val="00786038"/>
    <w:rsid w:val="007860C0"/>
    <w:rsid w:val="007869A2"/>
    <w:rsid w:val="00786CD9"/>
    <w:rsid w:val="00787016"/>
    <w:rsid w:val="00787E25"/>
    <w:rsid w:val="00787F37"/>
    <w:rsid w:val="0079002E"/>
    <w:rsid w:val="00790407"/>
    <w:rsid w:val="00790833"/>
    <w:rsid w:val="007908C9"/>
    <w:rsid w:val="00790C64"/>
    <w:rsid w:val="00790F88"/>
    <w:rsid w:val="00790FD0"/>
    <w:rsid w:val="0079100D"/>
    <w:rsid w:val="007911CD"/>
    <w:rsid w:val="00791393"/>
    <w:rsid w:val="00791597"/>
    <w:rsid w:val="007915C4"/>
    <w:rsid w:val="0079182C"/>
    <w:rsid w:val="00791A5F"/>
    <w:rsid w:val="0079249B"/>
    <w:rsid w:val="00792658"/>
    <w:rsid w:val="0079293B"/>
    <w:rsid w:val="00792C15"/>
    <w:rsid w:val="00792C2D"/>
    <w:rsid w:val="00792DA5"/>
    <w:rsid w:val="00792E1B"/>
    <w:rsid w:val="00794069"/>
    <w:rsid w:val="00794740"/>
    <w:rsid w:val="00794815"/>
    <w:rsid w:val="00794A31"/>
    <w:rsid w:val="00794EFF"/>
    <w:rsid w:val="00795588"/>
    <w:rsid w:val="00795928"/>
    <w:rsid w:val="007963AB"/>
    <w:rsid w:val="0079686D"/>
    <w:rsid w:val="007969E1"/>
    <w:rsid w:val="00796C44"/>
    <w:rsid w:val="007977A9"/>
    <w:rsid w:val="00797EBF"/>
    <w:rsid w:val="00797EDE"/>
    <w:rsid w:val="007A0500"/>
    <w:rsid w:val="007A099C"/>
    <w:rsid w:val="007A0BFD"/>
    <w:rsid w:val="007A10B1"/>
    <w:rsid w:val="007A1133"/>
    <w:rsid w:val="007A11B4"/>
    <w:rsid w:val="007A11D7"/>
    <w:rsid w:val="007A1838"/>
    <w:rsid w:val="007A186C"/>
    <w:rsid w:val="007A1B20"/>
    <w:rsid w:val="007A2579"/>
    <w:rsid w:val="007A26E2"/>
    <w:rsid w:val="007A28D4"/>
    <w:rsid w:val="007A2BF4"/>
    <w:rsid w:val="007A2BF5"/>
    <w:rsid w:val="007A2D47"/>
    <w:rsid w:val="007A4B6B"/>
    <w:rsid w:val="007A4CBE"/>
    <w:rsid w:val="007A529F"/>
    <w:rsid w:val="007A5597"/>
    <w:rsid w:val="007A565A"/>
    <w:rsid w:val="007A5753"/>
    <w:rsid w:val="007A5C1B"/>
    <w:rsid w:val="007A5CE5"/>
    <w:rsid w:val="007A5D65"/>
    <w:rsid w:val="007A6039"/>
    <w:rsid w:val="007A6F97"/>
    <w:rsid w:val="007A6FCA"/>
    <w:rsid w:val="007A744D"/>
    <w:rsid w:val="007A773A"/>
    <w:rsid w:val="007B0846"/>
    <w:rsid w:val="007B0CCA"/>
    <w:rsid w:val="007B1070"/>
    <w:rsid w:val="007B1A78"/>
    <w:rsid w:val="007B20CA"/>
    <w:rsid w:val="007B21F1"/>
    <w:rsid w:val="007B2468"/>
    <w:rsid w:val="007B44CE"/>
    <w:rsid w:val="007B4615"/>
    <w:rsid w:val="007B5473"/>
    <w:rsid w:val="007B578B"/>
    <w:rsid w:val="007B5B14"/>
    <w:rsid w:val="007B5BDA"/>
    <w:rsid w:val="007B5F18"/>
    <w:rsid w:val="007B6299"/>
    <w:rsid w:val="007B654E"/>
    <w:rsid w:val="007B73B9"/>
    <w:rsid w:val="007B7466"/>
    <w:rsid w:val="007B7608"/>
    <w:rsid w:val="007B79C9"/>
    <w:rsid w:val="007B7B97"/>
    <w:rsid w:val="007B7BCD"/>
    <w:rsid w:val="007C0351"/>
    <w:rsid w:val="007C0356"/>
    <w:rsid w:val="007C03E0"/>
    <w:rsid w:val="007C06FF"/>
    <w:rsid w:val="007C086F"/>
    <w:rsid w:val="007C232F"/>
    <w:rsid w:val="007C260E"/>
    <w:rsid w:val="007C2F42"/>
    <w:rsid w:val="007C301C"/>
    <w:rsid w:val="007C30AA"/>
    <w:rsid w:val="007C35D3"/>
    <w:rsid w:val="007C37D8"/>
    <w:rsid w:val="007C38B7"/>
    <w:rsid w:val="007C3BBB"/>
    <w:rsid w:val="007C3C50"/>
    <w:rsid w:val="007C3FD6"/>
    <w:rsid w:val="007C4380"/>
    <w:rsid w:val="007C5119"/>
    <w:rsid w:val="007C58A9"/>
    <w:rsid w:val="007C5917"/>
    <w:rsid w:val="007C65AB"/>
    <w:rsid w:val="007C662A"/>
    <w:rsid w:val="007C6CCE"/>
    <w:rsid w:val="007C758D"/>
    <w:rsid w:val="007C7845"/>
    <w:rsid w:val="007C7C93"/>
    <w:rsid w:val="007C7E7A"/>
    <w:rsid w:val="007C7EE5"/>
    <w:rsid w:val="007D0335"/>
    <w:rsid w:val="007D071A"/>
    <w:rsid w:val="007D0B58"/>
    <w:rsid w:val="007D143A"/>
    <w:rsid w:val="007D1587"/>
    <w:rsid w:val="007D1674"/>
    <w:rsid w:val="007D1F39"/>
    <w:rsid w:val="007D238D"/>
    <w:rsid w:val="007D25B1"/>
    <w:rsid w:val="007D33A6"/>
    <w:rsid w:val="007D36A8"/>
    <w:rsid w:val="007D3B55"/>
    <w:rsid w:val="007D3CF2"/>
    <w:rsid w:val="007D4256"/>
    <w:rsid w:val="007D4812"/>
    <w:rsid w:val="007D50D8"/>
    <w:rsid w:val="007D5360"/>
    <w:rsid w:val="007D5558"/>
    <w:rsid w:val="007D5B09"/>
    <w:rsid w:val="007D5EC1"/>
    <w:rsid w:val="007D64AB"/>
    <w:rsid w:val="007D65C0"/>
    <w:rsid w:val="007D7064"/>
    <w:rsid w:val="007D727F"/>
    <w:rsid w:val="007E0085"/>
    <w:rsid w:val="007E02F5"/>
    <w:rsid w:val="007E1048"/>
    <w:rsid w:val="007E105B"/>
    <w:rsid w:val="007E147E"/>
    <w:rsid w:val="007E148D"/>
    <w:rsid w:val="007E152F"/>
    <w:rsid w:val="007E183E"/>
    <w:rsid w:val="007E190C"/>
    <w:rsid w:val="007E21F6"/>
    <w:rsid w:val="007E265B"/>
    <w:rsid w:val="007E282C"/>
    <w:rsid w:val="007E2DA8"/>
    <w:rsid w:val="007E319D"/>
    <w:rsid w:val="007E3779"/>
    <w:rsid w:val="007E39C1"/>
    <w:rsid w:val="007E3DCF"/>
    <w:rsid w:val="007E50AE"/>
    <w:rsid w:val="007E56F4"/>
    <w:rsid w:val="007E5C99"/>
    <w:rsid w:val="007E5D5E"/>
    <w:rsid w:val="007E6007"/>
    <w:rsid w:val="007E61A2"/>
    <w:rsid w:val="007E6303"/>
    <w:rsid w:val="007E66F4"/>
    <w:rsid w:val="007E6F3A"/>
    <w:rsid w:val="007E7258"/>
    <w:rsid w:val="007E7CE4"/>
    <w:rsid w:val="007F0082"/>
    <w:rsid w:val="007F030F"/>
    <w:rsid w:val="007F0685"/>
    <w:rsid w:val="007F0C09"/>
    <w:rsid w:val="007F1030"/>
    <w:rsid w:val="007F19DE"/>
    <w:rsid w:val="007F1B12"/>
    <w:rsid w:val="007F21CC"/>
    <w:rsid w:val="007F2CFF"/>
    <w:rsid w:val="007F3005"/>
    <w:rsid w:val="007F30EA"/>
    <w:rsid w:val="007F312C"/>
    <w:rsid w:val="007F4A2F"/>
    <w:rsid w:val="007F4BD8"/>
    <w:rsid w:val="007F5216"/>
    <w:rsid w:val="007F5623"/>
    <w:rsid w:val="007F57A2"/>
    <w:rsid w:val="007F592B"/>
    <w:rsid w:val="007F6368"/>
    <w:rsid w:val="007F673F"/>
    <w:rsid w:val="007F675D"/>
    <w:rsid w:val="007F6E90"/>
    <w:rsid w:val="007F72BC"/>
    <w:rsid w:val="007F7D06"/>
    <w:rsid w:val="00800118"/>
    <w:rsid w:val="00800B7B"/>
    <w:rsid w:val="0080127B"/>
    <w:rsid w:val="00801283"/>
    <w:rsid w:val="00801295"/>
    <w:rsid w:val="00801373"/>
    <w:rsid w:val="00801A48"/>
    <w:rsid w:val="00801E54"/>
    <w:rsid w:val="008021DB"/>
    <w:rsid w:val="008027D7"/>
    <w:rsid w:val="00802CA2"/>
    <w:rsid w:val="00802E39"/>
    <w:rsid w:val="0080300D"/>
    <w:rsid w:val="0080348E"/>
    <w:rsid w:val="00803657"/>
    <w:rsid w:val="00803D63"/>
    <w:rsid w:val="00803DFF"/>
    <w:rsid w:val="00803F1A"/>
    <w:rsid w:val="00804082"/>
    <w:rsid w:val="00804419"/>
    <w:rsid w:val="008046F2"/>
    <w:rsid w:val="00804C14"/>
    <w:rsid w:val="00804FF1"/>
    <w:rsid w:val="0080547E"/>
    <w:rsid w:val="00805C87"/>
    <w:rsid w:val="00805CC8"/>
    <w:rsid w:val="00806624"/>
    <w:rsid w:val="00806C99"/>
    <w:rsid w:val="00806F99"/>
    <w:rsid w:val="00807497"/>
    <w:rsid w:val="00807765"/>
    <w:rsid w:val="008106B8"/>
    <w:rsid w:val="00810B91"/>
    <w:rsid w:val="008112DE"/>
    <w:rsid w:val="00811B39"/>
    <w:rsid w:val="00811C15"/>
    <w:rsid w:val="00811E13"/>
    <w:rsid w:val="0081207A"/>
    <w:rsid w:val="0081270A"/>
    <w:rsid w:val="00812B00"/>
    <w:rsid w:val="00812D3F"/>
    <w:rsid w:val="0081330B"/>
    <w:rsid w:val="008134E5"/>
    <w:rsid w:val="0081387E"/>
    <w:rsid w:val="00813E46"/>
    <w:rsid w:val="008145DB"/>
    <w:rsid w:val="008148F6"/>
    <w:rsid w:val="00814CF4"/>
    <w:rsid w:val="008158BE"/>
    <w:rsid w:val="008159E1"/>
    <w:rsid w:val="00815BE9"/>
    <w:rsid w:val="00815C84"/>
    <w:rsid w:val="00816683"/>
    <w:rsid w:val="00816C99"/>
    <w:rsid w:val="00816EAD"/>
    <w:rsid w:val="00821707"/>
    <w:rsid w:val="0082195A"/>
    <w:rsid w:val="00821D9D"/>
    <w:rsid w:val="00821E90"/>
    <w:rsid w:val="00822296"/>
    <w:rsid w:val="008224DC"/>
    <w:rsid w:val="008237FC"/>
    <w:rsid w:val="00823AAC"/>
    <w:rsid w:val="00823F41"/>
    <w:rsid w:val="008257F4"/>
    <w:rsid w:val="008262DC"/>
    <w:rsid w:val="00826BB7"/>
    <w:rsid w:val="00826D3F"/>
    <w:rsid w:val="00827085"/>
    <w:rsid w:val="00827DB9"/>
    <w:rsid w:val="00827F90"/>
    <w:rsid w:val="008300A6"/>
    <w:rsid w:val="00830384"/>
    <w:rsid w:val="00830D49"/>
    <w:rsid w:val="00830F73"/>
    <w:rsid w:val="0083103E"/>
    <w:rsid w:val="008310B6"/>
    <w:rsid w:val="008312A9"/>
    <w:rsid w:val="0083171D"/>
    <w:rsid w:val="00831856"/>
    <w:rsid w:val="00831EE8"/>
    <w:rsid w:val="00831EF3"/>
    <w:rsid w:val="00832684"/>
    <w:rsid w:val="00832706"/>
    <w:rsid w:val="00832797"/>
    <w:rsid w:val="008327A0"/>
    <w:rsid w:val="008329EA"/>
    <w:rsid w:val="00832ABE"/>
    <w:rsid w:val="00832C9F"/>
    <w:rsid w:val="00833196"/>
    <w:rsid w:val="008336F6"/>
    <w:rsid w:val="00833F13"/>
    <w:rsid w:val="00834293"/>
    <w:rsid w:val="008346BE"/>
    <w:rsid w:val="00835766"/>
    <w:rsid w:val="0083602C"/>
    <w:rsid w:val="0083676A"/>
    <w:rsid w:val="00836787"/>
    <w:rsid w:val="00836911"/>
    <w:rsid w:val="00836B53"/>
    <w:rsid w:val="00836BA7"/>
    <w:rsid w:val="00836C45"/>
    <w:rsid w:val="00837709"/>
    <w:rsid w:val="00837845"/>
    <w:rsid w:val="0083798E"/>
    <w:rsid w:val="0084022F"/>
    <w:rsid w:val="00840403"/>
    <w:rsid w:val="00840448"/>
    <w:rsid w:val="008404EC"/>
    <w:rsid w:val="00840B01"/>
    <w:rsid w:val="008411DA"/>
    <w:rsid w:val="00841F20"/>
    <w:rsid w:val="00842268"/>
    <w:rsid w:val="00842970"/>
    <w:rsid w:val="00842CC3"/>
    <w:rsid w:val="00842D8D"/>
    <w:rsid w:val="00842E29"/>
    <w:rsid w:val="00842F28"/>
    <w:rsid w:val="0084330D"/>
    <w:rsid w:val="0084338B"/>
    <w:rsid w:val="0084376B"/>
    <w:rsid w:val="00843BAF"/>
    <w:rsid w:val="00843E1D"/>
    <w:rsid w:val="00843F34"/>
    <w:rsid w:val="00844977"/>
    <w:rsid w:val="00844CA6"/>
    <w:rsid w:val="00845209"/>
    <w:rsid w:val="00845402"/>
    <w:rsid w:val="00846350"/>
    <w:rsid w:val="00846966"/>
    <w:rsid w:val="00846DAD"/>
    <w:rsid w:val="00847035"/>
    <w:rsid w:val="00847291"/>
    <w:rsid w:val="00847371"/>
    <w:rsid w:val="0085003C"/>
    <w:rsid w:val="008501BD"/>
    <w:rsid w:val="008502E2"/>
    <w:rsid w:val="00850E5A"/>
    <w:rsid w:val="00850F8C"/>
    <w:rsid w:val="0085122F"/>
    <w:rsid w:val="00851358"/>
    <w:rsid w:val="0085188E"/>
    <w:rsid w:val="008519C0"/>
    <w:rsid w:val="00851CC4"/>
    <w:rsid w:val="00851FD1"/>
    <w:rsid w:val="0085266F"/>
    <w:rsid w:val="008527ED"/>
    <w:rsid w:val="00852887"/>
    <w:rsid w:val="008528DF"/>
    <w:rsid w:val="00852A54"/>
    <w:rsid w:val="00852DDC"/>
    <w:rsid w:val="00853EB3"/>
    <w:rsid w:val="008545BF"/>
    <w:rsid w:val="00854C6C"/>
    <w:rsid w:val="00855A62"/>
    <w:rsid w:val="00856149"/>
    <w:rsid w:val="008561DB"/>
    <w:rsid w:val="00856627"/>
    <w:rsid w:val="0085781D"/>
    <w:rsid w:val="00857A79"/>
    <w:rsid w:val="00857B77"/>
    <w:rsid w:val="00857EFA"/>
    <w:rsid w:val="0086003A"/>
    <w:rsid w:val="0086019A"/>
    <w:rsid w:val="00860331"/>
    <w:rsid w:val="00860A1E"/>
    <w:rsid w:val="00860A8C"/>
    <w:rsid w:val="00860D3B"/>
    <w:rsid w:val="008611AA"/>
    <w:rsid w:val="00862354"/>
    <w:rsid w:val="0086248E"/>
    <w:rsid w:val="00862A92"/>
    <w:rsid w:val="0086303B"/>
    <w:rsid w:val="008630A4"/>
    <w:rsid w:val="0086318E"/>
    <w:rsid w:val="00863358"/>
    <w:rsid w:val="008633B4"/>
    <w:rsid w:val="008633C2"/>
    <w:rsid w:val="0086359F"/>
    <w:rsid w:val="00864103"/>
    <w:rsid w:val="00864612"/>
    <w:rsid w:val="00864B90"/>
    <w:rsid w:val="00864D26"/>
    <w:rsid w:val="00865506"/>
    <w:rsid w:val="00866345"/>
    <w:rsid w:val="0086694D"/>
    <w:rsid w:val="0086695D"/>
    <w:rsid w:val="008674B4"/>
    <w:rsid w:val="008675CF"/>
    <w:rsid w:val="0086787E"/>
    <w:rsid w:val="00867941"/>
    <w:rsid w:val="00867C2D"/>
    <w:rsid w:val="00867C82"/>
    <w:rsid w:val="008702A1"/>
    <w:rsid w:val="00870507"/>
    <w:rsid w:val="00870AB5"/>
    <w:rsid w:val="008712A9"/>
    <w:rsid w:val="0087130E"/>
    <w:rsid w:val="008718DC"/>
    <w:rsid w:val="00871CC9"/>
    <w:rsid w:val="00871F2A"/>
    <w:rsid w:val="008720C5"/>
    <w:rsid w:val="0087214C"/>
    <w:rsid w:val="0087293E"/>
    <w:rsid w:val="00872A95"/>
    <w:rsid w:val="00872B0E"/>
    <w:rsid w:val="00873FFE"/>
    <w:rsid w:val="00874504"/>
    <w:rsid w:val="00874698"/>
    <w:rsid w:val="008754D2"/>
    <w:rsid w:val="00875A65"/>
    <w:rsid w:val="00876262"/>
    <w:rsid w:val="00877379"/>
    <w:rsid w:val="00877A27"/>
    <w:rsid w:val="00877F3D"/>
    <w:rsid w:val="00880026"/>
    <w:rsid w:val="0088077F"/>
    <w:rsid w:val="00880B05"/>
    <w:rsid w:val="00880EDC"/>
    <w:rsid w:val="00880EE9"/>
    <w:rsid w:val="00881792"/>
    <w:rsid w:val="0088184D"/>
    <w:rsid w:val="0088258C"/>
    <w:rsid w:val="00882B01"/>
    <w:rsid w:val="00882C7F"/>
    <w:rsid w:val="00883110"/>
    <w:rsid w:val="0088328E"/>
    <w:rsid w:val="008836DE"/>
    <w:rsid w:val="00883A4F"/>
    <w:rsid w:val="00883FBA"/>
    <w:rsid w:val="008840D6"/>
    <w:rsid w:val="0088472B"/>
    <w:rsid w:val="0088518E"/>
    <w:rsid w:val="008851AC"/>
    <w:rsid w:val="008854D0"/>
    <w:rsid w:val="00885625"/>
    <w:rsid w:val="008861C5"/>
    <w:rsid w:val="00886D60"/>
    <w:rsid w:val="0088735D"/>
    <w:rsid w:val="0088772E"/>
    <w:rsid w:val="0089002B"/>
    <w:rsid w:val="0089009A"/>
    <w:rsid w:val="00891371"/>
    <w:rsid w:val="0089164E"/>
    <w:rsid w:val="00891A2C"/>
    <w:rsid w:val="00891DA5"/>
    <w:rsid w:val="00892468"/>
    <w:rsid w:val="008930A9"/>
    <w:rsid w:val="008933A1"/>
    <w:rsid w:val="0089386C"/>
    <w:rsid w:val="00893A27"/>
    <w:rsid w:val="00893D1B"/>
    <w:rsid w:val="00894770"/>
    <w:rsid w:val="0089496A"/>
    <w:rsid w:val="00894A0B"/>
    <w:rsid w:val="00894A73"/>
    <w:rsid w:val="00894D11"/>
    <w:rsid w:val="0089510E"/>
    <w:rsid w:val="008958B0"/>
    <w:rsid w:val="00895903"/>
    <w:rsid w:val="00895D67"/>
    <w:rsid w:val="00897274"/>
    <w:rsid w:val="0089789A"/>
    <w:rsid w:val="008979B1"/>
    <w:rsid w:val="00897A2C"/>
    <w:rsid w:val="008A0183"/>
    <w:rsid w:val="008A0509"/>
    <w:rsid w:val="008A0DDD"/>
    <w:rsid w:val="008A112E"/>
    <w:rsid w:val="008A125B"/>
    <w:rsid w:val="008A12AF"/>
    <w:rsid w:val="008A154F"/>
    <w:rsid w:val="008A183F"/>
    <w:rsid w:val="008A21DE"/>
    <w:rsid w:val="008A2214"/>
    <w:rsid w:val="008A2AED"/>
    <w:rsid w:val="008A34FB"/>
    <w:rsid w:val="008A37BD"/>
    <w:rsid w:val="008A382F"/>
    <w:rsid w:val="008A4B4B"/>
    <w:rsid w:val="008A4DE6"/>
    <w:rsid w:val="008A5034"/>
    <w:rsid w:val="008A523B"/>
    <w:rsid w:val="008A5837"/>
    <w:rsid w:val="008A5A3F"/>
    <w:rsid w:val="008A5D16"/>
    <w:rsid w:val="008A5DAA"/>
    <w:rsid w:val="008A5E64"/>
    <w:rsid w:val="008A616D"/>
    <w:rsid w:val="008A67AC"/>
    <w:rsid w:val="008A691E"/>
    <w:rsid w:val="008A7132"/>
    <w:rsid w:val="008A7553"/>
    <w:rsid w:val="008A7837"/>
    <w:rsid w:val="008B0172"/>
    <w:rsid w:val="008B06CC"/>
    <w:rsid w:val="008B0986"/>
    <w:rsid w:val="008B0FC7"/>
    <w:rsid w:val="008B127E"/>
    <w:rsid w:val="008B12A6"/>
    <w:rsid w:val="008B12B3"/>
    <w:rsid w:val="008B16B4"/>
    <w:rsid w:val="008B19BD"/>
    <w:rsid w:val="008B1DDD"/>
    <w:rsid w:val="008B2F37"/>
    <w:rsid w:val="008B3883"/>
    <w:rsid w:val="008B3C0E"/>
    <w:rsid w:val="008B421F"/>
    <w:rsid w:val="008B4946"/>
    <w:rsid w:val="008B4EB3"/>
    <w:rsid w:val="008B4ED6"/>
    <w:rsid w:val="008B4F5A"/>
    <w:rsid w:val="008B5BB3"/>
    <w:rsid w:val="008B626B"/>
    <w:rsid w:val="008B65CA"/>
    <w:rsid w:val="008B66C1"/>
    <w:rsid w:val="008B71BA"/>
    <w:rsid w:val="008B73EA"/>
    <w:rsid w:val="008B7B57"/>
    <w:rsid w:val="008B7E5A"/>
    <w:rsid w:val="008C001A"/>
    <w:rsid w:val="008C0B4C"/>
    <w:rsid w:val="008C0D1B"/>
    <w:rsid w:val="008C11E8"/>
    <w:rsid w:val="008C1233"/>
    <w:rsid w:val="008C1386"/>
    <w:rsid w:val="008C16C4"/>
    <w:rsid w:val="008C1A77"/>
    <w:rsid w:val="008C1AAB"/>
    <w:rsid w:val="008C2BF0"/>
    <w:rsid w:val="008C338F"/>
    <w:rsid w:val="008C34EF"/>
    <w:rsid w:val="008C3A4D"/>
    <w:rsid w:val="008C3EFF"/>
    <w:rsid w:val="008C4C8E"/>
    <w:rsid w:val="008C4E62"/>
    <w:rsid w:val="008C50BF"/>
    <w:rsid w:val="008C5155"/>
    <w:rsid w:val="008C58EE"/>
    <w:rsid w:val="008C5922"/>
    <w:rsid w:val="008C6863"/>
    <w:rsid w:val="008C6A44"/>
    <w:rsid w:val="008C6A50"/>
    <w:rsid w:val="008C6E8A"/>
    <w:rsid w:val="008C70BA"/>
    <w:rsid w:val="008C747A"/>
    <w:rsid w:val="008C7A3D"/>
    <w:rsid w:val="008C7ADA"/>
    <w:rsid w:val="008D0195"/>
    <w:rsid w:val="008D0304"/>
    <w:rsid w:val="008D0328"/>
    <w:rsid w:val="008D06BF"/>
    <w:rsid w:val="008D0B39"/>
    <w:rsid w:val="008D1182"/>
    <w:rsid w:val="008D1444"/>
    <w:rsid w:val="008D1676"/>
    <w:rsid w:val="008D1720"/>
    <w:rsid w:val="008D19CB"/>
    <w:rsid w:val="008D1CEA"/>
    <w:rsid w:val="008D1D0F"/>
    <w:rsid w:val="008D20C2"/>
    <w:rsid w:val="008D215C"/>
    <w:rsid w:val="008D2729"/>
    <w:rsid w:val="008D2E24"/>
    <w:rsid w:val="008D2F7F"/>
    <w:rsid w:val="008D3905"/>
    <w:rsid w:val="008D423F"/>
    <w:rsid w:val="008D467C"/>
    <w:rsid w:val="008D4694"/>
    <w:rsid w:val="008D46D4"/>
    <w:rsid w:val="008D4799"/>
    <w:rsid w:val="008D4CB1"/>
    <w:rsid w:val="008D4DB9"/>
    <w:rsid w:val="008D5876"/>
    <w:rsid w:val="008D5BFC"/>
    <w:rsid w:val="008D6173"/>
    <w:rsid w:val="008D648D"/>
    <w:rsid w:val="008D674C"/>
    <w:rsid w:val="008D6E79"/>
    <w:rsid w:val="008D7650"/>
    <w:rsid w:val="008D7696"/>
    <w:rsid w:val="008D7F6F"/>
    <w:rsid w:val="008E038B"/>
    <w:rsid w:val="008E0508"/>
    <w:rsid w:val="008E0BCF"/>
    <w:rsid w:val="008E0D16"/>
    <w:rsid w:val="008E0D33"/>
    <w:rsid w:val="008E1616"/>
    <w:rsid w:val="008E16E6"/>
    <w:rsid w:val="008E1784"/>
    <w:rsid w:val="008E18C5"/>
    <w:rsid w:val="008E1A87"/>
    <w:rsid w:val="008E25F5"/>
    <w:rsid w:val="008E26A3"/>
    <w:rsid w:val="008E294A"/>
    <w:rsid w:val="008E2AA0"/>
    <w:rsid w:val="008E2EF9"/>
    <w:rsid w:val="008E3011"/>
    <w:rsid w:val="008E31EB"/>
    <w:rsid w:val="008E41AE"/>
    <w:rsid w:val="008E4F00"/>
    <w:rsid w:val="008E5549"/>
    <w:rsid w:val="008E5936"/>
    <w:rsid w:val="008E5D66"/>
    <w:rsid w:val="008E5F66"/>
    <w:rsid w:val="008E637E"/>
    <w:rsid w:val="008E66FD"/>
    <w:rsid w:val="008E7334"/>
    <w:rsid w:val="008E7494"/>
    <w:rsid w:val="008F0B20"/>
    <w:rsid w:val="008F0FC7"/>
    <w:rsid w:val="008F1026"/>
    <w:rsid w:val="008F1136"/>
    <w:rsid w:val="008F16D4"/>
    <w:rsid w:val="008F26DE"/>
    <w:rsid w:val="008F29E5"/>
    <w:rsid w:val="008F39E6"/>
    <w:rsid w:val="008F4227"/>
    <w:rsid w:val="008F43AA"/>
    <w:rsid w:val="008F48E1"/>
    <w:rsid w:val="008F4E63"/>
    <w:rsid w:val="008F500B"/>
    <w:rsid w:val="008F674C"/>
    <w:rsid w:val="008F738A"/>
    <w:rsid w:val="008F7625"/>
    <w:rsid w:val="008F770F"/>
    <w:rsid w:val="008F7C4E"/>
    <w:rsid w:val="008F7CC8"/>
    <w:rsid w:val="008F7F3A"/>
    <w:rsid w:val="009006AD"/>
    <w:rsid w:val="00900E26"/>
    <w:rsid w:val="00901753"/>
    <w:rsid w:val="009017F2"/>
    <w:rsid w:val="00901B2F"/>
    <w:rsid w:val="00901C60"/>
    <w:rsid w:val="009020E6"/>
    <w:rsid w:val="00902496"/>
    <w:rsid w:val="009025AE"/>
    <w:rsid w:val="00902724"/>
    <w:rsid w:val="0090281A"/>
    <w:rsid w:val="00903098"/>
    <w:rsid w:val="00903346"/>
    <w:rsid w:val="009034DA"/>
    <w:rsid w:val="00904178"/>
    <w:rsid w:val="009041E2"/>
    <w:rsid w:val="00904B46"/>
    <w:rsid w:val="00904C1D"/>
    <w:rsid w:val="00904FD1"/>
    <w:rsid w:val="00905855"/>
    <w:rsid w:val="0090587C"/>
    <w:rsid w:val="00905C2C"/>
    <w:rsid w:val="00906153"/>
    <w:rsid w:val="00906767"/>
    <w:rsid w:val="00906DEF"/>
    <w:rsid w:val="009071D0"/>
    <w:rsid w:val="0090742D"/>
    <w:rsid w:val="009075A2"/>
    <w:rsid w:val="009075FE"/>
    <w:rsid w:val="00907922"/>
    <w:rsid w:val="009100D5"/>
    <w:rsid w:val="00910317"/>
    <w:rsid w:val="009107ED"/>
    <w:rsid w:val="00910EF9"/>
    <w:rsid w:val="0091124D"/>
    <w:rsid w:val="00911AB3"/>
    <w:rsid w:val="00911AED"/>
    <w:rsid w:val="00911E89"/>
    <w:rsid w:val="009122D8"/>
    <w:rsid w:val="0091281B"/>
    <w:rsid w:val="0091286A"/>
    <w:rsid w:val="00912A17"/>
    <w:rsid w:val="00913518"/>
    <w:rsid w:val="00913683"/>
    <w:rsid w:val="00914E04"/>
    <w:rsid w:val="00914F15"/>
    <w:rsid w:val="009154EA"/>
    <w:rsid w:val="009155E0"/>
    <w:rsid w:val="00915CB1"/>
    <w:rsid w:val="00915E0A"/>
    <w:rsid w:val="00915E7A"/>
    <w:rsid w:val="0091630B"/>
    <w:rsid w:val="009163DC"/>
    <w:rsid w:val="00917037"/>
    <w:rsid w:val="009172FB"/>
    <w:rsid w:val="00917763"/>
    <w:rsid w:val="00917BCB"/>
    <w:rsid w:val="00917CB1"/>
    <w:rsid w:val="0092072B"/>
    <w:rsid w:val="00920C52"/>
    <w:rsid w:val="0092115A"/>
    <w:rsid w:val="00921273"/>
    <w:rsid w:val="0092152B"/>
    <w:rsid w:val="009215B0"/>
    <w:rsid w:val="00921857"/>
    <w:rsid w:val="00921A36"/>
    <w:rsid w:val="00921B89"/>
    <w:rsid w:val="00921F2F"/>
    <w:rsid w:val="00921FE2"/>
    <w:rsid w:val="009221ED"/>
    <w:rsid w:val="00922C11"/>
    <w:rsid w:val="00922DE1"/>
    <w:rsid w:val="009230A2"/>
    <w:rsid w:val="0092311C"/>
    <w:rsid w:val="00923469"/>
    <w:rsid w:val="009235B9"/>
    <w:rsid w:val="00923737"/>
    <w:rsid w:val="00923778"/>
    <w:rsid w:val="009242BE"/>
    <w:rsid w:val="00924838"/>
    <w:rsid w:val="00924C94"/>
    <w:rsid w:val="00925056"/>
    <w:rsid w:val="00925623"/>
    <w:rsid w:val="009256FF"/>
    <w:rsid w:val="0092572D"/>
    <w:rsid w:val="00925D80"/>
    <w:rsid w:val="00926324"/>
    <w:rsid w:val="009270CA"/>
    <w:rsid w:val="00927523"/>
    <w:rsid w:val="00927E30"/>
    <w:rsid w:val="009303A1"/>
    <w:rsid w:val="009305F3"/>
    <w:rsid w:val="00930A1C"/>
    <w:rsid w:val="00930F22"/>
    <w:rsid w:val="00931114"/>
    <w:rsid w:val="00931685"/>
    <w:rsid w:val="009317EC"/>
    <w:rsid w:val="00931AC7"/>
    <w:rsid w:val="00931E74"/>
    <w:rsid w:val="009321FB"/>
    <w:rsid w:val="009326E4"/>
    <w:rsid w:val="00932B4C"/>
    <w:rsid w:val="00933816"/>
    <w:rsid w:val="009339E2"/>
    <w:rsid w:val="00933A89"/>
    <w:rsid w:val="00933BF2"/>
    <w:rsid w:val="00933D9E"/>
    <w:rsid w:val="00934092"/>
    <w:rsid w:val="009341F8"/>
    <w:rsid w:val="009355A4"/>
    <w:rsid w:val="009355EB"/>
    <w:rsid w:val="00935718"/>
    <w:rsid w:val="0093684F"/>
    <w:rsid w:val="00936B18"/>
    <w:rsid w:val="00937D22"/>
    <w:rsid w:val="00940165"/>
    <w:rsid w:val="00940A78"/>
    <w:rsid w:val="00940C16"/>
    <w:rsid w:val="00941361"/>
    <w:rsid w:val="0094163F"/>
    <w:rsid w:val="00941E12"/>
    <w:rsid w:val="00941F08"/>
    <w:rsid w:val="00942057"/>
    <w:rsid w:val="009424A2"/>
    <w:rsid w:val="009425C6"/>
    <w:rsid w:val="009427B1"/>
    <w:rsid w:val="00942EC3"/>
    <w:rsid w:val="00942EE7"/>
    <w:rsid w:val="009430A6"/>
    <w:rsid w:val="00943908"/>
    <w:rsid w:val="009440D0"/>
    <w:rsid w:val="00944148"/>
    <w:rsid w:val="009442C0"/>
    <w:rsid w:val="0094444B"/>
    <w:rsid w:val="00944DA3"/>
    <w:rsid w:val="009450A4"/>
    <w:rsid w:val="009456B6"/>
    <w:rsid w:val="009458A1"/>
    <w:rsid w:val="00946193"/>
    <w:rsid w:val="00946656"/>
    <w:rsid w:val="00946935"/>
    <w:rsid w:val="00946F0E"/>
    <w:rsid w:val="009474E4"/>
    <w:rsid w:val="00947EBC"/>
    <w:rsid w:val="00950730"/>
    <w:rsid w:val="00950777"/>
    <w:rsid w:val="00951A9E"/>
    <w:rsid w:val="00951C58"/>
    <w:rsid w:val="00952461"/>
    <w:rsid w:val="0095272E"/>
    <w:rsid w:val="00952E66"/>
    <w:rsid w:val="00953017"/>
    <w:rsid w:val="0095311E"/>
    <w:rsid w:val="009545B4"/>
    <w:rsid w:val="00954AA8"/>
    <w:rsid w:val="00954CD5"/>
    <w:rsid w:val="00955153"/>
    <w:rsid w:val="00955998"/>
    <w:rsid w:val="009560A8"/>
    <w:rsid w:val="009565DA"/>
    <w:rsid w:val="00956A71"/>
    <w:rsid w:val="00956B29"/>
    <w:rsid w:val="00956E8A"/>
    <w:rsid w:val="0095708E"/>
    <w:rsid w:val="00957741"/>
    <w:rsid w:val="00957FFC"/>
    <w:rsid w:val="0096021B"/>
    <w:rsid w:val="009606D8"/>
    <w:rsid w:val="00960BC0"/>
    <w:rsid w:val="00960ED6"/>
    <w:rsid w:val="00961489"/>
    <w:rsid w:val="00961590"/>
    <w:rsid w:val="009620EF"/>
    <w:rsid w:val="00962103"/>
    <w:rsid w:val="009624E9"/>
    <w:rsid w:val="00962511"/>
    <w:rsid w:val="00962DD3"/>
    <w:rsid w:val="009632F2"/>
    <w:rsid w:val="00964330"/>
    <w:rsid w:val="009645BB"/>
    <w:rsid w:val="0096461E"/>
    <w:rsid w:val="009646A1"/>
    <w:rsid w:val="0096482B"/>
    <w:rsid w:val="00964C01"/>
    <w:rsid w:val="00964FAB"/>
    <w:rsid w:val="00965492"/>
    <w:rsid w:val="00965653"/>
    <w:rsid w:val="009659F3"/>
    <w:rsid w:val="00965CFA"/>
    <w:rsid w:val="009663DD"/>
    <w:rsid w:val="00966BBD"/>
    <w:rsid w:val="00966DEC"/>
    <w:rsid w:val="00966DFD"/>
    <w:rsid w:val="00967222"/>
    <w:rsid w:val="0096766E"/>
    <w:rsid w:val="00967959"/>
    <w:rsid w:val="00967C81"/>
    <w:rsid w:val="00967CC7"/>
    <w:rsid w:val="00967F3C"/>
    <w:rsid w:val="009700E6"/>
    <w:rsid w:val="009708EB"/>
    <w:rsid w:val="00970A89"/>
    <w:rsid w:val="00970AEA"/>
    <w:rsid w:val="00970ECF"/>
    <w:rsid w:val="0097100D"/>
    <w:rsid w:val="00972291"/>
    <w:rsid w:val="0097230C"/>
    <w:rsid w:val="0097243A"/>
    <w:rsid w:val="009733F0"/>
    <w:rsid w:val="0097354C"/>
    <w:rsid w:val="009736F3"/>
    <w:rsid w:val="00973C0C"/>
    <w:rsid w:val="00973E1F"/>
    <w:rsid w:val="00973E36"/>
    <w:rsid w:val="0097425C"/>
    <w:rsid w:val="009746F0"/>
    <w:rsid w:val="00974703"/>
    <w:rsid w:val="00974836"/>
    <w:rsid w:val="0097484B"/>
    <w:rsid w:val="00974CB0"/>
    <w:rsid w:val="00975881"/>
    <w:rsid w:val="00976117"/>
    <w:rsid w:val="00976625"/>
    <w:rsid w:val="0097668C"/>
    <w:rsid w:val="00977018"/>
    <w:rsid w:val="009771CB"/>
    <w:rsid w:val="00977248"/>
    <w:rsid w:val="00977848"/>
    <w:rsid w:val="00977CA0"/>
    <w:rsid w:val="00977DD4"/>
    <w:rsid w:val="0098027B"/>
    <w:rsid w:val="009802E5"/>
    <w:rsid w:val="009802F6"/>
    <w:rsid w:val="00980441"/>
    <w:rsid w:val="00980CC3"/>
    <w:rsid w:val="00981180"/>
    <w:rsid w:val="009816D4"/>
    <w:rsid w:val="00981C9E"/>
    <w:rsid w:val="0098293E"/>
    <w:rsid w:val="00982965"/>
    <w:rsid w:val="00982C99"/>
    <w:rsid w:val="0098369D"/>
    <w:rsid w:val="00983707"/>
    <w:rsid w:val="00984B00"/>
    <w:rsid w:val="00984BC6"/>
    <w:rsid w:val="00985079"/>
    <w:rsid w:val="009851EE"/>
    <w:rsid w:val="009851FB"/>
    <w:rsid w:val="00985401"/>
    <w:rsid w:val="00985404"/>
    <w:rsid w:val="00985535"/>
    <w:rsid w:val="00985BD6"/>
    <w:rsid w:val="00986FF9"/>
    <w:rsid w:val="00990239"/>
    <w:rsid w:val="0099141F"/>
    <w:rsid w:val="0099195C"/>
    <w:rsid w:val="00991E7B"/>
    <w:rsid w:val="00991FB9"/>
    <w:rsid w:val="009922B5"/>
    <w:rsid w:val="00992318"/>
    <w:rsid w:val="009929CA"/>
    <w:rsid w:val="00992DFC"/>
    <w:rsid w:val="00993735"/>
    <w:rsid w:val="0099496F"/>
    <w:rsid w:val="00994A0C"/>
    <w:rsid w:val="00994B9C"/>
    <w:rsid w:val="00994CCF"/>
    <w:rsid w:val="00995284"/>
    <w:rsid w:val="0099587F"/>
    <w:rsid w:val="00995AFE"/>
    <w:rsid w:val="00995B30"/>
    <w:rsid w:val="00996CE7"/>
    <w:rsid w:val="00997522"/>
    <w:rsid w:val="00997529"/>
    <w:rsid w:val="00997E95"/>
    <w:rsid w:val="00997EDE"/>
    <w:rsid w:val="009A0A73"/>
    <w:rsid w:val="009A11EF"/>
    <w:rsid w:val="009A1409"/>
    <w:rsid w:val="009A1929"/>
    <w:rsid w:val="009A1B95"/>
    <w:rsid w:val="009A1C82"/>
    <w:rsid w:val="009A1CD9"/>
    <w:rsid w:val="009A2324"/>
    <w:rsid w:val="009A279F"/>
    <w:rsid w:val="009A2A6E"/>
    <w:rsid w:val="009A2B87"/>
    <w:rsid w:val="009A2F9C"/>
    <w:rsid w:val="009A39EE"/>
    <w:rsid w:val="009A43E1"/>
    <w:rsid w:val="009A51F5"/>
    <w:rsid w:val="009A582F"/>
    <w:rsid w:val="009A5E9F"/>
    <w:rsid w:val="009A7155"/>
    <w:rsid w:val="009A7169"/>
    <w:rsid w:val="009A7662"/>
    <w:rsid w:val="009A790A"/>
    <w:rsid w:val="009A7D3E"/>
    <w:rsid w:val="009B0774"/>
    <w:rsid w:val="009B0A48"/>
    <w:rsid w:val="009B11FA"/>
    <w:rsid w:val="009B1699"/>
    <w:rsid w:val="009B189D"/>
    <w:rsid w:val="009B1F32"/>
    <w:rsid w:val="009B21A0"/>
    <w:rsid w:val="009B27F0"/>
    <w:rsid w:val="009B2FF8"/>
    <w:rsid w:val="009B3531"/>
    <w:rsid w:val="009B39DE"/>
    <w:rsid w:val="009B3A3B"/>
    <w:rsid w:val="009B3C6A"/>
    <w:rsid w:val="009B44B8"/>
    <w:rsid w:val="009B4B16"/>
    <w:rsid w:val="009B4C09"/>
    <w:rsid w:val="009B5025"/>
    <w:rsid w:val="009B550C"/>
    <w:rsid w:val="009B656C"/>
    <w:rsid w:val="009B68F0"/>
    <w:rsid w:val="009B69C4"/>
    <w:rsid w:val="009B6D06"/>
    <w:rsid w:val="009B6EE2"/>
    <w:rsid w:val="009B7867"/>
    <w:rsid w:val="009B7D4F"/>
    <w:rsid w:val="009C02EB"/>
    <w:rsid w:val="009C154D"/>
    <w:rsid w:val="009C1913"/>
    <w:rsid w:val="009C199B"/>
    <w:rsid w:val="009C23D6"/>
    <w:rsid w:val="009C259C"/>
    <w:rsid w:val="009C2B5B"/>
    <w:rsid w:val="009C2D9C"/>
    <w:rsid w:val="009C2F9E"/>
    <w:rsid w:val="009C3148"/>
    <w:rsid w:val="009C38F1"/>
    <w:rsid w:val="009C435E"/>
    <w:rsid w:val="009C437E"/>
    <w:rsid w:val="009C43DC"/>
    <w:rsid w:val="009C51EF"/>
    <w:rsid w:val="009C595E"/>
    <w:rsid w:val="009C5C11"/>
    <w:rsid w:val="009C6D62"/>
    <w:rsid w:val="009C72DA"/>
    <w:rsid w:val="009C73D7"/>
    <w:rsid w:val="009C74DD"/>
    <w:rsid w:val="009C7834"/>
    <w:rsid w:val="009C7A83"/>
    <w:rsid w:val="009C7B0A"/>
    <w:rsid w:val="009C7B29"/>
    <w:rsid w:val="009D0035"/>
    <w:rsid w:val="009D011D"/>
    <w:rsid w:val="009D061C"/>
    <w:rsid w:val="009D07AC"/>
    <w:rsid w:val="009D08FA"/>
    <w:rsid w:val="009D0D50"/>
    <w:rsid w:val="009D16E2"/>
    <w:rsid w:val="009D1738"/>
    <w:rsid w:val="009D20B2"/>
    <w:rsid w:val="009D221F"/>
    <w:rsid w:val="009D2EFD"/>
    <w:rsid w:val="009D3C5C"/>
    <w:rsid w:val="009D3DDD"/>
    <w:rsid w:val="009D3FC0"/>
    <w:rsid w:val="009D4138"/>
    <w:rsid w:val="009D4865"/>
    <w:rsid w:val="009D4ADB"/>
    <w:rsid w:val="009D4FE2"/>
    <w:rsid w:val="009D50C8"/>
    <w:rsid w:val="009D553E"/>
    <w:rsid w:val="009D5DFB"/>
    <w:rsid w:val="009D6049"/>
    <w:rsid w:val="009D6106"/>
    <w:rsid w:val="009D61F2"/>
    <w:rsid w:val="009D67EE"/>
    <w:rsid w:val="009D740A"/>
    <w:rsid w:val="009D74F8"/>
    <w:rsid w:val="009D77A6"/>
    <w:rsid w:val="009D7ADD"/>
    <w:rsid w:val="009E00E7"/>
    <w:rsid w:val="009E04DC"/>
    <w:rsid w:val="009E1124"/>
    <w:rsid w:val="009E15D8"/>
    <w:rsid w:val="009E1DBB"/>
    <w:rsid w:val="009E2201"/>
    <w:rsid w:val="009E241A"/>
    <w:rsid w:val="009E28C2"/>
    <w:rsid w:val="009E2E5E"/>
    <w:rsid w:val="009E2E6D"/>
    <w:rsid w:val="009E2F2E"/>
    <w:rsid w:val="009E34A9"/>
    <w:rsid w:val="009E35A0"/>
    <w:rsid w:val="009E3816"/>
    <w:rsid w:val="009E4395"/>
    <w:rsid w:val="009E49CD"/>
    <w:rsid w:val="009E4F57"/>
    <w:rsid w:val="009E5B67"/>
    <w:rsid w:val="009E5FFB"/>
    <w:rsid w:val="009E61A3"/>
    <w:rsid w:val="009E6387"/>
    <w:rsid w:val="009E69F7"/>
    <w:rsid w:val="009E7433"/>
    <w:rsid w:val="009E74D4"/>
    <w:rsid w:val="009E756A"/>
    <w:rsid w:val="009E7650"/>
    <w:rsid w:val="009E782A"/>
    <w:rsid w:val="009E7A62"/>
    <w:rsid w:val="009E7B29"/>
    <w:rsid w:val="009E7D3B"/>
    <w:rsid w:val="009F047B"/>
    <w:rsid w:val="009F0899"/>
    <w:rsid w:val="009F0A3F"/>
    <w:rsid w:val="009F117E"/>
    <w:rsid w:val="009F1275"/>
    <w:rsid w:val="009F2131"/>
    <w:rsid w:val="009F26D4"/>
    <w:rsid w:val="009F26E6"/>
    <w:rsid w:val="009F2ABE"/>
    <w:rsid w:val="009F384C"/>
    <w:rsid w:val="009F4241"/>
    <w:rsid w:val="009F4262"/>
    <w:rsid w:val="009F44CF"/>
    <w:rsid w:val="009F4543"/>
    <w:rsid w:val="009F4B79"/>
    <w:rsid w:val="009F4EE8"/>
    <w:rsid w:val="009F504C"/>
    <w:rsid w:val="009F5108"/>
    <w:rsid w:val="009F5122"/>
    <w:rsid w:val="009F55CB"/>
    <w:rsid w:val="009F5662"/>
    <w:rsid w:val="009F57A4"/>
    <w:rsid w:val="009F58B0"/>
    <w:rsid w:val="009F6AAD"/>
    <w:rsid w:val="009F6BB9"/>
    <w:rsid w:val="009F6C91"/>
    <w:rsid w:val="009F6D98"/>
    <w:rsid w:val="009F757C"/>
    <w:rsid w:val="009F76EB"/>
    <w:rsid w:val="009F79DF"/>
    <w:rsid w:val="009F7A20"/>
    <w:rsid w:val="00A000AF"/>
    <w:rsid w:val="00A000EF"/>
    <w:rsid w:val="00A00909"/>
    <w:rsid w:val="00A00D9B"/>
    <w:rsid w:val="00A00FB0"/>
    <w:rsid w:val="00A01CD2"/>
    <w:rsid w:val="00A01CD6"/>
    <w:rsid w:val="00A02047"/>
    <w:rsid w:val="00A02144"/>
    <w:rsid w:val="00A0232F"/>
    <w:rsid w:val="00A02819"/>
    <w:rsid w:val="00A02EC9"/>
    <w:rsid w:val="00A03101"/>
    <w:rsid w:val="00A032B3"/>
    <w:rsid w:val="00A035EF"/>
    <w:rsid w:val="00A043DD"/>
    <w:rsid w:val="00A05F4A"/>
    <w:rsid w:val="00A060A2"/>
    <w:rsid w:val="00A063E9"/>
    <w:rsid w:val="00A064FE"/>
    <w:rsid w:val="00A065E5"/>
    <w:rsid w:val="00A069D3"/>
    <w:rsid w:val="00A06AE4"/>
    <w:rsid w:val="00A06D46"/>
    <w:rsid w:val="00A06FEB"/>
    <w:rsid w:val="00A07072"/>
    <w:rsid w:val="00A0717F"/>
    <w:rsid w:val="00A071C3"/>
    <w:rsid w:val="00A072FC"/>
    <w:rsid w:val="00A0759E"/>
    <w:rsid w:val="00A07600"/>
    <w:rsid w:val="00A0778C"/>
    <w:rsid w:val="00A077A5"/>
    <w:rsid w:val="00A105C0"/>
    <w:rsid w:val="00A10B70"/>
    <w:rsid w:val="00A10BFE"/>
    <w:rsid w:val="00A10C4B"/>
    <w:rsid w:val="00A10EE9"/>
    <w:rsid w:val="00A11275"/>
    <w:rsid w:val="00A1139A"/>
    <w:rsid w:val="00A11D4E"/>
    <w:rsid w:val="00A11E63"/>
    <w:rsid w:val="00A122BA"/>
    <w:rsid w:val="00A123BE"/>
    <w:rsid w:val="00A12CCC"/>
    <w:rsid w:val="00A12E6B"/>
    <w:rsid w:val="00A1315A"/>
    <w:rsid w:val="00A139D9"/>
    <w:rsid w:val="00A13D1C"/>
    <w:rsid w:val="00A14C3F"/>
    <w:rsid w:val="00A162D5"/>
    <w:rsid w:val="00A16A4D"/>
    <w:rsid w:val="00A16DAE"/>
    <w:rsid w:val="00A16DB1"/>
    <w:rsid w:val="00A177B5"/>
    <w:rsid w:val="00A177E7"/>
    <w:rsid w:val="00A17A3E"/>
    <w:rsid w:val="00A20614"/>
    <w:rsid w:val="00A207EE"/>
    <w:rsid w:val="00A20948"/>
    <w:rsid w:val="00A2112A"/>
    <w:rsid w:val="00A21E96"/>
    <w:rsid w:val="00A21F4E"/>
    <w:rsid w:val="00A22C5D"/>
    <w:rsid w:val="00A22FC0"/>
    <w:rsid w:val="00A230C5"/>
    <w:rsid w:val="00A235C6"/>
    <w:rsid w:val="00A2373D"/>
    <w:rsid w:val="00A23A7B"/>
    <w:rsid w:val="00A23AD6"/>
    <w:rsid w:val="00A23B9B"/>
    <w:rsid w:val="00A23D22"/>
    <w:rsid w:val="00A23D34"/>
    <w:rsid w:val="00A2499A"/>
    <w:rsid w:val="00A253D4"/>
    <w:rsid w:val="00A2548A"/>
    <w:rsid w:val="00A25A32"/>
    <w:rsid w:val="00A25A74"/>
    <w:rsid w:val="00A25FFD"/>
    <w:rsid w:val="00A26711"/>
    <w:rsid w:val="00A267C1"/>
    <w:rsid w:val="00A26C52"/>
    <w:rsid w:val="00A26D5A"/>
    <w:rsid w:val="00A270FA"/>
    <w:rsid w:val="00A277FB"/>
    <w:rsid w:val="00A27D4D"/>
    <w:rsid w:val="00A300F3"/>
    <w:rsid w:val="00A302B6"/>
    <w:rsid w:val="00A3069E"/>
    <w:rsid w:val="00A306B7"/>
    <w:rsid w:val="00A3085E"/>
    <w:rsid w:val="00A30A31"/>
    <w:rsid w:val="00A3145F"/>
    <w:rsid w:val="00A31497"/>
    <w:rsid w:val="00A31918"/>
    <w:rsid w:val="00A31CB1"/>
    <w:rsid w:val="00A32781"/>
    <w:rsid w:val="00A3339C"/>
    <w:rsid w:val="00A3378D"/>
    <w:rsid w:val="00A33CC5"/>
    <w:rsid w:val="00A33E2D"/>
    <w:rsid w:val="00A34931"/>
    <w:rsid w:val="00A34BB6"/>
    <w:rsid w:val="00A36081"/>
    <w:rsid w:val="00A36436"/>
    <w:rsid w:val="00A36927"/>
    <w:rsid w:val="00A375AF"/>
    <w:rsid w:val="00A37730"/>
    <w:rsid w:val="00A37791"/>
    <w:rsid w:val="00A37A8D"/>
    <w:rsid w:val="00A37C67"/>
    <w:rsid w:val="00A37D46"/>
    <w:rsid w:val="00A40569"/>
    <w:rsid w:val="00A42093"/>
    <w:rsid w:val="00A42110"/>
    <w:rsid w:val="00A4269F"/>
    <w:rsid w:val="00A4282A"/>
    <w:rsid w:val="00A42BF0"/>
    <w:rsid w:val="00A42ECB"/>
    <w:rsid w:val="00A4310D"/>
    <w:rsid w:val="00A432A0"/>
    <w:rsid w:val="00A43545"/>
    <w:rsid w:val="00A43594"/>
    <w:rsid w:val="00A439E1"/>
    <w:rsid w:val="00A43D47"/>
    <w:rsid w:val="00A43E30"/>
    <w:rsid w:val="00A4465A"/>
    <w:rsid w:val="00A44A68"/>
    <w:rsid w:val="00A45270"/>
    <w:rsid w:val="00A45633"/>
    <w:rsid w:val="00A45658"/>
    <w:rsid w:val="00A4588D"/>
    <w:rsid w:val="00A461E9"/>
    <w:rsid w:val="00A46725"/>
    <w:rsid w:val="00A4683D"/>
    <w:rsid w:val="00A469BB"/>
    <w:rsid w:val="00A46B3B"/>
    <w:rsid w:val="00A46C7C"/>
    <w:rsid w:val="00A46FDE"/>
    <w:rsid w:val="00A471B0"/>
    <w:rsid w:val="00A473A1"/>
    <w:rsid w:val="00A47845"/>
    <w:rsid w:val="00A47977"/>
    <w:rsid w:val="00A47C04"/>
    <w:rsid w:val="00A47F3D"/>
    <w:rsid w:val="00A50352"/>
    <w:rsid w:val="00A507FA"/>
    <w:rsid w:val="00A511A5"/>
    <w:rsid w:val="00A51598"/>
    <w:rsid w:val="00A516E7"/>
    <w:rsid w:val="00A51FCA"/>
    <w:rsid w:val="00A522BF"/>
    <w:rsid w:val="00A5232C"/>
    <w:rsid w:val="00A52373"/>
    <w:rsid w:val="00A527E0"/>
    <w:rsid w:val="00A5290E"/>
    <w:rsid w:val="00A52AFF"/>
    <w:rsid w:val="00A53AB6"/>
    <w:rsid w:val="00A53E17"/>
    <w:rsid w:val="00A53F46"/>
    <w:rsid w:val="00A5409E"/>
    <w:rsid w:val="00A54356"/>
    <w:rsid w:val="00A54796"/>
    <w:rsid w:val="00A548CD"/>
    <w:rsid w:val="00A559E3"/>
    <w:rsid w:val="00A55D8E"/>
    <w:rsid w:val="00A55DB5"/>
    <w:rsid w:val="00A55FD5"/>
    <w:rsid w:val="00A56088"/>
    <w:rsid w:val="00A56799"/>
    <w:rsid w:val="00A56B91"/>
    <w:rsid w:val="00A56CFD"/>
    <w:rsid w:val="00A56D8A"/>
    <w:rsid w:val="00A57034"/>
    <w:rsid w:val="00A57342"/>
    <w:rsid w:val="00A576FA"/>
    <w:rsid w:val="00A5790E"/>
    <w:rsid w:val="00A57C8A"/>
    <w:rsid w:val="00A57DCF"/>
    <w:rsid w:val="00A57E63"/>
    <w:rsid w:val="00A6002A"/>
    <w:rsid w:val="00A60122"/>
    <w:rsid w:val="00A60545"/>
    <w:rsid w:val="00A6061B"/>
    <w:rsid w:val="00A60915"/>
    <w:rsid w:val="00A60F9F"/>
    <w:rsid w:val="00A61700"/>
    <w:rsid w:val="00A61E41"/>
    <w:rsid w:val="00A62651"/>
    <w:rsid w:val="00A62B2E"/>
    <w:rsid w:val="00A63B27"/>
    <w:rsid w:val="00A63D9B"/>
    <w:rsid w:val="00A64049"/>
    <w:rsid w:val="00A6456E"/>
    <w:rsid w:val="00A651AB"/>
    <w:rsid w:val="00A653DE"/>
    <w:rsid w:val="00A65855"/>
    <w:rsid w:val="00A65B48"/>
    <w:rsid w:val="00A667AB"/>
    <w:rsid w:val="00A66BAF"/>
    <w:rsid w:val="00A66E7D"/>
    <w:rsid w:val="00A67DEC"/>
    <w:rsid w:val="00A702C9"/>
    <w:rsid w:val="00A7039E"/>
    <w:rsid w:val="00A70419"/>
    <w:rsid w:val="00A70857"/>
    <w:rsid w:val="00A70BFF"/>
    <w:rsid w:val="00A70C8F"/>
    <w:rsid w:val="00A70DB4"/>
    <w:rsid w:val="00A7198B"/>
    <w:rsid w:val="00A71F6A"/>
    <w:rsid w:val="00A728F0"/>
    <w:rsid w:val="00A729AF"/>
    <w:rsid w:val="00A72C3F"/>
    <w:rsid w:val="00A72D8D"/>
    <w:rsid w:val="00A7325F"/>
    <w:rsid w:val="00A734BA"/>
    <w:rsid w:val="00A7352B"/>
    <w:rsid w:val="00A73CF6"/>
    <w:rsid w:val="00A74284"/>
    <w:rsid w:val="00A743A3"/>
    <w:rsid w:val="00A74420"/>
    <w:rsid w:val="00A74C0A"/>
    <w:rsid w:val="00A7517A"/>
    <w:rsid w:val="00A753F4"/>
    <w:rsid w:val="00A75728"/>
    <w:rsid w:val="00A77078"/>
    <w:rsid w:val="00A770E0"/>
    <w:rsid w:val="00A774CD"/>
    <w:rsid w:val="00A805BB"/>
    <w:rsid w:val="00A808AD"/>
    <w:rsid w:val="00A80F5C"/>
    <w:rsid w:val="00A81180"/>
    <w:rsid w:val="00A81319"/>
    <w:rsid w:val="00A81713"/>
    <w:rsid w:val="00A81971"/>
    <w:rsid w:val="00A823FE"/>
    <w:rsid w:val="00A82E7B"/>
    <w:rsid w:val="00A837A7"/>
    <w:rsid w:val="00A83CB8"/>
    <w:rsid w:val="00A84872"/>
    <w:rsid w:val="00A848E3"/>
    <w:rsid w:val="00A8490C"/>
    <w:rsid w:val="00A84A6E"/>
    <w:rsid w:val="00A84EE1"/>
    <w:rsid w:val="00A85042"/>
    <w:rsid w:val="00A86501"/>
    <w:rsid w:val="00A8677E"/>
    <w:rsid w:val="00A87303"/>
    <w:rsid w:val="00A873DC"/>
    <w:rsid w:val="00A87BEB"/>
    <w:rsid w:val="00A901AA"/>
    <w:rsid w:val="00A90D86"/>
    <w:rsid w:val="00A91396"/>
    <w:rsid w:val="00A915D0"/>
    <w:rsid w:val="00A919DC"/>
    <w:rsid w:val="00A92C69"/>
    <w:rsid w:val="00A935D1"/>
    <w:rsid w:val="00A93DF7"/>
    <w:rsid w:val="00A9410D"/>
    <w:rsid w:val="00A94F3B"/>
    <w:rsid w:val="00A94F90"/>
    <w:rsid w:val="00A96085"/>
    <w:rsid w:val="00A961AC"/>
    <w:rsid w:val="00A97112"/>
    <w:rsid w:val="00A97491"/>
    <w:rsid w:val="00A97B6D"/>
    <w:rsid w:val="00AA06D8"/>
    <w:rsid w:val="00AA0715"/>
    <w:rsid w:val="00AA0913"/>
    <w:rsid w:val="00AA0BC4"/>
    <w:rsid w:val="00AA0EDB"/>
    <w:rsid w:val="00AA145F"/>
    <w:rsid w:val="00AA1550"/>
    <w:rsid w:val="00AA1CD7"/>
    <w:rsid w:val="00AA1D44"/>
    <w:rsid w:val="00AA1EBE"/>
    <w:rsid w:val="00AA22CE"/>
    <w:rsid w:val="00AA32B2"/>
    <w:rsid w:val="00AA3441"/>
    <w:rsid w:val="00AA3F67"/>
    <w:rsid w:val="00AA4729"/>
    <w:rsid w:val="00AA4923"/>
    <w:rsid w:val="00AA4AB3"/>
    <w:rsid w:val="00AA4AE9"/>
    <w:rsid w:val="00AA51C3"/>
    <w:rsid w:val="00AA5267"/>
    <w:rsid w:val="00AA58A7"/>
    <w:rsid w:val="00AA5B58"/>
    <w:rsid w:val="00AA5BD2"/>
    <w:rsid w:val="00AA5D65"/>
    <w:rsid w:val="00AA6737"/>
    <w:rsid w:val="00AA6928"/>
    <w:rsid w:val="00AA69A1"/>
    <w:rsid w:val="00AA6D17"/>
    <w:rsid w:val="00AB043E"/>
    <w:rsid w:val="00AB05FB"/>
    <w:rsid w:val="00AB087C"/>
    <w:rsid w:val="00AB1659"/>
    <w:rsid w:val="00AB239D"/>
    <w:rsid w:val="00AB244A"/>
    <w:rsid w:val="00AB2893"/>
    <w:rsid w:val="00AB2953"/>
    <w:rsid w:val="00AB29CE"/>
    <w:rsid w:val="00AB2BE3"/>
    <w:rsid w:val="00AB2C2D"/>
    <w:rsid w:val="00AB2DD8"/>
    <w:rsid w:val="00AB397C"/>
    <w:rsid w:val="00AB39C3"/>
    <w:rsid w:val="00AB3CBB"/>
    <w:rsid w:val="00AB3CF7"/>
    <w:rsid w:val="00AB4138"/>
    <w:rsid w:val="00AB49D2"/>
    <w:rsid w:val="00AB4D16"/>
    <w:rsid w:val="00AB4D85"/>
    <w:rsid w:val="00AB524E"/>
    <w:rsid w:val="00AB58EC"/>
    <w:rsid w:val="00AB5D04"/>
    <w:rsid w:val="00AB5E4E"/>
    <w:rsid w:val="00AB5EC5"/>
    <w:rsid w:val="00AB5F18"/>
    <w:rsid w:val="00AB614A"/>
    <w:rsid w:val="00AB620F"/>
    <w:rsid w:val="00AB69AF"/>
    <w:rsid w:val="00AB6D09"/>
    <w:rsid w:val="00AB6D7B"/>
    <w:rsid w:val="00AB6EEB"/>
    <w:rsid w:val="00AB7529"/>
    <w:rsid w:val="00AB77F2"/>
    <w:rsid w:val="00AB7DA2"/>
    <w:rsid w:val="00AB7EAC"/>
    <w:rsid w:val="00AC0544"/>
    <w:rsid w:val="00AC09F2"/>
    <w:rsid w:val="00AC239F"/>
    <w:rsid w:val="00AC240C"/>
    <w:rsid w:val="00AC24C6"/>
    <w:rsid w:val="00AC2BA9"/>
    <w:rsid w:val="00AC33C2"/>
    <w:rsid w:val="00AC3AE0"/>
    <w:rsid w:val="00AC403D"/>
    <w:rsid w:val="00AC42A7"/>
    <w:rsid w:val="00AC432F"/>
    <w:rsid w:val="00AC4B2B"/>
    <w:rsid w:val="00AC4C6A"/>
    <w:rsid w:val="00AC4C7B"/>
    <w:rsid w:val="00AC5070"/>
    <w:rsid w:val="00AC5121"/>
    <w:rsid w:val="00AC5A57"/>
    <w:rsid w:val="00AC7141"/>
    <w:rsid w:val="00AC72E1"/>
    <w:rsid w:val="00AC766A"/>
    <w:rsid w:val="00AD062C"/>
    <w:rsid w:val="00AD0C11"/>
    <w:rsid w:val="00AD0C54"/>
    <w:rsid w:val="00AD1752"/>
    <w:rsid w:val="00AD1BE5"/>
    <w:rsid w:val="00AD22C8"/>
    <w:rsid w:val="00AD2725"/>
    <w:rsid w:val="00AD3717"/>
    <w:rsid w:val="00AD3C52"/>
    <w:rsid w:val="00AD445B"/>
    <w:rsid w:val="00AD50E3"/>
    <w:rsid w:val="00AD563B"/>
    <w:rsid w:val="00AD567A"/>
    <w:rsid w:val="00AD58A6"/>
    <w:rsid w:val="00AD5B4E"/>
    <w:rsid w:val="00AD5F99"/>
    <w:rsid w:val="00AD60A8"/>
    <w:rsid w:val="00AD611D"/>
    <w:rsid w:val="00AD6979"/>
    <w:rsid w:val="00AD76C4"/>
    <w:rsid w:val="00AD76D6"/>
    <w:rsid w:val="00AD7884"/>
    <w:rsid w:val="00AD7BA3"/>
    <w:rsid w:val="00AE01F3"/>
    <w:rsid w:val="00AE055E"/>
    <w:rsid w:val="00AE1045"/>
    <w:rsid w:val="00AE1470"/>
    <w:rsid w:val="00AE174A"/>
    <w:rsid w:val="00AE1B76"/>
    <w:rsid w:val="00AE2429"/>
    <w:rsid w:val="00AE3037"/>
    <w:rsid w:val="00AE388D"/>
    <w:rsid w:val="00AE3C20"/>
    <w:rsid w:val="00AE4312"/>
    <w:rsid w:val="00AE484B"/>
    <w:rsid w:val="00AE48EE"/>
    <w:rsid w:val="00AE4BA6"/>
    <w:rsid w:val="00AE5627"/>
    <w:rsid w:val="00AE63C5"/>
    <w:rsid w:val="00AE65EC"/>
    <w:rsid w:val="00AF02BF"/>
    <w:rsid w:val="00AF02FF"/>
    <w:rsid w:val="00AF08C7"/>
    <w:rsid w:val="00AF0A26"/>
    <w:rsid w:val="00AF1443"/>
    <w:rsid w:val="00AF1C3D"/>
    <w:rsid w:val="00AF23EE"/>
    <w:rsid w:val="00AF2411"/>
    <w:rsid w:val="00AF2961"/>
    <w:rsid w:val="00AF3971"/>
    <w:rsid w:val="00AF408F"/>
    <w:rsid w:val="00AF50AC"/>
    <w:rsid w:val="00AF528B"/>
    <w:rsid w:val="00AF550B"/>
    <w:rsid w:val="00AF5593"/>
    <w:rsid w:val="00AF5A0C"/>
    <w:rsid w:val="00AF6389"/>
    <w:rsid w:val="00AF6FBD"/>
    <w:rsid w:val="00AF716F"/>
    <w:rsid w:val="00AF7D42"/>
    <w:rsid w:val="00AF7DB0"/>
    <w:rsid w:val="00B00377"/>
    <w:rsid w:val="00B009F3"/>
    <w:rsid w:val="00B01D24"/>
    <w:rsid w:val="00B02621"/>
    <w:rsid w:val="00B02765"/>
    <w:rsid w:val="00B03138"/>
    <w:rsid w:val="00B03F76"/>
    <w:rsid w:val="00B047B6"/>
    <w:rsid w:val="00B04A16"/>
    <w:rsid w:val="00B04B15"/>
    <w:rsid w:val="00B04ED8"/>
    <w:rsid w:val="00B050E7"/>
    <w:rsid w:val="00B0521F"/>
    <w:rsid w:val="00B05425"/>
    <w:rsid w:val="00B054D8"/>
    <w:rsid w:val="00B0582F"/>
    <w:rsid w:val="00B05A4B"/>
    <w:rsid w:val="00B05ED8"/>
    <w:rsid w:val="00B0606C"/>
    <w:rsid w:val="00B065F2"/>
    <w:rsid w:val="00B0744A"/>
    <w:rsid w:val="00B074A9"/>
    <w:rsid w:val="00B07739"/>
    <w:rsid w:val="00B077CB"/>
    <w:rsid w:val="00B106B6"/>
    <w:rsid w:val="00B1090A"/>
    <w:rsid w:val="00B10D10"/>
    <w:rsid w:val="00B110AD"/>
    <w:rsid w:val="00B1130B"/>
    <w:rsid w:val="00B113BE"/>
    <w:rsid w:val="00B11777"/>
    <w:rsid w:val="00B1177C"/>
    <w:rsid w:val="00B117F3"/>
    <w:rsid w:val="00B11C0E"/>
    <w:rsid w:val="00B11C74"/>
    <w:rsid w:val="00B1286A"/>
    <w:rsid w:val="00B12A07"/>
    <w:rsid w:val="00B12B45"/>
    <w:rsid w:val="00B12E8A"/>
    <w:rsid w:val="00B12F65"/>
    <w:rsid w:val="00B130E0"/>
    <w:rsid w:val="00B13496"/>
    <w:rsid w:val="00B1390D"/>
    <w:rsid w:val="00B13F47"/>
    <w:rsid w:val="00B14012"/>
    <w:rsid w:val="00B142D7"/>
    <w:rsid w:val="00B14F4E"/>
    <w:rsid w:val="00B15FCB"/>
    <w:rsid w:val="00B160A9"/>
    <w:rsid w:val="00B16494"/>
    <w:rsid w:val="00B16955"/>
    <w:rsid w:val="00B16E1D"/>
    <w:rsid w:val="00B16F7A"/>
    <w:rsid w:val="00B170B9"/>
    <w:rsid w:val="00B170ED"/>
    <w:rsid w:val="00B1742A"/>
    <w:rsid w:val="00B17446"/>
    <w:rsid w:val="00B17631"/>
    <w:rsid w:val="00B17D43"/>
    <w:rsid w:val="00B17F89"/>
    <w:rsid w:val="00B17FC7"/>
    <w:rsid w:val="00B20328"/>
    <w:rsid w:val="00B2041B"/>
    <w:rsid w:val="00B2071C"/>
    <w:rsid w:val="00B21031"/>
    <w:rsid w:val="00B21B7D"/>
    <w:rsid w:val="00B21F02"/>
    <w:rsid w:val="00B22172"/>
    <w:rsid w:val="00B2258E"/>
    <w:rsid w:val="00B226ED"/>
    <w:rsid w:val="00B23432"/>
    <w:rsid w:val="00B236A3"/>
    <w:rsid w:val="00B23CE0"/>
    <w:rsid w:val="00B2403A"/>
    <w:rsid w:val="00B24544"/>
    <w:rsid w:val="00B247BC"/>
    <w:rsid w:val="00B24F99"/>
    <w:rsid w:val="00B256B5"/>
    <w:rsid w:val="00B257F6"/>
    <w:rsid w:val="00B25E9A"/>
    <w:rsid w:val="00B26111"/>
    <w:rsid w:val="00B261F8"/>
    <w:rsid w:val="00B262AD"/>
    <w:rsid w:val="00B26488"/>
    <w:rsid w:val="00B265F6"/>
    <w:rsid w:val="00B26639"/>
    <w:rsid w:val="00B2681B"/>
    <w:rsid w:val="00B26B3F"/>
    <w:rsid w:val="00B274DD"/>
    <w:rsid w:val="00B27A54"/>
    <w:rsid w:val="00B27E93"/>
    <w:rsid w:val="00B30376"/>
    <w:rsid w:val="00B30B20"/>
    <w:rsid w:val="00B31462"/>
    <w:rsid w:val="00B314B5"/>
    <w:rsid w:val="00B31897"/>
    <w:rsid w:val="00B31D11"/>
    <w:rsid w:val="00B3222D"/>
    <w:rsid w:val="00B3230D"/>
    <w:rsid w:val="00B33377"/>
    <w:rsid w:val="00B33484"/>
    <w:rsid w:val="00B33D82"/>
    <w:rsid w:val="00B34350"/>
    <w:rsid w:val="00B34D11"/>
    <w:rsid w:val="00B34D81"/>
    <w:rsid w:val="00B3515E"/>
    <w:rsid w:val="00B352D8"/>
    <w:rsid w:val="00B3609A"/>
    <w:rsid w:val="00B36178"/>
    <w:rsid w:val="00B3632F"/>
    <w:rsid w:val="00B363B8"/>
    <w:rsid w:val="00B3693B"/>
    <w:rsid w:val="00B36E6A"/>
    <w:rsid w:val="00B37010"/>
    <w:rsid w:val="00B371F4"/>
    <w:rsid w:val="00B3739D"/>
    <w:rsid w:val="00B3740D"/>
    <w:rsid w:val="00B3745C"/>
    <w:rsid w:val="00B401BF"/>
    <w:rsid w:val="00B40719"/>
    <w:rsid w:val="00B40963"/>
    <w:rsid w:val="00B40DC7"/>
    <w:rsid w:val="00B41464"/>
    <w:rsid w:val="00B41A6B"/>
    <w:rsid w:val="00B41C96"/>
    <w:rsid w:val="00B424EF"/>
    <w:rsid w:val="00B4264D"/>
    <w:rsid w:val="00B426CA"/>
    <w:rsid w:val="00B42AB6"/>
    <w:rsid w:val="00B42EC4"/>
    <w:rsid w:val="00B435B3"/>
    <w:rsid w:val="00B43A1A"/>
    <w:rsid w:val="00B43AD7"/>
    <w:rsid w:val="00B43CF9"/>
    <w:rsid w:val="00B44B40"/>
    <w:rsid w:val="00B44DFB"/>
    <w:rsid w:val="00B4506E"/>
    <w:rsid w:val="00B45611"/>
    <w:rsid w:val="00B45D5C"/>
    <w:rsid w:val="00B461F6"/>
    <w:rsid w:val="00B46640"/>
    <w:rsid w:val="00B46801"/>
    <w:rsid w:val="00B46BC1"/>
    <w:rsid w:val="00B46E4F"/>
    <w:rsid w:val="00B47C90"/>
    <w:rsid w:val="00B500A8"/>
    <w:rsid w:val="00B5084E"/>
    <w:rsid w:val="00B5157F"/>
    <w:rsid w:val="00B51DB7"/>
    <w:rsid w:val="00B521D2"/>
    <w:rsid w:val="00B52499"/>
    <w:rsid w:val="00B52683"/>
    <w:rsid w:val="00B5295E"/>
    <w:rsid w:val="00B5305F"/>
    <w:rsid w:val="00B53AEA"/>
    <w:rsid w:val="00B53D99"/>
    <w:rsid w:val="00B5435A"/>
    <w:rsid w:val="00B54619"/>
    <w:rsid w:val="00B54AF4"/>
    <w:rsid w:val="00B54C27"/>
    <w:rsid w:val="00B54F54"/>
    <w:rsid w:val="00B551DE"/>
    <w:rsid w:val="00B556B8"/>
    <w:rsid w:val="00B55B30"/>
    <w:rsid w:val="00B55D0A"/>
    <w:rsid w:val="00B55E3E"/>
    <w:rsid w:val="00B5615D"/>
    <w:rsid w:val="00B564E4"/>
    <w:rsid w:val="00B5661F"/>
    <w:rsid w:val="00B567D0"/>
    <w:rsid w:val="00B56CF6"/>
    <w:rsid w:val="00B56D2F"/>
    <w:rsid w:val="00B5755A"/>
    <w:rsid w:val="00B57C3F"/>
    <w:rsid w:val="00B603F9"/>
    <w:rsid w:val="00B609FC"/>
    <w:rsid w:val="00B616F8"/>
    <w:rsid w:val="00B61D4C"/>
    <w:rsid w:val="00B63F78"/>
    <w:rsid w:val="00B63FC5"/>
    <w:rsid w:val="00B64498"/>
    <w:rsid w:val="00B6476F"/>
    <w:rsid w:val="00B64774"/>
    <w:rsid w:val="00B64CF6"/>
    <w:rsid w:val="00B64F65"/>
    <w:rsid w:val="00B651DB"/>
    <w:rsid w:val="00B659E7"/>
    <w:rsid w:val="00B65AC8"/>
    <w:rsid w:val="00B65BCF"/>
    <w:rsid w:val="00B65D3C"/>
    <w:rsid w:val="00B65F51"/>
    <w:rsid w:val="00B66783"/>
    <w:rsid w:val="00B66B4B"/>
    <w:rsid w:val="00B66FD5"/>
    <w:rsid w:val="00B67403"/>
    <w:rsid w:val="00B67778"/>
    <w:rsid w:val="00B67ABD"/>
    <w:rsid w:val="00B67BFD"/>
    <w:rsid w:val="00B701F7"/>
    <w:rsid w:val="00B70C92"/>
    <w:rsid w:val="00B7222E"/>
    <w:rsid w:val="00B731EB"/>
    <w:rsid w:val="00B73B28"/>
    <w:rsid w:val="00B73B9F"/>
    <w:rsid w:val="00B740B7"/>
    <w:rsid w:val="00B7513E"/>
    <w:rsid w:val="00B754F1"/>
    <w:rsid w:val="00B75714"/>
    <w:rsid w:val="00B75B9D"/>
    <w:rsid w:val="00B76C5F"/>
    <w:rsid w:val="00B76D08"/>
    <w:rsid w:val="00B770F8"/>
    <w:rsid w:val="00B77274"/>
    <w:rsid w:val="00B7781A"/>
    <w:rsid w:val="00B77D4F"/>
    <w:rsid w:val="00B77DE2"/>
    <w:rsid w:val="00B803C4"/>
    <w:rsid w:val="00B80D48"/>
    <w:rsid w:val="00B80EB3"/>
    <w:rsid w:val="00B811F8"/>
    <w:rsid w:val="00B81B03"/>
    <w:rsid w:val="00B8270A"/>
    <w:rsid w:val="00B827C4"/>
    <w:rsid w:val="00B828FA"/>
    <w:rsid w:val="00B82E49"/>
    <w:rsid w:val="00B82FB4"/>
    <w:rsid w:val="00B83154"/>
    <w:rsid w:val="00B83191"/>
    <w:rsid w:val="00B832F4"/>
    <w:rsid w:val="00B83793"/>
    <w:rsid w:val="00B83833"/>
    <w:rsid w:val="00B83919"/>
    <w:rsid w:val="00B83CC7"/>
    <w:rsid w:val="00B83E84"/>
    <w:rsid w:val="00B83E8F"/>
    <w:rsid w:val="00B848A5"/>
    <w:rsid w:val="00B84D65"/>
    <w:rsid w:val="00B856A2"/>
    <w:rsid w:val="00B85AF5"/>
    <w:rsid w:val="00B85D43"/>
    <w:rsid w:val="00B86B9F"/>
    <w:rsid w:val="00B870F0"/>
    <w:rsid w:val="00B87402"/>
    <w:rsid w:val="00B875A8"/>
    <w:rsid w:val="00B87794"/>
    <w:rsid w:val="00B87808"/>
    <w:rsid w:val="00B87970"/>
    <w:rsid w:val="00B879D4"/>
    <w:rsid w:val="00B87ECD"/>
    <w:rsid w:val="00B87EEB"/>
    <w:rsid w:val="00B91040"/>
    <w:rsid w:val="00B914A9"/>
    <w:rsid w:val="00B914E2"/>
    <w:rsid w:val="00B9206A"/>
    <w:rsid w:val="00B9219E"/>
    <w:rsid w:val="00B92F24"/>
    <w:rsid w:val="00B92F44"/>
    <w:rsid w:val="00B93C5C"/>
    <w:rsid w:val="00B93CCB"/>
    <w:rsid w:val="00B941D7"/>
    <w:rsid w:val="00B9451C"/>
    <w:rsid w:val="00B94AD1"/>
    <w:rsid w:val="00B95209"/>
    <w:rsid w:val="00B95295"/>
    <w:rsid w:val="00B9571E"/>
    <w:rsid w:val="00B95990"/>
    <w:rsid w:val="00B964BA"/>
    <w:rsid w:val="00B96A48"/>
    <w:rsid w:val="00B96EDD"/>
    <w:rsid w:val="00B97AB2"/>
    <w:rsid w:val="00B97F38"/>
    <w:rsid w:val="00BA0F1E"/>
    <w:rsid w:val="00BA0F93"/>
    <w:rsid w:val="00BA12D7"/>
    <w:rsid w:val="00BA161E"/>
    <w:rsid w:val="00BA1870"/>
    <w:rsid w:val="00BA1A19"/>
    <w:rsid w:val="00BA1ACA"/>
    <w:rsid w:val="00BA1DBF"/>
    <w:rsid w:val="00BA2933"/>
    <w:rsid w:val="00BA36BC"/>
    <w:rsid w:val="00BA3783"/>
    <w:rsid w:val="00BA383D"/>
    <w:rsid w:val="00BA39E9"/>
    <w:rsid w:val="00BA3DDB"/>
    <w:rsid w:val="00BA3FCF"/>
    <w:rsid w:val="00BA45D2"/>
    <w:rsid w:val="00BA4942"/>
    <w:rsid w:val="00BA4C1B"/>
    <w:rsid w:val="00BA51FD"/>
    <w:rsid w:val="00BA5622"/>
    <w:rsid w:val="00BA5A7E"/>
    <w:rsid w:val="00BA5F0D"/>
    <w:rsid w:val="00BA611D"/>
    <w:rsid w:val="00BA614F"/>
    <w:rsid w:val="00BA628D"/>
    <w:rsid w:val="00BA67B0"/>
    <w:rsid w:val="00BA699E"/>
    <w:rsid w:val="00BA6C20"/>
    <w:rsid w:val="00BA747B"/>
    <w:rsid w:val="00BA752E"/>
    <w:rsid w:val="00BA77A8"/>
    <w:rsid w:val="00BA7A9A"/>
    <w:rsid w:val="00BA7E97"/>
    <w:rsid w:val="00BB06F0"/>
    <w:rsid w:val="00BB089D"/>
    <w:rsid w:val="00BB0919"/>
    <w:rsid w:val="00BB09C0"/>
    <w:rsid w:val="00BB0DC7"/>
    <w:rsid w:val="00BB1108"/>
    <w:rsid w:val="00BB124F"/>
    <w:rsid w:val="00BB12A8"/>
    <w:rsid w:val="00BB1423"/>
    <w:rsid w:val="00BB1435"/>
    <w:rsid w:val="00BB1FC7"/>
    <w:rsid w:val="00BB299C"/>
    <w:rsid w:val="00BB2C60"/>
    <w:rsid w:val="00BB2DE7"/>
    <w:rsid w:val="00BB393C"/>
    <w:rsid w:val="00BB415A"/>
    <w:rsid w:val="00BB4239"/>
    <w:rsid w:val="00BB4AF7"/>
    <w:rsid w:val="00BB4C12"/>
    <w:rsid w:val="00BB5545"/>
    <w:rsid w:val="00BB5915"/>
    <w:rsid w:val="00BB5D7F"/>
    <w:rsid w:val="00BB5F96"/>
    <w:rsid w:val="00BB6303"/>
    <w:rsid w:val="00BB671F"/>
    <w:rsid w:val="00BB690D"/>
    <w:rsid w:val="00BB7634"/>
    <w:rsid w:val="00BB79D9"/>
    <w:rsid w:val="00BB7B8C"/>
    <w:rsid w:val="00BC0509"/>
    <w:rsid w:val="00BC0942"/>
    <w:rsid w:val="00BC1002"/>
    <w:rsid w:val="00BC1351"/>
    <w:rsid w:val="00BC15D1"/>
    <w:rsid w:val="00BC1670"/>
    <w:rsid w:val="00BC1F73"/>
    <w:rsid w:val="00BC34B6"/>
    <w:rsid w:val="00BC38AD"/>
    <w:rsid w:val="00BC4461"/>
    <w:rsid w:val="00BC491D"/>
    <w:rsid w:val="00BC4C0D"/>
    <w:rsid w:val="00BC4F61"/>
    <w:rsid w:val="00BC53CB"/>
    <w:rsid w:val="00BC63B2"/>
    <w:rsid w:val="00BC6663"/>
    <w:rsid w:val="00BC66E3"/>
    <w:rsid w:val="00BC69E8"/>
    <w:rsid w:val="00BC7575"/>
    <w:rsid w:val="00BC75FB"/>
    <w:rsid w:val="00BC77C0"/>
    <w:rsid w:val="00BC7D10"/>
    <w:rsid w:val="00BD03CC"/>
    <w:rsid w:val="00BD0421"/>
    <w:rsid w:val="00BD07C7"/>
    <w:rsid w:val="00BD0B41"/>
    <w:rsid w:val="00BD0BE0"/>
    <w:rsid w:val="00BD13F5"/>
    <w:rsid w:val="00BD1934"/>
    <w:rsid w:val="00BD1D3C"/>
    <w:rsid w:val="00BD228E"/>
    <w:rsid w:val="00BD239A"/>
    <w:rsid w:val="00BD250C"/>
    <w:rsid w:val="00BD27BC"/>
    <w:rsid w:val="00BD299D"/>
    <w:rsid w:val="00BD2B2B"/>
    <w:rsid w:val="00BD2B3A"/>
    <w:rsid w:val="00BD2DCF"/>
    <w:rsid w:val="00BD360F"/>
    <w:rsid w:val="00BD414C"/>
    <w:rsid w:val="00BD446C"/>
    <w:rsid w:val="00BD45E1"/>
    <w:rsid w:val="00BD5526"/>
    <w:rsid w:val="00BD577F"/>
    <w:rsid w:val="00BD5893"/>
    <w:rsid w:val="00BD6C36"/>
    <w:rsid w:val="00BD7441"/>
    <w:rsid w:val="00BD75FE"/>
    <w:rsid w:val="00BD7657"/>
    <w:rsid w:val="00BE0001"/>
    <w:rsid w:val="00BE03A8"/>
    <w:rsid w:val="00BE079A"/>
    <w:rsid w:val="00BE082C"/>
    <w:rsid w:val="00BE0A30"/>
    <w:rsid w:val="00BE0D84"/>
    <w:rsid w:val="00BE0F18"/>
    <w:rsid w:val="00BE0FE6"/>
    <w:rsid w:val="00BE11B5"/>
    <w:rsid w:val="00BE160C"/>
    <w:rsid w:val="00BE1ABA"/>
    <w:rsid w:val="00BE1D64"/>
    <w:rsid w:val="00BE1FAA"/>
    <w:rsid w:val="00BE26C1"/>
    <w:rsid w:val="00BE28CD"/>
    <w:rsid w:val="00BE2B42"/>
    <w:rsid w:val="00BE2EC5"/>
    <w:rsid w:val="00BE2EE4"/>
    <w:rsid w:val="00BE2F99"/>
    <w:rsid w:val="00BE36FB"/>
    <w:rsid w:val="00BE4824"/>
    <w:rsid w:val="00BE497F"/>
    <w:rsid w:val="00BE5473"/>
    <w:rsid w:val="00BE5538"/>
    <w:rsid w:val="00BE5792"/>
    <w:rsid w:val="00BE57B4"/>
    <w:rsid w:val="00BE5DAE"/>
    <w:rsid w:val="00BE5F51"/>
    <w:rsid w:val="00BE6505"/>
    <w:rsid w:val="00BE6AB2"/>
    <w:rsid w:val="00BE6CB4"/>
    <w:rsid w:val="00BE77E5"/>
    <w:rsid w:val="00BE7EA9"/>
    <w:rsid w:val="00BE7F0B"/>
    <w:rsid w:val="00BF020A"/>
    <w:rsid w:val="00BF020F"/>
    <w:rsid w:val="00BF1047"/>
    <w:rsid w:val="00BF136C"/>
    <w:rsid w:val="00BF1651"/>
    <w:rsid w:val="00BF169C"/>
    <w:rsid w:val="00BF1804"/>
    <w:rsid w:val="00BF1A2B"/>
    <w:rsid w:val="00BF1B6C"/>
    <w:rsid w:val="00BF1DC4"/>
    <w:rsid w:val="00BF1EA7"/>
    <w:rsid w:val="00BF28E2"/>
    <w:rsid w:val="00BF2F4B"/>
    <w:rsid w:val="00BF3903"/>
    <w:rsid w:val="00BF3992"/>
    <w:rsid w:val="00BF47E8"/>
    <w:rsid w:val="00BF534A"/>
    <w:rsid w:val="00BF57FA"/>
    <w:rsid w:val="00BF5E8A"/>
    <w:rsid w:val="00BF64F4"/>
    <w:rsid w:val="00BF6B2A"/>
    <w:rsid w:val="00BF6BF5"/>
    <w:rsid w:val="00BF76A9"/>
    <w:rsid w:val="00BF7C2E"/>
    <w:rsid w:val="00BF7DB1"/>
    <w:rsid w:val="00C007A1"/>
    <w:rsid w:val="00C00A71"/>
    <w:rsid w:val="00C00EB6"/>
    <w:rsid w:val="00C00F87"/>
    <w:rsid w:val="00C00FB6"/>
    <w:rsid w:val="00C01532"/>
    <w:rsid w:val="00C0189B"/>
    <w:rsid w:val="00C0221F"/>
    <w:rsid w:val="00C02338"/>
    <w:rsid w:val="00C03082"/>
    <w:rsid w:val="00C0351B"/>
    <w:rsid w:val="00C05176"/>
    <w:rsid w:val="00C065F3"/>
    <w:rsid w:val="00C06C8F"/>
    <w:rsid w:val="00C06F83"/>
    <w:rsid w:val="00C073B0"/>
    <w:rsid w:val="00C07769"/>
    <w:rsid w:val="00C07911"/>
    <w:rsid w:val="00C07CBB"/>
    <w:rsid w:val="00C1021F"/>
    <w:rsid w:val="00C10546"/>
    <w:rsid w:val="00C10D05"/>
    <w:rsid w:val="00C11640"/>
    <w:rsid w:val="00C123A3"/>
    <w:rsid w:val="00C1249F"/>
    <w:rsid w:val="00C128E6"/>
    <w:rsid w:val="00C1327F"/>
    <w:rsid w:val="00C13314"/>
    <w:rsid w:val="00C1354C"/>
    <w:rsid w:val="00C13711"/>
    <w:rsid w:val="00C13748"/>
    <w:rsid w:val="00C14707"/>
    <w:rsid w:val="00C14994"/>
    <w:rsid w:val="00C14FDD"/>
    <w:rsid w:val="00C15064"/>
    <w:rsid w:val="00C15598"/>
    <w:rsid w:val="00C1573B"/>
    <w:rsid w:val="00C157F3"/>
    <w:rsid w:val="00C15C08"/>
    <w:rsid w:val="00C15C10"/>
    <w:rsid w:val="00C15D13"/>
    <w:rsid w:val="00C15DF4"/>
    <w:rsid w:val="00C16903"/>
    <w:rsid w:val="00C16A35"/>
    <w:rsid w:val="00C16A38"/>
    <w:rsid w:val="00C17246"/>
    <w:rsid w:val="00C17377"/>
    <w:rsid w:val="00C202CA"/>
    <w:rsid w:val="00C20444"/>
    <w:rsid w:val="00C204A1"/>
    <w:rsid w:val="00C2055A"/>
    <w:rsid w:val="00C20561"/>
    <w:rsid w:val="00C2081A"/>
    <w:rsid w:val="00C20923"/>
    <w:rsid w:val="00C20A1E"/>
    <w:rsid w:val="00C20A5A"/>
    <w:rsid w:val="00C20B40"/>
    <w:rsid w:val="00C211AB"/>
    <w:rsid w:val="00C2138D"/>
    <w:rsid w:val="00C2186F"/>
    <w:rsid w:val="00C22EEB"/>
    <w:rsid w:val="00C2306E"/>
    <w:rsid w:val="00C23B6F"/>
    <w:rsid w:val="00C24000"/>
    <w:rsid w:val="00C2429D"/>
    <w:rsid w:val="00C243FE"/>
    <w:rsid w:val="00C25053"/>
    <w:rsid w:val="00C2519C"/>
    <w:rsid w:val="00C251B1"/>
    <w:rsid w:val="00C252FA"/>
    <w:rsid w:val="00C25384"/>
    <w:rsid w:val="00C2559E"/>
    <w:rsid w:val="00C25BDE"/>
    <w:rsid w:val="00C25C99"/>
    <w:rsid w:val="00C25E75"/>
    <w:rsid w:val="00C26096"/>
    <w:rsid w:val="00C264C7"/>
    <w:rsid w:val="00C265CE"/>
    <w:rsid w:val="00C267E3"/>
    <w:rsid w:val="00C26A3A"/>
    <w:rsid w:val="00C27018"/>
    <w:rsid w:val="00C274BE"/>
    <w:rsid w:val="00C31089"/>
    <w:rsid w:val="00C315FD"/>
    <w:rsid w:val="00C3163E"/>
    <w:rsid w:val="00C31671"/>
    <w:rsid w:val="00C31F1E"/>
    <w:rsid w:val="00C32392"/>
    <w:rsid w:val="00C35640"/>
    <w:rsid w:val="00C358A9"/>
    <w:rsid w:val="00C3597E"/>
    <w:rsid w:val="00C36261"/>
    <w:rsid w:val="00C363ED"/>
    <w:rsid w:val="00C364FF"/>
    <w:rsid w:val="00C368AA"/>
    <w:rsid w:val="00C368EB"/>
    <w:rsid w:val="00C36C0B"/>
    <w:rsid w:val="00C37A1F"/>
    <w:rsid w:val="00C37C02"/>
    <w:rsid w:val="00C401FA"/>
    <w:rsid w:val="00C40214"/>
    <w:rsid w:val="00C405EF"/>
    <w:rsid w:val="00C4090D"/>
    <w:rsid w:val="00C40A1D"/>
    <w:rsid w:val="00C40A30"/>
    <w:rsid w:val="00C40DFD"/>
    <w:rsid w:val="00C41ED2"/>
    <w:rsid w:val="00C424BF"/>
    <w:rsid w:val="00C42646"/>
    <w:rsid w:val="00C43485"/>
    <w:rsid w:val="00C43632"/>
    <w:rsid w:val="00C43815"/>
    <w:rsid w:val="00C43948"/>
    <w:rsid w:val="00C4408B"/>
    <w:rsid w:val="00C44493"/>
    <w:rsid w:val="00C445C2"/>
    <w:rsid w:val="00C448C8"/>
    <w:rsid w:val="00C45025"/>
    <w:rsid w:val="00C4588D"/>
    <w:rsid w:val="00C45A49"/>
    <w:rsid w:val="00C45BAB"/>
    <w:rsid w:val="00C45E00"/>
    <w:rsid w:val="00C45E42"/>
    <w:rsid w:val="00C46640"/>
    <w:rsid w:val="00C466EE"/>
    <w:rsid w:val="00C46987"/>
    <w:rsid w:val="00C46E48"/>
    <w:rsid w:val="00C47058"/>
    <w:rsid w:val="00C47075"/>
    <w:rsid w:val="00C47592"/>
    <w:rsid w:val="00C47AE1"/>
    <w:rsid w:val="00C47E42"/>
    <w:rsid w:val="00C47F04"/>
    <w:rsid w:val="00C50687"/>
    <w:rsid w:val="00C507F8"/>
    <w:rsid w:val="00C509B0"/>
    <w:rsid w:val="00C51900"/>
    <w:rsid w:val="00C51BC0"/>
    <w:rsid w:val="00C5246A"/>
    <w:rsid w:val="00C527DE"/>
    <w:rsid w:val="00C52B2C"/>
    <w:rsid w:val="00C52D11"/>
    <w:rsid w:val="00C52E23"/>
    <w:rsid w:val="00C5396D"/>
    <w:rsid w:val="00C53A08"/>
    <w:rsid w:val="00C53C0E"/>
    <w:rsid w:val="00C53E31"/>
    <w:rsid w:val="00C54501"/>
    <w:rsid w:val="00C54939"/>
    <w:rsid w:val="00C54A0C"/>
    <w:rsid w:val="00C54DD6"/>
    <w:rsid w:val="00C553FE"/>
    <w:rsid w:val="00C55428"/>
    <w:rsid w:val="00C55711"/>
    <w:rsid w:val="00C55712"/>
    <w:rsid w:val="00C55749"/>
    <w:rsid w:val="00C55A92"/>
    <w:rsid w:val="00C563AC"/>
    <w:rsid w:val="00C569B0"/>
    <w:rsid w:val="00C56EA9"/>
    <w:rsid w:val="00C57627"/>
    <w:rsid w:val="00C57966"/>
    <w:rsid w:val="00C57F51"/>
    <w:rsid w:val="00C601CC"/>
    <w:rsid w:val="00C60207"/>
    <w:rsid w:val="00C6038D"/>
    <w:rsid w:val="00C60738"/>
    <w:rsid w:val="00C61114"/>
    <w:rsid w:val="00C616D2"/>
    <w:rsid w:val="00C61C02"/>
    <w:rsid w:val="00C61CC4"/>
    <w:rsid w:val="00C61DF8"/>
    <w:rsid w:val="00C62154"/>
    <w:rsid w:val="00C6253F"/>
    <w:rsid w:val="00C6259F"/>
    <w:rsid w:val="00C62842"/>
    <w:rsid w:val="00C62BD2"/>
    <w:rsid w:val="00C6328C"/>
    <w:rsid w:val="00C63394"/>
    <w:rsid w:val="00C63986"/>
    <w:rsid w:val="00C63DBB"/>
    <w:rsid w:val="00C63E57"/>
    <w:rsid w:val="00C6455C"/>
    <w:rsid w:val="00C64841"/>
    <w:rsid w:val="00C64C08"/>
    <w:rsid w:val="00C64C6F"/>
    <w:rsid w:val="00C64D31"/>
    <w:rsid w:val="00C65199"/>
    <w:rsid w:val="00C65248"/>
    <w:rsid w:val="00C6614C"/>
    <w:rsid w:val="00C66873"/>
    <w:rsid w:val="00C668B8"/>
    <w:rsid w:val="00C66D8A"/>
    <w:rsid w:val="00C6720A"/>
    <w:rsid w:val="00C67302"/>
    <w:rsid w:val="00C67796"/>
    <w:rsid w:val="00C67FEB"/>
    <w:rsid w:val="00C70025"/>
    <w:rsid w:val="00C702B7"/>
    <w:rsid w:val="00C704B2"/>
    <w:rsid w:val="00C707F5"/>
    <w:rsid w:val="00C711FF"/>
    <w:rsid w:val="00C713E4"/>
    <w:rsid w:val="00C71D55"/>
    <w:rsid w:val="00C7222C"/>
    <w:rsid w:val="00C723E7"/>
    <w:rsid w:val="00C72C28"/>
    <w:rsid w:val="00C72D1F"/>
    <w:rsid w:val="00C72EB4"/>
    <w:rsid w:val="00C72ECA"/>
    <w:rsid w:val="00C72F49"/>
    <w:rsid w:val="00C73A12"/>
    <w:rsid w:val="00C73A93"/>
    <w:rsid w:val="00C74B0B"/>
    <w:rsid w:val="00C74E4E"/>
    <w:rsid w:val="00C752FE"/>
    <w:rsid w:val="00C759F6"/>
    <w:rsid w:val="00C75A40"/>
    <w:rsid w:val="00C75A8F"/>
    <w:rsid w:val="00C75D78"/>
    <w:rsid w:val="00C75EE7"/>
    <w:rsid w:val="00C75FC8"/>
    <w:rsid w:val="00C7639A"/>
    <w:rsid w:val="00C77185"/>
    <w:rsid w:val="00C77403"/>
    <w:rsid w:val="00C77D6B"/>
    <w:rsid w:val="00C77DB9"/>
    <w:rsid w:val="00C8047B"/>
    <w:rsid w:val="00C808EF"/>
    <w:rsid w:val="00C814FD"/>
    <w:rsid w:val="00C81813"/>
    <w:rsid w:val="00C81995"/>
    <w:rsid w:val="00C81DF8"/>
    <w:rsid w:val="00C8213A"/>
    <w:rsid w:val="00C82869"/>
    <w:rsid w:val="00C82B12"/>
    <w:rsid w:val="00C82D40"/>
    <w:rsid w:val="00C82E48"/>
    <w:rsid w:val="00C837E8"/>
    <w:rsid w:val="00C83E01"/>
    <w:rsid w:val="00C8409F"/>
    <w:rsid w:val="00C842DC"/>
    <w:rsid w:val="00C84388"/>
    <w:rsid w:val="00C844DC"/>
    <w:rsid w:val="00C84D2C"/>
    <w:rsid w:val="00C85622"/>
    <w:rsid w:val="00C85A0C"/>
    <w:rsid w:val="00C85B71"/>
    <w:rsid w:val="00C861FD"/>
    <w:rsid w:val="00C86257"/>
    <w:rsid w:val="00C862BB"/>
    <w:rsid w:val="00C862CD"/>
    <w:rsid w:val="00C86967"/>
    <w:rsid w:val="00C86CF5"/>
    <w:rsid w:val="00C86E4B"/>
    <w:rsid w:val="00C86FD2"/>
    <w:rsid w:val="00C8724B"/>
    <w:rsid w:val="00C87833"/>
    <w:rsid w:val="00C904FA"/>
    <w:rsid w:val="00C90803"/>
    <w:rsid w:val="00C9081D"/>
    <w:rsid w:val="00C9097E"/>
    <w:rsid w:val="00C90CC0"/>
    <w:rsid w:val="00C90D4E"/>
    <w:rsid w:val="00C90E88"/>
    <w:rsid w:val="00C918E4"/>
    <w:rsid w:val="00C92456"/>
    <w:rsid w:val="00C92529"/>
    <w:rsid w:val="00C92AC1"/>
    <w:rsid w:val="00C92BA9"/>
    <w:rsid w:val="00C93535"/>
    <w:rsid w:val="00C938A1"/>
    <w:rsid w:val="00C94537"/>
    <w:rsid w:val="00C94A80"/>
    <w:rsid w:val="00C94A94"/>
    <w:rsid w:val="00C94BB4"/>
    <w:rsid w:val="00C9567B"/>
    <w:rsid w:val="00C96088"/>
    <w:rsid w:val="00C96B72"/>
    <w:rsid w:val="00C96E9B"/>
    <w:rsid w:val="00C97389"/>
    <w:rsid w:val="00C976A6"/>
    <w:rsid w:val="00C97A0C"/>
    <w:rsid w:val="00C97C08"/>
    <w:rsid w:val="00CA0012"/>
    <w:rsid w:val="00CA07FD"/>
    <w:rsid w:val="00CA0B57"/>
    <w:rsid w:val="00CA10CA"/>
    <w:rsid w:val="00CA1671"/>
    <w:rsid w:val="00CA1B32"/>
    <w:rsid w:val="00CA1C6E"/>
    <w:rsid w:val="00CA25CE"/>
    <w:rsid w:val="00CA293A"/>
    <w:rsid w:val="00CA2FE9"/>
    <w:rsid w:val="00CA33A1"/>
    <w:rsid w:val="00CA3D6C"/>
    <w:rsid w:val="00CA4322"/>
    <w:rsid w:val="00CA43F7"/>
    <w:rsid w:val="00CA4990"/>
    <w:rsid w:val="00CA4A59"/>
    <w:rsid w:val="00CA63BD"/>
    <w:rsid w:val="00CA6AAD"/>
    <w:rsid w:val="00CA6AB1"/>
    <w:rsid w:val="00CA6B95"/>
    <w:rsid w:val="00CA6C1A"/>
    <w:rsid w:val="00CA704C"/>
    <w:rsid w:val="00CA72BF"/>
    <w:rsid w:val="00CA7592"/>
    <w:rsid w:val="00CA75BF"/>
    <w:rsid w:val="00CA77CA"/>
    <w:rsid w:val="00CB0A9C"/>
    <w:rsid w:val="00CB0E65"/>
    <w:rsid w:val="00CB1317"/>
    <w:rsid w:val="00CB162B"/>
    <w:rsid w:val="00CB1687"/>
    <w:rsid w:val="00CB1C1A"/>
    <w:rsid w:val="00CB2074"/>
    <w:rsid w:val="00CB212A"/>
    <w:rsid w:val="00CB28F6"/>
    <w:rsid w:val="00CB2FF0"/>
    <w:rsid w:val="00CB36C3"/>
    <w:rsid w:val="00CB39F7"/>
    <w:rsid w:val="00CB3A3F"/>
    <w:rsid w:val="00CB42C2"/>
    <w:rsid w:val="00CB4BBD"/>
    <w:rsid w:val="00CB52F6"/>
    <w:rsid w:val="00CB5413"/>
    <w:rsid w:val="00CB5BCE"/>
    <w:rsid w:val="00CB6997"/>
    <w:rsid w:val="00CB6AC6"/>
    <w:rsid w:val="00CB75AE"/>
    <w:rsid w:val="00CB78D1"/>
    <w:rsid w:val="00CB7F85"/>
    <w:rsid w:val="00CC00E2"/>
    <w:rsid w:val="00CC025E"/>
    <w:rsid w:val="00CC0709"/>
    <w:rsid w:val="00CC0830"/>
    <w:rsid w:val="00CC086F"/>
    <w:rsid w:val="00CC0F68"/>
    <w:rsid w:val="00CC1257"/>
    <w:rsid w:val="00CC17AC"/>
    <w:rsid w:val="00CC1875"/>
    <w:rsid w:val="00CC1F43"/>
    <w:rsid w:val="00CC1F53"/>
    <w:rsid w:val="00CC32DA"/>
    <w:rsid w:val="00CC37ED"/>
    <w:rsid w:val="00CC3C1D"/>
    <w:rsid w:val="00CC4272"/>
    <w:rsid w:val="00CC442E"/>
    <w:rsid w:val="00CC49E3"/>
    <w:rsid w:val="00CC4B55"/>
    <w:rsid w:val="00CC4C0F"/>
    <w:rsid w:val="00CC4E71"/>
    <w:rsid w:val="00CC54A7"/>
    <w:rsid w:val="00CC5595"/>
    <w:rsid w:val="00CC5E6E"/>
    <w:rsid w:val="00CC5EB2"/>
    <w:rsid w:val="00CC6AB1"/>
    <w:rsid w:val="00CC6B96"/>
    <w:rsid w:val="00CC6C05"/>
    <w:rsid w:val="00CC713B"/>
    <w:rsid w:val="00CC72B6"/>
    <w:rsid w:val="00CC7371"/>
    <w:rsid w:val="00CC79B4"/>
    <w:rsid w:val="00CC7B8F"/>
    <w:rsid w:val="00CC7F4D"/>
    <w:rsid w:val="00CC7F61"/>
    <w:rsid w:val="00CD045A"/>
    <w:rsid w:val="00CD0974"/>
    <w:rsid w:val="00CD0DD6"/>
    <w:rsid w:val="00CD1049"/>
    <w:rsid w:val="00CD11A8"/>
    <w:rsid w:val="00CD1942"/>
    <w:rsid w:val="00CD27A6"/>
    <w:rsid w:val="00CD2A05"/>
    <w:rsid w:val="00CD2C88"/>
    <w:rsid w:val="00CD31D1"/>
    <w:rsid w:val="00CD3C03"/>
    <w:rsid w:val="00CD41A3"/>
    <w:rsid w:val="00CD4698"/>
    <w:rsid w:val="00CD4AA6"/>
    <w:rsid w:val="00CD55ED"/>
    <w:rsid w:val="00CD5DA1"/>
    <w:rsid w:val="00CD70B6"/>
    <w:rsid w:val="00CD751C"/>
    <w:rsid w:val="00CD76AA"/>
    <w:rsid w:val="00CD7DBD"/>
    <w:rsid w:val="00CE0147"/>
    <w:rsid w:val="00CE10A5"/>
    <w:rsid w:val="00CE143C"/>
    <w:rsid w:val="00CE1623"/>
    <w:rsid w:val="00CE1B10"/>
    <w:rsid w:val="00CE1D95"/>
    <w:rsid w:val="00CE2C91"/>
    <w:rsid w:val="00CE303E"/>
    <w:rsid w:val="00CE316E"/>
    <w:rsid w:val="00CE451C"/>
    <w:rsid w:val="00CE46C3"/>
    <w:rsid w:val="00CE4BC3"/>
    <w:rsid w:val="00CE5355"/>
    <w:rsid w:val="00CE556A"/>
    <w:rsid w:val="00CE5B45"/>
    <w:rsid w:val="00CE5BD8"/>
    <w:rsid w:val="00CE5CA4"/>
    <w:rsid w:val="00CE5FA8"/>
    <w:rsid w:val="00CE6325"/>
    <w:rsid w:val="00CE6847"/>
    <w:rsid w:val="00CE71C0"/>
    <w:rsid w:val="00CE71F8"/>
    <w:rsid w:val="00CE7607"/>
    <w:rsid w:val="00CE776F"/>
    <w:rsid w:val="00CE777A"/>
    <w:rsid w:val="00CE7C31"/>
    <w:rsid w:val="00CE7DC3"/>
    <w:rsid w:val="00CE7F43"/>
    <w:rsid w:val="00CF037B"/>
    <w:rsid w:val="00CF05D2"/>
    <w:rsid w:val="00CF07B8"/>
    <w:rsid w:val="00CF080D"/>
    <w:rsid w:val="00CF0963"/>
    <w:rsid w:val="00CF099D"/>
    <w:rsid w:val="00CF0D9B"/>
    <w:rsid w:val="00CF0E5E"/>
    <w:rsid w:val="00CF10F8"/>
    <w:rsid w:val="00CF15CE"/>
    <w:rsid w:val="00CF1776"/>
    <w:rsid w:val="00CF28AD"/>
    <w:rsid w:val="00CF4572"/>
    <w:rsid w:val="00CF5301"/>
    <w:rsid w:val="00CF5BC5"/>
    <w:rsid w:val="00CF6E60"/>
    <w:rsid w:val="00CF7AAC"/>
    <w:rsid w:val="00D00622"/>
    <w:rsid w:val="00D00BF2"/>
    <w:rsid w:val="00D00D8D"/>
    <w:rsid w:val="00D011F4"/>
    <w:rsid w:val="00D01496"/>
    <w:rsid w:val="00D01615"/>
    <w:rsid w:val="00D019CF"/>
    <w:rsid w:val="00D01B32"/>
    <w:rsid w:val="00D01B92"/>
    <w:rsid w:val="00D01C55"/>
    <w:rsid w:val="00D01C9A"/>
    <w:rsid w:val="00D01E88"/>
    <w:rsid w:val="00D02327"/>
    <w:rsid w:val="00D02682"/>
    <w:rsid w:val="00D02AA7"/>
    <w:rsid w:val="00D02E72"/>
    <w:rsid w:val="00D03022"/>
    <w:rsid w:val="00D032CA"/>
    <w:rsid w:val="00D03919"/>
    <w:rsid w:val="00D03A39"/>
    <w:rsid w:val="00D03DB7"/>
    <w:rsid w:val="00D04ACD"/>
    <w:rsid w:val="00D04D5F"/>
    <w:rsid w:val="00D04E93"/>
    <w:rsid w:val="00D0510D"/>
    <w:rsid w:val="00D05826"/>
    <w:rsid w:val="00D05C12"/>
    <w:rsid w:val="00D0602E"/>
    <w:rsid w:val="00D0628A"/>
    <w:rsid w:val="00D0686E"/>
    <w:rsid w:val="00D068A4"/>
    <w:rsid w:val="00D069D6"/>
    <w:rsid w:val="00D06B94"/>
    <w:rsid w:val="00D07B29"/>
    <w:rsid w:val="00D10A3A"/>
    <w:rsid w:val="00D10C6B"/>
    <w:rsid w:val="00D1138C"/>
    <w:rsid w:val="00D11633"/>
    <w:rsid w:val="00D117D2"/>
    <w:rsid w:val="00D118AC"/>
    <w:rsid w:val="00D1196C"/>
    <w:rsid w:val="00D11A72"/>
    <w:rsid w:val="00D11AC0"/>
    <w:rsid w:val="00D125C6"/>
    <w:rsid w:val="00D1287C"/>
    <w:rsid w:val="00D12A01"/>
    <w:rsid w:val="00D12DFD"/>
    <w:rsid w:val="00D13281"/>
    <w:rsid w:val="00D13443"/>
    <w:rsid w:val="00D1362F"/>
    <w:rsid w:val="00D13707"/>
    <w:rsid w:val="00D138BD"/>
    <w:rsid w:val="00D13B5B"/>
    <w:rsid w:val="00D13E38"/>
    <w:rsid w:val="00D14072"/>
    <w:rsid w:val="00D151D1"/>
    <w:rsid w:val="00D15398"/>
    <w:rsid w:val="00D15563"/>
    <w:rsid w:val="00D15FF9"/>
    <w:rsid w:val="00D1669D"/>
    <w:rsid w:val="00D17390"/>
    <w:rsid w:val="00D176FB"/>
    <w:rsid w:val="00D178CD"/>
    <w:rsid w:val="00D17F55"/>
    <w:rsid w:val="00D207EC"/>
    <w:rsid w:val="00D210A1"/>
    <w:rsid w:val="00D22148"/>
    <w:rsid w:val="00D221E9"/>
    <w:rsid w:val="00D22ADD"/>
    <w:rsid w:val="00D24022"/>
    <w:rsid w:val="00D241ED"/>
    <w:rsid w:val="00D24669"/>
    <w:rsid w:val="00D248B7"/>
    <w:rsid w:val="00D2504C"/>
    <w:rsid w:val="00D2541A"/>
    <w:rsid w:val="00D2541E"/>
    <w:rsid w:val="00D254D5"/>
    <w:rsid w:val="00D25E18"/>
    <w:rsid w:val="00D25F57"/>
    <w:rsid w:val="00D260D5"/>
    <w:rsid w:val="00D2693E"/>
    <w:rsid w:val="00D26C86"/>
    <w:rsid w:val="00D26D85"/>
    <w:rsid w:val="00D26E28"/>
    <w:rsid w:val="00D275A6"/>
    <w:rsid w:val="00D27628"/>
    <w:rsid w:val="00D27B9E"/>
    <w:rsid w:val="00D27D50"/>
    <w:rsid w:val="00D30233"/>
    <w:rsid w:val="00D30260"/>
    <w:rsid w:val="00D30477"/>
    <w:rsid w:val="00D305B8"/>
    <w:rsid w:val="00D30A78"/>
    <w:rsid w:val="00D311C8"/>
    <w:rsid w:val="00D318A6"/>
    <w:rsid w:val="00D31BDB"/>
    <w:rsid w:val="00D322A3"/>
    <w:rsid w:val="00D3251F"/>
    <w:rsid w:val="00D32560"/>
    <w:rsid w:val="00D325C0"/>
    <w:rsid w:val="00D326E9"/>
    <w:rsid w:val="00D3304E"/>
    <w:rsid w:val="00D33281"/>
    <w:rsid w:val="00D33595"/>
    <w:rsid w:val="00D33A3F"/>
    <w:rsid w:val="00D33B11"/>
    <w:rsid w:val="00D33D42"/>
    <w:rsid w:val="00D3402A"/>
    <w:rsid w:val="00D342CC"/>
    <w:rsid w:val="00D34517"/>
    <w:rsid w:val="00D3540B"/>
    <w:rsid w:val="00D355D8"/>
    <w:rsid w:val="00D35ED4"/>
    <w:rsid w:val="00D35FB8"/>
    <w:rsid w:val="00D36866"/>
    <w:rsid w:val="00D36BD0"/>
    <w:rsid w:val="00D36C54"/>
    <w:rsid w:val="00D37053"/>
    <w:rsid w:val="00D377F9"/>
    <w:rsid w:val="00D400DB"/>
    <w:rsid w:val="00D404E5"/>
    <w:rsid w:val="00D40E8C"/>
    <w:rsid w:val="00D4101C"/>
    <w:rsid w:val="00D41546"/>
    <w:rsid w:val="00D41747"/>
    <w:rsid w:val="00D41FBC"/>
    <w:rsid w:val="00D422A6"/>
    <w:rsid w:val="00D43AF0"/>
    <w:rsid w:val="00D44515"/>
    <w:rsid w:val="00D44860"/>
    <w:rsid w:val="00D44E21"/>
    <w:rsid w:val="00D44F20"/>
    <w:rsid w:val="00D45076"/>
    <w:rsid w:val="00D45163"/>
    <w:rsid w:val="00D4529E"/>
    <w:rsid w:val="00D45892"/>
    <w:rsid w:val="00D462AC"/>
    <w:rsid w:val="00D462CF"/>
    <w:rsid w:val="00D464DF"/>
    <w:rsid w:val="00D47065"/>
    <w:rsid w:val="00D47106"/>
    <w:rsid w:val="00D47725"/>
    <w:rsid w:val="00D47ACA"/>
    <w:rsid w:val="00D5017E"/>
    <w:rsid w:val="00D505AB"/>
    <w:rsid w:val="00D506A2"/>
    <w:rsid w:val="00D50F4A"/>
    <w:rsid w:val="00D511C5"/>
    <w:rsid w:val="00D51C0A"/>
    <w:rsid w:val="00D5204B"/>
    <w:rsid w:val="00D527C6"/>
    <w:rsid w:val="00D52B67"/>
    <w:rsid w:val="00D52F93"/>
    <w:rsid w:val="00D53493"/>
    <w:rsid w:val="00D53A05"/>
    <w:rsid w:val="00D53DCB"/>
    <w:rsid w:val="00D53EF2"/>
    <w:rsid w:val="00D5427D"/>
    <w:rsid w:val="00D54B44"/>
    <w:rsid w:val="00D55169"/>
    <w:rsid w:val="00D55396"/>
    <w:rsid w:val="00D55828"/>
    <w:rsid w:val="00D56760"/>
    <w:rsid w:val="00D56F82"/>
    <w:rsid w:val="00D57031"/>
    <w:rsid w:val="00D570E1"/>
    <w:rsid w:val="00D5716E"/>
    <w:rsid w:val="00D5728F"/>
    <w:rsid w:val="00D577FE"/>
    <w:rsid w:val="00D57DA6"/>
    <w:rsid w:val="00D57F9F"/>
    <w:rsid w:val="00D60151"/>
    <w:rsid w:val="00D603C2"/>
    <w:rsid w:val="00D60638"/>
    <w:rsid w:val="00D60F10"/>
    <w:rsid w:val="00D6158B"/>
    <w:rsid w:val="00D61B18"/>
    <w:rsid w:val="00D61B4A"/>
    <w:rsid w:val="00D61DF6"/>
    <w:rsid w:val="00D6202C"/>
    <w:rsid w:val="00D62363"/>
    <w:rsid w:val="00D62404"/>
    <w:rsid w:val="00D62741"/>
    <w:rsid w:val="00D629D4"/>
    <w:rsid w:val="00D62B62"/>
    <w:rsid w:val="00D6308C"/>
    <w:rsid w:val="00D63097"/>
    <w:rsid w:val="00D63B28"/>
    <w:rsid w:val="00D63BA7"/>
    <w:rsid w:val="00D63F0F"/>
    <w:rsid w:val="00D644DF"/>
    <w:rsid w:val="00D652B1"/>
    <w:rsid w:val="00D654E3"/>
    <w:rsid w:val="00D656C6"/>
    <w:rsid w:val="00D65873"/>
    <w:rsid w:val="00D65DB6"/>
    <w:rsid w:val="00D65EB4"/>
    <w:rsid w:val="00D66AA5"/>
    <w:rsid w:val="00D66C8F"/>
    <w:rsid w:val="00D66CA2"/>
    <w:rsid w:val="00D66D7E"/>
    <w:rsid w:val="00D66F4D"/>
    <w:rsid w:val="00D67518"/>
    <w:rsid w:val="00D67671"/>
    <w:rsid w:val="00D6772C"/>
    <w:rsid w:val="00D70052"/>
    <w:rsid w:val="00D7026F"/>
    <w:rsid w:val="00D708D8"/>
    <w:rsid w:val="00D70971"/>
    <w:rsid w:val="00D70B5D"/>
    <w:rsid w:val="00D70BD1"/>
    <w:rsid w:val="00D71058"/>
    <w:rsid w:val="00D7136C"/>
    <w:rsid w:val="00D71CFA"/>
    <w:rsid w:val="00D71F78"/>
    <w:rsid w:val="00D7214A"/>
    <w:rsid w:val="00D7222F"/>
    <w:rsid w:val="00D72F87"/>
    <w:rsid w:val="00D73133"/>
    <w:rsid w:val="00D73622"/>
    <w:rsid w:val="00D73DFE"/>
    <w:rsid w:val="00D740D9"/>
    <w:rsid w:val="00D750CE"/>
    <w:rsid w:val="00D75266"/>
    <w:rsid w:val="00D75C33"/>
    <w:rsid w:val="00D75D43"/>
    <w:rsid w:val="00D7634C"/>
    <w:rsid w:val="00D7674E"/>
    <w:rsid w:val="00D76A82"/>
    <w:rsid w:val="00D76B73"/>
    <w:rsid w:val="00D77023"/>
    <w:rsid w:val="00D77184"/>
    <w:rsid w:val="00D77726"/>
    <w:rsid w:val="00D804FA"/>
    <w:rsid w:val="00D80667"/>
    <w:rsid w:val="00D807F6"/>
    <w:rsid w:val="00D8082A"/>
    <w:rsid w:val="00D80ED5"/>
    <w:rsid w:val="00D81800"/>
    <w:rsid w:val="00D81930"/>
    <w:rsid w:val="00D81A8E"/>
    <w:rsid w:val="00D81D4A"/>
    <w:rsid w:val="00D82369"/>
    <w:rsid w:val="00D83007"/>
    <w:rsid w:val="00D831AD"/>
    <w:rsid w:val="00D83298"/>
    <w:rsid w:val="00D833E5"/>
    <w:rsid w:val="00D835AE"/>
    <w:rsid w:val="00D83AE7"/>
    <w:rsid w:val="00D83BF6"/>
    <w:rsid w:val="00D83F55"/>
    <w:rsid w:val="00D842DB"/>
    <w:rsid w:val="00D843EE"/>
    <w:rsid w:val="00D846E6"/>
    <w:rsid w:val="00D8497C"/>
    <w:rsid w:val="00D84A52"/>
    <w:rsid w:val="00D84E25"/>
    <w:rsid w:val="00D84F97"/>
    <w:rsid w:val="00D85494"/>
    <w:rsid w:val="00D85509"/>
    <w:rsid w:val="00D856A3"/>
    <w:rsid w:val="00D856A4"/>
    <w:rsid w:val="00D85C04"/>
    <w:rsid w:val="00D860A0"/>
    <w:rsid w:val="00D86A94"/>
    <w:rsid w:val="00D86D8F"/>
    <w:rsid w:val="00D87986"/>
    <w:rsid w:val="00D900C5"/>
    <w:rsid w:val="00D90193"/>
    <w:rsid w:val="00D90AF4"/>
    <w:rsid w:val="00D9125E"/>
    <w:rsid w:val="00D9129E"/>
    <w:rsid w:val="00D91BF2"/>
    <w:rsid w:val="00D91C0C"/>
    <w:rsid w:val="00D91D4D"/>
    <w:rsid w:val="00D91D73"/>
    <w:rsid w:val="00D93864"/>
    <w:rsid w:val="00D939AB"/>
    <w:rsid w:val="00D93AEE"/>
    <w:rsid w:val="00D93D1D"/>
    <w:rsid w:val="00D93F24"/>
    <w:rsid w:val="00D93F41"/>
    <w:rsid w:val="00D9404A"/>
    <w:rsid w:val="00D940A9"/>
    <w:rsid w:val="00D941BC"/>
    <w:rsid w:val="00D945A4"/>
    <w:rsid w:val="00D94878"/>
    <w:rsid w:val="00D94D58"/>
    <w:rsid w:val="00D94E8C"/>
    <w:rsid w:val="00D9593A"/>
    <w:rsid w:val="00D95E66"/>
    <w:rsid w:val="00D95FBD"/>
    <w:rsid w:val="00D960C4"/>
    <w:rsid w:val="00D966F1"/>
    <w:rsid w:val="00D96938"/>
    <w:rsid w:val="00D96AF2"/>
    <w:rsid w:val="00D96C2E"/>
    <w:rsid w:val="00D97C8F"/>
    <w:rsid w:val="00DA0A3D"/>
    <w:rsid w:val="00DA135B"/>
    <w:rsid w:val="00DA1652"/>
    <w:rsid w:val="00DA1839"/>
    <w:rsid w:val="00DA1D56"/>
    <w:rsid w:val="00DA1E5B"/>
    <w:rsid w:val="00DA212C"/>
    <w:rsid w:val="00DA268A"/>
    <w:rsid w:val="00DA3248"/>
    <w:rsid w:val="00DA343D"/>
    <w:rsid w:val="00DA4197"/>
    <w:rsid w:val="00DA4B84"/>
    <w:rsid w:val="00DA4D97"/>
    <w:rsid w:val="00DA5614"/>
    <w:rsid w:val="00DA576B"/>
    <w:rsid w:val="00DA57F0"/>
    <w:rsid w:val="00DA59F7"/>
    <w:rsid w:val="00DA6193"/>
    <w:rsid w:val="00DA62AB"/>
    <w:rsid w:val="00DA6393"/>
    <w:rsid w:val="00DA64C1"/>
    <w:rsid w:val="00DA652E"/>
    <w:rsid w:val="00DA6988"/>
    <w:rsid w:val="00DA6A75"/>
    <w:rsid w:val="00DA6BD6"/>
    <w:rsid w:val="00DA7296"/>
    <w:rsid w:val="00DA78D9"/>
    <w:rsid w:val="00DA7908"/>
    <w:rsid w:val="00DA7AC8"/>
    <w:rsid w:val="00DA7D6C"/>
    <w:rsid w:val="00DA7D6D"/>
    <w:rsid w:val="00DA7F74"/>
    <w:rsid w:val="00DB05CC"/>
    <w:rsid w:val="00DB0EAB"/>
    <w:rsid w:val="00DB10CB"/>
    <w:rsid w:val="00DB2897"/>
    <w:rsid w:val="00DB2AB6"/>
    <w:rsid w:val="00DB2D24"/>
    <w:rsid w:val="00DB314E"/>
    <w:rsid w:val="00DB32CA"/>
    <w:rsid w:val="00DB3408"/>
    <w:rsid w:val="00DB35BF"/>
    <w:rsid w:val="00DB3E8C"/>
    <w:rsid w:val="00DB42C4"/>
    <w:rsid w:val="00DB4653"/>
    <w:rsid w:val="00DB4795"/>
    <w:rsid w:val="00DB4A72"/>
    <w:rsid w:val="00DB4FB0"/>
    <w:rsid w:val="00DB5B80"/>
    <w:rsid w:val="00DB5D18"/>
    <w:rsid w:val="00DB64CB"/>
    <w:rsid w:val="00DB6701"/>
    <w:rsid w:val="00DB6A12"/>
    <w:rsid w:val="00DB6C29"/>
    <w:rsid w:val="00DB6E74"/>
    <w:rsid w:val="00DB71D2"/>
    <w:rsid w:val="00DB7659"/>
    <w:rsid w:val="00DB78D4"/>
    <w:rsid w:val="00DB7C8F"/>
    <w:rsid w:val="00DC0B5C"/>
    <w:rsid w:val="00DC1266"/>
    <w:rsid w:val="00DC226C"/>
    <w:rsid w:val="00DC2755"/>
    <w:rsid w:val="00DC27DA"/>
    <w:rsid w:val="00DC3161"/>
    <w:rsid w:val="00DC34C4"/>
    <w:rsid w:val="00DC34F6"/>
    <w:rsid w:val="00DC3510"/>
    <w:rsid w:val="00DC397E"/>
    <w:rsid w:val="00DC3E43"/>
    <w:rsid w:val="00DC418B"/>
    <w:rsid w:val="00DC45CA"/>
    <w:rsid w:val="00DC4BEA"/>
    <w:rsid w:val="00DC4C42"/>
    <w:rsid w:val="00DC5BA3"/>
    <w:rsid w:val="00DC5C41"/>
    <w:rsid w:val="00DC6399"/>
    <w:rsid w:val="00DC6558"/>
    <w:rsid w:val="00DC665E"/>
    <w:rsid w:val="00DC7995"/>
    <w:rsid w:val="00DC7C2E"/>
    <w:rsid w:val="00DD1162"/>
    <w:rsid w:val="00DD1555"/>
    <w:rsid w:val="00DD18C0"/>
    <w:rsid w:val="00DD1F93"/>
    <w:rsid w:val="00DD22B6"/>
    <w:rsid w:val="00DD2369"/>
    <w:rsid w:val="00DD2731"/>
    <w:rsid w:val="00DD2C3B"/>
    <w:rsid w:val="00DD3D6D"/>
    <w:rsid w:val="00DD4966"/>
    <w:rsid w:val="00DD4B4F"/>
    <w:rsid w:val="00DD5AEA"/>
    <w:rsid w:val="00DD60C7"/>
    <w:rsid w:val="00DD620A"/>
    <w:rsid w:val="00DD67DA"/>
    <w:rsid w:val="00DD6E70"/>
    <w:rsid w:val="00DD734A"/>
    <w:rsid w:val="00DD7E15"/>
    <w:rsid w:val="00DE0128"/>
    <w:rsid w:val="00DE09F3"/>
    <w:rsid w:val="00DE0B86"/>
    <w:rsid w:val="00DE1077"/>
    <w:rsid w:val="00DE10FB"/>
    <w:rsid w:val="00DE1367"/>
    <w:rsid w:val="00DE1573"/>
    <w:rsid w:val="00DE18A0"/>
    <w:rsid w:val="00DE1AE5"/>
    <w:rsid w:val="00DE1E09"/>
    <w:rsid w:val="00DE1E1D"/>
    <w:rsid w:val="00DE2313"/>
    <w:rsid w:val="00DE24BC"/>
    <w:rsid w:val="00DE2970"/>
    <w:rsid w:val="00DE37E6"/>
    <w:rsid w:val="00DE385E"/>
    <w:rsid w:val="00DE3D24"/>
    <w:rsid w:val="00DE4F09"/>
    <w:rsid w:val="00DE5182"/>
    <w:rsid w:val="00DE5AEA"/>
    <w:rsid w:val="00DE5E40"/>
    <w:rsid w:val="00DE61E0"/>
    <w:rsid w:val="00DE629D"/>
    <w:rsid w:val="00DE637D"/>
    <w:rsid w:val="00DE6511"/>
    <w:rsid w:val="00DE65BE"/>
    <w:rsid w:val="00DE6D31"/>
    <w:rsid w:val="00DE7371"/>
    <w:rsid w:val="00DE7399"/>
    <w:rsid w:val="00DE7410"/>
    <w:rsid w:val="00DE78E5"/>
    <w:rsid w:val="00DE7ADD"/>
    <w:rsid w:val="00DF0367"/>
    <w:rsid w:val="00DF0380"/>
    <w:rsid w:val="00DF0B60"/>
    <w:rsid w:val="00DF0DCE"/>
    <w:rsid w:val="00DF1188"/>
    <w:rsid w:val="00DF12DF"/>
    <w:rsid w:val="00DF1391"/>
    <w:rsid w:val="00DF1878"/>
    <w:rsid w:val="00DF1909"/>
    <w:rsid w:val="00DF1B30"/>
    <w:rsid w:val="00DF2456"/>
    <w:rsid w:val="00DF25FB"/>
    <w:rsid w:val="00DF2AE0"/>
    <w:rsid w:val="00DF2B3B"/>
    <w:rsid w:val="00DF2DB3"/>
    <w:rsid w:val="00DF2E08"/>
    <w:rsid w:val="00DF33BB"/>
    <w:rsid w:val="00DF3BA5"/>
    <w:rsid w:val="00DF3FB6"/>
    <w:rsid w:val="00DF5369"/>
    <w:rsid w:val="00DF560F"/>
    <w:rsid w:val="00DF5823"/>
    <w:rsid w:val="00DF5876"/>
    <w:rsid w:val="00DF66E8"/>
    <w:rsid w:val="00DF6C5D"/>
    <w:rsid w:val="00DF7DDE"/>
    <w:rsid w:val="00E0005F"/>
    <w:rsid w:val="00E008E4"/>
    <w:rsid w:val="00E011CA"/>
    <w:rsid w:val="00E01A8A"/>
    <w:rsid w:val="00E0204F"/>
    <w:rsid w:val="00E02230"/>
    <w:rsid w:val="00E0246D"/>
    <w:rsid w:val="00E029DC"/>
    <w:rsid w:val="00E04738"/>
    <w:rsid w:val="00E04875"/>
    <w:rsid w:val="00E04A14"/>
    <w:rsid w:val="00E04C9D"/>
    <w:rsid w:val="00E04D54"/>
    <w:rsid w:val="00E058AF"/>
    <w:rsid w:val="00E05B7F"/>
    <w:rsid w:val="00E05E05"/>
    <w:rsid w:val="00E0618D"/>
    <w:rsid w:val="00E06358"/>
    <w:rsid w:val="00E06A27"/>
    <w:rsid w:val="00E06AB4"/>
    <w:rsid w:val="00E07750"/>
    <w:rsid w:val="00E07AB1"/>
    <w:rsid w:val="00E07B0E"/>
    <w:rsid w:val="00E1050A"/>
    <w:rsid w:val="00E10811"/>
    <w:rsid w:val="00E10AF3"/>
    <w:rsid w:val="00E10BDF"/>
    <w:rsid w:val="00E116A6"/>
    <w:rsid w:val="00E1173F"/>
    <w:rsid w:val="00E11AE4"/>
    <w:rsid w:val="00E11B6B"/>
    <w:rsid w:val="00E11BEF"/>
    <w:rsid w:val="00E12122"/>
    <w:rsid w:val="00E125A4"/>
    <w:rsid w:val="00E125C0"/>
    <w:rsid w:val="00E126D5"/>
    <w:rsid w:val="00E12A2D"/>
    <w:rsid w:val="00E12E37"/>
    <w:rsid w:val="00E12F26"/>
    <w:rsid w:val="00E130A7"/>
    <w:rsid w:val="00E137D4"/>
    <w:rsid w:val="00E14D5A"/>
    <w:rsid w:val="00E15029"/>
    <w:rsid w:val="00E1506D"/>
    <w:rsid w:val="00E150E0"/>
    <w:rsid w:val="00E156DF"/>
    <w:rsid w:val="00E15B39"/>
    <w:rsid w:val="00E16220"/>
    <w:rsid w:val="00E16297"/>
    <w:rsid w:val="00E165F3"/>
    <w:rsid w:val="00E168EF"/>
    <w:rsid w:val="00E16CE6"/>
    <w:rsid w:val="00E16D5B"/>
    <w:rsid w:val="00E16D8D"/>
    <w:rsid w:val="00E17426"/>
    <w:rsid w:val="00E17682"/>
    <w:rsid w:val="00E17AAE"/>
    <w:rsid w:val="00E17F3C"/>
    <w:rsid w:val="00E20305"/>
    <w:rsid w:val="00E207BB"/>
    <w:rsid w:val="00E209C1"/>
    <w:rsid w:val="00E20C8B"/>
    <w:rsid w:val="00E2103A"/>
    <w:rsid w:val="00E21687"/>
    <w:rsid w:val="00E21A26"/>
    <w:rsid w:val="00E21D08"/>
    <w:rsid w:val="00E2204F"/>
    <w:rsid w:val="00E2219B"/>
    <w:rsid w:val="00E2250F"/>
    <w:rsid w:val="00E228A0"/>
    <w:rsid w:val="00E229CB"/>
    <w:rsid w:val="00E22A94"/>
    <w:rsid w:val="00E22D20"/>
    <w:rsid w:val="00E231F2"/>
    <w:rsid w:val="00E2336A"/>
    <w:rsid w:val="00E23572"/>
    <w:rsid w:val="00E23A88"/>
    <w:rsid w:val="00E23D64"/>
    <w:rsid w:val="00E2466C"/>
    <w:rsid w:val="00E24A8F"/>
    <w:rsid w:val="00E24EDC"/>
    <w:rsid w:val="00E251CB"/>
    <w:rsid w:val="00E2595C"/>
    <w:rsid w:val="00E25AF1"/>
    <w:rsid w:val="00E26A2B"/>
    <w:rsid w:val="00E26FDF"/>
    <w:rsid w:val="00E279B6"/>
    <w:rsid w:val="00E27C78"/>
    <w:rsid w:val="00E27D7F"/>
    <w:rsid w:val="00E306F0"/>
    <w:rsid w:val="00E30DF3"/>
    <w:rsid w:val="00E30EA5"/>
    <w:rsid w:val="00E317F0"/>
    <w:rsid w:val="00E318ED"/>
    <w:rsid w:val="00E31A9F"/>
    <w:rsid w:val="00E31BF8"/>
    <w:rsid w:val="00E32139"/>
    <w:rsid w:val="00E32261"/>
    <w:rsid w:val="00E3226E"/>
    <w:rsid w:val="00E322ED"/>
    <w:rsid w:val="00E3238A"/>
    <w:rsid w:val="00E324A8"/>
    <w:rsid w:val="00E324D5"/>
    <w:rsid w:val="00E32637"/>
    <w:rsid w:val="00E326CA"/>
    <w:rsid w:val="00E33A68"/>
    <w:rsid w:val="00E33E27"/>
    <w:rsid w:val="00E33FED"/>
    <w:rsid w:val="00E343E6"/>
    <w:rsid w:val="00E344ED"/>
    <w:rsid w:val="00E347BE"/>
    <w:rsid w:val="00E348A5"/>
    <w:rsid w:val="00E348BC"/>
    <w:rsid w:val="00E357BB"/>
    <w:rsid w:val="00E35CD0"/>
    <w:rsid w:val="00E3601E"/>
    <w:rsid w:val="00E361A6"/>
    <w:rsid w:val="00E36286"/>
    <w:rsid w:val="00E36597"/>
    <w:rsid w:val="00E369BC"/>
    <w:rsid w:val="00E36C3E"/>
    <w:rsid w:val="00E4013E"/>
    <w:rsid w:val="00E401C4"/>
    <w:rsid w:val="00E405F7"/>
    <w:rsid w:val="00E41122"/>
    <w:rsid w:val="00E4119E"/>
    <w:rsid w:val="00E4172A"/>
    <w:rsid w:val="00E43C69"/>
    <w:rsid w:val="00E43F4B"/>
    <w:rsid w:val="00E442B6"/>
    <w:rsid w:val="00E45C96"/>
    <w:rsid w:val="00E45E36"/>
    <w:rsid w:val="00E45EB3"/>
    <w:rsid w:val="00E45F35"/>
    <w:rsid w:val="00E45FAD"/>
    <w:rsid w:val="00E463D0"/>
    <w:rsid w:val="00E4647F"/>
    <w:rsid w:val="00E46649"/>
    <w:rsid w:val="00E4668E"/>
    <w:rsid w:val="00E47654"/>
    <w:rsid w:val="00E47C9C"/>
    <w:rsid w:val="00E47D88"/>
    <w:rsid w:val="00E503FB"/>
    <w:rsid w:val="00E5063C"/>
    <w:rsid w:val="00E50729"/>
    <w:rsid w:val="00E50CFE"/>
    <w:rsid w:val="00E51010"/>
    <w:rsid w:val="00E52EC2"/>
    <w:rsid w:val="00E52F13"/>
    <w:rsid w:val="00E53790"/>
    <w:rsid w:val="00E537B5"/>
    <w:rsid w:val="00E54239"/>
    <w:rsid w:val="00E54500"/>
    <w:rsid w:val="00E5476A"/>
    <w:rsid w:val="00E54845"/>
    <w:rsid w:val="00E54967"/>
    <w:rsid w:val="00E55A5C"/>
    <w:rsid w:val="00E55A77"/>
    <w:rsid w:val="00E55C4C"/>
    <w:rsid w:val="00E56416"/>
    <w:rsid w:val="00E56577"/>
    <w:rsid w:val="00E56831"/>
    <w:rsid w:val="00E56896"/>
    <w:rsid w:val="00E576D0"/>
    <w:rsid w:val="00E577A1"/>
    <w:rsid w:val="00E577E0"/>
    <w:rsid w:val="00E57FF9"/>
    <w:rsid w:val="00E60440"/>
    <w:rsid w:val="00E60A40"/>
    <w:rsid w:val="00E60FEE"/>
    <w:rsid w:val="00E619F5"/>
    <w:rsid w:val="00E619FC"/>
    <w:rsid w:val="00E621BF"/>
    <w:rsid w:val="00E62212"/>
    <w:rsid w:val="00E62939"/>
    <w:rsid w:val="00E62A1B"/>
    <w:rsid w:val="00E62FCB"/>
    <w:rsid w:val="00E64B7D"/>
    <w:rsid w:val="00E652E8"/>
    <w:rsid w:val="00E6590E"/>
    <w:rsid w:val="00E65DD1"/>
    <w:rsid w:val="00E66098"/>
    <w:rsid w:val="00E660C2"/>
    <w:rsid w:val="00E669C7"/>
    <w:rsid w:val="00E66C3D"/>
    <w:rsid w:val="00E67470"/>
    <w:rsid w:val="00E67621"/>
    <w:rsid w:val="00E700C7"/>
    <w:rsid w:val="00E70975"/>
    <w:rsid w:val="00E7121E"/>
    <w:rsid w:val="00E712DA"/>
    <w:rsid w:val="00E71415"/>
    <w:rsid w:val="00E7242A"/>
    <w:rsid w:val="00E726C4"/>
    <w:rsid w:val="00E72DC8"/>
    <w:rsid w:val="00E72E14"/>
    <w:rsid w:val="00E72FF2"/>
    <w:rsid w:val="00E73002"/>
    <w:rsid w:val="00E734E5"/>
    <w:rsid w:val="00E7378F"/>
    <w:rsid w:val="00E738E0"/>
    <w:rsid w:val="00E73D5C"/>
    <w:rsid w:val="00E74334"/>
    <w:rsid w:val="00E74520"/>
    <w:rsid w:val="00E74A0A"/>
    <w:rsid w:val="00E74D73"/>
    <w:rsid w:val="00E74D94"/>
    <w:rsid w:val="00E750A8"/>
    <w:rsid w:val="00E750BA"/>
    <w:rsid w:val="00E753FB"/>
    <w:rsid w:val="00E75ADC"/>
    <w:rsid w:val="00E75CAB"/>
    <w:rsid w:val="00E762E8"/>
    <w:rsid w:val="00E76344"/>
    <w:rsid w:val="00E76F3A"/>
    <w:rsid w:val="00E771CF"/>
    <w:rsid w:val="00E7778D"/>
    <w:rsid w:val="00E77B6C"/>
    <w:rsid w:val="00E80759"/>
    <w:rsid w:val="00E80869"/>
    <w:rsid w:val="00E808DF"/>
    <w:rsid w:val="00E80EE3"/>
    <w:rsid w:val="00E80FF8"/>
    <w:rsid w:val="00E810E3"/>
    <w:rsid w:val="00E8145C"/>
    <w:rsid w:val="00E8164F"/>
    <w:rsid w:val="00E81903"/>
    <w:rsid w:val="00E82164"/>
    <w:rsid w:val="00E8241A"/>
    <w:rsid w:val="00E82445"/>
    <w:rsid w:val="00E8271C"/>
    <w:rsid w:val="00E82C4C"/>
    <w:rsid w:val="00E82C53"/>
    <w:rsid w:val="00E834CB"/>
    <w:rsid w:val="00E836A8"/>
    <w:rsid w:val="00E83786"/>
    <w:rsid w:val="00E83C82"/>
    <w:rsid w:val="00E83C8E"/>
    <w:rsid w:val="00E84202"/>
    <w:rsid w:val="00E84288"/>
    <w:rsid w:val="00E842A5"/>
    <w:rsid w:val="00E84917"/>
    <w:rsid w:val="00E84EB4"/>
    <w:rsid w:val="00E851BF"/>
    <w:rsid w:val="00E855B7"/>
    <w:rsid w:val="00E85D4B"/>
    <w:rsid w:val="00E862C4"/>
    <w:rsid w:val="00E86673"/>
    <w:rsid w:val="00E86DD3"/>
    <w:rsid w:val="00E87442"/>
    <w:rsid w:val="00E87445"/>
    <w:rsid w:val="00E878BF"/>
    <w:rsid w:val="00E87C63"/>
    <w:rsid w:val="00E87E96"/>
    <w:rsid w:val="00E87F85"/>
    <w:rsid w:val="00E90AC1"/>
    <w:rsid w:val="00E90B15"/>
    <w:rsid w:val="00E90B69"/>
    <w:rsid w:val="00E90F6A"/>
    <w:rsid w:val="00E9123B"/>
    <w:rsid w:val="00E91240"/>
    <w:rsid w:val="00E91265"/>
    <w:rsid w:val="00E914B6"/>
    <w:rsid w:val="00E914E5"/>
    <w:rsid w:val="00E91FAA"/>
    <w:rsid w:val="00E92573"/>
    <w:rsid w:val="00E92A68"/>
    <w:rsid w:val="00E930AF"/>
    <w:rsid w:val="00E9310E"/>
    <w:rsid w:val="00E942ED"/>
    <w:rsid w:val="00E946E1"/>
    <w:rsid w:val="00E94CB2"/>
    <w:rsid w:val="00E94E28"/>
    <w:rsid w:val="00E951A2"/>
    <w:rsid w:val="00E95312"/>
    <w:rsid w:val="00E9557B"/>
    <w:rsid w:val="00E95645"/>
    <w:rsid w:val="00E95774"/>
    <w:rsid w:val="00E95BBA"/>
    <w:rsid w:val="00E95E46"/>
    <w:rsid w:val="00E9678A"/>
    <w:rsid w:val="00E96869"/>
    <w:rsid w:val="00E976C7"/>
    <w:rsid w:val="00EA044B"/>
    <w:rsid w:val="00EA04F4"/>
    <w:rsid w:val="00EA0552"/>
    <w:rsid w:val="00EA0C4C"/>
    <w:rsid w:val="00EA1571"/>
    <w:rsid w:val="00EA15C1"/>
    <w:rsid w:val="00EA1729"/>
    <w:rsid w:val="00EA24F7"/>
    <w:rsid w:val="00EA31B1"/>
    <w:rsid w:val="00EA3515"/>
    <w:rsid w:val="00EA352C"/>
    <w:rsid w:val="00EA357E"/>
    <w:rsid w:val="00EA35BD"/>
    <w:rsid w:val="00EA3757"/>
    <w:rsid w:val="00EA37C5"/>
    <w:rsid w:val="00EA3B42"/>
    <w:rsid w:val="00EA4662"/>
    <w:rsid w:val="00EA49AC"/>
    <w:rsid w:val="00EA4DD6"/>
    <w:rsid w:val="00EA4DDA"/>
    <w:rsid w:val="00EA5080"/>
    <w:rsid w:val="00EA53ED"/>
    <w:rsid w:val="00EA5738"/>
    <w:rsid w:val="00EA57CD"/>
    <w:rsid w:val="00EA57D7"/>
    <w:rsid w:val="00EA5BA9"/>
    <w:rsid w:val="00EA5EE4"/>
    <w:rsid w:val="00EA600E"/>
    <w:rsid w:val="00EA6217"/>
    <w:rsid w:val="00EA6673"/>
    <w:rsid w:val="00EA680D"/>
    <w:rsid w:val="00EA6949"/>
    <w:rsid w:val="00EA6B52"/>
    <w:rsid w:val="00EA7445"/>
    <w:rsid w:val="00EA75D6"/>
    <w:rsid w:val="00EA7C30"/>
    <w:rsid w:val="00EA7DA3"/>
    <w:rsid w:val="00EA7F32"/>
    <w:rsid w:val="00EA7FB8"/>
    <w:rsid w:val="00EB05BB"/>
    <w:rsid w:val="00EB06D0"/>
    <w:rsid w:val="00EB0A33"/>
    <w:rsid w:val="00EB0B47"/>
    <w:rsid w:val="00EB0E54"/>
    <w:rsid w:val="00EB0F00"/>
    <w:rsid w:val="00EB1031"/>
    <w:rsid w:val="00EB1179"/>
    <w:rsid w:val="00EB1618"/>
    <w:rsid w:val="00EB1961"/>
    <w:rsid w:val="00EB19EC"/>
    <w:rsid w:val="00EB1F5F"/>
    <w:rsid w:val="00EB24C9"/>
    <w:rsid w:val="00EB2FB3"/>
    <w:rsid w:val="00EB3434"/>
    <w:rsid w:val="00EB34D6"/>
    <w:rsid w:val="00EB3A90"/>
    <w:rsid w:val="00EB3B07"/>
    <w:rsid w:val="00EB3C23"/>
    <w:rsid w:val="00EB438B"/>
    <w:rsid w:val="00EB4F68"/>
    <w:rsid w:val="00EB5163"/>
    <w:rsid w:val="00EB5279"/>
    <w:rsid w:val="00EB52EB"/>
    <w:rsid w:val="00EB54C6"/>
    <w:rsid w:val="00EB5E3B"/>
    <w:rsid w:val="00EB68A5"/>
    <w:rsid w:val="00EB6A9C"/>
    <w:rsid w:val="00EB7A3D"/>
    <w:rsid w:val="00EB7E31"/>
    <w:rsid w:val="00EC0073"/>
    <w:rsid w:val="00EC08D8"/>
    <w:rsid w:val="00EC096F"/>
    <w:rsid w:val="00EC0A08"/>
    <w:rsid w:val="00EC202E"/>
    <w:rsid w:val="00EC209C"/>
    <w:rsid w:val="00EC3A1C"/>
    <w:rsid w:val="00EC3C7E"/>
    <w:rsid w:val="00EC456D"/>
    <w:rsid w:val="00EC479A"/>
    <w:rsid w:val="00EC4B8D"/>
    <w:rsid w:val="00EC4E5A"/>
    <w:rsid w:val="00EC51AA"/>
    <w:rsid w:val="00EC52F2"/>
    <w:rsid w:val="00EC54DE"/>
    <w:rsid w:val="00EC56AC"/>
    <w:rsid w:val="00EC5E08"/>
    <w:rsid w:val="00EC6307"/>
    <w:rsid w:val="00EC6739"/>
    <w:rsid w:val="00EC67CA"/>
    <w:rsid w:val="00EC6C1D"/>
    <w:rsid w:val="00EC719E"/>
    <w:rsid w:val="00EC74FC"/>
    <w:rsid w:val="00EC753E"/>
    <w:rsid w:val="00EC7731"/>
    <w:rsid w:val="00EC7AF8"/>
    <w:rsid w:val="00ED00A9"/>
    <w:rsid w:val="00ED062A"/>
    <w:rsid w:val="00ED066C"/>
    <w:rsid w:val="00ED0A73"/>
    <w:rsid w:val="00ED0B93"/>
    <w:rsid w:val="00ED11AD"/>
    <w:rsid w:val="00ED13E5"/>
    <w:rsid w:val="00ED1DB4"/>
    <w:rsid w:val="00ED20FB"/>
    <w:rsid w:val="00ED2944"/>
    <w:rsid w:val="00ED2954"/>
    <w:rsid w:val="00ED31EA"/>
    <w:rsid w:val="00ED323E"/>
    <w:rsid w:val="00ED37B6"/>
    <w:rsid w:val="00ED3967"/>
    <w:rsid w:val="00ED3C26"/>
    <w:rsid w:val="00ED4323"/>
    <w:rsid w:val="00ED4368"/>
    <w:rsid w:val="00ED460C"/>
    <w:rsid w:val="00ED4DEB"/>
    <w:rsid w:val="00ED50DD"/>
    <w:rsid w:val="00ED57D7"/>
    <w:rsid w:val="00ED62D0"/>
    <w:rsid w:val="00ED68A0"/>
    <w:rsid w:val="00ED695F"/>
    <w:rsid w:val="00ED6C6A"/>
    <w:rsid w:val="00ED7095"/>
    <w:rsid w:val="00ED70FB"/>
    <w:rsid w:val="00EE039A"/>
    <w:rsid w:val="00EE0467"/>
    <w:rsid w:val="00EE0582"/>
    <w:rsid w:val="00EE06F7"/>
    <w:rsid w:val="00EE0A27"/>
    <w:rsid w:val="00EE114D"/>
    <w:rsid w:val="00EE1215"/>
    <w:rsid w:val="00EE13CA"/>
    <w:rsid w:val="00EE147B"/>
    <w:rsid w:val="00EE154D"/>
    <w:rsid w:val="00EE1AC6"/>
    <w:rsid w:val="00EE1BB2"/>
    <w:rsid w:val="00EE1BF9"/>
    <w:rsid w:val="00EE2870"/>
    <w:rsid w:val="00EE2882"/>
    <w:rsid w:val="00EE28A4"/>
    <w:rsid w:val="00EE2C85"/>
    <w:rsid w:val="00EE2D13"/>
    <w:rsid w:val="00EE2D3C"/>
    <w:rsid w:val="00EE3947"/>
    <w:rsid w:val="00EE433C"/>
    <w:rsid w:val="00EE4839"/>
    <w:rsid w:val="00EE51A0"/>
    <w:rsid w:val="00EE5747"/>
    <w:rsid w:val="00EE57C1"/>
    <w:rsid w:val="00EE6488"/>
    <w:rsid w:val="00EE65A8"/>
    <w:rsid w:val="00EE690A"/>
    <w:rsid w:val="00EE6993"/>
    <w:rsid w:val="00EE7631"/>
    <w:rsid w:val="00EE7665"/>
    <w:rsid w:val="00EF06CE"/>
    <w:rsid w:val="00EF141D"/>
    <w:rsid w:val="00EF2132"/>
    <w:rsid w:val="00EF2612"/>
    <w:rsid w:val="00EF2847"/>
    <w:rsid w:val="00EF2BB6"/>
    <w:rsid w:val="00EF2CA3"/>
    <w:rsid w:val="00EF3007"/>
    <w:rsid w:val="00EF3444"/>
    <w:rsid w:val="00EF35B2"/>
    <w:rsid w:val="00EF37DD"/>
    <w:rsid w:val="00EF3801"/>
    <w:rsid w:val="00EF38BD"/>
    <w:rsid w:val="00EF409C"/>
    <w:rsid w:val="00EF41C5"/>
    <w:rsid w:val="00EF45CF"/>
    <w:rsid w:val="00EF4A0C"/>
    <w:rsid w:val="00EF514D"/>
    <w:rsid w:val="00EF5152"/>
    <w:rsid w:val="00EF5495"/>
    <w:rsid w:val="00EF5A9F"/>
    <w:rsid w:val="00EF6097"/>
    <w:rsid w:val="00EF667E"/>
    <w:rsid w:val="00EF6887"/>
    <w:rsid w:val="00EF6D71"/>
    <w:rsid w:val="00EF6D9E"/>
    <w:rsid w:val="00EF72CD"/>
    <w:rsid w:val="00EF75C6"/>
    <w:rsid w:val="00EF78BE"/>
    <w:rsid w:val="00EF79F7"/>
    <w:rsid w:val="00F00185"/>
    <w:rsid w:val="00F00415"/>
    <w:rsid w:val="00F0090B"/>
    <w:rsid w:val="00F00D1A"/>
    <w:rsid w:val="00F013B2"/>
    <w:rsid w:val="00F015FA"/>
    <w:rsid w:val="00F01677"/>
    <w:rsid w:val="00F01A62"/>
    <w:rsid w:val="00F01C0B"/>
    <w:rsid w:val="00F01C99"/>
    <w:rsid w:val="00F01E3B"/>
    <w:rsid w:val="00F02213"/>
    <w:rsid w:val="00F024B2"/>
    <w:rsid w:val="00F02628"/>
    <w:rsid w:val="00F02FF9"/>
    <w:rsid w:val="00F03751"/>
    <w:rsid w:val="00F04184"/>
    <w:rsid w:val="00F04D89"/>
    <w:rsid w:val="00F056A1"/>
    <w:rsid w:val="00F05A28"/>
    <w:rsid w:val="00F0617A"/>
    <w:rsid w:val="00F068B2"/>
    <w:rsid w:val="00F06A97"/>
    <w:rsid w:val="00F072CB"/>
    <w:rsid w:val="00F07591"/>
    <w:rsid w:val="00F078ED"/>
    <w:rsid w:val="00F07DA6"/>
    <w:rsid w:val="00F07DDC"/>
    <w:rsid w:val="00F1055C"/>
    <w:rsid w:val="00F10ADB"/>
    <w:rsid w:val="00F10B5D"/>
    <w:rsid w:val="00F10C17"/>
    <w:rsid w:val="00F1100A"/>
    <w:rsid w:val="00F118FF"/>
    <w:rsid w:val="00F12551"/>
    <w:rsid w:val="00F128D9"/>
    <w:rsid w:val="00F1318C"/>
    <w:rsid w:val="00F1324D"/>
    <w:rsid w:val="00F13BCB"/>
    <w:rsid w:val="00F13F83"/>
    <w:rsid w:val="00F157FA"/>
    <w:rsid w:val="00F160BC"/>
    <w:rsid w:val="00F16179"/>
    <w:rsid w:val="00F165FC"/>
    <w:rsid w:val="00F16A8C"/>
    <w:rsid w:val="00F16B06"/>
    <w:rsid w:val="00F16DE8"/>
    <w:rsid w:val="00F17B67"/>
    <w:rsid w:val="00F200DC"/>
    <w:rsid w:val="00F204EC"/>
    <w:rsid w:val="00F20A7B"/>
    <w:rsid w:val="00F20FE0"/>
    <w:rsid w:val="00F22055"/>
    <w:rsid w:val="00F22541"/>
    <w:rsid w:val="00F22CC8"/>
    <w:rsid w:val="00F22F19"/>
    <w:rsid w:val="00F23FBD"/>
    <w:rsid w:val="00F24E6A"/>
    <w:rsid w:val="00F251DA"/>
    <w:rsid w:val="00F2525D"/>
    <w:rsid w:val="00F25345"/>
    <w:rsid w:val="00F2550E"/>
    <w:rsid w:val="00F25578"/>
    <w:rsid w:val="00F2575A"/>
    <w:rsid w:val="00F25969"/>
    <w:rsid w:val="00F25B57"/>
    <w:rsid w:val="00F25FB3"/>
    <w:rsid w:val="00F2626F"/>
    <w:rsid w:val="00F266E1"/>
    <w:rsid w:val="00F26C5B"/>
    <w:rsid w:val="00F278B3"/>
    <w:rsid w:val="00F27A96"/>
    <w:rsid w:val="00F30127"/>
    <w:rsid w:val="00F3017D"/>
    <w:rsid w:val="00F302D4"/>
    <w:rsid w:val="00F304EA"/>
    <w:rsid w:val="00F30513"/>
    <w:rsid w:val="00F305D5"/>
    <w:rsid w:val="00F307C3"/>
    <w:rsid w:val="00F30FF5"/>
    <w:rsid w:val="00F3107C"/>
    <w:rsid w:val="00F325D7"/>
    <w:rsid w:val="00F32765"/>
    <w:rsid w:val="00F327B9"/>
    <w:rsid w:val="00F32B61"/>
    <w:rsid w:val="00F330FE"/>
    <w:rsid w:val="00F334AF"/>
    <w:rsid w:val="00F33DED"/>
    <w:rsid w:val="00F349FA"/>
    <w:rsid w:val="00F34A67"/>
    <w:rsid w:val="00F34D2B"/>
    <w:rsid w:val="00F350BE"/>
    <w:rsid w:val="00F36E97"/>
    <w:rsid w:val="00F3752B"/>
    <w:rsid w:val="00F3773F"/>
    <w:rsid w:val="00F3780F"/>
    <w:rsid w:val="00F378CB"/>
    <w:rsid w:val="00F40505"/>
    <w:rsid w:val="00F408F5"/>
    <w:rsid w:val="00F40B35"/>
    <w:rsid w:val="00F417DF"/>
    <w:rsid w:val="00F41B00"/>
    <w:rsid w:val="00F41C4D"/>
    <w:rsid w:val="00F42439"/>
    <w:rsid w:val="00F42629"/>
    <w:rsid w:val="00F42AF9"/>
    <w:rsid w:val="00F42BA2"/>
    <w:rsid w:val="00F42BC2"/>
    <w:rsid w:val="00F43291"/>
    <w:rsid w:val="00F43552"/>
    <w:rsid w:val="00F435A3"/>
    <w:rsid w:val="00F446BC"/>
    <w:rsid w:val="00F447F7"/>
    <w:rsid w:val="00F44CEE"/>
    <w:rsid w:val="00F45089"/>
    <w:rsid w:val="00F451C9"/>
    <w:rsid w:val="00F45227"/>
    <w:rsid w:val="00F45357"/>
    <w:rsid w:val="00F45636"/>
    <w:rsid w:val="00F45812"/>
    <w:rsid w:val="00F45D4E"/>
    <w:rsid w:val="00F45E4F"/>
    <w:rsid w:val="00F46156"/>
    <w:rsid w:val="00F461EA"/>
    <w:rsid w:val="00F469A5"/>
    <w:rsid w:val="00F46D40"/>
    <w:rsid w:val="00F46F0C"/>
    <w:rsid w:val="00F47418"/>
    <w:rsid w:val="00F47618"/>
    <w:rsid w:val="00F47812"/>
    <w:rsid w:val="00F479A8"/>
    <w:rsid w:val="00F47DA4"/>
    <w:rsid w:val="00F47F04"/>
    <w:rsid w:val="00F5108A"/>
    <w:rsid w:val="00F515EB"/>
    <w:rsid w:val="00F51ED3"/>
    <w:rsid w:val="00F52162"/>
    <w:rsid w:val="00F523F1"/>
    <w:rsid w:val="00F52737"/>
    <w:rsid w:val="00F52765"/>
    <w:rsid w:val="00F52D15"/>
    <w:rsid w:val="00F52DC2"/>
    <w:rsid w:val="00F52EC3"/>
    <w:rsid w:val="00F52ED0"/>
    <w:rsid w:val="00F5425B"/>
    <w:rsid w:val="00F5439B"/>
    <w:rsid w:val="00F54551"/>
    <w:rsid w:val="00F5472E"/>
    <w:rsid w:val="00F5487F"/>
    <w:rsid w:val="00F54888"/>
    <w:rsid w:val="00F54B74"/>
    <w:rsid w:val="00F54CC0"/>
    <w:rsid w:val="00F54D3B"/>
    <w:rsid w:val="00F5532B"/>
    <w:rsid w:val="00F5539E"/>
    <w:rsid w:val="00F55F05"/>
    <w:rsid w:val="00F562C1"/>
    <w:rsid w:val="00F565D2"/>
    <w:rsid w:val="00F56EF3"/>
    <w:rsid w:val="00F57334"/>
    <w:rsid w:val="00F5759E"/>
    <w:rsid w:val="00F57AA9"/>
    <w:rsid w:val="00F57AE8"/>
    <w:rsid w:val="00F57BA8"/>
    <w:rsid w:val="00F60438"/>
    <w:rsid w:val="00F605D3"/>
    <w:rsid w:val="00F606BE"/>
    <w:rsid w:val="00F60802"/>
    <w:rsid w:val="00F60979"/>
    <w:rsid w:val="00F61251"/>
    <w:rsid w:val="00F61B07"/>
    <w:rsid w:val="00F61E5E"/>
    <w:rsid w:val="00F621C9"/>
    <w:rsid w:val="00F6244E"/>
    <w:rsid w:val="00F634D8"/>
    <w:rsid w:val="00F634DA"/>
    <w:rsid w:val="00F63A90"/>
    <w:rsid w:val="00F63FB5"/>
    <w:rsid w:val="00F64236"/>
    <w:rsid w:val="00F64FBE"/>
    <w:rsid w:val="00F64FED"/>
    <w:rsid w:val="00F652C8"/>
    <w:rsid w:val="00F65559"/>
    <w:rsid w:val="00F65F33"/>
    <w:rsid w:val="00F66101"/>
    <w:rsid w:val="00F66813"/>
    <w:rsid w:val="00F66B08"/>
    <w:rsid w:val="00F66B54"/>
    <w:rsid w:val="00F66E4B"/>
    <w:rsid w:val="00F66E6B"/>
    <w:rsid w:val="00F66FB1"/>
    <w:rsid w:val="00F70259"/>
    <w:rsid w:val="00F70A80"/>
    <w:rsid w:val="00F70A84"/>
    <w:rsid w:val="00F70A99"/>
    <w:rsid w:val="00F70DE9"/>
    <w:rsid w:val="00F70F12"/>
    <w:rsid w:val="00F71298"/>
    <w:rsid w:val="00F71794"/>
    <w:rsid w:val="00F723A7"/>
    <w:rsid w:val="00F725B2"/>
    <w:rsid w:val="00F72895"/>
    <w:rsid w:val="00F731DA"/>
    <w:rsid w:val="00F736D7"/>
    <w:rsid w:val="00F73B39"/>
    <w:rsid w:val="00F75C32"/>
    <w:rsid w:val="00F75F84"/>
    <w:rsid w:val="00F767B3"/>
    <w:rsid w:val="00F76847"/>
    <w:rsid w:val="00F768DA"/>
    <w:rsid w:val="00F76C31"/>
    <w:rsid w:val="00F76CAC"/>
    <w:rsid w:val="00F76E2B"/>
    <w:rsid w:val="00F770ED"/>
    <w:rsid w:val="00F773F4"/>
    <w:rsid w:val="00F778D6"/>
    <w:rsid w:val="00F77966"/>
    <w:rsid w:val="00F77B7E"/>
    <w:rsid w:val="00F77C02"/>
    <w:rsid w:val="00F77D3A"/>
    <w:rsid w:val="00F80B1E"/>
    <w:rsid w:val="00F80CA6"/>
    <w:rsid w:val="00F81227"/>
    <w:rsid w:val="00F816BF"/>
    <w:rsid w:val="00F81887"/>
    <w:rsid w:val="00F81BD7"/>
    <w:rsid w:val="00F81C3D"/>
    <w:rsid w:val="00F82727"/>
    <w:rsid w:val="00F82AED"/>
    <w:rsid w:val="00F82BC4"/>
    <w:rsid w:val="00F832D4"/>
    <w:rsid w:val="00F834DD"/>
    <w:rsid w:val="00F83685"/>
    <w:rsid w:val="00F838BE"/>
    <w:rsid w:val="00F83F3A"/>
    <w:rsid w:val="00F84306"/>
    <w:rsid w:val="00F84DE1"/>
    <w:rsid w:val="00F850ED"/>
    <w:rsid w:val="00F85564"/>
    <w:rsid w:val="00F8569F"/>
    <w:rsid w:val="00F8573F"/>
    <w:rsid w:val="00F86B31"/>
    <w:rsid w:val="00F873A7"/>
    <w:rsid w:val="00F8766C"/>
    <w:rsid w:val="00F8788C"/>
    <w:rsid w:val="00F87A26"/>
    <w:rsid w:val="00F87A93"/>
    <w:rsid w:val="00F87B6E"/>
    <w:rsid w:val="00F87EAE"/>
    <w:rsid w:val="00F87FCA"/>
    <w:rsid w:val="00F900B5"/>
    <w:rsid w:val="00F908DE"/>
    <w:rsid w:val="00F90E42"/>
    <w:rsid w:val="00F91E27"/>
    <w:rsid w:val="00F922ED"/>
    <w:rsid w:val="00F92754"/>
    <w:rsid w:val="00F92794"/>
    <w:rsid w:val="00F927B4"/>
    <w:rsid w:val="00F93188"/>
    <w:rsid w:val="00F93F2F"/>
    <w:rsid w:val="00F93F55"/>
    <w:rsid w:val="00F94F67"/>
    <w:rsid w:val="00F95100"/>
    <w:rsid w:val="00F9528A"/>
    <w:rsid w:val="00F95844"/>
    <w:rsid w:val="00F95A9A"/>
    <w:rsid w:val="00F96449"/>
    <w:rsid w:val="00F96559"/>
    <w:rsid w:val="00F9691A"/>
    <w:rsid w:val="00F96D2B"/>
    <w:rsid w:val="00F97986"/>
    <w:rsid w:val="00F97A3C"/>
    <w:rsid w:val="00F97A89"/>
    <w:rsid w:val="00FA0A8F"/>
    <w:rsid w:val="00FA0AE1"/>
    <w:rsid w:val="00FA0E76"/>
    <w:rsid w:val="00FA1AD2"/>
    <w:rsid w:val="00FA2BC0"/>
    <w:rsid w:val="00FA2C0F"/>
    <w:rsid w:val="00FA2CE9"/>
    <w:rsid w:val="00FA2D54"/>
    <w:rsid w:val="00FA318D"/>
    <w:rsid w:val="00FA3265"/>
    <w:rsid w:val="00FA3B5A"/>
    <w:rsid w:val="00FA3CDD"/>
    <w:rsid w:val="00FA3E87"/>
    <w:rsid w:val="00FA4E66"/>
    <w:rsid w:val="00FA5374"/>
    <w:rsid w:val="00FA5521"/>
    <w:rsid w:val="00FA5683"/>
    <w:rsid w:val="00FA5B87"/>
    <w:rsid w:val="00FA5F66"/>
    <w:rsid w:val="00FA62EC"/>
    <w:rsid w:val="00FA6528"/>
    <w:rsid w:val="00FA6FAD"/>
    <w:rsid w:val="00FA70D8"/>
    <w:rsid w:val="00FA7845"/>
    <w:rsid w:val="00FA7BAA"/>
    <w:rsid w:val="00FB0A1C"/>
    <w:rsid w:val="00FB1216"/>
    <w:rsid w:val="00FB17CC"/>
    <w:rsid w:val="00FB189F"/>
    <w:rsid w:val="00FB1972"/>
    <w:rsid w:val="00FB1A4A"/>
    <w:rsid w:val="00FB1F1F"/>
    <w:rsid w:val="00FB242D"/>
    <w:rsid w:val="00FB2753"/>
    <w:rsid w:val="00FB2774"/>
    <w:rsid w:val="00FB2BC4"/>
    <w:rsid w:val="00FB2C74"/>
    <w:rsid w:val="00FB2FCB"/>
    <w:rsid w:val="00FB31C5"/>
    <w:rsid w:val="00FB6181"/>
    <w:rsid w:val="00FB6381"/>
    <w:rsid w:val="00FB65E4"/>
    <w:rsid w:val="00FB7A1D"/>
    <w:rsid w:val="00FC024E"/>
    <w:rsid w:val="00FC09D9"/>
    <w:rsid w:val="00FC1795"/>
    <w:rsid w:val="00FC1EA5"/>
    <w:rsid w:val="00FC1EC7"/>
    <w:rsid w:val="00FC1FC4"/>
    <w:rsid w:val="00FC28A4"/>
    <w:rsid w:val="00FC2F83"/>
    <w:rsid w:val="00FC2FC2"/>
    <w:rsid w:val="00FC34C5"/>
    <w:rsid w:val="00FC3943"/>
    <w:rsid w:val="00FC39F0"/>
    <w:rsid w:val="00FC3AFE"/>
    <w:rsid w:val="00FC4687"/>
    <w:rsid w:val="00FC46A1"/>
    <w:rsid w:val="00FC4769"/>
    <w:rsid w:val="00FC4A53"/>
    <w:rsid w:val="00FC4B8A"/>
    <w:rsid w:val="00FC4D73"/>
    <w:rsid w:val="00FC4EA9"/>
    <w:rsid w:val="00FC522B"/>
    <w:rsid w:val="00FC5478"/>
    <w:rsid w:val="00FC55B3"/>
    <w:rsid w:val="00FC58BB"/>
    <w:rsid w:val="00FC6390"/>
    <w:rsid w:val="00FC64FA"/>
    <w:rsid w:val="00FC6DCD"/>
    <w:rsid w:val="00FC7273"/>
    <w:rsid w:val="00FC7921"/>
    <w:rsid w:val="00FD0560"/>
    <w:rsid w:val="00FD0A9C"/>
    <w:rsid w:val="00FD1F52"/>
    <w:rsid w:val="00FD216A"/>
    <w:rsid w:val="00FD227D"/>
    <w:rsid w:val="00FD2534"/>
    <w:rsid w:val="00FD2A57"/>
    <w:rsid w:val="00FD34D2"/>
    <w:rsid w:val="00FD3BF5"/>
    <w:rsid w:val="00FD4059"/>
    <w:rsid w:val="00FD43B1"/>
    <w:rsid w:val="00FD4691"/>
    <w:rsid w:val="00FD4AC8"/>
    <w:rsid w:val="00FD59E0"/>
    <w:rsid w:val="00FD5E63"/>
    <w:rsid w:val="00FD6026"/>
    <w:rsid w:val="00FD67F7"/>
    <w:rsid w:val="00FD6C6A"/>
    <w:rsid w:val="00FD723F"/>
    <w:rsid w:val="00FD7285"/>
    <w:rsid w:val="00FD7B66"/>
    <w:rsid w:val="00FE01F1"/>
    <w:rsid w:val="00FE0784"/>
    <w:rsid w:val="00FE0B74"/>
    <w:rsid w:val="00FE13D2"/>
    <w:rsid w:val="00FE162D"/>
    <w:rsid w:val="00FE1EE7"/>
    <w:rsid w:val="00FE22A1"/>
    <w:rsid w:val="00FE23B3"/>
    <w:rsid w:val="00FE2518"/>
    <w:rsid w:val="00FE302B"/>
    <w:rsid w:val="00FE3054"/>
    <w:rsid w:val="00FE3521"/>
    <w:rsid w:val="00FE361E"/>
    <w:rsid w:val="00FE3869"/>
    <w:rsid w:val="00FE3A5B"/>
    <w:rsid w:val="00FE3B08"/>
    <w:rsid w:val="00FE3B14"/>
    <w:rsid w:val="00FE3C75"/>
    <w:rsid w:val="00FE4199"/>
    <w:rsid w:val="00FE4586"/>
    <w:rsid w:val="00FE4F3A"/>
    <w:rsid w:val="00FE64FD"/>
    <w:rsid w:val="00FE71DC"/>
    <w:rsid w:val="00FE72A0"/>
    <w:rsid w:val="00FE7FA5"/>
    <w:rsid w:val="00FF0BD2"/>
    <w:rsid w:val="00FF15DE"/>
    <w:rsid w:val="00FF183A"/>
    <w:rsid w:val="00FF1B11"/>
    <w:rsid w:val="00FF1CB0"/>
    <w:rsid w:val="00FF1DDA"/>
    <w:rsid w:val="00FF1F64"/>
    <w:rsid w:val="00FF22FC"/>
    <w:rsid w:val="00FF29E0"/>
    <w:rsid w:val="00FF2ED8"/>
    <w:rsid w:val="00FF3AEB"/>
    <w:rsid w:val="00FF3EB1"/>
    <w:rsid w:val="00FF400F"/>
    <w:rsid w:val="00FF48CE"/>
    <w:rsid w:val="00FF4B03"/>
    <w:rsid w:val="00FF58B4"/>
    <w:rsid w:val="00FF5ADE"/>
    <w:rsid w:val="00FF66B5"/>
    <w:rsid w:val="00FF6862"/>
    <w:rsid w:val="00FF6C1E"/>
    <w:rsid w:val="00FF6DB5"/>
    <w:rsid w:val="00FF6E50"/>
    <w:rsid w:val="00FF6ECA"/>
    <w:rsid w:val="00FF70E0"/>
    <w:rsid w:val="00FF7655"/>
    <w:rsid w:val="00FF76B8"/>
    <w:rsid w:val="00FF79C4"/>
    <w:rsid w:val="00FF7C50"/>
    <w:rsid w:val="00FF7D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0225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2" w:unhideWhenUsed="1"/>
    <w:lsdException w:name="List 3"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unhideWhenUsed="1"/>
    <w:lsdException w:name="Block Text"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2ABE"/>
    <w:pPr>
      <w:adjustRightInd w:val="0"/>
      <w:spacing w:after="240" w:line="260" w:lineRule="atLeast"/>
      <w:textAlignment w:val="baseline"/>
    </w:pPr>
    <w:rPr>
      <w:rFonts w:ascii="Cambria" w:hAnsi="Cambria"/>
      <w:szCs w:val="22"/>
    </w:rPr>
  </w:style>
  <w:style w:type="paragraph" w:styleId="Heading1">
    <w:name w:val="heading 1"/>
    <w:basedOn w:val="Normal"/>
    <w:next w:val="Normal"/>
    <w:link w:val="Heading1Char"/>
    <w:autoRedefine/>
    <w:qFormat/>
    <w:rsid w:val="002C2A63"/>
    <w:pPr>
      <w:keepNext/>
      <w:keepLines/>
      <w:pageBreakBefore/>
      <w:numPr>
        <w:numId w:val="3"/>
      </w:numPr>
      <w:adjustRightInd/>
      <w:textAlignment w:val="auto"/>
      <w:outlineLvl w:val="0"/>
    </w:pPr>
    <w:rPr>
      <w:rFonts w:ascii="Calibri" w:hAnsi="Calibri"/>
      <w:b/>
      <w:bCs/>
      <w:color w:val="1795D2"/>
      <w:sz w:val="36"/>
      <w:szCs w:val="36"/>
    </w:rPr>
  </w:style>
  <w:style w:type="paragraph" w:styleId="Heading2">
    <w:name w:val="heading 2"/>
    <w:basedOn w:val="Normal"/>
    <w:next w:val="Normal"/>
    <w:link w:val="Heading2Char"/>
    <w:autoRedefine/>
    <w:qFormat/>
    <w:rsid w:val="00B8270A"/>
    <w:pPr>
      <w:keepNext/>
      <w:keepLines/>
      <w:numPr>
        <w:ilvl w:val="1"/>
        <w:numId w:val="3"/>
      </w:numPr>
      <w:pBdr>
        <w:bottom w:val="single" w:sz="2" w:space="1" w:color="auto"/>
      </w:pBdr>
      <w:spacing w:after="120"/>
      <w:outlineLvl w:val="1"/>
    </w:pPr>
    <w:rPr>
      <w:rFonts w:ascii="Calibri" w:hAnsi="Calibri"/>
      <w:b/>
      <w:bCs/>
      <w:sz w:val="24"/>
      <w:szCs w:val="24"/>
    </w:rPr>
  </w:style>
  <w:style w:type="paragraph" w:styleId="Heading3">
    <w:name w:val="heading 3"/>
    <w:basedOn w:val="Normal"/>
    <w:next w:val="Normal"/>
    <w:link w:val="Heading3Char"/>
    <w:autoRedefine/>
    <w:qFormat/>
    <w:rsid w:val="002C2A63"/>
    <w:pPr>
      <w:keepNext/>
      <w:keepLines/>
      <w:numPr>
        <w:ilvl w:val="2"/>
        <w:numId w:val="3"/>
      </w:numPr>
      <w:spacing w:after="120" w:line="240" w:lineRule="auto"/>
      <w:ind w:left="0"/>
      <w:outlineLvl w:val="2"/>
    </w:pPr>
    <w:rPr>
      <w:rFonts w:ascii="Calibri" w:hAnsi="Calibri"/>
      <w:b/>
      <w:iCs/>
      <w:color w:val="000000"/>
      <w:szCs w:val="18"/>
    </w:rPr>
  </w:style>
  <w:style w:type="paragraph" w:styleId="Heading4">
    <w:name w:val="heading 4"/>
    <w:basedOn w:val="Normal"/>
    <w:next w:val="Normal"/>
    <w:link w:val="Heading4Char"/>
    <w:autoRedefine/>
    <w:qFormat/>
    <w:rsid w:val="00F30127"/>
    <w:pPr>
      <w:keepNext/>
      <w:keepLines/>
      <w:numPr>
        <w:ilvl w:val="3"/>
        <w:numId w:val="3"/>
      </w:numPr>
      <w:spacing w:after="120"/>
      <w:outlineLvl w:val="3"/>
    </w:pPr>
    <w:rPr>
      <w:rFonts w:ascii="Calibri" w:hAnsi="Calibri"/>
      <w:bCs/>
      <w:i/>
      <w:szCs w:val="20"/>
    </w:rPr>
  </w:style>
  <w:style w:type="paragraph" w:styleId="Heading5">
    <w:name w:val="heading 5"/>
    <w:basedOn w:val="Normal"/>
    <w:next w:val="Normal"/>
    <w:qFormat/>
    <w:pPr>
      <w:keepNext/>
      <w:outlineLvl w:val="4"/>
    </w:pPr>
    <w:rPr>
      <w:b/>
      <w:bCs/>
    </w:rPr>
  </w:style>
  <w:style w:type="paragraph" w:styleId="Heading6">
    <w:name w:val="heading 6"/>
    <w:basedOn w:val="Normal"/>
    <w:next w:val="Normal"/>
    <w:qFormat/>
    <w:pPr>
      <w:keepNext/>
      <w:jc w:val="center"/>
      <w:outlineLvl w:val="5"/>
    </w:pPr>
    <w:rPr>
      <w:sz w:val="44"/>
    </w:rPr>
  </w:style>
  <w:style w:type="paragraph" w:styleId="Heading7">
    <w:name w:val="heading 7"/>
    <w:basedOn w:val="Normal"/>
    <w:next w:val="Normal"/>
    <w:qFormat/>
    <w:pPr>
      <w:keepNext/>
      <w:jc w:val="center"/>
      <w:outlineLvl w:val="6"/>
    </w:pPr>
    <w:rPr>
      <w:b/>
      <w:bCs/>
    </w:rPr>
  </w:style>
  <w:style w:type="paragraph" w:styleId="Heading8">
    <w:name w:val="heading 8"/>
    <w:basedOn w:val="Normal"/>
    <w:next w:val="Normal"/>
    <w:qFormat/>
    <w:pPr>
      <w:keepNext/>
      <w:jc w:val="center"/>
      <w:outlineLvl w:val="7"/>
    </w:pPr>
    <w:rPr>
      <w:b/>
      <w:bCs/>
    </w:rPr>
  </w:style>
  <w:style w:type="paragraph" w:styleId="Heading9">
    <w:name w:val="heading 9"/>
    <w:basedOn w:val="Normal"/>
    <w:next w:val="Normal"/>
    <w:qFormat/>
    <w:pPr>
      <w:keepNext/>
      <w:ind w:right="-147"/>
      <w:jc w:val="center"/>
      <w:outlineLvl w:val="8"/>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8ptLeftText">
    <w:name w:val="Table 8 pt Left Text"/>
    <w:basedOn w:val="Normal"/>
    <w:rPr>
      <w:rFonts w:ascii="Arial" w:hAnsi="Arial"/>
      <w:sz w:val="16"/>
    </w:rPr>
  </w:style>
  <w:style w:type="paragraph" w:styleId="Caption">
    <w:name w:val="caption"/>
    <w:basedOn w:val="Normal"/>
    <w:next w:val="Normal"/>
    <w:link w:val="CaptionChar"/>
    <w:qFormat/>
    <w:rsid w:val="00EB3C23"/>
    <w:pPr>
      <w:keepNext/>
      <w:keepLines/>
      <w:tabs>
        <w:tab w:val="left" w:pos="1260"/>
        <w:tab w:val="left" w:pos="9000"/>
      </w:tabs>
      <w:spacing w:after="120" w:line="240" w:lineRule="auto"/>
    </w:pPr>
    <w:rPr>
      <w:rFonts w:ascii="Calibri" w:hAnsi="Calibri"/>
      <w:b/>
      <w:bCs/>
      <w:szCs w:val="20"/>
    </w:rPr>
  </w:style>
  <w:style w:type="paragraph" w:styleId="Header">
    <w:name w:val="header"/>
    <w:basedOn w:val="Normal"/>
    <w:link w:val="HeaderChar"/>
    <w:uiPriority w:val="99"/>
    <w:pPr>
      <w:tabs>
        <w:tab w:val="center" w:pos="4320"/>
        <w:tab w:val="right" w:pos="8640"/>
      </w:tabs>
    </w:pPr>
  </w:style>
  <w:style w:type="paragraph" w:styleId="TableofFigures">
    <w:name w:val="table of figures"/>
    <w:basedOn w:val="Normal"/>
    <w:next w:val="Normal"/>
    <w:autoRedefine/>
    <w:uiPriority w:val="99"/>
    <w:rsid w:val="00E04C9D"/>
    <w:pPr>
      <w:tabs>
        <w:tab w:val="right" w:leader="dot" w:pos="8990"/>
      </w:tabs>
      <w:spacing w:after="120" w:line="240" w:lineRule="auto"/>
      <w:ind w:left="1080" w:hanging="1080"/>
    </w:pPr>
    <w:rPr>
      <w:rFonts w:ascii="Calibri" w:hAnsi="Calibri" w:cstheme="minorHAnsi"/>
      <w:b/>
      <w:noProof/>
      <w:szCs w:val="20"/>
    </w:rPr>
  </w:style>
  <w:style w:type="paragraph" w:styleId="FootnoteText">
    <w:name w:val="footnote text"/>
    <w:aliases w:val="ft,Footnote Text Char1,Footnote Text Char Char,fn Char Char,Footnote Text Char1 Char1 Char,Footnote Text Char Char Char1 Char,Footnote Text Char1 Char Char Char,Footnote Text Char Char Char Char Char,Footnote Text Char Char1,fn,ft Char1,f"/>
    <w:basedOn w:val="Normal"/>
    <w:link w:val="FootnoteTextChar"/>
    <w:uiPriority w:val="99"/>
    <w:qFormat/>
    <w:rsid w:val="009C2B5B"/>
    <w:pPr>
      <w:keepLines/>
      <w:spacing w:after="80" w:line="240" w:lineRule="auto"/>
    </w:pPr>
    <w:rPr>
      <w:sz w:val="18"/>
      <w:szCs w:val="18"/>
    </w:rPr>
  </w:style>
  <w:style w:type="character" w:styleId="FootnoteReference">
    <w:name w:val="footnote reference"/>
    <w:aliases w:val="o,Style 17,fr,Style 13,Style 12,Style 15,Style 9,o1,fr1,o2,fr2,o3,fr3,Style 18,(NECG) Footnote Reference,Style 20,Style 7,Style 8,Style 19,Style 32,o + Times New Roman,Style 16,StyFootnote Reference,Style 11,Style 28,Styl"/>
    <w:autoRedefine/>
    <w:uiPriority w:val="99"/>
    <w:qFormat/>
    <w:rPr>
      <w:sz w:val="22"/>
      <w:szCs w:val="22"/>
      <w:vertAlign w:val="superscript"/>
    </w:r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C2">
    <w:name w:val="toc 2"/>
    <w:basedOn w:val="Normal"/>
    <w:next w:val="Normal"/>
    <w:autoRedefine/>
    <w:uiPriority w:val="39"/>
    <w:rsid w:val="005D20DB"/>
    <w:pPr>
      <w:keepNext/>
      <w:tabs>
        <w:tab w:val="right" w:leader="dot" w:pos="8990"/>
      </w:tabs>
      <w:spacing w:after="120" w:line="240" w:lineRule="auto"/>
      <w:ind w:left="331" w:hanging="331"/>
    </w:pPr>
    <w:rPr>
      <w:rFonts w:asciiTheme="minorHAnsi" w:hAnsiTheme="minorHAnsi"/>
      <w:bCs/>
      <w:noProof/>
      <w:szCs w:val="20"/>
    </w:rPr>
  </w:style>
  <w:style w:type="paragraph" w:styleId="TOC1">
    <w:name w:val="toc 1"/>
    <w:basedOn w:val="Normal"/>
    <w:next w:val="Normal"/>
    <w:autoRedefine/>
    <w:uiPriority w:val="39"/>
    <w:qFormat/>
    <w:rsid w:val="005D20DB"/>
    <w:pPr>
      <w:tabs>
        <w:tab w:val="right" w:leader="dot" w:pos="8990"/>
      </w:tabs>
      <w:spacing w:after="120" w:line="240" w:lineRule="auto"/>
    </w:pPr>
    <w:rPr>
      <w:rFonts w:asciiTheme="minorHAnsi" w:hAnsiTheme="minorHAnsi" w:cs="Arial"/>
      <w:b/>
      <w:bCs/>
      <w:noProof/>
      <w:szCs w:val="20"/>
    </w:rPr>
  </w:style>
  <w:style w:type="paragraph" w:styleId="TOC3">
    <w:name w:val="toc 3"/>
    <w:basedOn w:val="Normal"/>
    <w:next w:val="Normal"/>
    <w:uiPriority w:val="39"/>
    <w:pPr>
      <w:tabs>
        <w:tab w:val="right" w:leader="dot" w:pos="8990"/>
      </w:tabs>
      <w:ind w:left="216"/>
    </w:pPr>
    <w:rPr>
      <w:szCs w:val="20"/>
    </w:rPr>
  </w:style>
  <w:style w:type="paragraph" w:styleId="TOC4">
    <w:name w:val="toc 4"/>
    <w:basedOn w:val="Normal"/>
    <w:next w:val="Normal"/>
    <w:autoRedefine/>
    <w:semiHidden/>
    <w:pPr>
      <w:ind w:left="440"/>
    </w:pPr>
    <w:rPr>
      <w:szCs w:val="20"/>
    </w:rPr>
  </w:style>
  <w:style w:type="character" w:styleId="Hyperlink">
    <w:name w:val="Hyperlink"/>
    <w:uiPriority w:val="99"/>
    <w:qFormat/>
    <w:rPr>
      <w:color w:val="0000FF"/>
      <w:u w:val="single"/>
    </w:rPr>
  </w:style>
  <w:style w:type="paragraph" w:customStyle="1" w:styleId="Table-a-b-c">
    <w:name w:val="Table-a-b-c"/>
    <w:basedOn w:val="Normal"/>
    <w:pPr>
      <w:spacing w:after="80" w:line="240" w:lineRule="auto"/>
      <w:ind w:left="-720"/>
    </w:pPr>
    <w:rPr>
      <w:rFonts w:ascii="Arial" w:hAnsi="Arial" w:cs="Arial"/>
      <w:sz w:val="16"/>
      <w:szCs w:val="16"/>
    </w:rPr>
  </w:style>
  <w:style w:type="paragraph" w:styleId="TOC5">
    <w:name w:val="toc 5"/>
    <w:basedOn w:val="Normal"/>
    <w:next w:val="Normal"/>
    <w:autoRedefine/>
    <w:semiHidden/>
    <w:pPr>
      <w:ind w:left="660"/>
    </w:pPr>
    <w:rPr>
      <w:szCs w:val="20"/>
    </w:rPr>
  </w:style>
  <w:style w:type="paragraph" w:styleId="TOC6">
    <w:name w:val="toc 6"/>
    <w:basedOn w:val="Normal"/>
    <w:next w:val="Normal"/>
    <w:autoRedefine/>
    <w:semiHidden/>
    <w:pPr>
      <w:ind w:left="880"/>
    </w:pPr>
    <w:rPr>
      <w:szCs w:val="20"/>
    </w:rPr>
  </w:style>
  <w:style w:type="paragraph" w:styleId="TOC7">
    <w:name w:val="toc 7"/>
    <w:basedOn w:val="Normal"/>
    <w:next w:val="Normal"/>
    <w:autoRedefine/>
    <w:semiHidden/>
    <w:pPr>
      <w:ind w:left="1100"/>
    </w:pPr>
    <w:rPr>
      <w:szCs w:val="20"/>
    </w:rPr>
  </w:style>
  <w:style w:type="paragraph" w:styleId="TOC8">
    <w:name w:val="toc 8"/>
    <w:basedOn w:val="Normal"/>
    <w:next w:val="Normal"/>
    <w:autoRedefine/>
    <w:semiHidden/>
    <w:pPr>
      <w:ind w:left="1320"/>
    </w:pPr>
    <w:rPr>
      <w:szCs w:val="20"/>
    </w:rPr>
  </w:style>
  <w:style w:type="paragraph" w:styleId="TOC9">
    <w:name w:val="toc 9"/>
    <w:basedOn w:val="Normal"/>
    <w:next w:val="Normal"/>
    <w:autoRedefine/>
    <w:semiHidden/>
    <w:pPr>
      <w:ind w:left="1540"/>
    </w:pPr>
    <w:rPr>
      <w:szCs w:val="20"/>
    </w:rPr>
  </w:style>
  <w:style w:type="paragraph" w:customStyle="1" w:styleId="TableTextCentered">
    <w:name w:val="Table Text Centered"/>
    <w:basedOn w:val="Normal"/>
    <w:pPr>
      <w:tabs>
        <w:tab w:val="left" w:pos="-720"/>
      </w:tabs>
      <w:suppressAutoHyphens/>
      <w:spacing w:before="60" w:after="60" w:line="180" w:lineRule="exact"/>
      <w:jc w:val="center"/>
    </w:pPr>
    <w:rPr>
      <w:sz w:val="18"/>
    </w:rPr>
  </w:style>
  <w:style w:type="paragraph" w:styleId="Footer">
    <w:name w:val="footer"/>
    <w:basedOn w:val="Normal"/>
    <w:link w:val="FooterChar"/>
    <w:uiPriority w:val="99"/>
    <w:pPr>
      <w:tabs>
        <w:tab w:val="center" w:pos="4320"/>
        <w:tab w:val="right" w:pos="8640"/>
      </w:tabs>
    </w:pPr>
  </w:style>
  <w:style w:type="paragraph" w:styleId="Subtitle">
    <w:name w:val="Subtitle"/>
    <w:basedOn w:val="Normal"/>
    <w:qFormat/>
    <w:rPr>
      <w:b/>
      <w:bCs/>
    </w:rPr>
  </w:style>
  <w:style w:type="paragraph" w:customStyle="1" w:styleId="TableCaption">
    <w:name w:val="Table Caption"/>
    <w:basedOn w:val="Caption"/>
    <w:autoRedefine/>
    <w:rsid w:val="004315EE"/>
    <w:pPr>
      <w:tabs>
        <w:tab w:val="left" w:pos="7740"/>
      </w:tabs>
      <w:ind w:left="1267" w:right="1267"/>
    </w:pPr>
  </w:style>
  <w:style w:type="paragraph" w:customStyle="1" w:styleId="Table8ptTextCentered">
    <w:name w:val="Table 8 pt Text Centered"/>
    <w:basedOn w:val="Normal"/>
    <w:pPr>
      <w:adjustRightInd/>
      <w:spacing w:line="240" w:lineRule="auto"/>
      <w:jc w:val="center"/>
      <w:textAlignment w:val="auto"/>
    </w:pPr>
    <w:rPr>
      <w:rFonts w:ascii="Arial" w:hAnsi="Arial" w:cs="Arial"/>
      <w:sz w:val="16"/>
      <w:szCs w:val="16"/>
    </w:rPr>
  </w:style>
  <w:style w:type="paragraph" w:customStyle="1" w:styleId="Table8ptCtrBoldText">
    <w:name w:val="Table 8 pt Ctr Bold Text"/>
    <w:basedOn w:val="Normal"/>
    <w:autoRedefine/>
    <w:pPr>
      <w:keepNext/>
      <w:keepLines/>
      <w:adjustRightInd/>
      <w:spacing w:line="240" w:lineRule="auto"/>
      <w:jc w:val="center"/>
      <w:textAlignment w:val="auto"/>
    </w:pPr>
    <w:rPr>
      <w:rFonts w:ascii="Arial" w:hAnsi="Arial" w:cs="Arial"/>
      <w:b/>
      <w:bCs/>
      <w:sz w:val="16"/>
      <w:szCs w:val="16"/>
    </w:rPr>
  </w:style>
  <w:style w:type="character" w:styleId="FollowedHyperlink">
    <w:name w:val="FollowedHyperlink"/>
    <w:rPr>
      <w:color w:val="800080"/>
      <w:u w:val="single"/>
    </w:r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customStyle="1" w:styleId="Table8ptLeftBoldText">
    <w:name w:val="Table 8 pt Left Bold Text"/>
    <w:basedOn w:val="Normal"/>
    <w:pPr>
      <w:adjustRightInd/>
      <w:spacing w:line="240" w:lineRule="auto"/>
      <w:textAlignment w:val="auto"/>
    </w:pPr>
    <w:rPr>
      <w:rFonts w:ascii="Arial" w:hAnsi="Arial" w:cs="Arial"/>
      <w:b/>
      <w:bCs/>
      <w:sz w:val="16"/>
      <w:szCs w:val="16"/>
    </w:rPr>
  </w:style>
  <w:style w:type="paragraph" w:customStyle="1" w:styleId="Table9ptLeftText">
    <w:name w:val="Table 9 pt Left Text"/>
    <w:basedOn w:val="Normal"/>
    <w:pPr>
      <w:keepNext/>
      <w:keepLines/>
      <w:spacing w:line="240" w:lineRule="auto"/>
    </w:pPr>
    <w:rPr>
      <w:rFonts w:ascii="Arial" w:hAnsi="Arial" w:cs="Arial"/>
      <w:sz w:val="18"/>
      <w:szCs w:val="18"/>
    </w:rPr>
  </w:style>
  <w:style w:type="paragraph" w:customStyle="1" w:styleId="Table9ptCtrBoldText">
    <w:name w:val="Table 9 pt Ctr Bold Text"/>
    <w:basedOn w:val="Normal"/>
    <w:pPr>
      <w:jc w:val="center"/>
    </w:pPr>
    <w:rPr>
      <w:rFonts w:ascii="Arial" w:hAnsi="Arial"/>
      <w:b/>
      <w:sz w:val="18"/>
      <w:szCs w:val="18"/>
    </w:rPr>
  </w:style>
  <w:style w:type="paragraph" w:customStyle="1" w:styleId="StyleTable9ptCtrBoldText">
    <w:name w:val="Style Table 9 pt Ctr Bold Text"/>
    <w:basedOn w:val="Table9ptCtrBoldText"/>
    <w:rPr>
      <w:b w:val="0"/>
      <w:bCs/>
    </w:rPr>
  </w:style>
  <w:style w:type="paragraph" w:customStyle="1" w:styleId="Table9ptCtrText">
    <w:name w:val="Table 9 pt Ctr Text"/>
    <w:basedOn w:val="Table9ptCtrBoldText"/>
    <w:rPr>
      <w:b w:val="0"/>
    </w:rPr>
  </w:style>
  <w:style w:type="character" w:styleId="Strong">
    <w:name w:val="Strong"/>
    <w:qFormat/>
    <w:rPr>
      <w:b/>
      <w:bCs/>
    </w:rPr>
  </w:style>
  <w:style w:type="character" w:styleId="PageNumber">
    <w:name w:val="page number"/>
    <w:basedOn w:val="DefaultParagraphFont"/>
  </w:style>
  <w:style w:type="paragraph" w:customStyle="1" w:styleId="Table9ptLeftBoldText">
    <w:name w:val="Table 9 pt Left Bold Text"/>
    <w:basedOn w:val="Table9ptLeftText"/>
  </w:style>
  <w:style w:type="paragraph" w:customStyle="1" w:styleId="FigureCaption">
    <w:name w:val="Figure Caption"/>
    <w:basedOn w:val="Caption"/>
  </w:style>
  <w:style w:type="paragraph" w:customStyle="1" w:styleId="BulletedList">
    <w:name w:val="Bulleted List"/>
    <w:basedOn w:val="Normal"/>
    <w:pPr>
      <w:numPr>
        <w:ilvl w:val="2"/>
        <w:numId w:val="2"/>
      </w:numPr>
    </w:pPr>
  </w:style>
  <w:style w:type="paragraph" w:customStyle="1" w:styleId="StyleBulletedListBefore0ptAfter13pt">
    <w:name w:val="Style Bulleted List + Before:  0 pt After:  13 pt"/>
    <w:basedOn w:val="BulletedList"/>
    <w:autoRedefine/>
    <w:pPr>
      <w:numPr>
        <w:ilvl w:val="0"/>
        <w:numId w:val="0"/>
      </w:numPr>
    </w:pPr>
    <w:rPr>
      <w:szCs w:val="20"/>
    </w:rPr>
  </w:style>
  <w:style w:type="paragraph" w:styleId="BalloonText">
    <w:name w:val="Balloon Text"/>
    <w:basedOn w:val="Normal"/>
    <w:semiHidden/>
    <w:rPr>
      <w:rFonts w:ascii="Tahoma" w:hAnsi="Tahoma" w:cs="Tahoma"/>
      <w:sz w:val="16"/>
      <w:szCs w:val="16"/>
    </w:rPr>
  </w:style>
  <w:style w:type="paragraph" w:styleId="DocumentMap">
    <w:name w:val="Document Map"/>
    <w:basedOn w:val="Normal"/>
    <w:semiHidden/>
    <w:pPr>
      <w:shd w:val="clear" w:color="auto" w:fill="000080"/>
    </w:pPr>
    <w:rPr>
      <w:rFonts w:ascii="Tahoma" w:hAnsi="Tahoma" w:cs="Tahoma"/>
      <w:szCs w:val="20"/>
    </w:rPr>
  </w:style>
  <w:style w:type="paragraph" w:customStyle="1" w:styleId="StyleLeft">
    <w:name w:val="Style Left"/>
    <w:basedOn w:val="Normal"/>
    <w:autoRedefine/>
    <w:rPr>
      <w:rFonts w:ascii="Arial" w:hAnsi="Arial" w:cs="Arial"/>
      <w:b/>
      <w:sz w:val="36"/>
      <w:szCs w:val="36"/>
    </w:rPr>
  </w:style>
  <w:style w:type="character" w:customStyle="1" w:styleId="StyleLeftChar">
    <w:name w:val="Style Left Char"/>
    <w:rPr>
      <w:rFonts w:ascii="Arial" w:hAnsi="Arial" w:cs="Arial"/>
      <w:b/>
      <w:sz w:val="36"/>
      <w:szCs w:val="36"/>
      <w:lang w:val="en-US" w:eastAsia="en-US" w:bidi="ar-SA"/>
    </w:rPr>
  </w:style>
  <w:style w:type="paragraph" w:customStyle="1" w:styleId="StyleNormalBefore0pt">
    <w:name w:val="Style Normal + Before:  0 pt"/>
    <w:basedOn w:val="Normal"/>
    <w:pPr>
      <w:tabs>
        <w:tab w:val="num" w:pos="720"/>
      </w:tabs>
      <w:spacing w:after="120"/>
      <w:ind w:left="720" w:hanging="360"/>
    </w:pPr>
  </w:style>
  <w:style w:type="paragraph" w:styleId="ListBullet">
    <w:name w:val="List Bullet"/>
    <w:basedOn w:val="Normal"/>
    <w:pPr>
      <w:numPr>
        <w:numId w:val="1"/>
      </w:numPr>
    </w:pPr>
  </w:style>
  <w:style w:type="character" w:customStyle="1" w:styleId="StyleNormalBefore0ptChar">
    <w:name w:val="Style Normal + Before:  0 pt Char"/>
    <w:rPr>
      <w:sz w:val="22"/>
      <w:szCs w:val="22"/>
      <w:lang w:val="en-US" w:eastAsia="en-US" w:bidi="ar-SA"/>
    </w:rPr>
  </w:style>
  <w:style w:type="paragraph" w:styleId="CommentSubject">
    <w:name w:val="annotation subject"/>
    <w:basedOn w:val="CommentText"/>
    <w:next w:val="CommentText"/>
    <w:semiHidden/>
    <w:rPr>
      <w:b/>
      <w:bCs/>
      <w:szCs w:val="20"/>
    </w:rPr>
  </w:style>
  <w:style w:type="paragraph" w:customStyle="1" w:styleId="StyleAfter6pt">
    <w:name w:val="Style After:  6 pt"/>
    <w:basedOn w:val="StyleLeft"/>
    <w:pPr>
      <w:tabs>
        <w:tab w:val="num" w:pos="360"/>
      </w:tabs>
      <w:spacing w:after="120"/>
    </w:pPr>
    <w:rPr>
      <w:rFonts w:ascii="Times New Roman" w:hAnsi="Times New Roman"/>
      <w:b w:val="0"/>
      <w:sz w:val="22"/>
      <w:szCs w:val="20"/>
    </w:rPr>
  </w:style>
  <w:style w:type="character" w:customStyle="1" w:styleId="msoins0">
    <w:name w:val="msoins"/>
    <w:basedOn w:val="DefaultParagraphFont"/>
  </w:style>
  <w:style w:type="paragraph" w:customStyle="1" w:styleId="Default">
    <w:name w:val="Default"/>
    <w:pPr>
      <w:autoSpaceDE w:val="0"/>
      <w:autoSpaceDN w:val="0"/>
      <w:adjustRightInd w:val="0"/>
    </w:pPr>
    <w:rPr>
      <w:color w:val="000000"/>
      <w:sz w:val="24"/>
      <w:szCs w:val="24"/>
    </w:rPr>
  </w:style>
  <w:style w:type="paragraph" w:styleId="NormalWeb">
    <w:name w:val="Normal (Web)"/>
    <w:basedOn w:val="Normal"/>
    <w:uiPriority w:val="99"/>
    <w:pPr>
      <w:adjustRightInd/>
      <w:spacing w:before="100" w:beforeAutospacing="1" w:after="100" w:afterAutospacing="1" w:line="240" w:lineRule="auto"/>
      <w:textAlignment w:val="auto"/>
    </w:pPr>
    <w:rPr>
      <w:sz w:val="24"/>
      <w:szCs w:val="24"/>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Courier New" w:hAnsi="Courier New" w:cs="Courier New"/>
      <w:szCs w:val="20"/>
    </w:rPr>
  </w:style>
  <w:style w:type="paragraph" w:customStyle="1" w:styleId="FoonoteText">
    <w:name w:val="Foonote Text"/>
    <w:basedOn w:val="FootnoteText"/>
  </w:style>
  <w:style w:type="table" w:styleId="TableGrid">
    <w:name w:val="Table Grid"/>
    <w:basedOn w:val="TableNormal"/>
    <w:rsid w:val="005A5A02"/>
    <w:pPr>
      <w:widowControl w:val="0"/>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uiPriority w:val="99"/>
    <w:rsid w:val="00A53E17"/>
    <w:pPr>
      <w:widowControl w:val="0"/>
      <w:suppressAutoHyphens/>
      <w:autoSpaceDE w:val="0"/>
      <w:autoSpaceDN w:val="0"/>
      <w:spacing w:before="260"/>
      <w:textAlignment w:val="center"/>
    </w:pPr>
    <w:rPr>
      <w:rFonts w:ascii="Whitney-Book" w:hAnsi="Whitney-Book" w:cs="Whitney-Book"/>
      <w:color w:val="000000"/>
      <w:sz w:val="18"/>
      <w:szCs w:val="18"/>
    </w:rPr>
  </w:style>
  <w:style w:type="paragraph" w:styleId="ListParagraph">
    <w:name w:val="List Paragraph"/>
    <w:basedOn w:val="Normal"/>
    <w:uiPriority w:val="1"/>
    <w:qFormat/>
    <w:rsid w:val="008A5837"/>
    <w:pPr>
      <w:adjustRightInd/>
      <w:spacing w:after="120"/>
      <w:ind w:left="720"/>
      <w:textAlignment w:val="auto"/>
    </w:pPr>
  </w:style>
  <w:style w:type="character" w:customStyle="1" w:styleId="Heading1Char">
    <w:name w:val="Heading 1 Char"/>
    <w:link w:val="Heading1"/>
    <w:rsid w:val="002C2A63"/>
    <w:rPr>
      <w:rFonts w:ascii="Calibri" w:hAnsi="Calibri"/>
      <w:b/>
      <w:bCs/>
      <w:color w:val="1795D2"/>
      <w:sz w:val="36"/>
      <w:szCs w:val="36"/>
    </w:rPr>
  </w:style>
  <w:style w:type="character" w:customStyle="1" w:styleId="Heading2Char">
    <w:name w:val="Heading 2 Char"/>
    <w:link w:val="Heading2"/>
    <w:rsid w:val="00B8270A"/>
    <w:rPr>
      <w:rFonts w:ascii="Calibri" w:hAnsi="Calibri"/>
      <w:b/>
      <w:bCs/>
      <w:sz w:val="24"/>
      <w:szCs w:val="24"/>
    </w:rPr>
  </w:style>
  <w:style w:type="paragraph" w:styleId="BodyText">
    <w:name w:val="Body Text"/>
    <w:basedOn w:val="Normal"/>
    <w:link w:val="BodyTextChar"/>
    <w:uiPriority w:val="1"/>
    <w:qFormat/>
    <w:rsid w:val="008E3011"/>
    <w:pPr>
      <w:widowControl w:val="0"/>
      <w:autoSpaceDE w:val="0"/>
      <w:autoSpaceDN w:val="0"/>
      <w:spacing w:before="232" w:after="0" w:line="240" w:lineRule="auto"/>
      <w:ind w:left="2123" w:hanging="540"/>
      <w:textAlignment w:val="auto"/>
    </w:pPr>
    <w:rPr>
      <w:rFonts w:ascii="Calibri" w:hAnsi="Calibri" w:cs="Calibri"/>
      <w:sz w:val="36"/>
      <w:szCs w:val="36"/>
    </w:rPr>
  </w:style>
  <w:style w:type="character" w:customStyle="1" w:styleId="BodyTextChar">
    <w:name w:val="Body Text Char"/>
    <w:link w:val="BodyText"/>
    <w:uiPriority w:val="1"/>
    <w:rsid w:val="008E3011"/>
    <w:rPr>
      <w:rFonts w:ascii="Calibri" w:hAnsi="Calibri" w:cs="Calibri"/>
      <w:sz w:val="36"/>
      <w:szCs w:val="36"/>
    </w:rPr>
  </w:style>
  <w:style w:type="character" w:customStyle="1" w:styleId="FootnoteTextChar">
    <w:name w:val="Footnote Text Char"/>
    <w:aliases w:val="ft Char,Footnote Text Char1 Char,Footnote Text Char Char Char,fn Char Char Char,Footnote Text Char1 Char1 Char Char,Footnote Text Char Char Char1 Char Char,Footnote Text Char1 Char Char Char Char,Footnote Text Char Char1 Char,fn Char"/>
    <w:link w:val="FootnoteText"/>
    <w:uiPriority w:val="99"/>
    <w:qFormat/>
    <w:rsid w:val="009C2B5B"/>
    <w:rPr>
      <w:rFonts w:ascii="Cambria" w:hAnsi="Cambria"/>
      <w:sz w:val="18"/>
      <w:szCs w:val="18"/>
    </w:rPr>
  </w:style>
  <w:style w:type="paragraph" w:customStyle="1" w:styleId="TableParagraph">
    <w:name w:val="Table Paragraph"/>
    <w:basedOn w:val="Normal"/>
    <w:uiPriority w:val="1"/>
    <w:qFormat/>
    <w:rsid w:val="00035C76"/>
    <w:pPr>
      <w:widowControl w:val="0"/>
      <w:adjustRightInd/>
      <w:spacing w:after="0" w:line="240" w:lineRule="auto"/>
      <w:textAlignment w:val="auto"/>
    </w:pPr>
    <w:rPr>
      <w:rFonts w:ascii="Calibri" w:eastAsia="Calibri" w:hAnsi="Calibri"/>
      <w:sz w:val="22"/>
    </w:rPr>
  </w:style>
  <w:style w:type="character" w:customStyle="1" w:styleId="Heading3Char">
    <w:name w:val="Heading 3 Char"/>
    <w:link w:val="Heading3"/>
    <w:rsid w:val="002C2A63"/>
    <w:rPr>
      <w:rFonts w:ascii="Calibri" w:hAnsi="Calibri"/>
      <w:b/>
      <w:iCs/>
      <w:color w:val="000000"/>
      <w:szCs w:val="18"/>
    </w:rPr>
  </w:style>
  <w:style w:type="paragraph" w:styleId="Revision">
    <w:name w:val="Revision"/>
    <w:hidden/>
    <w:uiPriority w:val="99"/>
    <w:semiHidden/>
    <w:rsid w:val="000F140B"/>
    <w:rPr>
      <w:rFonts w:ascii="Cambria" w:hAnsi="Cambria"/>
      <w:szCs w:val="22"/>
    </w:rPr>
  </w:style>
  <w:style w:type="character" w:customStyle="1" w:styleId="FooterChar">
    <w:name w:val="Footer Char"/>
    <w:basedOn w:val="DefaultParagraphFont"/>
    <w:link w:val="Footer"/>
    <w:uiPriority w:val="99"/>
    <w:rsid w:val="00C368EB"/>
    <w:rPr>
      <w:rFonts w:ascii="Cambria" w:hAnsi="Cambria"/>
      <w:szCs w:val="22"/>
    </w:rPr>
  </w:style>
  <w:style w:type="paragraph" w:styleId="EndnoteText">
    <w:name w:val="endnote text"/>
    <w:basedOn w:val="Normal"/>
    <w:link w:val="EndnoteTextChar"/>
    <w:rsid w:val="0028767E"/>
    <w:pPr>
      <w:spacing w:after="0" w:line="240" w:lineRule="auto"/>
    </w:pPr>
    <w:rPr>
      <w:szCs w:val="20"/>
    </w:rPr>
  </w:style>
  <w:style w:type="character" w:customStyle="1" w:styleId="EndnoteTextChar">
    <w:name w:val="Endnote Text Char"/>
    <w:basedOn w:val="DefaultParagraphFont"/>
    <w:link w:val="EndnoteText"/>
    <w:rsid w:val="0028767E"/>
    <w:rPr>
      <w:rFonts w:ascii="Cambria" w:hAnsi="Cambria"/>
    </w:rPr>
  </w:style>
  <w:style w:type="character" w:styleId="EndnoteReference">
    <w:name w:val="endnote reference"/>
    <w:basedOn w:val="DefaultParagraphFont"/>
    <w:rsid w:val="0028767E"/>
    <w:rPr>
      <w:vertAlign w:val="superscript"/>
    </w:rPr>
  </w:style>
  <w:style w:type="character" w:customStyle="1" w:styleId="HeaderChar">
    <w:name w:val="Header Char"/>
    <w:basedOn w:val="DefaultParagraphFont"/>
    <w:link w:val="Header"/>
    <w:uiPriority w:val="99"/>
    <w:rsid w:val="00A4310D"/>
    <w:rPr>
      <w:rFonts w:ascii="Cambria" w:hAnsi="Cambria"/>
      <w:szCs w:val="22"/>
    </w:rPr>
  </w:style>
  <w:style w:type="paragraph" w:styleId="NoSpacing">
    <w:name w:val="No Spacing"/>
    <w:uiPriority w:val="1"/>
    <w:qFormat/>
    <w:rsid w:val="00A4310D"/>
    <w:rPr>
      <w:rFonts w:asciiTheme="minorHAnsi" w:eastAsiaTheme="minorHAnsi" w:hAnsiTheme="minorHAnsi" w:cstheme="minorBidi"/>
      <w:sz w:val="22"/>
      <w:szCs w:val="22"/>
    </w:rPr>
  </w:style>
  <w:style w:type="character" w:customStyle="1" w:styleId="CommentTextChar">
    <w:name w:val="Comment Text Char"/>
    <w:basedOn w:val="DefaultParagraphFont"/>
    <w:link w:val="CommentText"/>
    <w:semiHidden/>
    <w:rsid w:val="007175D2"/>
    <w:rPr>
      <w:rFonts w:ascii="Cambria" w:hAnsi="Cambria"/>
      <w:szCs w:val="22"/>
    </w:rPr>
  </w:style>
  <w:style w:type="character" w:customStyle="1" w:styleId="Heading4Char">
    <w:name w:val="Heading 4 Char"/>
    <w:basedOn w:val="DefaultParagraphFont"/>
    <w:link w:val="Heading4"/>
    <w:rsid w:val="00F30127"/>
    <w:rPr>
      <w:rFonts w:ascii="Calibri" w:hAnsi="Calibri"/>
      <w:bCs/>
      <w:i/>
    </w:rPr>
  </w:style>
  <w:style w:type="paragraph" w:styleId="IntenseQuote">
    <w:name w:val="Intense Quote"/>
    <w:basedOn w:val="Normal"/>
    <w:next w:val="Normal"/>
    <w:link w:val="IntenseQuoteChar"/>
    <w:uiPriority w:val="30"/>
    <w:qFormat/>
    <w:rsid w:val="009C435E"/>
    <w:pPr>
      <w:pBdr>
        <w:bottom w:val="single" w:sz="4" w:space="4" w:color="1795D2" w:themeColor="accent1"/>
      </w:pBdr>
      <w:spacing w:before="200" w:after="280"/>
      <w:ind w:left="936" w:right="936"/>
    </w:pPr>
    <w:rPr>
      <w:b/>
      <w:bCs/>
      <w:i/>
      <w:iCs/>
      <w:color w:val="1795D2" w:themeColor="accent1"/>
    </w:rPr>
  </w:style>
  <w:style w:type="character" w:customStyle="1" w:styleId="IntenseQuoteChar">
    <w:name w:val="Intense Quote Char"/>
    <w:basedOn w:val="DefaultParagraphFont"/>
    <w:link w:val="IntenseQuote"/>
    <w:uiPriority w:val="30"/>
    <w:rsid w:val="009C435E"/>
    <w:rPr>
      <w:rFonts w:ascii="Cambria" w:hAnsi="Cambria"/>
      <w:b/>
      <w:bCs/>
      <w:i/>
      <w:iCs/>
      <w:color w:val="1795D2" w:themeColor="accent1"/>
      <w:szCs w:val="22"/>
    </w:rPr>
  </w:style>
  <w:style w:type="character" w:customStyle="1" w:styleId="CaptionChar">
    <w:name w:val="Caption Char"/>
    <w:basedOn w:val="DefaultParagraphFont"/>
    <w:link w:val="Caption"/>
    <w:locked/>
    <w:rsid w:val="00EB3C23"/>
    <w:rPr>
      <w:rFonts w:ascii="Calibri" w:hAnsi="Calibri"/>
      <w:b/>
      <w:bCs/>
    </w:rPr>
  </w:style>
  <w:style w:type="character" w:customStyle="1" w:styleId="ftChar3">
    <w:name w:val="ft Char3"/>
    <w:aliases w:val="Footnote Text Char Char Char2,fn Char Char Char2,Footnote Text Char1 Char1 Char Char2,Footnote Text Char Char Char1 Char Char2,Footnote Text Char1 Char Char Char Char2,Footnote Text Char Char Char Char Char Char,fn Char1"/>
    <w:basedOn w:val="DefaultParagraphFont"/>
    <w:uiPriority w:val="99"/>
    <w:rsid w:val="00C24000"/>
    <w:rPr>
      <w:rFonts w:ascii="Cambria" w:hAnsi="Cambria"/>
      <w:color w:val="auto"/>
      <w:sz w:val="18"/>
    </w:rPr>
  </w:style>
  <w:style w:type="paragraph" w:styleId="PlainText">
    <w:name w:val="Plain Text"/>
    <w:basedOn w:val="Normal"/>
    <w:link w:val="PlainTextChar"/>
    <w:uiPriority w:val="99"/>
    <w:semiHidden/>
    <w:unhideWhenUsed/>
    <w:rsid w:val="00300BFD"/>
    <w:pPr>
      <w:adjustRightInd/>
      <w:spacing w:after="0" w:line="240" w:lineRule="auto"/>
      <w:textAlignment w:val="auto"/>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300BFD"/>
    <w:rPr>
      <w:rFonts w:ascii="Calibri" w:eastAsiaTheme="minorHAnsi" w:hAnsi="Calibri" w:cstheme="minorBidi"/>
      <w:sz w:val="22"/>
      <w:szCs w:val="21"/>
    </w:rPr>
  </w:style>
  <w:style w:type="character" w:styleId="Emphasis">
    <w:name w:val="Emphasis"/>
    <w:basedOn w:val="DefaultParagraphFont"/>
    <w:uiPriority w:val="20"/>
    <w:qFormat/>
    <w:rsid w:val="00D01C55"/>
    <w:rPr>
      <w:b w:val="0"/>
      <w:bCs w:val="0"/>
      <w:i/>
      <w:iCs/>
    </w:rPr>
  </w:style>
  <w:style w:type="paragraph" w:customStyle="1" w:styleId="NESCOEfn">
    <w:name w:val="NESCOE_fn"/>
    <w:basedOn w:val="FootnoteText"/>
    <w:autoRedefine/>
    <w:qFormat/>
    <w:rsid w:val="00BA6C20"/>
    <w:pPr>
      <w:keepLines w:val="0"/>
      <w:tabs>
        <w:tab w:val="left" w:pos="432"/>
      </w:tabs>
      <w:adjustRightInd/>
      <w:spacing w:after="120"/>
      <w:ind w:left="432" w:hanging="432"/>
      <w:textAlignment w:val="auto"/>
    </w:pPr>
    <w:rPr>
      <w:rFonts w:ascii="Times New Roman" w:eastAsiaTheme="minorEastAsia" w:hAnsi="Times New Roman"/>
      <w:color w:val="62777F" w:themeColor="text1"/>
      <w:sz w:val="20"/>
      <w:szCs w:val="20"/>
    </w:rPr>
  </w:style>
  <w:style w:type="table" w:customStyle="1" w:styleId="TableGrid1">
    <w:name w:val="Table Grid1"/>
    <w:basedOn w:val="TableNormal"/>
    <w:next w:val="TableGrid"/>
    <w:uiPriority w:val="59"/>
    <w:rsid w:val="00FC39F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4357">
      <w:bodyDiv w:val="1"/>
      <w:marLeft w:val="0"/>
      <w:marRight w:val="0"/>
      <w:marTop w:val="0"/>
      <w:marBottom w:val="0"/>
      <w:divBdr>
        <w:top w:val="none" w:sz="0" w:space="0" w:color="auto"/>
        <w:left w:val="none" w:sz="0" w:space="0" w:color="auto"/>
        <w:bottom w:val="none" w:sz="0" w:space="0" w:color="auto"/>
        <w:right w:val="none" w:sz="0" w:space="0" w:color="auto"/>
      </w:divBdr>
    </w:div>
    <w:div w:id="28919494">
      <w:bodyDiv w:val="1"/>
      <w:marLeft w:val="0"/>
      <w:marRight w:val="0"/>
      <w:marTop w:val="0"/>
      <w:marBottom w:val="0"/>
      <w:divBdr>
        <w:top w:val="none" w:sz="0" w:space="0" w:color="auto"/>
        <w:left w:val="none" w:sz="0" w:space="0" w:color="auto"/>
        <w:bottom w:val="none" w:sz="0" w:space="0" w:color="auto"/>
        <w:right w:val="none" w:sz="0" w:space="0" w:color="auto"/>
      </w:divBdr>
      <w:divsChild>
        <w:div w:id="1537624538">
          <w:marLeft w:val="0"/>
          <w:marRight w:val="0"/>
          <w:marTop w:val="0"/>
          <w:marBottom w:val="0"/>
          <w:divBdr>
            <w:top w:val="none" w:sz="0" w:space="0" w:color="auto"/>
            <w:left w:val="none" w:sz="0" w:space="0" w:color="auto"/>
            <w:bottom w:val="none" w:sz="0" w:space="0" w:color="auto"/>
            <w:right w:val="none" w:sz="0" w:space="0" w:color="auto"/>
          </w:divBdr>
        </w:div>
        <w:div w:id="1564875504">
          <w:marLeft w:val="0"/>
          <w:marRight w:val="0"/>
          <w:marTop w:val="0"/>
          <w:marBottom w:val="0"/>
          <w:divBdr>
            <w:top w:val="none" w:sz="0" w:space="0" w:color="auto"/>
            <w:left w:val="none" w:sz="0" w:space="0" w:color="auto"/>
            <w:bottom w:val="none" w:sz="0" w:space="0" w:color="auto"/>
            <w:right w:val="none" w:sz="0" w:space="0" w:color="auto"/>
          </w:divBdr>
        </w:div>
      </w:divsChild>
    </w:div>
    <w:div w:id="30611459">
      <w:bodyDiv w:val="1"/>
      <w:marLeft w:val="0"/>
      <w:marRight w:val="0"/>
      <w:marTop w:val="0"/>
      <w:marBottom w:val="0"/>
      <w:divBdr>
        <w:top w:val="none" w:sz="0" w:space="0" w:color="auto"/>
        <w:left w:val="none" w:sz="0" w:space="0" w:color="auto"/>
        <w:bottom w:val="none" w:sz="0" w:space="0" w:color="auto"/>
        <w:right w:val="none" w:sz="0" w:space="0" w:color="auto"/>
      </w:divBdr>
      <w:divsChild>
        <w:div w:id="967978734">
          <w:marLeft w:val="547"/>
          <w:marRight w:val="0"/>
          <w:marTop w:val="240"/>
          <w:marBottom w:val="0"/>
          <w:divBdr>
            <w:top w:val="none" w:sz="0" w:space="0" w:color="auto"/>
            <w:left w:val="none" w:sz="0" w:space="0" w:color="auto"/>
            <w:bottom w:val="none" w:sz="0" w:space="0" w:color="auto"/>
            <w:right w:val="none" w:sz="0" w:space="0" w:color="auto"/>
          </w:divBdr>
        </w:div>
      </w:divsChild>
    </w:div>
    <w:div w:id="44765850">
      <w:bodyDiv w:val="1"/>
      <w:marLeft w:val="0"/>
      <w:marRight w:val="0"/>
      <w:marTop w:val="0"/>
      <w:marBottom w:val="0"/>
      <w:divBdr>
        <w:top w:val="none" w:sz="0" w:space="0" w:color="auto"/>
        <w:left w:val="none" w:sz="0" w:space="0" w:color="auto"/>
        <w:bottom w:val="none" w:sz="0" w:space="0" w:color="auto"/>
        <w:right w:val="none" w:sz="0" w:space="0" w:color="auto"/>
      </w:divBdr>
    </w:div>
    <w:div w:id="45031356">
      <w:bodyDiv w:val="1"/>
      <w:marLeft w:val="0"/>
      <w:marRight w:val="0"/>
      <w:marTop w:val="0"/>
      <w:marBottom w:val="0"/>
      <w:divBdr>
        <w:top w:val="none" w:sz="0" w:space="0" w:color="auto"/>
        <w:left w:val="none" w:sz="0" w:space="0" w:color="auto"/>
        <w:bottom w:val="none" w:sz="0" w:space="0" w:color="auto"/>
        <w:right w:val="none" w:sz="0" w:space="0" w:color="auto"/>
      </w:divBdr>
      <w:divsChild>
        <w:div w:id="97913941">
          <w:marLeft w:val="547"/>
          <w:marRight w:val="0"/>
          <w:marTop w:val="240"/>
          <w:marBottom w:val="0"/>
          <w:divBdr>
            <w:top w:val="none" w:sz="0" w:space="0" w:color="auto"/>
            <w:left w:val="none" w:sz="0" w:space="0" w:color="auto"/>
            <w:bottom w:val="none" w:sz="0" w:space="0" w:color="auto"/>
            <w:right w:val="none" w:sz="0" w:space="0" w:color="auto"/>
          </w:divBdr>
        </w:div>
        <w:div w:id="836187683">
          <w:marLeft w:val="1166"/>
          <w:marRight w:val="0"/>
          <w:marTop w:val="0"/>
          <w:marBottom w:val="0"/>
          <w:divBdr>
            <w:top w:val="none" w:sz="0" w:space="0" w:color="auto"/>
            <w:left w:val="none" w:sz="0" w:space="0" w:color="auto"/>
            <w:bottom w:val="none" w:sz="0" w:space="0" w:color="auto"/>
            <w:right w:val="none" w:sz="0" w:space="0" w:color="auto"/>
          </w:divBdr>
        </w:div>
        <w:div w:id="2021353114">
          <w:marLeft w:val="1166"/>
          <w:marRight w:val="0"/>
          <w:marTop w:val="0"/>
          <w:marBottom w:val="0"/>
          <w:divBdr>
            <w:top w:val="none" w:sz="0" w:space="0" w:color="auto"/>
            <w:left w:val="none" w:sz="0" w:space="0" w:color="auto"/>
            <w:bottom w:val="none" w:sz="0" w:space="0" w:color="auto"/>
            <w:right w:val="none" w:sz="0" w:space="0" w:color="auto"/>
          </w:divBdr>
        </w:div>
        <w:div w:id="2093312485">
          <w:marLeft w:val="1166"/>
          <w:marRight w:val="0"/>
          <w:marTop w:val="0"/>
          <w:marBottom w:val="0"/>
          <w:divBdr>
            <w:top w:val="none" w:sz="0" w:space="0" w:color="auto"/>
            <w:left w:val="none" w:sz="0" w:space="0" w:color="auto"/>
            <w:bottom w:val="none" w:sz="0" w:space="0" w:color="auto"/>
            <w:right w:val="none" w:sz="0" w:space="0" w:color="auto"/>
          </w:divBdr>
        </w:div>
      </w:divsChild>
    </w:div>
    <w:div w:id="46149225">
      <w:bodyDiv w:val="1"/>
      <w:marLeft w:val="0"/>
      <w:marRight w:val="0"/>
      <w:marTop w:val="0"/>
      <w:marBottom w:val="0"/>
      <w:divBdr>
        <w:top w:val="none" w:sz="0" w:space="0" w:color="auto"/>
        <w:left w:val="none" w:sz="0" w:space="0" w:color="auto"/>
        <w:bottom w:val="none" w:sz="0" w:space="0" w:color="auto"/>
        <w:right w:val="none" w:sz="0" w:space="0" w:color="auto"/>
      </w:divBdr>
      <w:divsChild>
        <w:div w:id="1981568409">
          <w:marLeft w:val="1166"/>
          <w:marRight w:val="0"/>
          <w:marTop w:val="0"/>
          <w:marBottom w:val="120"/>
          <w:divBdr>
            <w:top w:val="none" w:sz="0" w:space="0" w:color="auto"/>
            <w:left w:val="none" w:sz="0" w:space="0" w:color="auto"/>
            <w:bottom w:val="none" w:sz="0" w:space="0" w:color="auto"/>
            <w:right w:val="none" w:sz="0" w:space="0" w:color="auto"/>
          </w:divBdr>
        </w:div>
      </w:divsChild>
    </w:div>
    <w:div w:id="50858874">
      <w:bodyDiv w:val="1"/>
      <w:marLeft w:val="0"/>
      <w:marRight w:val="0"/>
      <w:marTop w:val="0"/>
      <w:marBottom w:val="0"/>
      <w:divBdr>
        <w:top w:val="none" w:sz="0" w:space="0" w:color="auto"/>
        <w:left w:val="none" w:sz="0" w:space="0" w:color="auto"/>
        <w:bottom w:val="none" w:sz="0" w:space="0" w:color="auto"/>
        <w:right w:val="none" w:sz="0" w:space="0" w:color="auto"/>
      </w:divBdr>
      <w:divsChild>
        <w:div w:id="59063640">
          <w:marLeft w:val="547"/>
          <w:marRight w:val="0"/>
          <w:marTop w:val="240"/>
          <w:marBottom w:val="120"/>
          <w:divBdr>
            <w:top w:val="none" w:sz="0" w:space="0" w:color="auto"/>
            <w:left w:val="none" w:sz="0" w:space="0" w:color="auto"/>
            <w:bottom w:val="none" w:sz="0" w:space="0" w:color="auto"/>
            <w:right w:val="none" w:sz="0" w:space="0" w:color="auto"/>
          </w:divBdr>
        </w:div>
      </w:divsChild>
    </w:div>
    <w:div w:id="54203941">
      <w:bodyDiv w:val="1"/>
      <w:marLeft w:val="0"/>
      <w:marRight w:val="0"/>
      <w:marTop w:val="0"/>
      <w:marBottom w:val="0"/>
      <w:divBdr>
        <w:top w:val="none" w:sz="0" w:space="0" w:color="auto"/>
        <w:left w:val="none" w:sz="0" w:space="0" w:color="auto"/>
        <w:bottom w:val="none" w:sz="0" w:space="0" w:color="auto"/>
        <w:right w:val="none" w:sz="0" w:space="0" w:color="auto"/>
      </w:divBdr>
    </w:div>
    <w:div w:id="84542275">
      <w:bodyDiv w:val="1"/>
      <w:marLeft w:val="0"/>
      <w:marRight w:val="0"/>
      <w:marTop w:val="0"/>
      <w:marBottom w:val="0"/>
      <w:divBdr>
        <w:top w:val="none" w:sz="0" w:space="0" w:color="auto"/>
        <w:left w:val="none" w:sz="0" w:space="0" w:color="auto"/>
        <w:bottom w:val="none" w:sz="0" w:space="0" w:color="auto"/>
        <w:right w:val="none" w:sz="0" w:space="0" w:color="auto"/>
      </w:divBdr>
    </w:div>
    <w:div w:id="86658953">
      <w:bodyDiv w:val="1"/>
      <w:marLeft w:val="0"/>
      <w:marRight w:val="0"/>
      <w:marTop w:val="0"/>
      <w:marBottom w:val="0"/>
      <w:divBdr>
        <w:top w:val="none" w:sz="0" w:space="0" w:color="auto"/>
        <w:left w:val="none" w:sz="0" w:space="0" w:color="auto"/>
        <w:bottom w:val="none" w:sz="0" w:space="0" w:color="auto"/>
        <w:right w:val="none" w:sz="0" w:space="0" w:color="auto"/>
      </w:divBdr>
    </w:div>
    <w:div w:id="91777577">
      <w:bodyDiv w:val="1"/>
      <w:marLeft w:val="0"/>
      <w:marRight w:val="0"/>
      <w:marTop w:val="0"/>
      <w:marBottom w:val="0"/>
      <w:divBdr>
        <w:top w:val="none" w:sz="0" w:space="0" w:color="auto"/>
        <w:left w:val="none" w:sz="0" w:space="0" w:color="auto"/>
        <w:bottom w:val="none" w:sz="0" w:space="0" w:color="auto"/>
        <w:right w:val="none" w:sz="0" w:space="0" w:color="auto"/>
      </w:divBdr>
    </w:div>
    <w:div w:id="100683380">
      <w:bodyDiv w:val="1"/>
      <w:marLeft w:val="0"/>
      <w:marRight w:val="0"/>
      <w:marTop w:val="0"/>
      <w:marBottom w:val="0"/>
      <w:divBdr>
        <w:top w:val="none" w:sz="0" w:space="0" w:color="auto"/>
        <w:left w:val="none" w:sz="0" w:space="0" w:color="auto"/>
        <w:bottom w:val="none" w:sz="0" w:space="0" w:color="auto"/>
        <w:right w:val="none" w:sz="0" w:space="0" w:color="auto"/>
      </w:divBdr>
    </w:div>
    <w:div w:id="101732731">
      <w:bodyDiv w:val="1"/>
      <w:marLeft w:val="0"/>
      <w:marRight w:val="0"/>
      <w:marTop w:val="0"/>
      <w:marBottom w:val="0"/>
      <w:divBdr>
        <w:top w:val="none" w:sz="0" w:space="0" w:color="auto"/>
        <w:left w:val="none" w:sz="0" w:space="0" w:color="auto"/>
        <w:bottom w:val="none" w:sz="0" w:space="0" w:color="auto"/>
        <w:right w:val="none" w:sz="0" w:space="0" w:color="auto"/>
      </w:divBdr>
    </w:div>
    <w:div w:id="107050295">
      <w:bodyDiv w:val="1"/>
      <w:marLeft w:val="0"/>
      <w:marRight w:val="0"/>
      <w:marTop w:val="0"/>
      <w:marBottom w:val="0"/>
      <w:divBdr>
        <w:top w:val="none" w:sz="0" w:space="0" w:color="auto"/>
        <w:left w:val="none" w:sz="0" w:space="0" w:color="auto"/>
        <w:bottom w:val="none" w:sz="0" w:space="0" w:color="auto"/>
        <w:right w:val="none" w:sz="0" w:space="0" w:color="auto"/>
      </w:divBdr>
    </w:div>
    <w:div w:id="110169592">
      <w:bodyDiv w:val="1"/>
      <w:marLeft w:val="0"/>
      <w:marRight w:val="0"/>
      <w:marTop w:val="0"/>
      <w:marBottom w:val="0"/>
      <w:divBdr>
        <w:top w:val="none" w:sz="0" w:space="0" w:color="auto"/>
        <w:left w:val="none" w:sz="0" w:space="0" w:color="auto"/>
        <w:bottom w:val="none" w:sz="0" w:space="0" w:color="auto"/>
        <w:right w:val="none" w:sz="0" w:space="0" w:color="auto"/>
      </w:divBdr>
    </w:div>
    <w:div w:id="121458343">
      <w:bodyDiv w:val="1"/>
      <w:marLeft w:val="0"/>
      <w:marRight w:val="0"/>
      <w:marTop w:val="0"/>
      <w:marBottom w:val="0"/>
      <w:divBdr>
        <w:top w:val="none" w:sz="0" w:space="0" w:color="auto"/>
        <w:left w:val="none" w:sz="0" w:space="0" w:color="auto"/>
        <w:bottom w:val="none" w:sz="0" w:space="0" w:color="auto"/>
        <w:right w:val="none" w:sz="0" w:space="0" w:color="auto"/>
      </w:divBdr>
      <w:divsChild>
        <w:div w:id="62531518">
          <w:marLeft w:val="547"/>
          <w:marRight w:val="0"/>
          <w:marTop w:val="240"/>
          <w:marBottom w:val="0"/>
          <w:divBdr>
            <w:top w:val="none" w:sz="0" w:space="0" w:color="auto"/>
            <w:left w:val="none" w:sz="0" w:space="0" w:color="auto"/>
            <w:bottom w:val="none" w:sz="0" w:space="0" w:color="auto"/>
            <w:right w:val="none" w:sz="0" w:space="0" w:color="auto"/>
          </w:divBdr>
        </w:div>
        <w:div w:id="278343131">
          <w:marLeft w:val="1166"/>
          <w:marRight w:val="0"/>
          <w:marTop w:val="0"/>
          <w:marBottom w:val="0"/>
          <w:divBdr>
            <w:top w:val="none" w:sz="0" w:space="0" w:color="auto"/>
            <w:left w:val="none" w:sz="0" w:space="0" w:color="auto"/>
            <w:bottom w:val="none" w:sz="0" w:space="0" w:color="auto"/>
            <w:right w:val="none" w:sz="0" w:space="0" w:color="auto"/>
          </w:divBdr>
        </w:div>
        <w:div w:id="1104614952">
          <w:marLeft w:val="547"/>
          <w:marRight w:val="0"/>
          <w:marTop w:val="240"/>
          <w:marBottom w:val="0"/>
          <w:divBdr>
            <w:top w:val="none" w:sz="0" w:space="0" w:color="auto"/>
            <w:left w:val="none" w:sz="0" w:space="0" w:color="auto"/>
            <w:bottom w:val="none" w:sz="0" w:space="0" w:color="auto"/>
            <w:right w:val="none" w:sz="0" w:space="0" w:color="auto"/>
          </w:divBdr>
        </w:div>
        <w:div w:id="1170487365">
          <w:marLeft w:val="1166"/>
          <w:marRight w:val="0"/>
          <w:marTop w:val="0"/>
          <w:marBottom w:val="0"/>
          <w:divBdr>
            <w:top w:val="none" w:sz="0" w:space="0" w:color="auto"/>
            <w:left w:val="none" w:sz="0" w:space="0" w:color="auto"/>
            <w:bottom w:val="none" w:sz="0" w:space="0" w:color="auto"/>
            <w:right w:val="none" w:sz="0" w:space="0" w:color="auto"/>
          </w:divBdr>
        </w:div>
        <w:div w:id="1354302771">
          <w:marLeft w:val="1166"/>
          <w:marRight w:val="0"/>
          <w:marTop w:val="0"/>
          <w:marBottom w:val="0"/>
          <w:divBdr>
            <w:top w:val="none" w:sz="0" w:space="0" w:color="auto"/>
            <w:left w:val="none" w:sz="0" w:space="0" w:color="auto"/>
            <w:bottom w:val="none" w:sz="0" w:space="0" w:color="auto"/>
            <w:right w:val="none" w:sz="0" w:space="0" w:color="auto"/>
          </w:divBdr>
        </w:div>
        <w:div w:id="1396709099">
          <w:marLeft w:val="547"/>
          <w:marRight w:val="0"/>
          <w:marTop w:val="240"/>
          <w:marBottom w:val="0"/>
          <w:divBdr>
            <w:top w:val="none" w:sz="0" w:space="0" w:color="auto"/>
            <w:left w:val="none" w:sz="0" w:space="0" w:color="auto"/>
            <w:bottom w:val="none" w:sz="0" w:space="0" w:color="auto"/>
            <w:right w:val="none" w:sz="0" w:space="0" w:color="auto"/>
          </w:divBdr>
        </w:div>
        <w:div w:id="1685325614">
          <w:marLeft w:val="547"/>
          <w:marRight w:val="0"/>
          <w:marTop w:val="240"/>
          <w:marBottom w:val="0"/>
          <w:divBdr>
            <w:top w:val="none" w:sz="0" w:space="0" w:color="auto"/>
            <w:left w:val="none" w:sz="0" w:space="0" w:color="auto"/>
            <w:bottom w:val="none" w:sz="0" w:space="0" w:color="auto"/>
            <w:right w:val="none" w:sz="0" w:space="0" w:color="auto"/>
          </w:divBdr>
        </w:div>
      </w:divsChild>
    </w:div>
    <w:div w:id="122695178">
      <w:bodyDiv w:val="1"/>
      <w:marLeft w:val="0"/>
      <w:marRight w:val="0"/>
      <w:marTop w:val="0"/>
      <w:marBottom w:val="0"/>
      <w:divBdr>
        <w:top w:val="none" w:sz="0" w:space="0" w:color="auto"/>
        <w:left w:val="none" w:sz="0" w:space="0" w:color="auto"/>
        <w:bottom w:val="none" w:sz="0" w:space="0" w:color="auto"/>
        <w:right w:val="none" w:sz="0" w:space="0" w:color="auto"/>
      </w:divBdr>
    </w:div>
    <w:div w:id="126239703">
      <w:bodyDiv w:val="1"/>
      <w:marLeft w:val="0"/>
      <w:marRight w:val="0"/>
      <w:marTop w:val="0"/>
      <w:marBottom w:val="0"/>
      <w:divBdr>
        <w:top w:val="none" w:sz="0" w:space="0" w:color="auto"/>
        <w:left w:val="none" w:sz="0" w:space="0" w:color="auto"/>
        <w:bottom w:val="none" w:sz="0" w:space="0" w:color="auto"/>
        <w:right w:val="none" w:sz="0" w:space="0" w:color="auto"/>
      </w:divBdr>
    </w:div>
    <w:div w:id="131797151">
      <w:bodyDiv w:val="1"/>
      <w:marLeft w:val="0"/>
      <w:marRight w:val="0"/>
      <w:marTop w:val="0"/>
      <w:marBottom w:val="0"/>
      <w:divBdr>
        <w:top w:val="none" w:sz="0" w:space="0" w:color="auto"/>
        <w:left w:val="none" w:sz="0" w:space="0" w:color="auto"/>
        <w:bottom w:val="none" w:sz="0" w:space="0" w:color="auto"/>
        <w:right w:val="none" w:sz="0" w:space="0" w:color="auto"/>
      </w:divBdr>
    </w:div>
    <w:div w:id="133063675">
      <w:bodyDiv w:val="1"/>
      <w:marLeft w:val="0"/>
      <w:marRight w:val="0"/>
      <w:marTop w:val="0"/>
      <w:marBottom w:val="0"/>
      <w:divBdr>
        <w:top w:val="none" w:sz="0" w:space="0" w:color="auto"/>
        <w:left w:val="none" w:sz="0" w:space="0" w:color="auto"/>
        <w:bottom w:val="none" w:sz="0" w:space="0" w:color="auto"/>
        <w:right w:val="none" w:sz="0" w:space="0" w:color="auto"/>
      </w:divBdr>
    </w:div>
    <w:div w:id="155153729">
      <w:bodyDiv w:val="1"/>
      <w:marLeft w:val="0"/>
      <w:marRight w:val="0"/>
      <w:marTop w:val="0"/>
      <w:marBottom w:val="0"/>
      <w:divBdr>
        <w:top w:val="none" w:sz="0" w:space="0" w:color="auto"/>
        <w:left w:val="none" w:sz="0" w:space="0" w:color="auto"/>
        <w:bottom w:val="none" w:sz="0" w:space="0" w:color="auto"/>
        <w:right w:val="none" w:sz="0" w:space="0" w:color="auto"/>
      </w:divBdr>
    </w:div>
    <w:div w:id="159471965">
      <w:bodyDiv w:val="1"/>
      <w:marLeft w:val="0"/>
      <w:marRight w:val="0"/>
      <w:marTop w:val="0"/>
      <w:marBottom w:val="0"/>
      <w:divBdr>
        <w:top w:val="none" w:sz="0" w:space="0" w:color="auto"/>
        <w:left w:val="none" w:sz="0" w:space="0" w:color="auto"/>
        <w:bottom w:val="none" w:sz="0" w:space="0" w:color="auto"/>
        <w:right w:val="none" w:sz="0" w:space="0" w:color="auto"/>
      </w:divBdr>
    </w:div>
    <w:div w:id="160856946">
      <w:bodyDiv w:val="1"/>
      <w:marLeft w:val="0"/>
      <w:marRight w:val="0"/>
      <w:marTop w:val="0"/>
      <w:marBottom w:val="0"/>
      <w:divBdr>
        <w:top w:val="none" w:sz="0" w:space="0" w:color="auto"/>
        <w:left w:val="none" w:sz="0" w:space="0" w:color="auto"/>
        <w:bottom w:val="none" w:sz="0" w:space="0" w:color="auto"/>
        <w:right w:val="none" w:sz="0" w:space="0" w:color="auto"/>
      </w:divBdr>
    </w:div>
    <w:div w:id="178086445">
      <w:bodyDiv w:val="1"/>
      <w:marLeft w:val="0"/>
      <w:marRight w:val="0"/>
      <w:marTop w:val="0"/>
      <w:marBottom w:val="0"/>
      <w:divBdr>
        <w:top w:val="none" w:sz="0" w:space="0" w:color="auto"/>
        <w:left w:val="none" w:sz="0" w:space="0" w:color="auto"/>
        <w:bottom w:val="none" w:sz="0" w:space="0" w:color="auto"/>
        <w:right w:val="none" w:sz="0" w:space="0" w:color="auto"/>
      </w:divBdr>
    </w:div>
    <w:div w:id="181356513">
      <w:bodyDiv w:val="1"/>
      <w:marLeft w:val="0"/>
      <w:marRight w:val="0"/>
      <w:marTop w:val="0"/>
      <w:marBottom w:val="0"/>
      <w:divBdr>
        <w:top w:val="none" w:sz="0" w:space="0" w:color="auto"/>
        <w:left w:val="none" w:sz="0" w:space="0" w:color="auto"/>
        <w:bottom w:val="none" w:sz="0" w:space="0" w:color="auto"/>
        <w:right w:val="none" w:sz="0" w:space="0" w:color="auto"/>
      </w:divBdr>
    </w:div>
    <w:div w:id="191265447">
      <w:bodyDiv w:val="1"/>
      <w:marLeft w:val="0"/>
      <w:marRight w:val="0"/>
      <w:marTop w:val="0"/>
      <w:marBottom w:val="0"/>
      <w:divBdr>
        <w:top w:val="none" w:sz="0" w:space="0" w:color="auto"/>
        <w:left w:val="none" w:sz="0" w:space="0" w:color="auto"/>
        <w:bottom w:val="none" w:sz="0" w:space="0" w:color="auto"/>
        <w:right w:val="none" w:sz="0" w:space="0" w:color="auto"/>
      </w:divBdr>
      <w:divsChild>
        <w:div w:id="707221771">
          <w:marLeft w:val="1166"/>
          <w:marRight w:val="0"/>
          <w:marTop w:val="0"/>
          <w:marBottom w:val="120"/>
          <w:divBdr>
            <w:top w:val="none" w:sz="0" w:space="0" w:color="auto"/>
            <w:left w:val="none" w:sz="0" w:space="0" w:color="auto"/>
            <w:bottom w:val="none" w:sz="0" w:space="0" w:color="auto"/>
            <w:right w:val="none" w:sz="0" w:space="0" w:color="auto"/>
          </w:divBdr>
        </w:div>
        <w:div w:id="1269509497">
          <w:marLeft w:val="547"/>
          <w:marRight w:val="0"/>
          <w:marTop w:val="240"/>
          <w:marBottom w:val="0"/>
          <w:divBdr>
            <w:top w:val="none" w:sz="0" w:space="0" w:color="auto"/>
            <w:left w:val="none" w:sz="0" w:space="0" w:color="auto"/>
            <w:bottom w:val="none" w:sz="0" w:space="0" w:color="auto"/>
            <w:right w:val="none" w:sz="0" w:space="0" w:color="auto"/>
          </w:divBdr>
        </w:div>
        <w:div w:id="1401364650">
          <w:marLeft w:val="1166"/>
          <w:marRight w:val="0"/>
          <w:marTop w:val="0"/>
          <w:marBottom w:val="120"/>
          <w:divBdr>
            <w:top w:val="none" w:sz="0" w:space="0" w:color="auto"/>
            <w:left w:val="none" w:sz="0" w:space="0" w:color="auto"/>
            <w:bottom w:val="none" w:sz="0" w:space="0" w:color="auto"/>
            <w:right w:val="none" w:sz="0" w:space="0" w:color="auto"/>
          </w:divBdr>
        </w:div>
        <w:div w:id="1841577848">
          <w:marLeft w:val="1166"/>
          <w:marRight w:val="0"/>
          <w:marTop w:val="0"/>
          <w:marBottom w:val="120"/>
          <w:divBdr>
            <w:top w:val="none" w:sz="0" w:space="0" w:color="auto"/>
            <w:left w:val="none" w:sz="0" w:space="0" w:color="auto"/>
            <w:bottom w:val="none" w:sz="0" w:space="0" w:color="auto"/>
            <w:right w:val="none" w:sz="0" w:space="0" w:color="auto"/>
          </w:divBdr>
        </w:div>
        <w:div w:id="1987317771">
          <w:marLeft w:val="547"/>
          <w:marRight w:val="0"/>
          <w:marTop w:val="240"/>
          <w:marBottom w:val="120"/>
          <w:divBdr>
            <w:top w:val="none" w:sz="0" w:space="0" w:color="auto"/>
            <w:left w:val="none" w:sz="0" w:space="0" w:color="auto"/>
            <w:bottom w:val="none" w:sz="0" w:space="0" w:color="auto"/>
            <w:right w:val="none" w:sz="0" w:space="0" w:color="auto"/>
          </w:divBdr>
        </w:div>
      </w:divsChild>
    </w:div>
    <w:div w:id="194923674">
      <w:bodyDiv w:val="1"/>
      <w:marLeft w:val="0"/>
      <w:marRight w:val="0"/>
      <w:marTop w:val="0"/>
      <w:marBottom w:val="0"/>
      <w:divBdr>
        <w:top w:val="none" w:sz="0" w:space="0" w:color="auto"/>
        <w:left w:val="none" w:sz="0" w:space="0" w:color="auto"/>
        <w:bottom w:val="none" w:sz="0" w:space="0" w:color="auto"/>
        <w:right w:val="none" w:sz="0" w:space="0" w:color="auto"/>
      </w:divBdr>
    </w:div>
    <w:div w:id="198709180">
      <w:bodyDiv w:val="1"/>
      <w:marLeft w:val="0"/>
      <w:marRight w:val="0"/>
      <w:marTop w:val="0"/>
      <w:marBottom w:val="0"/>
      <w:divBdr>
        <w:top w:val="none" w:sz="0" w:space="0" w:color="auto"/>
        <w:left w:val="none" w:sz="0" w:space="0" w:color="auto"/>
        <w:bottom w:val="none" w:sz="0" w:space="0" w:color="auto"/>
        <w:right w:val="none" w:sz="0" w:space="0" w:color="auto"/>
      </w:divBdr>
    </w:div>
    <w:div w:id="206113332">
      <w:marLeft w:val="0"/>
      <w:marRight w:val="0"/>
      <w:marTop w:val="0"/>
      <w:marBottom w:val="0"/>
      <w:divBdr>
        <w:top w:val="none" w:sz="0" w:space="0" w:color="auto"/>
        <w:left w:val="none" w:sz="0" w:space="0" w:color="auto"/>
        <w:bottom w:val="none" w:sz="0" w:space="0" w:color="auto"/>
        <w:right w:val="none" w:sz="0" w:space="0" w:color="auto"/>
      </w:divBdr>
      <w:divsChild>
        <w:div w:id="860976510">
          <w:marLeft w:val="0"/>
          <w:marRight w:val="0"/>
          <w:marTop w:val="0"/>
          <w:marBottom w:val="0"/>
          <w:divBdr>
            <w:top w:val="none" w:sz="0" w:space="0" w:color="auto"/>
            <w:left w:val="none" w:sz="0" w:space="0" w:color="auto"/>
            <w:bottom w:val="none" w:sz="0" w:space="0" w:color="auto"/>
            <w:right w:val="none" w:sz="0" w:space="0" w:color="auto"/>
          </w:divBdr>
          <w:divsChild>
            <w:div w:id="941953810">
              <w:marLeft w:val="0"/>
              <w:marRight w:val="0"/>
              <w:marTop w:val="0"/>
              <w:marBottom w:val="0"/>
              <w:divBdr>
                <w:top w:val="none" w:sz="0" w:space="0" w:color="auto"/>
                <w:left w:val="none" w:sz="0" w:space="0" w:color="auto"/>
                <w:bottom w:val="none" w:sz="0" w:space="0" w:color="auto"/>
                <w:right w:val="none" w:sz="0" w:space="0" w:color="auto"/>
              </w:divBdr>
              <w:divsChild>
                <w:div w:id="2031293102">
                  <w:marLeft w:val="0"/>
                  <w:marRight w:val="-150"/>
                  <w:marTop w:val="0"/>
                  <w:marBottom w:val="0"/>
                  <w:divBdr>
                    <w:top w:val="none" w:sz="0" w:space="0" w:color="auto"/>
                    <w:left w:val="none" w:sz="0" w:space="0" w:color="auto"/>
                    <w:bottom w:val="none" w:sz="0" w:space="0" w:color="auto"/>
                    <w:right w:val="none" w:sz="0" w:space="0" w:color="auto"/>
                  </w:divBdr>
                  <w:divsChild>
                    <w:div w:id="195897184">
                      <w:marLeft w:val="0"/>
                      <w:marRight w:val="0"/>
                      <w:marTop w:val="0"/>
                      <w:marBottom w:val="0"/>
                      <w:divBdr>
                        <w:top w:val="none" w:sz="0" w:space="0" w:color="auto"/>
                        <w:left w:val="none" w:sz="0" w:space="0" w:color="auto"/>
                        <w:bottom w:val="none" w:sz="0" w:space="0" w:color="auto"/>
                        <w:right w:val="none" w:sz="0" w:space="0" w:color="auto"/>
                      </w:divBdr>
                      <w:divsChild>
                        <w:div w:id="31855064">
                          <w:marLeft w:val="0"/>
                          <w:marRight w:val="0"/>
                          <w:marTop w:val="0"/>
                          <w:marBottom w:val="0"/>
                          <w:divBdr>
                            <w:top w:val="none" w:sz="0" w:space="0" w:color="auto"/>
                            <w:left w:val="none" w:sz="0" w:space="0" w:color="auto"/>
                            <w:bottom w:val="none" w:sz="0" w:space="0" w:color="auto"/>
                            <w:right w:val="none" w:sz="0" w:space="0" w:color="auto"/>
                          </w:divBdr>
                          <w:divsChild>
                            <w:div w:id="172576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749715">
                      <w:marLeft w:val="0"/>
                      <w:marRight w:val="0"/>
                      <w:marTop w:val="0"/>
                      <w:marBottom w:val="0"/>
                      <w:divBdr>
                        <w:top w:val="none" w:sz="0" w:space="0" w:color="auto"/>
                        <w:left w:val="none" w:sz="0" w:space="0" w:color="auto"/>
                        <w:bottom w:val="none" w:sz="0" w:space="0" w:color="auto"/>
                        <w:right w:val="none" w:sz="0" w:space="0" w:color="auto"/>
                      </w:divBdr>
                      <w:divsChild>
                        <w:div w:id="545917044">
                          <w:marLeft w:val="0"/>
                          <w:marRight w:val="0"/>
                          <w:marTop w:val="0"/>
                          <w:marBottom w:val="0"/>
                          <w:divBdr>
                            <w:top w:val="none" w:sz="0" w:space="0" w:color="auto"/>
                            <w:left w:val="none" w:sz="0" w:space="0" w:color="auto"/>
                            <w:bottom w:val="none" w:sz="0" w:space="0" w:color="auto"/>
                            <w:right w:val="none" w:sz="0" w:space="0" w:color="auto"/>
                          </w:divBdr>
                        </w:div>
                        <w:div w:id="124271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5511286">
      <w:bodyDiv w:val="1"/>
      <w:marLeft w:val="0"/>
      <w:marRight w:val="0"/>
      <w:marTop w:val="0"/>
      <w:marBottom w:val="0"/>
      <w:divBdr>
        <w:top w:val="none" w:sz="0" w:space="0" w:color="auto"/>
        <w:left w:val="none" w:sz="0" w:space="0" w:color="auto"/>
        <w:bottom w:val="none" w:sz="0" w:space="0" w:color="auto"/>
        <w:right w:val="none" w:sz="0" w:space="0" w:color="auto"/>
      </w:divBdr>
    </w:div>
    <w:div w:id="229460076">
      <w:marLeft w:val="0"/>
      <w:marRight w:val="0"/>
      <w:marTop w:val="0"/>
      <w:marBottom w:val="0"/>
      <w:divBdr>
        <w:top w:val="none" w:sz="0" w:space="0" w:color="auto"/>
        <w:left w:val="none" w:sz="0" w:space="0" w:color="auto"/>
        <w:bottom w:val="none" w:sz="0" w:space="0" w:color="auto"/>
        <w:right w:val="none" w:sz="0" w:space="0" w:color="auto"/>
      </w:divBdr>
      <w:divsChild>
        <w:div w:id="1157765509">
          <w:marLeft w:val="0"/>
          <w:marRight w:val="0"/>
          <w:marTop w:val="0"/>
          <w:marBottom w:val="0"/>
          <w:divBdr>
            <w:top w:val="none" w:sz="0" w:space="0" w:color="auto"/>
            <w:left w:val="none" w:sz="0" w:space="0" w:color="auto"/>
            <w:bottom w:val="none" w:sz="0" w:space="0" w:color="auto"/>
            <w:right w:val="none" w:sz="0" w:space="0" w:color="auto"/>
          </w:divBdr>
          <w:divsChild>
            <w:div w:id="161360822">
              <w:marLeft w:val="0"/>
              <w:marRight w:val="0"/>
              <w:marTop w:val="0"/>
              <w:marBottom w:val="0"/>
              <w:divBdr>
                <w:top w:val="none" w:sz="0" w:space="0" w:color="auto"/>
                <w:left w:val="none" w:sz="0" w:space="0" w:color="auto"/>
                <w:bottom w:val="none" w:sz="0" w:space="0" w:color="auto"/>
                <w:right w:val="none" w:sz="0" w:space="0" w:color="auto"/>
              </w:divBdr>
              <w:divsChild>
                <w:div w:id="1611544887">
                  <w:marLeft w:val="0"/>
                  <w:marRight w:val="0"/>
                  <w:marTop w:val="0"/>
                  <w:marBottom w:val="0"/>
                  <w:divBdr>
                    <w:top w:val="none" w:sz="0" w:space="0" w:color="auto"/>
                    <w:left w:val="none" w:sz="0" w:space="0" w:color="auto"/>
                    <w:bottom w:val="none" w:sz="0" w:space="0" w:color="auto"/>
                    <w:right w:val="none" w:sz="0" w:space="0" w:color="auto"/>
                  </w:divBdr>
                </w:div>
              </w:divsChild>
            </w:div>
            <w:div w:id="731274155">
              <w:marLeft w:val="0"/>
              <w:marRight w:val="0"/>
              <w:marTop w:val="0"/>
              <w:marBottom w:val="0"/>
              <w:divBdr>
                <w:top w:val="none" w:sz="0" w:space="0" w:color="auto"/>
                <w:left w:val="none" w:sz="0" w:space="0" w:color="auto"/>
                <w:bottom w:val="none" w:sz="0" w:space="0" w:color="auto"/>
                <w:right w:val="none" w:sz="0" w:space="0" w:color="auto"/>
              </w:divBdr>
            </w:div>
            <w:div w:id="953513975">
              <w:marLeft w:val="0"/>
              <w:marRight w:val="0"/>
              <w:marTop w:val="0"/>
              <w:marBottom w:val="0"/>
              <w:divBdr>
                <w:top w:val="none" w:sz="0" w:space="0" w:color="auto"/>
                <w:left w:val="none" w:sz="0" w:space="0" w:color="auto"/>
                <w:bottom w:val="none" w:sz="0" w:space="0" w:color="auto"/>
                <w:right w:val="none" w:sz="0" w:space="0" w:color="auto"/>
              </w:divBdr>
            </w:div>
            <w:div w:id="963772838">
              <w:marLeft w:val="0"/>
              <w:marRight w:val="0"/>
              <w:marTop w:val="0"/>
              <w:marBottom w:val="0"/>
              <w:divBdr>
                <w:top w:val="none" w:sz="0" w:space="0" w:color="auto"/>
                <w:left w:val="none" w:sz="0" w:space="0" w:color="auto"/>
                <w:bottom w:val="none" w:sz="0" w:space="0" w:color="auto"/>
                <w:right w:val="none" w:sz="0" w:space="0" w:color="auto"/>
              </w:divBdr>
            </w:div>
            <w:div w:id="1189753930">
              <w:marLeft w:val="0"/>
              <w:marRight w:val="0"/>
              <w:marTop w:val="0"/>
              <w:marBottom w:val="0"/>
              <w:divBdr>
                <w:top w:val="none" w:sz="0" w:space="0" w:color="auto"/>
                <w:left w:val="none" w:sz="0" w:space="0" w:color="auto"/>
                <w:bottom w:val="none" w:sz="0" w:space="0" w:color="auto"/>
                <w:right w:val="none" w:sz="0" w:space="0" w:color="auto"/>
              </w:divBdr>
            </w:div>
            <w:div w:id="1218935689">
              <w:marLeft w:val="0"/>
              <w:marRight w:val="0"/>
              <w:marTop w:val="0"/>
              <w:marBottom w:val="0"/>
              <w:divBdr>
                <w:top w:val="none" w:sz="0" w:space="0" w:color="auto"/>
                <w:left w:val="none" w:sz="0" w:space="0" w:color="auto"/>
                <w:bottom w:val="none" w:sz="0" w:space="0" w:color="auto"/>
                <w:right w:val="none" w:sz="0" w:space="0" w:color="auto"/>
              </w:divBdr>
            </w:div>
            <w:div w:id="1242301744">
              <w:marLeft w:val="0"/>
              <w:marRight w:val="0"/>
              <w:marTop w:val="0"/>
              <w:marBottom w:val="0"/>
              <w:divBdr>
                <w:top w:val="none" w:sz="0" w:space="0" w:color="auto"/>
                <w:left w:val="none" w:sz="0" w:space="0" w:color="auto"/>
                <w:bottom w:val="none" w:sz="0" w:space="0" w:color="auto"/>
                <w:right w:val="none" w:sz="0" w:space="0" w:color="auto"/>
              </w:divBdr>
            </w:div>
            <w:div w:id="1306853958">
              <w:marLeft w:val="0"/>
              <w:marRight w:val="0"/>
              <w:marTop w:val="0"/>
              <w:marBottom w:val="0"/>
              <w:divBdr>
                <w:top w:val="none" w:sz="0" w:space="0" w:color="auto"/>
                <w:left w:val="none" w:sz="0" w:space="0" w:color="auto"/>
                <w:bottom w:val="none" w:sz="0" w:space="0" w:color="auto"/>
                <w:right w:val="none" w:sz="0" w:space="0" w:color="auto"/>
              </w:divBdr>
            </w:div>
            <w:div w:id="1550141036">
              <w:marLeft w:val="0"/>
              <w:marRight w:val="0"/>
              <w:marTop w:val="0"/>
              <w:marBottom w:val="0"/>
              <w:divBdr>
                <w:top w:val="none" w:sz="0" w:space="0" w:color="auto"/>
                <w:left w:val="none" w:sz="0" w:space="0" w:color="auto"/>
                <w:bottom w:val="none" w:sz="0" w:space="0" w:color="auto"/>
                <w:right w:val="none" w:sz="0" w:space="0" w:color="auto"/>
              </w:divBdr>
            </w:div>
            <w:div w:id="1745756725">
              <w:marLeft w:val="0"/>
              <w:marRight w:val="0"/>
              <w:marTop w:val="0"/>
              <w:marBottom w:val="0"/>
              <w:divBdr>
                <w:top w:val="none" w:sz="0" w:space="0" w:color="auto"/>
                <w:left w:val="none" w:sz="0" w:space="0" w:color="auto"/>
                <w:bottom w:val="none" w:sz="0" w:space="0" w:color="auto"/>
                <w:right w:val="none" w:sz="0" w:space="0" w:color="auto"/>
              </w:divBdr>
            </w:div>
            <w:div w:id="1878815133">
              <w:marLeft w:val="0"/>
              <w:marRight w:val="0"/>
              <w:marTop w:val="0"/>
              <w:marBottom w:val="0"/>
              <w:divBdr>
                <w:top w:val="none" w:sz="0" w:space="0" w:color="auto"/>
                <w:left w:val="none" w:sz="0" w:space="0" w:color="auto"/>
                <w:bottom w:val="none" w:sz="0" w:space="0" w:color="auto"/>
                <w:right w:val="none" w:sz="0" w:space="0" w:color="auto"/>
              </w:divBdr>
            </w:div>
            <w:div w:id="2049524048">
              <w:marLeft w:val="0"/>
              <w:marRight w:val="0"/>
              <w:marTop w:val="0"/>
              <w:marBottom w:val="0"/>
              <w:divBdr>
                <w:top w:val="none" w:sz="0" w:space="0" w:color="auto"/>
                <w:left w:val="none" w:sz="0" w:space="0" w:color="auto"/>
                <w:bottom w:val="none" w:sz="0" w:space="0" w:color="auto"/>
                <w:right w:val="none" w:sz="0" w:space="0" w:color="auto"/>
              </w:divBdr>
              <w:divsChild>
                <w:div w:id="970137061">
                  <w:marLeft w:val="0"/>
                  <w:marRight w:val="0"/>
                  <w:marTop w:val="0"/>
                  <w:marBottom w:val="0"/>
                  <w:divBdr>
                    <w:top w:val="none" w:sz="0" w:space="0" w:color="auto"/>
                    <w:left w:val="none" w:sz="0" w:space="0" w:color="auto"/>
                    <w:bottom w:val="none" w:sz="0" w:space="0" w:color="auto"/>
                    <w:right w:val="none" w:sz="0" w:space="0" w:color="auto"/>
                  </w:divBdr>
                  <w:divsChild>
                    <w:div w:id="436563327">
                      <w:marLeft w:val="0"/>
                      <w:marRight w:val="0"/>
                      <w:marTop w:val="0"/>
                      <w:marBottom w:val="0"/>
                      <w:divBdr>
                        <w:top w:val="none" w:sz="0" w:space="0" w:color="auto"/>
                        <w:left w:val="none" w:sz="0" w:space="0" w:color="auto"/>
                        <w:bottom w:val="none" w:sz="0" w:space="0" w:color="auto"/>
                        <w:right w:val="none" w:sz="0" w:space="0" w:color="auto"/>
                      </w:divBdr>
                    </w:div>
                    <w:div w:id="577787273">
                      <w:marLeft w:val="0"/>
                      <w:marRight w:val="0"/>
                      <w:marTop w:val="0"/>
                      <w:marBottom w:val="0"/>
                      <w:divBdr>
                        <w:top w:val="none" w:sz="0" w:space="0" w:color="auto"/>
                        <w:left w:val="none" w:sz="0" w:space="0" w:color="auto"/>
                        <w:bottom w:val="none" w:sz="0" w:space="0" w:color="auto"/>
                        <w:right w:val="none" w:sz="0" w:space="0" w:color="auto"/>
                      </w:divBdr>
                    </w:div>
                  </w:divsChild>
                </w:div>
                <w:div w:id="1605990663">
                  <w:marLeft w:val="0"/>
                  <w:marRight w:val="0"/>
                  <w:marTop w:val="0"/>
                  <w:marBottom w:val="0"/>
                  <w:divBdr>
                    <w:top w:val="none" w:sz="0" w:space="0" w:color="auto"/>
                    <w:left w:val="none" w:sz="0" w:space="0" w:color="auto"/>
                    <w:bottom w:val="none" w:sz="0" w:space="0" w:color="auto"/>
                    <w:right w:val="none" w:sz="0" w:space="0" w:color="auto"/>
                  </w:divBdr>
                </w:div>
                <w:div w:id="202605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89143">
      <w:bodyDiv w:val="1"/>
      <w:marLeft w:val="0"/>
      <w:marRight w:val="0"/>
      <w:marTop w:val="0"/>
      <w:marBottom w:val="0"/>
      <w:divBdr>
        <w:top w:val="none" w:sz="0" w:space="0" w:color="auto"/>
        <w:left w:val="none" w:sz="0" w:space="0" w:color="auto"/>
        <w:bottom w:val="none" w:sz="0" w:space="0" w:color="auto"/>
        <w:right w:val="none" w:sz="0" w:space="0" w:color="auto"/>
      </w:divBdr>
      <w:divsChild>
        <w:div w:id="29451894">
          <w:marLeft w:val="0"/>
          <w:marRight w:val="0"/>
          <w:marTop w:val="0"/>
          <w:marBottom w:val="0"/>
          <w:divBdr>
            <w:top w:val="none" w:sz="0" w:space="0" w:color="auto"/>
            <w:left w:val="none" w:sz="0" w:space="0" w:color="auto"/>
            <w:bottom w:val="none" w:sz="0" w:space="0" w:color="auto"/>
            <w:right w:val="none" w:sz="0" w:space="0" w:color="auto"/>
          </w:divBdr>
        </w:div>
        <w:div w:id="31879472">
          <w:marLeft w:val="0"/>
          <w:marRight w:val="0"/>
          <w:marTop w:val="0"/>
          <w:marBottom w:val="0"/>
          <w:divBdr>
            <w:top w:val="none" w:sz="0" w:space="0" w:color="auto"/>
            <w:left w:val="none" w:sz="0" w:space="0" w:color="auto"/>
            <w:bottom w:val="none" w:sz="0" w:space="0" w:color="auto"/>
            <w:right w:val="none" w:sz="0" w:space="0" w:color="auto"/>
          </w:divBdr>
        </w:div>
        <w:div w:id="88697990">
          <w:marLeft w:val="0"/>
          <w:marRight w:val="0"/>
          <w:marTop w:val="0"/>
          <w:marBottom w:val="0"/>
          <w:divBdr>
            <w:top w:val="none" w:sz="0" w:space="0" w:color="auto"/>
            <w:left w:val="none" w:sz="0" w:space="0" w:color="auto"/>
            <w:bottom w:val="none" w:sz="0" w:space="0" w:color="auto"/>
            <w:right w:val="none" w:sz="0" w:space="0" w:color="auto"/>
          </w:divBdr>
        </w:div>
        <w:div w:id="207185679">
          <w:marLeft w:val="0"/>
          <w:marRight w:val="0"/>
          <w:marTop w:val="0"/>
          <w:marBottom w:val="0"/>
          <w:divBdr>
            <w:top w:val="none" w:sz="0" w:space="0" w:color="auto"/>
            <w:left w:val="none" w:sz="0" w:space="0" w:color="auto"/>
            <w:bottom w:val="none" w:sz="0" w:space="0" w:color="auto"/>
            <w:right w:val="none" w:sz="0" w:space="0" w:color="auto"/>
          </w:divBdr>
        </w:div>
        <w:div w:id="362488163">
          <w:marLeft w:val="0"/>
          <w:marRight w:val="0"/>
          <w:marTop w:val="0"/>
          <w:marBottom w:val="0"/>
          <w:divBdr>
            <w:top w:val="none" w:sz="0" w:space="0" w:color="auto"/>
            <w:left w:val="none" w:sz="0" w:space="0" w:color="auto"/>
            <w:bottom w:val="none" w:sz="0" w:space="0" w:color="auto"/>
            <w:right w:val="none" w:sz="0" w:space="0" w:color="auto"/>
          </w:divBdr>
        </w:div>
        <w:div w:id="385104547">
          <w:marLeft w:val="0"/>
          <w:marRight w:val="0"/>
          <w:marTop w:val="0"/>
          <w:marBottom w:val="0"/>
          <w:divBdr>
            <w:top w:val="none" w:sz="0" w:space="0" w:color="auto"/>
            <w:left w:val="none" w:sz="0" w:space="0" w:color="auto"/>
            <w:bottom w:val="none" w:sz="0" w:space="0" w:color="auto"/>
            <w:right w:val="none" w:sz="0" w:space="0" w:color="auto"/>
          </w:divBdr>
        </w:div>
        <w:div w:id="389035035">
          <w:marLeft w:val="0"/>
          <w:marRight w:val="0"/>
          <w:marTop w:val="0"/>
          <w:marBottom w:val="0"/>
          <w:divBdr>
            <w:top w:val="none" w:sz="0" w:space="0" w:color="auto"/>
            <w:left w:val="none" w:sz="0" w:space="0" w:color="auto"/>
            <w:bottom w:val="none" w:sz="0" w:space="0" w:color="auto"/>
            <w:right w:val="none" w:sz="0" w:space="0" w:color="auto"/>
          </w:divBdr>
        </w:div>
        <w:div w:id="425001163">
          <w:marLeft w:val="0"/>
          <w:marRight w:val="0"/>
          <w:marTop w:val="0"/>
          <w:marBottom w:val="0"/>
          <w:divBdr>
            <w:top w:val="none" w:sz="0" w:space="0" w:color="auto"/>
            <w:left w:val="none" w:sz="0" w:space="0" w:color="auto"/>
            <w:bottom w:val="none" w:sz="0" w:space="0" w:color="auto"/>
            <w:right w:val="none" w:sz="0" w:space="0" w:color="auto"/>
          </w:divBdr>
        </w:div>
        <w:div w:id="435832945">
          <w:marLeft w:val="0"/>
          <w:marRight w:val="0"/>
          <w:marTop w:val="0"/>
          <w:marBottom w:val="0"/>
          <w:divBdr>
            <w:top w:val="none" w:sz="0" w:space="0" w:color="auto"/>
            <w:left w:val="none" w:sz="0" w:space="0" w:color="auto"/>
            <w:bottom w:val="none" w:sz="0" w:space="0" w:color="auto"/>
            <w:right w:val="none" w:sz="0" w:space="0" w:color="auto"/>
          </w:divBdr>
        </w:div>
        <w:div w:id="475614214">
          <w:marLeft w:val="0"/>
          <w:marRight w:val="0"/>
          <w:marTop w:val="0"/>
          <w:marBottom w:val="0"/>
          <w:divBdr>
            <w:top w:val="none" w:sz="0" w:space="0" w:color="auto"/>
            <w:left w:val="none" w:sz="0" w:space="0" w:color="auto"/>
            <w:bottom w:val="none" w:sz="0" w:space="0" w:color="auto"/>
            <w:right w:val="none" w:sz="0" w:space="0" w:color="auto"/>
          </w:divBdr>
        </w:div>
        <w:div w:id="479886627">
          <w:marLeft w:val="0"/>
          <w:marRight w:val="0"/>
          <w:marTop w:val="0"/>
          <w:marBottom w:val="0"/>
          <w:divBdr>
            <w:top w:val="none" w:sz="0" w:space="0" w:color="auto"/>
            <w:left w:val="none" w:sz="0" w:space="0" w:color="auto"/>
            <w:bottom w:val="none" w:sz="0" w:space="0" w:color="auto"/>
            <w:right w:val="none" w:sz="0" w:space="0" w:color="auto"/>
          </w:divBdr>
        </w:div>
        <w:div w:id="490752644">
          <w:marLeft w:val="0"/>
          <w:marRight w:val="0"/>
          <w:marTop w:val="0"/>
          <w:marBottom w:val="0"/>
          <w:divBdr>
            <w:top w:val="none" w:sz="0" w:space="0" w:color="auto"/>
            <w:left w:val="none" w:sz="0" w:space="0" w:color="auto"/>
            <w:bottom w:val="none" w:sz="0" w:space="0" w:color="auto"/>
            <w:right w:val="none" w:sz="0" w:space="0" w:color="auto"/>
          </w:divBdr>
        </w:div>
        <w:div w:id="494881304">
          <w:marLeft w:val="0"/>
          <w:marRight w:val="0"/>
          <w:marTop w:val="0"/>
          <w:marBottom w:val="0"/>
          <w:divBdr>
            <w:top w:val="none" w:sz="0" w:space="0" w:color="auto"/>
            <w:left w:val="none" w:sz="0" w:space="0" w:color="auto"/>
            <w:bottom w:val="none" w:sz="0" w:space="0" w:color="auto"/>
            <w:right w:val="none" w:sz="0" w:space="0" w:color="auto"/>
          </w:divBdr>
        </w:div>
        <w:div w:id="510029531">
          <w:marLeft w:val="0"/>
          <w:marRight w:val="0"/>
          <w:marTop w:val="0"/>
          <w:marBottom w:val="0"/>
          <w:divBdr>
            <w:top w:val="none" w:sz="0" w:space="0" w:color="auto"/>
            <w:left w:val="none" w:sz="0" w:space="0" w:color="auto"/>
            <w:bottom w:val="none" w:sz="0" w:space="0" w:color="auto"/>
            <w:right w:val="none" w:sz="0" w:space="0" w:color="auto"/>
          </w:divBdr>
        </w:div>
        <w:div w:id="788281632">
          <w:marLeft w:val="0"/>
          <w:marRight w:val="0"/>
          <w:marTop w:val="0"/>
          <w:marBottom w:val="0"/>
          <w:divBdr>
            <w:top w:val="none" w:sz="0" w:space="0" w:color="auto"/>
            <w:left w:val="none" w:sz="0" w:space="0" w:color="auto"/>
            <w:bottom w:val="none" w:sz="0" w:space="0" w:color="auto"/>
            <w:right w:val="none" w:sz="0" w:space="0" w:color="auto"/>
          </w:divBdr>
        </w:div>
        <w:div w:id="828712255">
          <w:marLeft w:val="0"/>
          <w:marRight w:val="0"/>
          <w:marTop w:val="0"/>
          <w:marBottom w:val="0"/>
          <w:divBdr>
            <w:top w:val="none" w:sz="0" w:space="0" w:color="auto"/>
            <w:left w:val="none" w:sz="0" w:space="0" w:color="auto"/>
            <w:bottom w:val="none" w:sz="0" w:space="0" w:color="auto"/>
            <w:right w:val="none" w:sz="0" w:space="0" w:color="auto"/>
          </w:divBdr>
        </w:div>
        <w:div w:id="885609061">
          <w:marLeft w:val="0"/>
          <w:marRight w:val="0"/>
          <w:marTop w:val="0"/>
          <w:marBottom w:val="0"/>
          <w:divBdr>
            <w:top w:val="none" w:sz="0" w:space="0" w:color="auto"/>
            <w:left w:val="none" w:sz="0" w:space="0" w:color="auto"/>
            <w:bottom w:val="none" w:sz="0" w:space="0" w:color="auto"/>
            <w:right w:val="none" w:sz="0" w:space="0" w:color="auto"/>
          </w:divBdr>
        </w:div>
        <w:div w:id="902638496">
          <w:marLeft w:val="0"/>
          <w:marRight w:val="0"/>
          <w:marTop w:val="0"/>
          <w:marBottom w:val="0"/>
          <w:divBdr>
            <w:top w:val="none" w:sz="0" w:space="0" w:color="auto"/>
            <w:left w:val="none" w:sz="0" w:space="0" w:color="auto"/>
            <w:bottom w:val="none" w:sz="0" w:space="0" w:color="auto"/>
            <w:right w:val="none" w:sz="0" w:space="0" w:color="auto"/>
          </w:divBdr>
        </w:div>
        <w:div w:id="907299834">
          <w:marLeft w:val="0"/>
          <w:marRight w:val="0"/>
          <w:marTop w:val="0"/>
          <w:marBottom w:val="0"/>
          <w:divBdr>
            <w:top w:val="none" w:sz="0" w:space="0" w:color="auto"/>
            <w:left w:val="none" w:sz="0" w:space="0" w:color="auto"/>
            <w:bottom w:val="none" w:sz="0" w:space="0" w:color="auto"/>
            <w:right w:val="none" w:sz="0" w:space="0" w:color="auto"/>
          </w:divBdr>
        </w:div>
        <w:div w:id="1027366894">
          <w:marLeft w:val="0"/>
          <w:marRight w:val="0"/>
          <w:marTop w:val="0"/>
          <w:marBottom w:val="0"/>
          <w:divBdr>
            <w:top w:val="none" w:sz="0" w:space="0" w:color="auto"/>
            <w:left w:val="none" w:sz="0" w:space="0" w:color="auto"/>
            <w:bottom w:val="none" w:sz="0" w:space="0" w:color="auto"/>
            <w:right w:val="none" w:sz="0" w:space="0" w:color="auto"/>
          </w:divBdr>
        </w:div>
        <w:div w:id="1052458513">
          <w:marLeft w:val="0"/>
          <w:marRight w:val="0"/>
          <w:marTop w:val="0"/>
          <w:marBottom w:val="0"/>
          <w:divBdr>
            <w:top w:val="none" w:sz="0" w:space="0" w:color="auto"/>
            <w:left w:val="none" w:sz="0" w:space="0" w:color="auto"/>
            <w:bottom w:val="none" w:sz="0" w:space="0" w:color="auto"/>
            <w:right w:val="none" w:sz="0" w:space="0" w:color="auto"/>
          </w:divBdr>
        </w:div>
        <w:div w:id="1095981116">
          <w:marLeft w:val="0"/>
          <w:marRight w:val="0"/>
          <w:marTop w:val="0"/>
          <w:marBottom w:val="0"/>
          <w:divBdr>
            <w:top w:val="none" w:sz="0" w:space="0" w:color="auto"/>
            <w:left w:val="none" w:sz="0" w:space="0" w:color="auto"/>
            <w:bottom w:val="none" w:sz="0" w:space="0" w:color="auto"/>
            <w:right w:val="none" w:sz="0" w:space="0" w:color="auto"/>
          </w:divBdr>
        </w:div>
        <w:div w:id="1116292613">
          <w:marLeft w:val="0"/>
          <w:marRight w:val="0"/>
          <w:marTop w:val="0"/>
          <w:marBottom w:val="0"/>
          <w:divBdr>
            <w:top w:val="none" w:sz="0" w:space="0" w:color="auto"/>
            <w:left w:val="none" w:sz="0" w:space="0" w:color="auto"/>
            <w:bottom w:val="none" w:sz="0" w:space="0" w:color="auto"/>
            <w:right w:val="none" w:sz="0" w:space="0" w:color="auto"/>
          </w:divBdr>
        </w:div>
        <w:div w:id="1162115659">
          <w:marLeft w:val="0"/>
          <w:marRight w:val="0"/>
          <w:marTop w:val="0"/>
          <w:marBottom w:val="0"/>
          <w:divBdr>
            <w:top w:val="none" w:sz="0" w:space="0" w:color="auto"/>
            <w:left w:val="none" w:sz="0" w:space="0" w:color="auto"/>
            <w:bottom w:val="none" w:sz="0" w:space="0" w:color="auto"/>
            <w:right w:val="none" w:sz="0" w:space="0" w:color="auto"/>
          </w:divBdr>
        </w:div>
        <w:div w:id="1172180590">
          <w:marLeft w:val="0"/>
          <w:marRight w:val="0"/>
          <w:marTop w:val="0"/>
          <w:marBottom w:val="0"/>
          <w:divBdr>
            <w:top w:val="none" w:sz="0" w:space="0" w:color="auto"/>
            <w:left w:val="none" w:sz="0" w:space="0" w:color="auto"/>
            <w:bottom w:val="none" w:sz="0" w:space="0" w:color="auto"/>
            <w:right w:val="none" w:sz="0" w:space="0" w:color="auto"/>
          </w:divBdr>
        </w:div>
        <w:div w:id="1202326178">
          <w:marLeft w:val="0"/>
          <w:marRight w:val="0"/>
          <w:marTop w:val="0"/>
          <w:marBottom w:val="0"/>
          <w:divBdr>
            <w:top w:val="none" w:sz="0" w:space="0" w:color="auto"/>
            <w:left w:val="none" w:sz="0" w:space="0" w:color="auto"/>
            <w:bottom w:val="none" w:sz="0" w:space="0" w:color="auto"/>
            <w:right w:val="none" w:sz="0" w:space="0" w:color="auto"/>
          </w:divBdr>
        </w:div>
        <w:div w:id="1221987085">
          <w:marLeft w:val="0"/>
          <w:marRight w:val="0"/>
          <w:marTop w:val="0"/>
          <w:marBottom w:val="0"/>
          <w:divBdr>
            <w:top w:val="none" w:sz="0" w:space="0" w:color="auto"/>
            <w:left w:val="none" w:sz="0" w:space="0" w:color="auto"/>
            <w:bottom w:val="none" w:sz="0" w:space="0" w:color="auto"/>
            <w:right w:val="none" w:sz="0" w:space="0" w:color="auto"/>
          </w:divBdr>
        </w:div>
        <w:div w:id="1237089520">
          <w:marLeft w:val="0"/>
          <w:marRight w:val="0"/>
          <w:marTop w:val="0"/>
          <w:marBottom w:val="0"/>
          <w:divBdr>
            <w:top w:val="none" w:sz="0" w:space="0" w:color="auto"/>
            <w:left w:val="none" w:sz="0" w:space="0" w:color="auto"/>
            <w:bottom w:val="none" w:sz="0" w:space="0" w:color="auto"/>
            <w:right w:val="none" w:sz="0" w:space="0" w:color="auto"/>
          </w:divBdr>
        </w:div>
        <w:div w:id="1317419737">
          <w:marLeft w:val="0"/>
          <w:marRight w:val="0"/>
          <w:marTop w:val="0"/>
          <w:marBottom w:val="0"/>
          <w:divBdr>
            <w:top w:val="none" w:sz="0" w:space="0" w:color="auto"/>
            <w:left w:val="none" w:sz="0" w:space="0" w:color="auto"/>
            <w:bottom w:val="none" w:sz="0" w:space="0" w:color="auto"/>
            <w:right w:val="none" w:sz="0" w:space="0" w:color="auto"/>
          </w:divBdr>
        </w:div>
        <w:div w:id="1342077422">
          <w:marLeft w:val="0"/>
          <w:marRight w:val="0"/>
          <w:marTop w:val="0"/>
          <w:marBottom w:val="0"/>
          <w:divBdr>
            <w:top w:val="none" w:sz="0" w:space="0" w:color="auto"/>
            <w:left w:val="none" w:sz="0" w:space="0" w:color="auto"/>
            <w:bottom w:val="none" w:sz="0" w:space="0" w:color="auto"/>
            <w:right w:val="none" w:sz="0" w:space="0" w:color="auto"/>
          </w:divBdr>
        </w:div>
        <w:div w:id="1351565378">
          <w:marLeft w:val="0"/>
          <w:marRight w:val="0"/>
          <w:marTop w:val="0"/>
          <w:marBottom w:val="0"/>
          <w:divBdr>
            <w:top w:val="none" w:sz="0" w:space="0" w:color="auto"/>
            <w:left w:val="none" w:sz="0" w:space="0" w:color="auto"/>
            <w:bottom w:val="none" w:sz="0" w:space="0" w:color="auto"/>
            <w:right w:val="none" w:sz="0" w:space="0" w:color="auto"/>
          </w:divBdr>
        </w:div>
        <w:div w:id="1362903271">
          <w:marLeft w:val="0"/>
          <w:marRight w:val="0"/>
          <w:marTop w:val="0"/>
          <w:marBottom w:val="0"/>
          <w:divBdr>
            <w:top w:val="none" w:sz="0" w:space="0" w:color="auto"/>
            <w:left w:val="none" w:sz="0" w:space="0" w:color="auto"/>
            <w:bottom w:val="none" w:sz="0" w:space="0" w:color="auto"/>
            <w:right w:val="none" w:sz="0" w:space="0" w:color="auto"/>
          </w:divBdr>
        </w:div>
        <w:div w:id="1383286829">
          <w:marLeft w:val="0"/>
          <w:marRight w:val="0"/>
          <w:marTop w:val="0"/>
          <w:marBottom w:val="0"/>
          <w:divBdr>
            <w:top w:val="none" w:sz="0" w:space="0" w:color="auto"/>
            <w:left w:val="none" w:sz="0" w:space="0" w:color="auto"/>
            <w:bottom w:val="none" w:sz="0" w:space="0" w:color="auto"/>
            <w:right w:val="none" w:sz="0" w:space="0" w:color="auto"/>
          </w:divBdr>
        </w:div>
        <w:div w:id="1399867247">
          <w:marLeft w:val="0"/>
          <w:marRight w:val="0"/>
          <w:marTop w:val="0"/>
          <w:marBottom w:val="0"/>
          <w:divBdr>
            <w:top w:val="none" w:sz="0" w:space="0" w:color="auto"/>
            <w:left w:val="none" w:sz="0" w:space="0" w:color="auto"/>
            <w:bottom w:val="none" w:sz="0" w:space="0" w:color="auto"/>
            <w:right w:val="none" w:sz="0" w:space="0" w:color="auto"/>
          </w:divBdr>
        </w:div>
        <w:div w:id="1465392363">
          <w:marLeft w:val="0"/>
          <w:marRight w:val="0"/>
          <w:marTop w:val="0"/>
          <w:marBottom w:val="0"/>
          <w:divBdr>
            <w:top w:val="none" w:sz="0" w:space="0" w:color="auto"/>
            <w:left w:val="none" w:sz="0" w:space="0" w:color="auto"/>
            <w:bottom w:val="none" w:sz="0" w:space="0" w:color="auto"/>
            <w:right w:val="none" w:sz="0" w:space="0" w:color="auto"/>
          </w:divBdr>
        </w:div>
        <w:div w:id="1563558410">
          <w:marLeft w:val="0"/>
          <w:marRight w:val="0"/>
          <w:marTop w:val="0"/>
          <w:marBottom w:val="0"/>
          <w:divBdr>
            <w:top w:val="none" w:sz="0" w:space="0" w:color="auto"/>
            <w:left w:val="none" w:sz="0" w:space="0" w:color="auto"/>
            <w:bottom w:val="none" w:sz="0" w:space="0" w:color="auto"/>
            <w:right w:val="none" w:sz="0" w:space="0" w:color="auto"/>
          </w:divBdr>
        </w:div>
        <w:div w:id="1587499172">
          <w:marLeft w:val="0"/>
          <w:marRight w:val="0"/>
          <w:marTop w:val="0"/>
          <w:marBottom w:val="0"/>
          <w:divBdr>
            <w:top w:val="none" w:sz="0" w:space="0" w:color="auto"/>
            <w:left w:val="none" w:sz="0" w:space="0" w:color="auto"/>
            <w:bottom w:val="none" w:sz="0" w:space="0" w:color="auto"/>
            <w:right w:val="none" w:sz="0" w:space="0" w:color="auto"/>
          </w:divBdr>
        </w:div>
        <w:div w:id="1641302213">
          <w:marLeft w:val="0"/>
          <w:marRight w:val="0"/>
          <w:marTop w:val="0"/>
          <w:marBottom w:val="0"/>
          <w:divBdr>
            <w:top w:val="none" w:sz="0" w:space="0" w:color="auto"/>
            <w:left w:val="none" w:sz="0" w:space="0" w:color="auto"/>
            <w:bottom w:val="none" w:sz="0" w:space="0" w:color="auto"/>
            <w:right w:val="none" w:sz="0" w:space="0" w:color="auto"/>
          </w:divBdr>
        </w:div>
        <w:div w:id="1687054879">
          <w:marLeft w:val="0"/>
          <w:marRight w:val="0"/>
          <w:marTop w:val="0"/>
          <w:marBottom w:val="0"/>
          <w:divBdr>
            <w:top w:val="none" w:sz="0" w:space="0" w:color="auto"/>
            <w:left w:val="none" w:sz="0" w:space="0" w:color="auto"/>
            <w:bottom w:val="none" w:sz="0" w:space="0" w:color="auto"/>
            <w:right w:val="none" w:sz="0" w:space="0" w:color="auto"/>
          </w:divBdr>
        </w:div>
        <w:div w:id="1695494732">
          <w:marLeft w:val="0"/>
          <w:marRight w:val="0"/>
          <w:marTop w:val="0"/>
          <w:marBottom w:val="0"/>
          <w:divBdr>
            <w:top w:val="none" w:sz="0" w:space="0" w:color="auto"/>
            <w:left w:val="none" w:sz="0" w:space="0" w:color="auto"/>
            <w:bottom w:val="none" w:sz="0" w:space="0" w:color="auto"/>
            <w:right w:val="none" w:sz="0" w:space="0" w:color="auto"/>
          </w:divBdr>
        </w:div>
        <w:div w:id="1860966955">
          <w:marLeft w:val="0"/>
          <w:marRight w:val="0"/>
          <w:marTop w:val="0"/>
          <w:marBottom w:val="0"/>
          <w:divBdr>
            <w:top w:val="none" w:sz="0" w:space="0" w:color="auto"/>
            <w:left w:val="none" w:sz="0" w:space="0" w:color="auto"/>
            <w:bottom w:val="none" w:sz="0" w:space="0" w:color="auto"/>
            <w:right w:val="none" w:sz="0" w:space="0" w:color="auto"/>
          </w:divBdr>
        </w:div>
        <w:div w:id="1862742219">
          <w:marLeft w:val="0"/>
          <w:marRight w:val="0"/>
          <w:marTop w:val="0"/>
          <w:marBottom w:val="0"/>
          <w:divBdr>
            <w:top w:val="none" w:sz="0" w:space="0" w:color="auto"/>
            <w:left w:val="none" w:sz="0" w:space="0" w:color="auto"/>
            <w:bottom w:val="none" w:sz="0" w:space="0" w:color="auto"/>
            <w:right w:val="none" w:sz="0" w:space="0" w:color="auto"/>
          </w:divBdr>
        </w:div>
        <w:div w:id="1891332859">
          <w:marLeft w:val="0"/>
          <w:marRight w:val="0"/>
          <w:marTop w:val="0"/>
          <w:marBottom w:val="0"/>
          <w:divBdr>
            <w:top w:val="none" w:sz="0" w:space="0" w:color="auto"/>
            <w:left w:val="none" w:sz="0" w:space="0" w:color="auto"/>
            <w:bottom w:val="none" w:sz="0" w:space="0" w:color="auto"/>
            <w:right w:val="none" w:sz="0" w:space="0" w:color="auto"/>
          </w:divBdr>
        </w:div>
        <w:div w:id="1903367126">
          <w:marLeft w:val="0"/>
          <w:marRight w:val="0"/>
          <w:marTop w:val="0"/>
          <w:marBottom w:val="0"/>
          <w:divBdr>
            <w:top w:val="none" w:sz="0" w:space="0" w:color="auto"/>
            <w:left w:val="none" w:sz="0" w:space="0" w:color="auto"/>
            <w:bottom w:val="none" w:sz="0" w:space="0" w:color="auto"/>
            <w:right w:val="none" w:sz="0" w:space="0" w:color="auto"/>
          </w:divBdr>
        </w:div>
        <w:div w:id="1922713283">
          <w:marLeft w:val="0"/>
          <w:marRight w:val="0"/>
          <w:marTop w:val="0"/>
          <w:marBottom w:val="0"/>
          <w:divBdr>
            <w:top w:val="none" w:sz="0" w:space="0" w:color="auto"/>
            <w:left w:val="none" w:sz="0" w:space="0" w:color="auto"/>
            <w:bottom w:val="none" w:sz="0" w:space="0" w:color="auto"/>
            <w:right w:val="none" w:sz="0" w:space="0" w:color="auto"/>
          </w:divBdr>
        </w:div>
        <w:div w:id="1933736000">
          <w:marLeft w:val="0"/>
          <w:marRight w:val="0"/>
          <w:marTop w:val="0"/>
          <w:marBottom w:val="0"/>
          <w:divBdr>
            <w:top w:val="none" w:sz="0" w:space="0" w:color="auto"/>
            <w:left w:val="none" w:sz="0" w:space="0" w:color="auto"/>
            <w:bottom w:val="none" w:sz="0" w:space="0" w:color="auto"/>
            <w:right w:val="none" w:sz="0" w:space="0" w:color="auto"/>
          </w:divBdr>
        </w:div>
        <w:div w:id="1984115143">
          <w:marLeft w:val="0"/>
          <w:marRight w:val="0"/>
          <w:marTop w:val="0"/>
          <w:marBottom w:val="0"/>
          <w:divBdr>
            <w:top w:val="none" w:sz="0" w:space="0" w:color="auto"/>
            <w:left w:val="none" w:sz="0" w:space="0" w:color="auto"/>
            <w:bottom w:val="none" w:sz="0" w:space="0" w:color="auto"/>
            <w:right w:val="none" w:sz="0" w:space="0" w:color="auto"/>
          </w:divBdr>
        </w:div>
        <w:div w:id="2073498171">
          <w:marLeft w:val="0"/>
          <w:marRight w:val="0"/>
          <w:marTop w:val="0"/>
          <w:marBottom w:val="0"/>
          <w:divBdr>
            <w:top w:val="none" w:sz="0" w:space="0" w:color="auto"/>
            <w:left w:val="none" w:sz="0" w:space="0" w:color="auto"/>
            <w:bottom w:val="none" w:sz="0" w:space="0" w:color="auto"/>
            <w:right w:val="none" w:sz="0" w:space="0" w:color="auto"/>
          </w:divBdr>
        </w:div>
        <w:div w:id="2095936255">
          <w:marLeft w:val="0"/>
          <w:marRight w:val="0"/>
          <w:marTop w:val="0"/>
          <w:marBottom w:val="0"/>
          <w:divBdr>
            <w:top w:val="none" w:sz="0" w:space="0" w:color="auto"/>
            <w:left w:val="none" w:sz="0" w:space="0" w:color="auto"/>
            <w:bottom w:val="none" w:sz="0" w:space="0" w:color="auto"/>
            <w:right w:val="none" w:sz="0" w:space="0" w:color="auto"/>
          </w:divBdr>
        </w:div>
      </w:divsChild>
    </w:div>
    <w:div w:id="271671032">
      <w:bodyDiv w:val="1"/>
      <w:marLeft w:val="0"/>
      <w:marRight w:val="0"/>
      <w:marTop w:val="0"/>
      <w:marBottom w:val="0"/>
      <w:divBdr>
        <w:top w:val="none" w:sz="0" w:space="0" w:color="auto"/>
        <w:left w:val="none" w:sz="0" w:space="0" w:color="auto"/>
        <w:bottom w:val="none" w:sz="0" w:space="0" w:color="auto"/>
        <w:right w:val="none" w:sz="0" w:space="0" w:color="auto"/>
      </w:divBdr>
    </w:div>
    <w:div w:id="278222052">
      <w:bodyDiv w:val="1"/>
      <w:marLeft w:val="0"/>
      <w:marRight w:val="0"/>
      <w:marTop w:val="0"/>
      <w:marBottom w:val="0"/>
      <w:divBdr>
        <w:top w:val="none" w:sz="0" w:space="0" w:color="auto"/>
        <w:left w:val="none" w:sz="0" w:space="0" w:color="auto"/>
        <w:bottom w:val="none" w:sz="0" w:space="0" w:color="auto"/>
        <w:right w:val="none" w:sz="0" w:space="0" w:color="auto"/>
      </w:divBdr>
    </w:div>
    <w:div w:id="279383296">
      <w:bodyDiv w:val="1"/>
      <w:marLeft w:val="0"/>
      <w:marRight w:val="0"/>
      <w:marTop w:val="0"/>
      <w:marBottom w:val="0"/>
      <w:divBdr>
        <w:top w:val="none" w:sz="0" w:space="0" w:color="auto"/>
        <w:left w:val="none" w:sz="0" w:space="0" w:color="auto"/>
        <w:bottom w:val="none" w:sz="0" w:space="0" w:color="auto"/>
        <w:right w:val="none" w:sz="0" w:space="0" w:color="auto"/>
      </w:divBdr>
    </w:div>
    <w:div w:id="291061643">
      <w:bodyDiv w:val="1"/>
      <w:marLeft w:val="0"/>
      <w:marRight w:val="0"/>
      <w:marTop w:val="0"/>
      <w:marBottom w:val="0"/>
      <w:divBdr>
        <w:top w:val="none" w:sz="0" w:space="0" w:color="auto"/>
        <w:left w:val="none" w:sz="0" w:space="0" w:color="auto"/>
        <w:bottom w:val="none" w:sz="0" w:space="0" w:color="auto"/>
        <w:right w:val="none" w:sz="0" w:space="0" w:color="auto"/>
      </w:divBdr>
    </w:div>
    <w:div w:id="322587086">
      <w:bodyDiv w:val="1"/>
      <w:marLeft w:val="0"/>
      <w:marRight w:val="0"/>
      <w:marTop w:val="0"/>
      <w:marBottom w:val="0"/>
      <w:divBdr>
        <w:top w:val="none" w:sz="0" w:space="0" w:color="auto"/>
        <w:left w:val="none" w:sz="0" w:space="0" w:color="auto"/>
        <w:bottom w:val="none" w:sz="0" w:space="0" w:color="auto"/>
        <w:right w:val="none" w:sz="0" w:space="0" w:color="auto"/>
      </w:divBdr>
    </w:div>
    <w:div w:id="341318246">
      <w:bodyDiv w:val="1"/>
      <w:marLeft w:val="0"/>
      <w:marRight w:val="0"/>
      <w:marTop w:val="0"/>
      <w:marBottom w:val="0"/>
      <w:divBdr>
        <w:top w:val="none" w:sz="0" w:space="0" w:color="auto"/>
        <w:left w:val="none" w:sz="0" w:space="0" w:color="auto"/>
        <w:bottom w:val="none" w:sz="0" w:space="0" w:color="auto"/>
        <w:right w:val="none" w:sz="0" w:space="0" w:color="auto"/>
      </w:divBdr>
    </w:div>
    <w:div w:id="355817710">
      <w:bodyDiv w:val="1"/>
      <w:marLeft w:val="0"/>
      <w:marRight w:val="0"/>
      <w:marTop w:val="0"/>
      <w:marBottom w:val="0"/>
      <w:divBdr>
        <w:top w:val="none" w:sz="0" w:space="0" w:color="auto"/>
        <w:left w:val="none" w:sz="0" w:space="0" w:color="auto"/>
        <w:bottom w:val="none" w:sz="0" w:space="0" w:color="auto"/>
        <w:right w:val="none" w:sz="0" w:space="0" w:color="auto"/>
      </w:divBdr>
    </w:div>
    <w:div w:id="361712613">
      <w:bodyDiv w:val="1"/>
      <w:marLeft w:val="0"/>
      <w:marRight w:val="0"/>
      <w:marTop w:val="0"/>
      <w:marBottom w:val="0"/>
      <w:divBdr>
        <w:top w:val="none" w:sz="0" w:space="0" w:color="auto"/>
        <w:left w:val="none" w:sz="0" w:space="0" w:color="auto"/>
        <w:bottom w:val="none" w:sz="0" w:space="0" w:color="auto"/>
        <w:right w:val="none" w:sz="0" w:space="0" w:color="auto"/>
      </w:divBdr>
      <w:divsChild>
        <w:div w:id="341592353">
          <w:marLeft w:val="1166"/>
          <w:marRight w:val="0"/>
          <w:marTop w:val="0"/>
          <w:marBottom w:val="0"/>
          <w:divBdr>
            <w:top w:val="none" w:sz="0" w:space="0" w:color="auto"/>
            <w:left w:val="none" w:sz="0" w:space="0" w:color="auto"/>
            <w:bottom w:val="none" w:sz="0" w:space="0" w:color="auto"/>
            <w:right w:val="none" w:sz="0" w:space="0" w:color="auto"/>
          </w:divBdr>
        </w:div>
        <w:div w:id="714500602">
          <w:marLeft w:val="547"/>
          <w:marRight w:val="0"/>
          <w:marTop w:val="240"/>
          <w:marBottom w:val="0"/>
          <w:divBdr>
            <w:top w:val="none" w:sz="0" w:space="0" w:color="auto"/>
            <w:left w:val="none" w:sz="0" w:space="0" w:color="auto"/>
            <w:bottom w:val="none" w:sz="0" w:space="0" w:color="auto"/>
            <w:right w:val="none" w:sz="0" w:space="0" w:color="auto"/>
          </w:divBdr>
        </w:div>
      </w:divsChild>
    </w:div>
    <w:div w:id="372119455">
      <w:bodyDiv w:val="1"/>
      <w:marLeft w:val="0"/>
      <w:marRight w:val="0"/>
      <w:marTop w:val="0"/>
      <w:marBottom w:val="0"/>
      <w:divBdr>
        <w:top w:val="none" w:sz="0" w:space="0" w:color="auto"/>
        <w:left w:val="none" w:sz="0" w:space="0" w:color="auto"/>
        <w:bottom w:val="none" w:sz="0" w:space="0" w:color="auto"/>
        <w:right w:val="none" w:sz="0" w:space="0" w:color="auto"/>
      </w:divBdr>
      <w:divsChild>
        <w:div w:id="652562321">
          <w:marLeft w:val="547"/>
          <w:marRight w:val="0"/>
          <w:marTop w:val="240"/>
          <w:marBottom w:val="0"/>
          <w:divBdr>
            <w:top w:val="none" w:sz="0" w:space="0" w:color="auto"/>
            <w:left w:val="none" w:sz="0" w:space="0" w:color="auto"/>
            <w:bottom w:val="none" w:sz="0" w:space="0" w:color="auto"/>
            <w:right w:val="none" w:sz="0" w:space="0" w:color="auto"/>
          </w:divBdr>
        </w:div>
      </w:divsChild>
    </w:div>
    <w:div w:id="377625766">
      <w:bodyDiv w:val="1"/>
      <w:marLeft w:val="0"/>
      <w:marRight w:val="0"/>
      <w:marTop w:val="0"/>
      <w:marBottom w:val="0"/>
      <w:divBdr>
        <w:top w:val="none" w:sz="0" w:space="0" w:color="auto"/>
        <w:left w:val="none" w:sz="0" w:space="0" w:color="auto"/>
        <w:bottom w:val="none" w:sz="0" w:space="0" w:color="auto"/>
        <w:right w:val="none" w:sz="0" w:space="0" w:color="auto"/>
      </w:divBdr>
    </w:div>
    <w:div w:id="381245741">
      <w:bodyDiv w:val="1"/>
      <w:marLeft w:val="0"/>
      <w:marRight w:val="0"/>
      <w:marTop w:val="0"/>
      <w:marBottom w:val="0"/>
      <w:divBdr>
        <w:top w:val="none" w:sz="0" w:space="0" w:color="auto"/>
        <w:left w:val="none" w:sz="0" w:space="0" w:color="auto"/>
        <w:bottom w:val="none" w:sz="0" w:space="0" w:color="auto"/>
        <w:right w:val="none" w:sz="0" w:space="0" w:color="auto"/>
      </w:divBdr>
    </w:div>
    <w:div w:id="381833048">
      <w:bodyDiv w:val="1"/>
      <w:marLeft w:val="0"/>
      <w:marRight w:val="0"/>
      <w:marTop w:val="0"/>
      <w:marBottom w:val="0"/>
      <w:divBdr>
        <w:top w:val="none" w:sz="0" w:space="0" w:color="auto"/>
        <w:left w:val="none" w:sz="0" w:space="0" w:color="auto"/>
        <w:bottom w:val="none" w:sz="0" w:space="0" w:color="auto"/>
        <w:right w:val="none" w:sz="0" w:space="0" w:color="auto"/>
      </w:divBdr>
    </w:div>
    <w:div w:id="399136102">
      <w:bodyDiv w:val="1"/>
      <w:marLeft w:val="0"/>
      <w:marRight w:val="0"/>
      <w:marTop w:val="0"/>
      <w:marBottom w:val="0"/>
      <w:divBdr>
        <w:top w:val="none" w:sz="0" w:space="0" w:color="auto"/>
        <w:left w:val="none" w:sz="0" w:space="0" w:color="auto"/>
        <w:bottom w:val="none" w:sz="0" w:space="0" w:color="auto"/>
        <w:right w:val="none" w:sz="0" w:space="0" w:color="auto"/>
      </w:divBdr>
      <w:divsChild>
        <w:div w:id="126053834">
          <w:marLeft w:val="446"/>
          <w:marRight w:val="0"/>
          <w:marTop w:val="0"/>
          <w:marBottom w:val="0"/>
          <w:divBdr>
            <w:top w:val="none" w:sz="0" w:space="0" w:color="auto"/>
            <w:left w:val="none" w:sz="0" w:space="0" w:color="auto"/>
            <w:bottom w:val="none" w:sz="0" w:space="0" w:color="auto"/>
            <w:right w:val="none" w:sz="0" w:space="0" w:color="auto"/>
          </w:divBdr>
        </w:div>
        <w:div w:id="1092625813">
          <w:marLeft w:val="446"/>
          <w:marRight w:val="0"/>
          <w:marTop w:val="0"/>
          <w:marBottom w:val="0"/>
          <w:divBdr>
            <w:top w:val="none" w:sz="0" w:space="0" w:color="auto"/>
            <w:left w:val="none" w:sz="0" w:space="0" w:color="auto"/>
            <w:bottom w:val="none" w:sz="0" w:space="0" w:color="auto"/>
            <w:right w:val="none" w:sz="0" w:space="0" w:color="auto"/>
          </w:divBdr>
        </w:div>
      </w:divsChild>
    </w:div>
    <w:div w:id="403182635">
      <w:bodyDiv w:val="1"/>
      <w:marLeft w:val="0"/>
      <w:marRight w:val="0"/>
      <w:marTop w:val="0"/>
      <w:marBottom w:val="0"/>
      <w:divBdr>
        <w:top w:val="none" w:sz="0" w:space="0" w:color="auto"/>
        <w:left w:val="none" w:sz="0" w:space="0" w:color="auto"/>
        <w:bottom w:val="none" w:sz="0" w:space="0" w:color="auto"/>
        <w:right w:val="none" w:sz="0" w:space="0" w:color="auto"/>
      </w:divBdr>
    </w:div>
    <w:div w:id="403265979">
      <w:bodyDiv w:val="1"/>
      <w:marLeft w:val="0"/>
      <w:marRight w:val="0"/>
      <w:marTop w:val="0"/>
      <w:marBottom w:val="0"/>
      <w:divBdr>
        <w:top w:val="none" w:sz="0" w:space="0" w:color="auto"/>
        <w:left w:val="none" w:sz="0" w:space="0" w:color="auto"/>
        <w:bottom w:val="none" w:sz="0" w:space="0" w:color="auto"/>
        <w:right w:val="none" w:sz="0" w:space="0" w:color="auto"/>
      </w:divBdr>
    </w:div>
    <w:div w:id="421681623">
      <w:bodyDiv w:val="1"/>
      <w:marLeft w:val="0"/>
      <w:marRight w:val="0"/>
      <w:marTop w:val="0"/>
      <w:marBottom w:val="0"/>
      <w:divBdr>
        <w:top w:val="none" w:sz="0" w:space="0" w:color="auto"/>
        <w:left w:val="none" w:sz="0" w:space="0" w:color="auto"/>
        <w:bottom w:val="none" w:sz="0" w:space="0" w:color="auto"/>
        <w:right w:val="none" w:sz="0" w:space="0" w:color="auto"/>
      </w:divBdr>
    </w:div>
    <w:div w:id="424617327">
      <w:bodyDiv w:val="1"/>
      <w:marLeft w:val="0"/>
      <w:marRight w:val="0"/>
      <w:marTop w:val="0"/>
      <w:marBottom w:val="0"/>
      <w:divBdr>
        <w:top w:val="none" w:sz="0" w:space="0" w:color="auto"/>
        <w:left w:val="none" w:sz="0" w:space="0" w:color="auto"/>
        <w:bottom w:val="none" w:sz="0" w:space="0" w:color="auto"/>
        <w:right w:val="none" w:sz="0" w:space="0" w:color="auto"/>
      </w:divBdr>
      <w:divsChild>
        <w:div w:id="713045447">
          <w:marLeft w:val="547"/>
          <w:marRight w:val="0"/>
          <w:marTop w:val="240"/>
          <w:marBottom w:val="0"/>
          <w:divBdr>
            <w:top w:val="none" w:sz="0" w:space="0" w:color="auto"/>
            <w:left w:val="none" w:sz="0" w:space="0" w:color="auto"/>
            <w:bottom w:val="none" w:sz="0" w:space="0" w:color="auto"/>
            <w:right w:val="none" w:sz="0" w:space="0" w:color="auto"/>
          </w:divBdr>
        </w:div>
      </w:divsChild>
    </w:div>
    <w:div w:id="466050587">
      <w:bodyDiv w:val="1"/>
      <w:marLeft w:val="0"/>
      <w:marRight w:val="0"/>
      <w:marTop w:val="0"/>
      <w:marBottom w:val="0"/>
      <w:divBdr>
        <w:top w:val="none" w:sz="0" w:space="0" w:color="auto"/>
        <w:left w:val="none" w:sz="0" w:space="0" w:color="auto"/>
        <w:bottom w:val="none" w:sz="0" w:space="0" w:color="auto"/>
        <w:right w:val="none" w:sz="0" w:space="0" w:color="auto"/>
      </w:divBdr>
    </w:div>
    <w:div w:id="501551539">
      <w:marLeft w:val="0"/>
      <w:marRight w:val="0"/>
      <w:marTop w:val="0"/>
      <w:marBottom w:val="0"/>
      <w:divBdr>
        <w:top w:val="none" w:sz="0" w:space="0" w:color="auto"/>
        <w:left w:val="none" w:sz="0" w:space="0" w:color="auto"/>
        <w:bottom w:val="none" w:sz="0" w:space="0" w:color="auto"/>
        <w:right w:val="none" w:sz="0" w:space="0" w:color="auto"/>
      </w:divBdr>
      <w:divsChild>
        <w:div w:id="939681283">
          <w:marLeft w:val="0"/>
          <w:marRight w:val="0"/>
          <w:marTop w:val="0"/>
          <w:marBottom w:val="0"/>
          <w:divBdr>
            <w:top w:val="none" w:sz="0" w:space="0" w:color="auto"/>
            <w:left w:val="none" w:sz="0" w:space="0" w:color="auto"/>
            <w:bottom w:val="none" w:sz="0" w:space="0" w:color="auto"/>
            <w:right w:val="none" w:sz="0" w:space="0" w:color="auto"/>
          </w:divBdr>
          <w:divsChild>
            <w:div w:id="494343097">
              <w:marLeft w:val="0"/>
              <w:marRight w:val="0"/>
              <w:marTop w:val="0"/>
              <w:marBottom w:val="0"/>
              <w:divBdr>
                <w:top w:val="none" w:sz="0" w:space="0" w:color="auto"/>
                <w:left w:val="none" w:sz="0" w:space="0" w:color="auto"/>
                <w:bottom w:val="none" w:sz="0" w:space="0" w:color="auto"/>
                <w:right w:val="none" w:sz="0" w:space="0" w:color="auto"/>
              </w:divBdr>
              <w:divsChild>
                <w:div w:id="535851854">
                  <w:marLeft w:val="0"/>
                  <w:marRight w:val="0"/>
                  <w:marTop w:val="0"/>
                  <w:marBottom w:val="0"/>
                  <w:divBdr>
                    <w:top w:val="none" w:sz="0" w:space="0" w:color="auto"/>
                    <w:left w:val="none" w:sz="0" w:space="0" w:color="auto"/>
                    <w:bottom w:val="none" w:sz="0" w:space="0" w:color="auto"/>
                    <w:right w:val="none" w:sz="0" w:space="0" w:color="auto"/>
                  </w:divBdr>
                  <w:divsChild>
                    <w:div w:id="646595386">
                      <w:marLeft w:val="0"/>
                      <w:marRight w:val="0"/>
                      <w:marTop w:val="0"/>
                      <w:marBottom w:val="0"/>
                      <w:divBdr>
                        <w:top w:val="none" w:sz="0" w:space="0" w:color="auto"/>
                        <w:left w:val="none" w:sz="0" w:space="0" w:color="auto"/>
                        <w:bottom w:val="none" w:sz="0" w:space="0" w:color="auto"/>
                        <w:right w:val="none" w:sz="0" w:space="0" w:color="auto"/>
                      </w:divBdr>
                    </w:div>
                  </w:divsChild>
                </w:div>
                <w:div w:id="756558712">
                  <w:marLeft w:val="0"/>
                  <w:marRight w:val="0"/>
                  <w:marTop w:val="0"/>
                  <w:marBottom w:val="0"/>
                  <w:divBdr>
                    <w:top w:val="none" w:sz="0" w:space="0" w:color="auto"/>
                    <w:left w:val="none" w:sz="0" w:space="0" w:color="auto"/>
                    <w:bottom w:val="none" w:sz="0" w:space="0" w:color="auto"/>
                    <w:right w:val="none" w:sz="0" w:space="0" w:color="auto"/>
                  </w:divBdr>
                </w:div>
                <w:div w:id="965621721">
                  <w:marLeft w:val="0"/>
                  <w:marRight w:val="0"/>
                  <w:marTop w:val="0"/>
                  <w:marBottom w:val="0"/>
                  <w:divBdr>
                    <w:top w:val="none" w:sz="0" w:space="0" w:color="auto"/>
                    <w:left w:val="none" w:sz="0" w:space="0" w:color="auto"/>
                    <w:bottom w:val="none" w:sz="0" w:space="0" w:color="auto"/>
                    <w:right w:val="none" w:sz="0" w:space="0" w:color="auto"/>
                  </w:divBdr>
                </w:div>
              </w:divsChild>
            </w:div>
            <w:div w:id="1306279905">
              <w:marLeft w:val="0"/>
              <w:marRight w:val="0"/>
              <w:marTop w:val="0"/>
              <w:marBottom w:val="0"/>
              <w:divBdr>
                <w:top w:val="none" w:sz="0" w:space="0" w:color="auto"/>
                <w:left w:val="none" w:sz="0" w:space="0" w:color="auto"/>
                <w:bottom w:val="none" w:sz="0" w:space="0" w:color="auto"/>
                <w:right w:val="none" w:sz="0" w:space="0" w:color="auto"/>
              </w:divBdr>
              <w:divsChild>
                <w:div w:id="623388424">
                  <w:marLeft w:val="0"/>
                  <w:marRight w:val="0"/>
                  <w:marTop w:val="0"/>
                  <w:marBottom w:val="0"/>
                  <w:divBdr>
                    <w:top w:val="none" w:sz="0" w:space="0" w:color="auto"/>
                    <w:left w:val="none" w:sz="0" w:space="0" w:color="auto"/>
                    <w:bottom w:val="none" w:sz="0" w:space="0" w:color="auto"/>
                    <w:right w:val="none" w:sz="0" w:space="0" w:color="auto"/>
                  </w:divBdr>
                </w:div>
                <w:div w:id="1462386893">
                  <w:marLeft w:val="0"/>
                  <w:marRight w:val="0"/>
                  <w:marTop w:val="0"/>
                  <w:marBottom w:val="0"/>
                  <w:divBdr>
                    <w:top w:val="none" w:sz="0" w:space="0" w:color="auto"/>
                    <w:left w:val="none" w:sz="0" w:space="0" w:color="auto"/>
                    <w:bottom w:val="none" w:sz="0" w:space="0" w:color="auto"/>
                    <w:right w:val="none" w:sz="0" w:space="0" w:color="auto"/>
                  </w:divBdr>
                </w:div>
                <w:div w:id="2071146274">
                  <w:marLeft w:val="0"/>
                  <w:marRight w:val="0"/>
                  <w:marTop w:val="0"/>
                  <w:marBottom w:val="0"/>
                  <w:divBdr>
                    <w:top w:val="none" w:sz="0" w:space="0" w:color="auto"/>
                    <w:left w:val="none" w:sz="0" w:space="0" w:color="auto"/>
                    <w:bottom w:val="none" w:sz="0" w:space="0" w:color="auto"/>
                    <w:right w:val="none" w:sz="0" w:space="0" w:color="auto"/>
                  </w:divBdr>
                </w:div>
              </w:divsChild>
            </w:div>
            <w:div w:id="1549797279">
              <w:marLeft w:val="0"/>
              <w:marRight w:val="0"/>
              <w:marTop w:val="0"/>
              <w:marBottom w:val="0"/>
              <w:divBdr>
                <w:top w:val="none" w:sz="0" w:space="0" w:color="auto"/>
                <w:left w:val="none" w:sz="0" w:space="0" w:color="auto"/>
                <w:bottom w:val="none" w:sz="0" w:space="0" w:color="auto"/>
                <w:right w:val="none" w:sz="0" w:space="0" w:color="auto"/>
              </w:divBdr>
            </w:div>
          </w:divsChild>
        </w:div>
        <w:div w:id="1174882288">
          <w:marLeft w:val="0"/>
          <w:marRight w:val="0"/>
          <w:marTop w:val="0"/>
          <w:marBottom w:val="0"/>
          <w:divBdr>
            <w:top w:val="none" w:sz="0" w:space="0" w:color="auto"/>
            <w:left w:val="none" w:sz="0" w:space="0" w:color="auto"/>
            <w:bottom w:val="none" w:sz="0" w:space="0" w:color="auto"/>
            <w:right w:val="none" w:sz="0" w:space="0" w:color="auto"/>
          </w:divBdr>
          <w:divsChild>
            <w:div w:id="433477623">
              <w:marLeft w:val="0"/>
              <w:marRight w:val="0"/>
              <w:marTop w:val="0"/>
              <w:marBottom w:val="0"/>
              <w:divBdr>
                <w:top w:val="none" w:sz="0" w:space="0" w:color="auto"/>
                <w:left w:val="none" w:sz="0" w:space="0" w:color="auto"/>
                <w:bottom w:val="none" w:sz="0" w:space="0" w:color="auto"/>
                <w:right w:val="none" w:sz="0" w:space="0" w:color="auto"/>
              </w:divBdr>
              <w:divsChild>
                <w:div w:id="629938318">
                  <w:marLeft w:val="0"/>
                  <w:marRight w:val="0"/>
                  <w:marTop w:val="0"/>
                  <w:marBottom w:val="0"/>
                  <w:divBdr>
                    <w:top w:val="none" w:sz="0" w:space="0" w:color="auto"/>
                    <w:left w:val="none" w:sz="0" w:space="0" w:color="auto"/>
                    <w:bottom w:val="none" w:sz="0" w:space="0" w:color="auto"/>
                    <w:right w:val="none" w:sz="0" w:space="0" w:color="auto"/>
                  </w:divBdr>
                  <w:divsChild>
                    <w:div w:id="249315447">
                      <w:marLeft w:val="0"/>
                      <w:marRight w:val="0"/>
                      <w:marTop w:val="0"/>
                      <w:marBottom w:val="0"/>
                      <w:divBdr>
                        <w:top w:val="none" w:sz="0" w:space="0" w:color="auto"/>
                        <w:left w:val="none" w:sz="0" w:space="0" w:color="auto"/>
                        <w:bottom w:val="none" w:sz="0" w:space="0" w:color="auto"/>
                        <w:right w:val="none" w:sz="0" w:space="0" w:color="auto"/>
                      </w:divBdr>
                    </w:div>
                  </w:divsChild>
                </w:div>
                <w:div w:id="95829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108895">
      <w:bodyDiv w:val="1"/>
      <w:marLeft w:val="0"/>
      <w:marRight w:val="0"/>
      <w:marTop w:val="0"/>
      <w:marBottom w:val="0"/>
      <w:divBdr>
        <w:top w:val="none" w:sz="0" w:space="0" w:color="auto"/>
        <w:left w:val="none" w:sz="0" w:space="0" w:color="auto"/>
        <w:bottom w:val="none" w:sz="0" w:space="0" w:color="auto"/>
        <w:right w:val="none" w:sz="0" w:space="0" w:color="auto"/>
      </w:divBdr>
    </w:div>
    <w:div w:id="514344492">
      <w:bodyDiv w:val="1"/>
      <w:marLeft w:val="0"/>
      <w:marRight w:val="0"/>
      <w:marTop w:val="0"/>
      <w:marBottom w:val="0"/>
      <w:divBdr>
        <w:top w:val="none" w:sz="0" w:space="0" w:color="auto"/>
        <w:left w:val="none" w:sz="0" w:space="0" w:color="auto"/>
        <w:bottom w:val="none" w:sz="0" w:space="0" w:color="auto"/>
        <w:right w:val="none" w:sz="0" w:space="0" w:color="auto"/>
      </w:divBdr>
    </w:div>
    <w:div w:id="516967329">
      <w:bodyDiv w:val="1"/>
      <w:marLeft w:val="0"/>
      <w:marRight w:val="0"/>
      <w:marTop w:val="0"/>
      <w:marBottom w:val="0"/>
      <w:divBdr>
        <w:top w:val="none" w:sz="0" w:space="0" w:color="auto"/>
        <w:left w:val="none" w:sz="0" w:space="0" w:color="auto"/>
        <w:bottom w:val="none" w:sz="0" w:space="0" w:color="auto"/>
        <w:right w:val="none" w:sz="0" w:space="0" w:color="auto"/>
      </w:divBdr>
    </w:div>
    <w:div w:id="524053977">
      <w:bodyDiv w:val="1"/>
      <w:marLeft w:val="0"/>
      <w:marRight w:val="0"/>
      <w:marTop w:val="0"/>
      <w:marBottom w:val="0"/>
      <w:divBdr>
        <w:top w:val="none" w:sz="0" w:space="0" w:color="auto"/>
        <w:left w:val="none" w:sz="0" w:space="0" w:color="auto"/>
        <w:bottom w:val="none" w:sz="0" w:space="0" w:color="auto"/>
        <w:right w:val="none" w:sz="0" w:space="0" w:color="auto"/>
      </w:divBdr>
    </w:div>
    <w:div w:id="543564287">
      <w:bodyDiv w:val="1"/>
      <w:marLeft w:val="0"/>
      <w:marRight w:val="0"/>
      <w:marTop w:val="0"/>
      <w:marBottom w:val="0"/>
      <w:divBdr>
        <w:top w:val="none" w:sz="0" w:space="0" w:color="auto"/>
        <w:left w:val="none" w:sz="0" w:space="0" w:color="auto"/>
        <w:bottom w:val="none" w:sz="0" w:space="0" w:color="auto"/>
        <w:right w:val="none" w:sz="0" w:space="0" w:color="auto"/>
      </w:divBdr>
    </w:div>
    <w:div w:id="551188538">
      <w:bodyDiv w:val="1"/>
      <w:marLeft w:val="0"/>
      <w:marRight w:val="0"/>
      <w:marTop w:val="0"/>
      <w:marBottom w:val="0"/>
      <w:divBdr>
        <w:top w:val="none" w:sz="0" w:space="0" w:color="auto"/>
        <w:left w:val="none" w:sz="0" w:space="0" w:color="auto"/>
        <w:bottom w:val="none" w:sz="0" w:space="0" w:color="auto"/>
        <w:right w:val="none" w:sz="0" w:space="0" w:color="auto"/>
      </w:divBdr>
    </w:div>
    <w:div w:id="556357140">
      <w:bodyDiv w:val="1"/>
      <w:marLeft w:val="0"/>
      <w:marRight w:val="0"/>
      <w:marTop w:val="0"/>
      <w:marBottom w:val="0"/>
      <w:divBdr>
        <w:top w:val="none" w:sz="0" w:space="0" w:color="auto"/>
        <w:left w:val="none" w:sz="0" w:space="0" w:color="auto"/>
        <w:bottom w:val="none" w:sz="0" w:space="0" w:color="auto"/>
        <w:right w:val="none" w:sz="0" w:space="0" w:color="auto"/>
      </w:divBdr>
    </w:div>
    <w:div w:id="567884084">
      <w:bodyDiv w:val="1"/>
      <w:marLeft w:val="0"/>
      <w:marRight w:val="0"/>
      <w:marTop w:val="0"/>
      <w:marBottom w:val="0"/>
      <w:divBdr>
        <w:top w:val="none" w:sz="0" w:space="0" w:color="auto"/>
        <w:left w:val="none" w:sz="0" w:space="0" w:color="auto"/>
        <w:bottom w:val="none" w:sz="0" w:space="0" w:color="auto"/>
        <w:right w:val="none" w:sz="0" w:space="0" w:color="auto"/>
      </w:divBdr>
    </w:div>
    <w:div w:id="588739021">
      <w:bodyDiv w:val="1"/>
      <w:marLeft w:val="0"/>
      <w:marRight w:val="0"/>
      <w:marTop w:val="0"/>
      <w:marBottom w:val="0"/>
      <w:divBdr>
        <w:top w:val="none" w:sz="0" w:space="0" w:color="auto"/>
        <w:left w:val="none" w:sz="0" w:space="0" w:color="auto"/>
        <w:bottom w:val="none" w:sz="0" w:space="0" w:color="auto"/>
        <w:right w:val="none" w:sz="0" w:space="0" w:color="auto"/>
      </w:divBdr>
    </w:div>
    <w:div w:id="599071275">
      <w:bodyDiv w:val="1"/>
      <w:marLeft w:val="0"/>
      <w:marRight w:val="0"/>
      <w:marTop w:val="0"/>
      <w:marBottom w:val="0"/>
      <w:divBdr>
        <w:top w:val="none" w:sz="0" w:space="0" w:color="auto"/>
        <w:left w:val="none" w:sz="0" w:space="0" w:color="auto"/>
        <w:bottom w:val="none" w:sz="0" w:space="0" w:color="auto"/>
        <w:right w:val="none" w:sz="0" w:space="0" w:color="auto"/>
      </w:divBdr>
    </w:div>
    <w:div w:id="630408081">
      <w:bodyDiv w:val="1"/>
      <w:marLeft w:val="0"/>
      <w:marRight w:val="0"/>
      <w:marTop w:val="0"/>
      <w:marBottom w:val="0"/>
      <w:divBdr>
        <w:top w:val="none" w:sz="0" w:space="0" w:color="auto"/>
        <w:left w:val="none" w:sz="0" w:space="0" w:color="auto"/>
        <w:bottom w:val="none" w:sz="0" w:space="0" w:color="auto"/>
        <w:right w:val="none" w:sz="0" w:space="0" w:color="auto"/>
      </w:divBdr>
      <w:divsChild>
        <w:div w:id="43414458">
          <w:marLeft w:val="1800"/>
          <w:marRight w:val="0"/>
          <w:marTop w:val="0"/>
          <w:marBottom w:val="0"/>
          <w:divBdr>
            <w:top w:val="none" w:sz="0" w:space="0" w:color="auto"/>
            <w:left w:val="none" w:sz="0" w:space="0" w:color="auto"/>
            <w:bottom w:val="none" w:sz="0" w:space="0" w:color="auto"/>
            <w:right w:val="none" w:sz="0" w:space="0" w:color="auto"/>
          </w:divBdr>
        </w:div>
        <w:div w:id="310214434">
          <w:marLeft w:val="1800"/>
          <w:marRight w:val="0"/>
          <w:marTop w:val="0"/>
          <w:marBottom w:val="0"/>
          <w:divBdr>
            <w:top w:val="none" w:sz="0" w:space="0" w:color="auto"/>
            <w:left w:val="none" w:sz="0" w:space="0" w:color="auto"/>
            <w:bottom w:val="none" w:sz="0" w:space="0" w:color="auto"/>
            <w:right w:val="none" w:sz="0" w:space="0" w:color="auto"/>
          </w:divBdr>
        </w:div>
        <w:div w:id="457648307">
          <w:marLeft w:val="1800"/>
          <w:marRight w:val="0"/>
          <w:marTop w:val="0"/>
          <w:marBottom w:val="0"/>
          <w:divBdr>
            <w:top w:val="none" w:sz="0" w:space="0" w:color="auto"/>
            <w:left w:val="none" w:sz="0" w:space="0" w:color="auto"/>
            <w:bottom w:val="none" w:sz="0" w:space="0" w:color="auto"/>
            <w:right w:val="none" w:sz="0" w:space="0" w:color="auto"/>
          </w:divBdr>
        </w:div>
        <w:div w:id="660541685">
          <w:marLeft w:val="1166"/>
          <w:marRight w:val="0"/>
          <w:marTop w:val="0"/>
          <w:marBottom w:val="0"/>
          <w:divBdr>
            <w:top w:val="none" w:sz="0" w:space="0" w:color="auto"/>
            <w:left w:val="none" w:sz="0" w:space="0" w:color="auto"/>
            <w:bottom w:val="none" w:sz="0" w:space="0" w:color="auto"/>
            <w:right w:val="none" w:sz="0" w:space="0" w:color="auto"/>
          </w:divBdr>
        </w:div>
        <w:div w:id="713188988">
          <w:marLeft w:val="2520"/>
          <w:marRight w:val="0"/>
          <w:marTop w:val="0"/>
          <w:marBottom w:val="0"/>
          <w:divBdr>
            <w:top w:val="none" w:sz="0" w:space="0" w:color="auto"/>
            <w:left w:val="none" w:sz="0" w:space="0" w:color="auto"/>
            <w:bottom w:val="none" w:sz="0" w:space="0" w:color="auto"/>
            <w:right w:val="none" w:sz="0" w:space="0" w:color="auto"/>
          </w:divBdr>
        </w:div>
        <w:div w:id="725909437">
          <w:marLeft w:val="1800"/>
          <w:marRight w:val="0"/>
          <w:marTop w:val="0"/>
          <w:marBottom w:val="0"/>
          <w:divBdr>
            <w:top w:val="none" w:sz="0" w:space="0" w:color="auto"/>
            <w:left w:val="none" w:sz="0" w:space="0" w:color="auto"/>
            <w:bottom w:val="none" w:sz="0" w:space="0" w:color="auto"/>
            <w:right w:val="none" w:sz="0" w:space="0" w:color="auto"/>
          </w:divBdr>
        </w:div>
        <w:div w:id="1180510485">
          <w:marLeft w:val="2520"/>
          <w:marRight w:val="0"/>
          <w:marTop w:val="0"/>
          <w:marBottom w:val="0"/>
          <w:divBdr>
            <w:top w:val="none" w:sz="0" w:space="0" w:color="auto"/>
            <w:left w:val="none" w:sz="0" w:space="0" w:color="auto"/>
            <w:bottom w:val="none" w:sz="0" w:space="0" w:color="auto"/>
            <w:right w:val="none" w:sz="0" w:space="0" w:color="auto"/>
          </w:divBdr>
        </w:div>
        <w:div w:id="1306007329">
          <w:marLeft w:val="2520"/>
          <w:marRight w:val="0"/>
          <w:marTop w:val="0"/>
          <w:marBottom w:val="0"/>
          <w:divBdr>
            <w:top w:val="none" w:sz="0" w:space="0" w:color="auto"/>
            <w:left w:val="none" w:sz="0" w:space="0" w:color="auto"/>
            <w:bottom w:val="none" w:sz="0" w:space="0" w:color="auto"/>
            <w:right w:val="none" w:sz="0" w:space="0" w:color="auto"/>
          </w:divBdr>
        </w:div>
        <w:div w:id="1429035541">
          <w:marLeft w:val="2520"/>
          <w:marRight w:val="0"/>
          <w:marTop w:val="0"/>
          <w:marBottom w:val="0"/>
          <w:divBdr>
            <w:top w:val="none" w:sz="0" w:space="0" w:color="auto"/>
            <w:left w:val="none" w:sz="0" w:space="0" w:color="auto"/>
            <w:bottom w:val="none" w:sz="0" w:space="0" w:color="auto"/>
            <w:right w:val="none" w:sz="0" w:space="0" w:color="auto"/>
          </w:divBdr>
        </w:div>
        <w:div w:id="1461846052">
          <w:marLeft w:val="2520"/>
          <w:marRight w:val="0"/>
          <w:marTop w:val="0"/>
          <w:marBottom w:val="0"/>
          <w:divBdr>
            <w:top w:val="none" w:sz="0" w:space="0" w:color="auto"/>
            <w:left w:val="none" w:sz="0" w:space="0" w:color="auto"/>
            <w:bottom w:val="none" w:sz="0" w:space="0" w:color="auto"/>
            <w:right w:val="none" w:sz="0" w:space="0" w:color="auto"/>
          </w:divBdr>
        </w:div>
        <w:div w:id="1537503192">
          <w:marLeft w:val="1800"/>
          <w:marRight w:val="0"/>
          <w:marTop w:val="0"/>
          <w:marBottom w:val="0"/>
          <w:divBdr>
            <w:top w:val="none" w:sz="0" w:space="0" w:color="auto"/>
            <w:left w:val="none" w:sz="0" w:space="0" w:color="auto"/>
            <w:bottom w:val="none" w:sz="0" w:space="0" w:color="auto"/>
            <w:right w:val="none" w:sz="0" w:space="0" w:color="auto"/>
          </w:divBdr>
        </w:div>
        <w:div w:id="1682244552">
          <w:marLeft w:val="547"/>
          <w:marRight w:val="0"/>
          <w:marTop w:val="240"/>
          <w:marBottom w:val="0"/>
          <w:divBdr>
            <w:top w:val="none" w:sz="0" w:space="0" w:color="auto"/>
            <w:left w:val="none" w:sz="0" w:space="0" w:color="auto"/>
            <w:bottom w:val="none" w:sz="0" w:space="0" w:color="auto"/>
            <w:right w:val="none" w:sz="0" w:space="0" w:color="auto"/>
          </w:divBdr>
        </w:div>
        <w:div w:id="1732338969">
          <w:marLeft w:val="1800"/>
          <w:marRight w:val="0"/>
          <w:marTop w:val="0"/>
          <w:marBottom w:val="0"/>
          <w:divBdr>
            <w:top w:val="none" w:sz="0" w:space="0" w:color="auto"/>
            <w:left w:val="none" w:sz="0" w:space="0" w:color="auto"/>
            <w:bottom w:val="none" w:sz="0" w:space="0" w:color="auto"/>
            <w:right w:val="none" w:sz="0" w:space="0" w:color="auto"/>
          </w:divBdr>
        </w:div>
        <w:div w:id="2018388804">
          <w:marLeft w:val="1166"/>
          <w:marRight w:val="0"/>
          <w:marTop w:val="0"/>
          <w:marBottom w:val="0"/>
          <w:divBdr>
            <w:top w:val="none" w:sz="0" w:space="0" w:color="auto"/>
            <w:left w:val="none" w:sz="0" w:space="0" w:color="auto"/>
            <w:bottom w:val="none" w:sz="0" w:space="0" w:color="auto"/>
            <w:right w:val="none" w:sz="0" w:space="0" w:color="auto"/>
          </w:divBdr>
        </w:div>
        <w:div w:id="2089301575">
          <w:marLeft w:val="1800"/>
          <w:marRight w:val="0"/>
          <w:marTop w:val="0"/>
          <w:marBottom w:val="0"/>
          <w:divBdr>
            <w:top w:val="none" w:sz="0" w:space="0" w:color="auto"/>
            <w:left w:val="none" w:sz="0" w:space="0" w:color="auto"/>
            <w:bottom w:val="none" w:sz="0" w:space="0" w:color="auto"/>
            <w:right w:val="none" w:sz="0" w:space="0" w:color="auto"/>
          </w:divBdr>
        </w:div>
      </w:divsChild>
    </w:div>
    <w:div w:id="646325274">
      <w:bodyDiv w:val="1"/>
      <w:marLeft w:val="0"/>
      <w:marRight w:val="0"/>
      <w:marTop w:val="0"/>
      <w:marBottom w:val="0"/>
      <w:divBdr>
        <w:top w:val="none" w:sz="0" w:space="0" w:color="auto"/>
        <w:left w:val="none" w:sz="0" w:space="0" w:color="auto"/>
        <w:bottom w:val="none" w:sz="0" w:space="0" w:color="auto"/>
        <w:right w:val="none" w:sz="0" w:space="0" w:color="auto"/>
      </w:divBdr>
      <w:divsChild>
        <w:div w:id="306593083">
          <w:marLeft w:val="0"/>
          <w:marRight w:val="0"/>
          <w:marTop w:val="0"/>
          <w:marBottom w:val="0"/>
          <w:divBdr>
            <w:top w:val="none" w:sz="0" w:space="0" w:color="auto"/>
            <w:left w:val="none" w:sz="0" w:space="0" w:color="auto"/>
            <w:bottom w:val="none" w:sz="0" w:space="0" w:color="auto"/>
            <w:right w:val="none" w:sz="0" w:space="0" w:color="auto"/>
          </w:divBdr>
        </w:div>
      </w:divsChild>
    </w:div>
    <w:div w:id="651257586">
      <w:bodyDiv w:val="1"/>
      <w:marLeft w:val="0"/>
      <w:marRight w:val="0"/>
      <w:marTop w:val="0"/>
      <w:marBottom w:val="0"/>
      <w:divBdr>
        <w:top w:val="none" w:sz="0" w:space="0" w:color="auto"/>
        <w:left w:val="none" w:sz="0" w:space="0" w:color="auto"/>
        <w:bottom w:val="none" w:sz="0" w:space="0" w:color="auto"/>
        <w:right w:val="none" w:sz="0" w:space="0" w:color="auto"/>
      </w:divBdr>
    </w:div>
    <w:div w:id="676158831">
      <w:marLeft w:val="0"/>
      <w:marRight w:val="0"/>
      <w:marTop w:val="0"/>
      <w:marBottom w:val="0"/>
      <w:divBdr>
        <w:top w:val="none" w:sz="0" w:space="0" w:color="auto"/>
        <w:left w:val="none" w:sz="0" w:space="0" w:color="auto"/>
        <w:bottom w:val="none" w:sz="0" w:space="0" w:color="auto"/>
        <w:right w:val="none" w:sz="0" w:space="0" w:color="auto"/>
      </w:divBdr>
      <w:divsChild>
        <w:div w:id="99185883">
          <w:marLeft w:val="0"/>
          <w:marRight w:val="0"/>
          <w:marTop w:val="0"/>
          <w:marBottom w:val="0"/>
          <w:divBdr>
            <w:top w:val="none" w:sz="0" w:space="0" w:color="auto"/>
            <w:left w:val="none" w:sz="0" w:space="0" w:color="auto"/>
            <w:bottom w:val="none" w:sz="0" w:space="0" w:color="auto"/>
            <w:right w:val="none" w:sz="0" w:space="0" w:color="auto"/>
          </w:divBdr>
          <w:divsChild>
            <w:div w:id="1009525649">
              <w:marLeft w:val="0"/>
              <w:marRight w:val="0"/>
              <w:marTop w:val="0"/>
              <w:marBottom w:val="0"/>
              <w:divBdr>
                <w:top w:val="none" w:sz="0" w:space="0" w:color="auto"/>
                <w:left w:val="none" w:sz="0" w:space="0" w:color="auto"/>
                <w:bottom w:val="none" w:sz="0" w:space="0" w:color="auto"/>
                <w:right w:val="none" w:sz="0" w:space="0" w:color="auto"/>
              </w:divBdr>
              <w:divsChild>
                <w:div w:id="909655716">
                  <w:marLeft w:val="0"/>
                  <w:marRight w:val="0"/>
                  <w:marTop w:val="0"/>
                  <w:marBottom w:val="0"/>
                  <w:divBdr>
                    <w:top w:val="none" w:sz="0" w:space="0" w:color="auto"/>
                    <w:left w:val="none" w:sz="0" w:space="0" w:color="auto"/>
                    <w:bottom w:val="none" w:sz="0" w:space="0" w:color="auto"/>
                    <w:right w:val="none" w:sz="0" w:space="0" w:color="auto"/>
                  </w:divBdr>
                </w:div>
              </w:divsChild>
            </w:div>
            <w:div w:id="185279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28009">
      <w:bodyDiv w:val="1"/>
      <w:marLeft w:val="0"/>
      <w:marRight w:val="0"/>
      <w:marTop w:val="0"/>
      <w:marBottom w:val="0"/>
      <w:divBdr>
        <w:top w:val="none" w:sz="0" w:space="0" w:color="auto"/>
        <w:left w:val="none" w:sz="0" w:space="0" w:color="auto"/>
        <w:bottom w:val="none" w:sz="0" w:space="0" w:color="auto"/>
        <w:right w:val="none" w:sz="0" w:space="0" w:color="auto"/>
      </w:divBdr>
    </w:div>
    <w:div w:id="733502906">
      <w:bodyDiv w:val="1"/>
      <w:marLeft w:val="0"/>
      <w:marRight w:val="0"/>
      <w:marTop w:val="0"/>
      <w:marBottom w:val="0"/>
      <w:divBdr>
        <w:top w:val="none" w:sz="0" w:space="0" w:color="auto"/>
        <w:left w:val="none" w:sz="0" w:space="0" w:color="auto"/>
        <w:bottom w:val="none" w:sz="0" w:space="0" w:color="auto"/>
        <w:right w:val="none" w:sz="0" w:space="0" w:color="auto"/>
      </w:divBdr>
    </w:div>
    <w:div w:id="771435156">
      <w:bodyDiv w:val="1"/>
      <w:marLeft w:val="0"/>
      <w:marRight w:val="0"/>
      <w:marTop w:val="0"/>
      <w:marBottom w:val="0"/>
      <w:divBdr>
        <w:top w:val="none" w:sz="0" w:space="0" w:color="auto"/>
        <w:left w:val="none" w:sz="0" w:space="0" w:color="auto"/>
        <w:bottom w:val="none" w:sz="0" w:space="0" w:color="auto"/>
        <w:right w:val="none" w:sz="0" w:space="0" w:color="auto"/>
      </w:divBdr>
      <w:divsChild>
        <w:div w:id="238828353">
          <w:marLeft w:val="1166"/>
          <w:marRight w:val="0"/>
          <w:marTop w:val="0"/>
          <w:marBottom w:val="0"/>
          <w:divBdr>
            <w:top w:val="none" w:sz="0" w:space="0" w:color="auto"/>
            <w:left w:val="none" w:sz="0" w:space="0" w:color="auto"/>
            <w:bottom w:val="none" w:sz="0" w:space="0" w:color="auto"/>
            <w:right w:val="none" w:sz="0" w:space="0" w:color="auto"/>
          </w:divBdr>
        </w:div>
        <w:div w:id="376704823">
          <w:marLeft w:val="547"/>
          <w:marRight w:val="0"/>
          <w:marTop w:val="240"/>
          <w:marBottom w:val="0"/>
          <w:divBdr>
            <w:top w:val="none" w:sz="0" w:space="0" w:color="auto"/>
            <w:left w:val="none" w:sz="0" w:space="0" w:color="auto"/>
            <w:bottom w:val="none" w:sz="0" w:space="0" w:color="auto"/>
            <w:right w:val="none" w:sz="0" w:space="0" w:color="auto"/>
          </w:divBdr>
        </w:div>
        <w:div w:id="1060978276">
          <w:marLeft w:val="1166"/>
          <w:marRight w:val="0"/>
          <w:marTop w:val="0"/>
          <w:marBottom w:val="0"/>
          <w:divBdr>
            <w:top w:val="none" w:sz="0" w:space="0" w:color="auto"/>
            <w:left w:val="none" w:sz="0" w:space="0" w:color="auto"/>
            <w:bottom w:val="none" w:sz="0" w:space="0" w:color="auto"/>
            <w:right w:val="none" w:sz="0" w:space="0" w:color="auto"/>
          </w:divBdr>
        </w:div>
        <w:div w:id="1705204465">
          <w:marLeft w:val="1166"/>
          <w:marRight w:val="0"/>
          <w:marTop w:val="0"/>
          <w:marBottom w:val="0"/>
          <w:divBdr>
            <w:top w:val="none" w:sz="0" w:space="0" w:color="auto"/>
            <w:left w:val="none" w:sz="0" w:space="0" w:color="auto"/>
            <w:bottom w:val="none" w:sz="0" w:space="0" w:color="auto"/>
            <w:right w:val="none" w:sz="0" w:space="0" w:color="auto"/>
          </w:divBdr>
        </w:div>
      </w:divsChild>
    </w:div>
    <w:div w:id="798181724">
      <w:bodyDiv w:val="1"/>
      <w:marLeft w:val="0"/>
      <w:marRight w:val="0"/>
      <w:marTop w:val="0"/>
      <w:marBottom w:val="0"/>
      <w:divBdr>
        <w:top w:val="none" w:sz="0" w:space="0" w:color="auto"/>
        <w:left w:val="none" w:sz="0" w:space="0" w:color="auto"/>
        <w:bottom w:val="none" w:sz="0" w:space="0" w:color="auto"/>
        <w:right w:val="none" w:sz="0" w:space="0" w:color="auto"/>
      </w:divBdr>
    </w:div>
    <w:div w:id="805509130">
      <w:bodyDiv w:val="1"/>
      <w:marLeft w:val="0"/>
      <w:marRight w:val="0"/>
      <w:marTop w:val="0"/>
      <w:marBottom w:val="0"/>
      <w:divBdr>
        <w:top w:val="none" w:sz="0" w:space="0" w:color="auto"/>
        <w:left w:val="none" w:sz="0" w:space="0" w:color="auto"/>
        <w:bottom w:val="none" w:sz="0" w:space="0" w:color="auto"/>
        <w:right w:val="none" w:sz="0" w:space="0" w:color="auto"/>
      </w:divBdr>
    </w:div>
    <w:div w:id="833304356">
      <w:bodyDiv w:val="1"/>
      <w:marLeft w:val="0"/>
      <w:marRight w:val="0"/>
      <w:marTop w:val="0"/>
      <w:marBottom w:val="0"/>
      <w:divBdr>
        <w:top w:val="none" w:sz="0" w:space="0" w:color="auto"/>
        <w:left w:val="none" w:sz="0" w:space="0" w:color="auto"/>
        <w:bottom w:val="none" w:sz="0" w:space="0" w:color="auto"/>
        <w:right w:val="none" w:sz="0" w:space="0" w:color="auto"/>
      </w:divBdr>
    </w:div>
    <w:div w:id="863789516">
      <w:bodyDiv w:val="1"/>
      <w:marLeft w:val="0"/>
      <w:marRight w:val="0"/>
      <w:marTop w:val="0"/>
      <w:marBottom w:val="0"/>
      <w:divBdr>
        <w:top w:val="none" w:sz="0" w:space="0" w:color="auto"/>
        <w:left w:val="none" w:sz="0" w:space="0" w:color="auto"/>
        <w:bottom w:val="none" w:sz="0" w:space="0" w:color="auto"/>
        <w:right w:val="none" w:sz="0" w:space="0" w:color="auto"/>
      </w:divBdr>
    </w:div>
    <w:div w:id="884293645">
      <w:bodyDiv w:val="1"/>
      <w:marLeft w:val="0"/>
      <w:marRight w:val="0"/>
      <w:marTop w:val="0"/>
      <w:marBottom w:val="0"/>
      <w:divBdr>
        <w:top w:val="none" w:sz="0" w:space="0" w:color="auto"/>
        <w:left w:val="none" w:sz="0" w:space="0" w:color="auto"/>
        <w:bottom w:val="none" w:sz="0" w:space="0" w:color="auto"/>
        <w:right w:val="none" w:sz="0" w:space="0" w:color="auto"/>
      </w:divBdr>
    </w:div>
    <w:div w:id="891305995">
      <w:marLeft w:val="0"/>
      <w:marRight w:val="0"/>
      <w:marTop w:val="0"/>
      <w:marBottom w:val="0"/>
      <w:divBdr>
        <w:top w:val="none" w:sz="0" w:space="0" w:color="auto"/>
        <w:left w:val="none" w:sz="0" w:space="0" w:color="auto"/>
        <w:bottom w:val="none" w:sz="0" w:space="0" w:color="auto"/>
        <w:right w:val="none" w:sz="0" w:space="0" w:color="auto"/>
      </w:divBdr>
      <w:divsChild>
        <w:div w:id="143014620">
          <w:marLeft w:val="0"/>
          <w:marRight w:val="0"/>
          <w:marTop w:val="0"/>
          <w:marBottom w:val="0"/>
          <w:divBdr>
            <w:top w:val="none" w:sz="0" w:space="0" w:color="auto"/>
            <w:left w:val="none" w:sz="0" w:space="0" w:color="auto"/>
            <w:bottom w:val="none" w:sz="0" w:space="0" w:color="auto"/>
            <w:right w:val="none" w:sz="0" w:space="0" w:color="auto"/>
          </w:divBdr>
          <w:divsChild>
            <w:div w:id="1054155254">
              <w:marLeft w:val="0"/>
              <w:marRight w:val="0"/>
              <w:marTop w:val="0"/>
              <w:marBottom w:val="0"/>
              <w:divBdr>
                <w:top w:val="none" w:sz="0" w:space="0" w:color="auto"/>
                <w:left w:val="none" w:sz="0" w:space="0" w:color="auto"/>
                <w:bottom w:val="none" w:sz="0" w:space="0" w:color="auto"/>
                <w:right w:val="none" w:sz="0" w:space="0" w:color="auto"/>
              </w:divBdr>
              <w:divsChild>
                <w:div w:id="1938711550">
                  <w:marLeft w:val="0"/>
                  <w:marRight w:val="0"/>
                  <w:marTop w:val="0"/>
                  <w:marBottom w:val="0"/>
                  <w:divBdr>
                    <w:top w:val="none" w:sz="0" w:space="0" w:color="auto"/>
                    <w:left w:val="none" w:sz="0" w:space="0" w:color="auto"/>
                    <w:bottom w:val="none" w:sz="0" w:space="0" w:color="auto"/>
                    <w:right w:val="none" w:sz="0" w:space="0" w:color="auto"/>
                  </w:divBdr>
                </w:div>
              </w:divsChild>
            </w:div>
            <w:div w:id="1538935582">
              <w:marLeft w:val="0"/>
              <w:marRight w:val="0"/>
              <w:marTop w:val="0"/>
              <w:marBottom w:val="0"/>
              <w:divBdr>
                <w:top w:val="none" w:sz="0" w:space="0" w:color="auto"/>
                <w:left w:val="none" w:sz="0" w:space="0" w:color="auto"/>
                <w:bottom w:val="none" w:sz="0" w:space="0" w:color="auto"/>
                <w:right w:val="none" w:sz="0" w:space="0" w:color="auto"/>
              </w:divBdr>
            </w:div>
            <w:div w:id="2064864629">
              <w:marLeft w:val="0"/>
              <w:marRight w:val="0"/>
              <w:marTop w:val="0"/>
              <w:marBottom w:val="0"/>
              <w:divBdr>
                <w:top w:val="none" w:sz="0" w:space="0" w:color="auto"/>
                <w:left w:val="none" w:sz="0" w:space="0" w:color="auto"/>
                <w:bottom w:val="none" w:sz="0" w:space="0" w:color="auto"/>
                <w:right w:val="none" w:sz="0" w:space="0" w:color="auto"/>
              </w:divBdr>
              <w:divsChild>
                <w:div w:id="369844667">
                  <w:marLeft w:val="0"/>
                  <w:marRight w:val="0"/>
                  <w:marTop w:val="0"/>
                  <w:marBottom w:val="0"/>
                  <w:divBdr>
                    <w:top w:val="none" w:sz="0" w:space="0" w:color="auto"/>
                    <w:left w:val="none" w:sz="0" w:space="0" w:color="auto"/>
                    <w:bottom w:val="none" w:sz="0" w:space="0" w:color="auto"/>
                    <w:right w:val="none" w:sz="0" w:space="0" w:color="auto"/>
                  </w:divBdr>
                  <w:divsChild>
                    <w:div w:id="1812018173">
                      <w:marLeft w:val="0"/>
                      <w:marRight w:val="0"/>
                      <w:marTop w:val="0"/>
                      <w:marBottom w:val="0"/>
                      <w:divBdr>
                        <w:top w:val="none" w:sz="0" w:space="0" w:color="auto"/>
                        <w:left w:val="none" w:sz="0" w:space="0" w:color="auto"/>
                        <w:bottom w:val="none" w:sz="0" w:space="0" w:color="auto"/>
                        <w:right w:val="none" w:sz="0" w:space="0" w:color="auto"/>
                      </w:divBdr>
                      <w:divsChild>
                        <w:div w:id="254167075">
                          <w:marLeft w:val="0"/>
                          <w:marRight w:val="0"/>
                          <w:marTop w:val="0"/>
                          <w:marBottom w:val="0"/>
                          <w:divBdr>
                            <w:top w:val="none" w:sz="0" w:space="0" w:color="auto"/>
                            <w:left w:val="none" w:sz="0" w:space="0" w:color="auto"/>
                            <w:bottom w:val="none" w:sz="0" w:space="0" w:color="auto"/>
                            <w:right w:val="none" w:sz="0" w:space="0" w:color="auto"/>
                          </w:divBdr>
                        </w:div>
                        <w:div w:id="1532307138">
                          <w:marLeft w:val="0"/>
                          <w:marRight w:val="0"/>
                          <w:marTop w:val="0"/>
                          <w:marBottom w:val="0"/>
                          <w:divBdr>
                            <w:top w:val="none" w:sz="0" w:space="0" w:color="auto"/>
                            <w:left w:val="none" w:sz="0" w:space="0" w:color="auto"/>
                            <w:bottom w:val="none" w:sz="0" w:space="0" w:color="auto"/>
                            <w:right w:val="none" w:sz="0" w:space="0" w:color="auto"/>
                          </w:divBdr>
                        </w:div>
                        <w:div w:id="1533107092">
                          <w:marLeft w:val="0"/>
                          <w:marRight w:val="0"/>
                          <w:marTop w:val="0"/>
                          <w:marBottom w:val="0"/>
                          <w:divBdr>
                            <w:top w:val="none" w:sz="0" w:space="0" w:color="auto"/>
                            <w:left w:val="none" w:sz="0" w:space="0" w:color="auto"/>
                            <w:bottom w:val="none" w:sz="0" w:space="0" w:color="auto"/>
                            <w:right w:val="none" w:sz="0" w:space="0" w:color="auto"/>
                          </w:divBdr>
                          <w:divsChild>
                            <w:div w:id="302929632">
                              <w:marLeft w:val="0"/>
                              <w:marRight w:val="0"/>
                              <w:marTop w:val="0"/>
                              <w:marBottom w:val="0"/>
                              <w:divBdr>
                                <w:top w:val="none" w:sz="0" w:space="0" w:color="auto"/>
                                <w:left w:val="none" w:sz="0" w:space="0" w:color="auto"/>
                                <w:bottom w:val="none" w:sz="0" w:space="0" w:color="auto"/>
                                <w:right w:val="none" w:sz="0" w:space="0" w:color="auto"/>
                              </w:divBdr>
                            </w:div>
                            <w:div w:id="1849442861">
                              <w:marLeft w:val="0"/>
                              <w:marRight w:val="0"/>
                              <w:marTop w:val="0"/>
                              <w:marBottom w:val="0"/>
                              <w:divBdr>
                                <w:top w:val="none" w:sz="0" w:space="0" w:color="auto"/>
                                <w:left w:val="none" w:sz="0" w:space="0" w:color="auto"/>
                                <w:bottom w:val="none" w:sz="0" w:space="0" w:color="auto"/>
                                <w:right w:val="none" w:sz="0" w:space="0" w:color="auto"/>
                              </w:divBdr>
                            </w:div>
                          </w:divsChild>
                        </w:div>
                        <w:div w:id="1586959151">
                          <w:marLeft w:val="0"/>
                          <w:marRight w:val="0"/>
                          <w:marTop w:val="0"/>
                          <w:marBottom w:val="0"/>
                          <w:divBdr>
                            <w:top w:val="none" w:sz="0" w:space="0" w:color="auto"/>
                            <w:left w:val="none" w:sz="0" w:space="0" w:color="auto"/>
                            <w:bottom w:val="none" w:sz="0" w:space="0" w:color="auto"/>
                            <w:right w:val="none" w:sz="0" w:space="0" w:color="auto"/>
                          </w:divBdr>
                        </w:div>
                      </w:divsChild>
                    </w:div>
                    <w:div w:id="1938560761">
                      <w:marLeft w:val="0"/>
                      <w:marRight w:val="0"/>
                      <w:marTop w:val="0"/>
                      <w:marBottom w:val="0"/>
                      <w:divBdr>
                        <w:top w:val="none" w:sz="0" w:space="0" w:color="auto"/>
                        <w:left w:val="none" w:sz="0" w:space="0" w:color="auto"/>
                        <w:bottom w:val="none" w:sz="0" w:space="0" w:color="auto"/>
                        <w:right w:val="none" w:sz="0" w:space="0" w:color="auto"/>
                      </w:divBdr>
                      <w:divsChild>
                        <w:div w:id="581765281">
                          <w:marLeft w:val="0"/>
                          <w:marRight w:val="0"/>
                          <w:marTop w:val="0"/>
                          <w:marBottom w:val="0"/>
                          <w:divBdr>
                            <w:top w:val="none" w:sz="0" w:space="0" w:color="auto"/>
                            <w:left w:val="none" w:sz="0" w:space="0" w:color="auto"/>
                            <w:bottom w:val="none" w:sz="0" w:space="0" w:color="auto"/>
                            <w:right w:val="none" w:sz="0" w:space="0" w:color="auto"/>
                          </w:divBdr>
                        </w:div>
                        <w:div w:id="1575160323">
                          <w:marLeft w:val="0"/>
                          <w:marRight w:val="0"/>
                          <w:marTop w:val="0"/>
                          <w:marBottom w:val="0"/>
                          <w:divBdr>
                            <w:top w:val="none" w:sz="0" w:space="0" w:color="auto"/>
                            <w:left w:val="none" w:sz="0" w:space="0" w:color="auto"/>
                            <w:bottom w:val="none" w:sz="0" w:space="0" w:color="auto"/>
                            <w:right w:val="none" w:sz="0" w:space="0" w:color="auto"/>
                          </w:divBdr>
                          <w:divsChild>
                            <w:div w:id="109670266">
                              <w:marLeft w:val="0"/>
                              <w:marRight w:val="0"/>
                              <w:marTop w:val="0"/>
                              <w:marBottom w:val="0"/>
                              <w:divBdr>
                                <w:top w:val="none" w:sz="0" w:space="0" w:color="auto"/>
                                <w:left w:val="none" w:sz="0" w:space="0" w:color="auto"/>
                                <w:bottom w:val="none" w:sz="0" w:space="0" w:color="auto"/>
                                <w:right w:val="none" w:sz="0" w:space="0" w:color="auto"/>
                              </w:divBdr>
                            </w:div>
                            <w:div w:id="911428329">
                              <w:marLeft w:val="0"/>
                              <w:marRight w:val="0"/>
                              <w:marTop w:val="0"/>
                              <w:marBottom w:val="0"/>
                              <w:divBdr>
                                <w:top w:val="none" w:sz="0" w:space="0" w:color="auto"/>
                                <w:left w:val="none" w:sz="0" w:space="0" w:color="auto"/>
                                <w:bottom w:val="none" w:sz="0" w:space="0" w:color="auto"/>
                                <w:right w:val="none" w:sz="0" w:space="0" w:color="auto"/>
                              </w:divBdr>
                            </w:div>
                            <w:div w:id="1616517010">
                              <w:marLeft w:val="0"/>
                              <w:marRight w:val="0"/>
                              <w:marTop w:val="0"/>
                              <w:marBottom w:val="0"/>
                              <w:divBdr>
                                <w:top w:val="none" w:sz="0" w:space="0" w:color="auto"/>
                                <w:left w:val="none" w:sz="0" w:space="0" w:color="auto"/>
                                <w:bottom w:val="none" w:sz="0" w:space="0" w:color="auto"/>
                                <w:right w:val="none" w:sz="0" w:space="0" w:color="auto"/>
                              </w:divBdr>
                            </w:div>
                          </w:divsChild>
                        </w:div>
                        <w:div w:id="1872380575">
                          <w:marLeft w:val="0"/>
                          <w:marRight w:val="0"/>
                          <w:marTop w:val="0"/>
                          <w:marBottom w:val="0"/>
                          <w:divBdr>
                            <w:top w:val="none" w:sz="0" w:space="0" w:color="auto"/>
                            <w:left w:val="none" w:sz="0" w:space="0" w:color="auto"/>
                            <w:bottom w:val="none" w:sz="0" w:space="0" w:color="auto"/>
                            <w:right w:val="none" w:sz="0" w:space="0" w:color="auto"/>
                          </w:divBdr>
                          <w:divsChild>
                            <w:div w:id="328873433">
                              <w:marLeft w:val="0"/>
                              <w:marRight w:val="0"/>
                              <w:marTop w:val="0"/>
                              <w:marBottom w:val="0"/>
                              <w:divBdr>
                                <w:top w:val="none" w:sz="0" w:space="0" w:color="auto"/>
                                <w:left w:val="none" w:sz="0" w:space="0" w:color="auto"/>
                                <w:bottom w:val="none" w:sz="0" w:space="0" w:color="auto"/>
                                <w:right w:val="none" w:sz="0" w:space="0" w:color="auto"/>
                              </w:divBdr>
                            </w:div>
                            <w:div w:id="64612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8821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04339827">
      <w:bodyDiv w:val="1"/>
      <w:marLeft w:val="0"/>
      <w:marRight w:val="0"/>
      <w:marTop w:val="0"/>
      <w:marBottom w:val="0"/>
      <w:divBdr>
        <w:top w:val="none" w:sz="0" w:space="0" w:color="auto"/>
        <w:left w:val="none" w:sz="0" w:space="0" w:color="auto"/>
        <w:bottom w:val="none" w:sz="0" w:space="0" w:color="auto"/>
        <w:right w:val="none" w:sz="0" w:space="0" w:color="auto"/>
      </w:divBdr>
    </w:div>
    <w:div w:id="928267856">
      <w:bodyDiv w:val="1"/>
      <w:marLeft w:val="0"/>
      <w:marRight w:val="0"/>
      <w:marTop w:val="0"/>
      <w:marBottom w:val="0"/>
      <w:divBdr>
        <w:top w:val="none" w:sz="0" w:space="0" w:color="auto"/>
        <w:left w:val="none" w:sz="0" w:space="0" w:color="auto"/>
        <w:bottom w:val="none" w:sz="0" w:space="0" w:color="auto"/>
        <w:right w:val="none" w:sz="0" w:space="0" w:color="auto"/>
      </w:divBdr>
      <w:divsChild>
        <w:div w:id="6174578">
          <w:marLeft w:val="1166"/>
          <w:marRight w:val="0"/>
          <w:marTop w:val="120"/>
          <w:marBottom w:val="0"/>
          <w:divBdr>
            <w:top w:val="none" w:sz="0" w:space="0" w:color="auto"/>
            <w:left w:val="none" w:sz="0" w:space="0" w:color="auto"/>
            <w:bottom w:val="none" w:sz="0" w:space="0" w:color="auto"/>
            <w:right w:val="none" w:sz="0" w:space="0" w:color="auto"/>
          </w:divBdr>
        </w:div>
        <w:div w:id="633559648">
          <w:marLeft w:val="1166"/>
          <w:marRight w:val="0"/>
          <w:marTop w:val="120"/>
          <w:marBottom w:val="0"/>
          <w:divBdr>
            <w:top w:val="none" w:sz="0" w:space="0" w:color="auto"/>
            <w:left w:val="none" w:sz="0" w:space="0" w:color="auto"/>
            <w:bottom w:val="none" w:sz="0" w:space="0" w:color="auto"/>
            <w:right w:val="none" w:sz="0" w:space="0" w:color="auto"/>
          </w:divBdr>
        </w:div>
        <w:div w:id="1597010906">
          <w:marLeft w:val="547"/>
          <w:marRight w:val="0"/>
          <w:marTop w:val="120"/>
          <w:marBottom w:val="0"/>
          <w:divBdr>
            <w:top w:val="none" w:sz="0" w:space="0" w:color="auto"/>
            <w:left w:val="none" w:sz="0" w:space="0" w:color="auto"/>
            <w:bottom w:val="none" w:sz="0" w:space="0" w:color="auto"/>
            <w:right w:val="none" w:sz="0" w:space="0" w:color="auto"/>
          </w:divBdr>
        </w:div>
        <w:div w:id="1620603874">
          <w:marLeft w:val="1166"/>
          <w:marRight w:val="0"/>
          <w:marTop w:val="120"/>
          <w:marBottom w:val="0"/>
          <w:divBdr>
            <w:top w:val="none" w:sz="0" w:space="0" w:color="auto"/>
            <w:left w:val="none" w:sz="0" w:space="0" w:color="auto"/>
            <w:bottom w:val="none" w:sz="0" w:space="0" w:color="auto"/>
            <w:right w:val="none" w:sz="0" w:space="0" w:color="auto"/>
          </w:divBdr>
        </w:div>
        <w:div w:id="1694384969">
          <w:marLeft w:val="1166"/>
          <w:marRight w:val="0"/>
          <w:marTop w:val="120"/>
          <w:marBottom w:val="0"/>
          <w:divBdr>
            <w:top w:val="none" w:sz="0" w:space="0" w:color="auto"/>
            <w:left w:val="none" w:sz="0" w:space="0" w:color="auto"/>
            <w:bottom w:val="none" w:sz="0" w:space="0" w:color="auto"/>
            <w:right w:val="none" w:sz="0" w:space="0" w:color="auto"/>
          </w:divBdr>
        </w:div>
        <w:div w:id="1807428751">
          <w:marLeft w:val="547"/>
          <w:marRight w:val="0"/>
          <w:marTop w:val="120"/>
          <w:marBottom w:val="0"/>
          <w:divBdr>
            <w:top w:val="none" w:sz="0" w:space="0" w:color="auto"/>
            <w:left w:val="none" w:sz="0" w:space="0" w:color="auto"/>
            <w:bottom w:val="none" w:sz="0" w:space="0" w:color="auto"/>
            <w:right w:val="none" w:sz="0" w:space="0" w:color="auto"/>
          </w:divBdr>
        </w:div>
        <w:div w:id="2089688507">
          <w:marLeft w:val="547"/>
          <w:marRight w:val="0"/>
          <w:marTop w:val="120"/>
          <w:marBottom w:val="0"/>
          <w:divBdr>
            <w:top w:val="none" w:sz="0" w:space="0" w:color="auto"/>
            <w:left w:val="none" w:sz="0" w:space="0" w:color="auto"/>
            <w:bottom w:val="none" w:sz="0" w:space="0" w:color="auto"/>
            <w:right w:val="none" w:sz="0" w:space="0" w:color="auto"/>
          </w:divBdr>
        </w:div>
      </w:divsChild>
    </w:div>
    <w:div w:id="930115875">
      <w:bodyDiv w:val="1"/>
      <w:marLeft w:val="0"/>
      <w:marRight w:val="0"/>
      <w:marTop w:val="0"/>
      <w:marBottom w:val="0"/>
      <w:divBdr>
        <w:top w:val="none" w:sz="0" w:space="0" w:color="auto"/>
        <w:left w:val="none" w:sz="0" w:space="0" w:color="auto"/>
        <w:bottom w:val="none" w:sz="0" w:space="0" w:color="auto"/>
        <w:right w:val="none" w:sz="0" w:space="0" w:color="auto"/>
      </w:divBdr>
      <w:divsChild>
        <w:div w:id="415171726">
          <w:marLeft w:val="1282"/>
          <w:marRight w:val="0"/>
          <w:marTop w:val="240"/>
          <w:marBottom w:val="0"/>
          <w:divBdr>
            <w:top w:val="none" w:sz="0" w:space="0" w:color="auto"/>
            <w:left w:val="none" w:sz="0" w:space="0" w:color="auto"/>
            <w:bottom w:val="none" w:sz="0" w:space="0" w:color="auto"/>
            <w:right w:val="none" w:sz="0" w:space="0" w:color="auto"/>
          </w:divBdr>
        </w:div>
        <w:div w:id="705520843">
          <w:marLeft w:val="1282"/>
          <w:marRight w:val="0"/>
          <w:marTop w:val="240"/>
          <w:marBottom w:val="0"/>
          <w:divBdr>
            <w:top w:val="none" w:sz="0" w:space="0" w:color="auto"/>
            <w:left w:val="none" w:sz="0" w:space="0" w:color="auto"/>
            <w:bottom w:val="none" w:sz="0" w:space="0" w:color="auto"/>
            <w:right w:val="none" w:sz="0" w:space="0" w:color="auto"/>
          </w:divBdr>
        </w:div>
        <w:div w:id="941768369">
          <w:marLeft w:val="562"/>
          <w:marRight w:val="576"/>
          <w:marTop w:val="240"/>
          <w:marBottom w:val="0"/>
          <w:divBdr>
            <w:top w:val="none" w:sz="0" w:space="0" w:color="auto"/>
            <w:left w:val="none" w:sz="0" w:space="0" w:color="auto"/>
            <w:bottom w:val="none" w:sz="0" w:space="0" w:color="auto"/>
            <w:right w:val="none" w:sz="0" w:space="0" w:color="auto"/>
          </w:divBdr>
        </w:div>
        <w:div w:id="1033841375">
          <w:marLeft w:val="1282"/>
          <w:marRight w:val="0"/>
          <w:marTop w:val="240"/>
          <w:marBottom w:val="0"/>
          <w:divBdr>
            <w:top w:val="none" w:sz="0" w:space="0" w:color="auto"/>
            <w:left w:val="none" w:sz="0" w:space="0" w:color="auto"/>
            <w:bottom w:val="none" w:sz="0" w:space="0" w:color="auto"/>
            <w:right w:val="none" w:sz="0" w:space="0" w:color="auto"/>
          </w:divBdr>
        </w:div>
        <w:div w:id="1264536603">
          <w:marLeft w:val="562"/>
          <w:marRight w:val="158"/>
          <w:marTop w:val="240"/>
          <w:marBottom w:val="0"/>
          <w:divBdr>
            <w:top w:val="none" w:sz="0" w:space="0" w:color="auto"/>
            <w:left w:val="none" w:sz="0" w:space="0" w:color="auto"/>
            <w:bottom w:val="none" w:sz="0" w:space="0" w:color="auto"/>
            <w:right w:val="none" w:sz="0" w:space="0" w:color="auto"/>
          </w:divBdr>
        </w:div>
        <w:div w:id="1754232972">
          <w:marLeft w:val="1282"/>
          <w:marRight w:val="0"/>
          <w:marTop w:val="240"/>
          <w:marBottom w:val="0"/>
          <w:divBdr>
            <w:top w:val="none" w:sz="0" w:space="0" w:color="auto"/>
            <w:left w:val="none" w:sz="0" w:space="0" w:color="auto"/>
            <w:bottom w:val="none" w:sz="0" w:space="0" w:color="auto"/>
            <w:right w:val="none" w:sz="0" w:space="0" w:color="auto"/>
          </w:divBdr>
        </w:div>
        <w:div w:id="1754667734">
          <w:marLeft w:val="1282"/>
          <w:marRight w:val="0"/>
          <w:marTop w:val="240"/>
          <w:marBottom w:val="0"/>
          <w:divBdr>
            <w:top w:val="none" w:sz="0" w:space="0" w:color="auto"/>
            <w:left w:val="none" w:sz="0" w:space="0" w:color="auto"/>
            <w:bottom w:val="none" w:sz="0" w:space="0" w:color="auto"/>
            <w:right w:val="none" w:sz="0" w:space="0" w:color="auto"/>
          </w:divBdr>
        </w:div>
        <w:div w:id="1991206912">
          <w:marLeft w:val="562"/>
          <w:marRight w:val="0"/>
          <w:marTop w:val="240"/>
          <w:marBottom w:val="0"/>
          <w:divBdr>
            <w:top w:val="none" w:sz="0" w:space="0" w:color="auto"/>
            <w:left w:val="none" w:sz="0" w:space="0" w:color="auto"/>
            <w:bottom w:val="none" w:sz="0" w:space="0" w:color="auto"/>
            <w:right w:val="none" w:sz="0" w:space="0" w:color="auto"/>
          </w:divBdr>
        </w:div>
        <w:div w:id="2049329068">
          <w:marLeft w:val="562"/>
          <w:marRight w:val="14"/>
          <w:marTop w:val="0"/>
          <w:marBottom w:val="0"/>
          <w:divBdr>
            <w:top w:val="none" w:sz="0" w:space="0" w:color="auto"/>
            <w:left w:val="none" w:sz="0" w:space="0" w:color="auto"/>
            <w:bottom w:val="none" w:sz="0" w:space="0" w:color="auto"/>
            <w:right w:val="none" w:sz="0" w:space="0" w:color="auto"/>
          </w:divBdr>
        </w:div>
      </w:divsChild>
    </w:div>
    <w:div w:id="934753916">
      <w:bodyDiv w:val="1"/>
      <w:marLeft w:val="0"/>
      <w:marRight w:val="0"/>
      <w:marTop w:val="0"/>
      <w:marBottom w:val="0"/>
      <w:divBdr>
        <w:top w:val="none" w:sz="0" w:space="0" w:color="auto"/>
        <w:left w:val="none" w:sz="0" w:space="0" w:color="auto"/>
        <w:bottom w:val="none" w:sz="0" w:space="0" w:color="auto"/>
        <w:right w:val="none" w:sz="0" w:space="0" w:color="auto"/>
      </w:divBdr>
    </w:div>
    <w:div w:id="943465201">
      <w:bodyDiv w:val="1"/>
      <w:marLeft w:val="0"/>
      <w:marRight w:val="0"/>
      <w:marTop w:val="0"/>
      <w:marBottom w:val="0"/>
      <w:divBdr>
        <w:top w:val="none" w:sz="0" w:space="0" w:color="auto"/>
        <w:left w:val="none" w:sz="0" w:space="0" w:color="auto"/>
        <w:bottom w:val="none" w:sz="0" w:space="0" w:color="auto"/>
        <w:right w:val="none" w:sz="0" w:space="0" w:color="auto"/>
      </w:divBdr>
    </w:div>
    <w:div w:id="947539913">
      <w:bodyDiv w:val="1"/>
      <w:marLeft w:val="0"/>
      <w:marRight w:val="0"/>
      <w:marTop w:val="0"/>
      <w:marBottom w:val="0"/>
      <w:divBdr>
        <w:top w:val="none" w:sz="0" w:space="0" w:color="auto"/>
        <w:left w:val="none" w:sz="0" w:space="0" w:color="auto"/>
        <w:bottom w:val="none" w:sz="0" w:space="0" w:color="auto"/>
        <w:right w:val="none" w:sz="0" w:space="0" w:color="auto"/>
      </w:divBdr>
    </w:div>
    <w:div w:id="953757117">
      <w:bodyDiv w:val="1"/>
      <w:marLeft w:val="0"/>
      <w:marRight w:val="0"/>
      <w:marTop w:val="0"/>
      <w:marBottom w:val="0"/>
      <w:divBdr>
        <w:top w:val="none" w:sz="0" w:space="0" w:color="auto"/>
        <w:left w:val="none" w:sz="0" w:space="0" w:color="auto"/>
        <w:bottom w:val="none" w:sz="0" w:space="0" w:color="auto"/>
        <w:right w:val="none" w:sz="0" w:space="0" w:color="auto"/>
      </w:divBdr>
    </w:div>
    <w:div w:id="977609214">
      <w:marLeft w:val="0"/>
      <w:marRight w:val="0"/>
      <w:marTop w:val="0"/>
      <w:marBottom w:val="0"/>
      <w:divBdr>
        <w:top w:val="none" w:sz="0" w:space="0" w:color="auto"/>
        <w:left w:val="none" w:sz="0" w:space="0" w:color="auto"/>
        <w:bottom w:val="none" w:sz="0" w:space="0" w:color="auto"/>
        <w:right w:val="none" w:sz="0" w:space="0" w:color="auto"/>
      </w:divBdr>
      <w:divsChild>
        <w:div w:id="589386621">
          <w:marLeft w:val="0"/>
          <w:marRight w:val="0"/>
          <w:marTop w:val="0"/>
          <w:marBottom w:val="0"/>
          <w:divBdr>
            <w:top w:val="none" w:sz="0" w:space="0" w:color="auto"/>
            <w:left w:val="none" w:sz="0" w:space="0" w:color="auto"/>
            <w:bottom w:val="none" w:sz="0" w:space="0" w:color="auto"/>
            <w:right w:val="none" w:sz="0" w:space="0" w:color="auto"/>
          </w:divBdr>
          <w:divsChild>
            <w:div w:id="1671640123">
              <w:marLeft w:val="0"/>
              <w:marRight w:val="0"/>
              <w:marTop w:val="0"/>
              <w:marBottom w:val="0"/>
              <w:divBdr>
                <w:top w:val="none" w:sz="0" w:space="0" w:color="auto"/>
                <w:left w:val="none" w:sz="0" w:space="0" w:color="auto"/>
                <w:bottom w:val="none" w:sz="0" w:space="0" w:color="auto"/>
                <w:right w:val="none" w:sz="0" w:space="0" w:color="auto"/>
              </w:divBdr>
            </w:div>
          </w:divsChild>
        </w:div>
        <w:div w:id="1928953026">
          <w:marLeft w:val="0"/>
          <w:marRight w:val="0"/>
          <w:marTop w:val="0"/>
          <w:marBottom w:val="0"/>
          <w:divBdr>
            <w:top w:val="none" w:sz="0" w:space="0" w:color="auto"/>
            <w:left w:val="none" w:sz="0" w:space="0" w:color="auto"/>
            <w:bottom w:val="none" w:sz="0" w:space="0" w:color="auto"/>
            <w:right w:val="none" w:sz="0" w:space="0" w:color="auto"/>
          </w:divBdr>
        </w:div>
      </w:divsChild>
    </w:div>
    <w:div w:id="982002898">
      <w:bodyDiv w:val="1"/>
      <w:marLeft w:val="0"/>
      <w:marRight w:val="0"/>
      <w:marTop w:val="0"/>
      <w:marBottom w:val="0"/>
      <w:divBdr>
        <w:top w:val="none" w:sz="0" w:space="0" w:color="auto"/>
        <w:left w:val="none" w:sz="0" w:space="0" w:color="auto"/>
        <w:bottom w:val="none" w:sz="0" w:space="0" w:color="auto"/>
        <w:right w:val="none" w:sz="0" w:space="0" w:color="auto"/>
      </w:divBdr>
    </w:div>
    <w:div w:id="986283014">
      <w:bodyDiv w:val="1"/>
      <w:marLeft w:val="0"/>
      <w:marRight w:val="0"/>
      <w:marTop w:val="0"/>
      <w:marBottom w:val="0"/>
      <w:divBdr>
        <w:top w:val="none" w:sz="0" w:space="0" w:color="auto"/>
        <w:left w:val="none" w:sz="0" w:space="0" w:color="auto"/>
        <w:bottom w:val="none" w:sz="0" w:space="0" w:color="auto"/>
        <w:right w:val="none" w:sz="0" w:space="0" w:color="auto"/>
      </w:divBdr>
    </w:div>
    <w:div w:id="989286523">
      <w:bodyDiv w:val="1"/>
      <w:marLeft w:val="0"/>
      <w:marRight w:val="0"/>
      <w:marTop w:val="0"/>
      <w:marBottom w:val="0"/>
      <w:divBdr>
        <w:top w:val="none" w:sz="0" w:space="0" w:color="auto"/>
        <w:left w:val="none" w:sz="0" w:space="0" w:color="auto"/>
        <w:bottom w:val="none" w:sz="0" w:space="0" w:color="auto"/>
        <w:right w:val="none" w:sz="0" w:space="0" w:color="auto"/>
      </w:divBdr>
    </w:div>
    <w:div w:id="990645282">
      <w:bodyDiv w:val="1"/>
      <w:marLeft w:val="0"/>
      <w:marRight w:val="0"/>
      <w:marTop w:val="0"/>
      <w:marBottom w:val="0"/>
      <w:divBdr>
        <w:top w:val="none" w:sz="0" w:space="0" w:color="auto"/>
        <w:left w:val="none" w:sz="0" w:space="0" w:color="auto"/>
        <w:bottom w:val="none" w:sz="0" w:space="0" w:color="auto"/>
        <w:right w:val="none" w:sz="0" w:space="0" w:color="auto"/>
      </w:divBdr>
      <w:divsChild>
        <w:div w:id="120464234">
          <w:marLeft w:val="547"/>
          <w:marRight w:val="0"/>
          <w:marTop w:val="240"/>
          <w:marBottom w:val="120"/>
          <w:divBdr>
            <w:top w:val="none" w:sz="0" w:space="0" w:color="auto"/>
            <w:left w:val="none" w:sz="0" w:space="0" w:color="auto"/>
            <w:bottom w:val="none" w:sz="0" w:space="0" w:color="auto"/>
            <w:right w:val="none" w:sz="0" w:space="0" w:color="auto"/>
          </w:divBdr>
        </w:div>
        <w:div w:id="1775201392">
          <w:marLeft w:val="547"/>
          <w:marRight w:val="0"/>
          <w:marTop w:val="240"/>
          <w:marBottom w:val="120"/>
          <w:divBdr>
            <w:top w:val="none" w:sz="0" w:space="0" w:color="auto"/>
            <w:left w:val="none" w:sz="0" w:space="0" w:color="auto"/>
            <w:bottom w:val="none" w:sz="0" w:space="0" w:color="auto"/>
            <w:right w:val="none" w:sz="0" w:space="0" w:color="auto"/>
          </w:divBdr>
        </w:div>
        <w:div w:id="1822193607">
          <w:marLeft w:val="547"/>
          <w:marRight w:val="0"/>
          <w:marTop w:val="240"/>
          <w:marBottom w:val="120"/>
          <w:divBdr>
            <w:top w:val="none" w:sz="0" w:space="0" w:color="auto"/>
            <w:left w:val="none" w:sz="0" w:space="0" w:color="auto"/>
            <w:bottom w:val="none" w:sz="0" w:space="0" w:color="auto"/>
            <w:right w:val="none" w:sz="0" w:space="0" w:color="auto"/>
          </w:divBdr>
        </w:div>
      </w:divsChild>
    </w:div>
    <w:div w:id="993489338">
      <w:bodyDiv w:val="1"/>
      <w:marLeft w:val="0"/>
      <w:marRight w:val="0"/>
      <w:marTop w:val="0"/>
      <w:marBottom w:val="0"/>
      <w:divBdr>
        <w:top w:val="none" w:sz="0" w:space="0" w:color="auto"/>
        <w:left w:val="none" w:sz="0" w:space="0" w:color="auto"/>
        <w:bottom w:val="none" w:sz="0" w:space="0" w:color="auto"/>
        <w:right w:val="none" w:sz="0" w:space="0" w:color="auto"/>
      </w:divBdr>
    </w:div>
    <w:div w:id="1003240010">
      <w:bodyDiv w:val="1"/>
      <w:marLeft w:val="0"/>
      <w:marRight w:val="0"/>
      <w:marTop w:val="0"/>
      <w:marBottom w:val="0"/>
      <w:divBdr>
        <w:top w:val="none" w:sz="0" w:space="0" w:color="auto"/>
        <w:left w:val="none" w:sz="0" w:space="0" w:color="auto"/>
        <w:bottom w:val="none" w:sz="0" w:space="0" w:color="auto"/>
        <w:right w:val="none" w:sz="0" w:space="0" w:color="auto"/>
      </w:divBdr>
    </w:div>
    <w:div w:id="1020667227">
      <w:bodyDiv w:val="1"/>
      <w:marLeft w:val="0"/>
      <w:marRight w:val="0"/>
      <w:marTop w:val="0"/>
      <w:marBottom w:val="0"/>
      <w:divBdr>
        <w:top w:val="none" w:sz="0" w:space="0" w:color="auto"/>
        <w:left w:val="none" w:sz="0" w:space="0" w:color="auto"/>
        <w:bottom w:val="none" w:sz="0" w:space="0" w:color="auto"/>
        <w:right w:val="none" w:sz="0" w:space="0" w:color="auto"/>
      </w:divBdr>
    </w:div>
    <w:div w:id="1037391843">
      <w:bodyDiv w:val="1"/>
      <w:marLeft w:val="0"/>
      <w:marRight w:val="0"/>
      <w:marTop w:val="0"/>
      <w:marBottom w:val="0"/>
      <w:divBdr>
        <w:top w:val="none" w:sz="0" w:space="0" w:color="auto"/>
        <w:left w:val="none" w:sz="0" w:space="0" w:color="auto"/>
        <w:bottom w:val="none" w:sz="0" w:space="0" w:color="auto"/>
        <w:right w:val="none" w:sz="0" w:space="0" w:color="auto"/>
      </w:divBdr>
    </w:div>
    <w:div w:id="1048332856">
      <w:bodyDiv w:val="1"/>
      <w:marLeft w:val="0"/>
      <w:marRight w:val="0"/>
      <w:marTop w:val="0"/>
      <w:marBottom w:val="0"/>
      <w:divBdr>
        <w:top w:val="none" w:sz="0" w:space="0" w:color="auto"/>
        <w:left w:val="none" w:sz="0" w:space="0" w:color="auto"/>
        <w:bottom w:val="none" w:sz="0" w:space="0" w:color="auto"/>
        <w:right w:val="none" w:sz="0" w:space="0" w:color="auto"/>
      </w:divBdr>
    </w:div>
    <w:div w:id="1048921283">
      <w:bodyDiv w:val="1"/>
      <w:marLeft w:val="0"/>
      <w:marRight w:val="0"/>
      <w:marTop w:val="0"/>
      <w:marBottom w:val="0"/>
      <w:divBdr>
        <w:top w:val="none" w:sz="0" w:space="0" w:color="auto"/>
        <w:left w:val="none" w:sz="0" w:space="0" w:color="auto"/>
        <w:bottom w:val="none" w:sz="0" w:space="0" w:color="auto"/>
        <w:right w:val="none" w:sz="0" w:space="0" w:color="auto"/>
      </w:divBdr>
      <w:divsChild>
        <w:div w:id="1795908933">
          <w:marLeft w:val="547"/>
          <w:marRight w:val="0"/>
          <w:marTop w:val="240"/>
          <w:marBottom w:val="0"/>
          <w:divBdr>
            <w:top w:val="none" w:sz="0" w:space="0" w:color="auto"/>
            <w:left w:val="none" w:sz="0" w:space="0" w:color="auto"/>
            <w:bottom w:val="none" w:sz="0" w:space="0" w:color="auto"/>
            <w:right w:val="none" w:sz="0" w:space="0" w:color="auto"/>
          </w:divBdr>
        </w:div>
      </w:divsChild>
    </w:div>
    <w:div w:id="1063482302">
      <w:bodyDiv w:val="1"/>
      <w:marLeft w:val="0"/>
      <w:marRight w:val="0"/>
      <w:marTop w:val="0"/>
      <w:marBottom w:val="0"/>
      <w:divBdr>
        <w:top w:val="none" w:sz="0" w:space="0" w:color="auto"/>
        <w:left w:val="none" w:sz="0" w:space="0" w:color="auto"/>
        <w:bottom w:val="none" w:sz="0" w:space="0" w:color="auto"/>
        <w:right w:val="none" w:sz="0" w:space="0" w:color="auto"/>
      </w:divBdr>
    </w:div>
    <w:div w:id="1073742037">
      <w:bodyDiv w:val="1"/>
      <w:marLeft w:val="0"/>
      <w:marRight w:val="0"/>
      <w:marTop w:val="0"/>
      <w:marBottom w:val="0"/>
      <w:divBdr>
        <w:top w:val="none" w:sz="0" w:space="0" w:color="auto"/>
        <w:left w:val="none" w:sz="0" w:space="0" w:color="auto"/>
        <w:bottom w:val="none" w:sz="0" w:space="0" w:color="auto"/>
        <w:right w:val="none" w:sz="0" w:space="0" w:color="auto"/>
      </w:divBdr>
    </w:div>
    <w:div w:id="1095781079">
      <w:marLeft w:val="0"/>
      <w:marRight w:val="0"/>
      <w:marTop w:val="0"/>
      <w:marBottom w:val="0"/>
      <w:divBdr>
        <w:top w:val="none" w:sz="0" w:space="0" w:color="auto"/>
        <w:left w:val="none" w:sz="0" w:space="0" w:color="auto"/>
        <w:bottom w:val="none" w:sz="0" w:space="0" w:color="auto"/>
        <w:right w:val="none" w:sz="0" w:space="0" w:color="auto"/>
      </w:divBdr>
    </w:div>
    <w:div w:id="1103765258">
      <w:bodyDiv w:val="1"/>
      <w:marLeft w:val="0"/>
      <w:marRight w:val="0"/>
      <w:marTop w:val="0"/>
      <w:marBottom w:val="0"/>
      <w:divBdr>
        <w:top w:val="none" w:sz="0" w:space="0" w:color="auto"/>
        <w:left w:val="none" w:sz="0" w:space="0" w:color="auto"/>
        <w:bottom w:val="none" w:sz="0" w:space="0" w:color="auto"/>
        <w:right w:val="none" w:sz="0" w:space="0" w:color="auto"/>
      </w:divBdr>
    </w:div>
    <w:div w:id="1117026115">
      <w:bodyDiv w:val="1"/>
      <w:marLeft w:val="0"/>
      <w:marRight w:val="0"/>
      <w:marTop w:val="0"/>
      <w:marBottom w:val="0"/>
      <w:divBdr>
        <w:top w:val="none" w:sz="0" w:space="0" w:color="auto"/>
        <w:left w:val="none" w:sz="0" w:space="0" w:color="auto"/>
        <w:bottom w:val="none" w:sz="0" w:space="0" w:color="auto"/>
        <w:right w:val="none" w:sz="0" w:space="0" w:color="auto"/>
      </w:divBdr>
    </w:div>
    <w:div w:id="1126389811">
      <w:bodyDiv w:val="1"/>
      <w:marLeft w:val="0"/>
      <w:marRight w:val="0"/>
      <w:marTop w:val="0"/>
      <w:marBottom w:val="0"/>
      <w:divBdr>
        <w:top w:val="none" w:sz="0" w:space="0" w:color="auto"/>
        <w:left w:val="none" w:sz="0" w:space="0" w:color="auto"/>
        <w:bottom w:val="none" w:sz="0" w:space="0" w:color="auto"/>
        <w:right w:val="none" w:sz="0" w:space="0" w:color="auto"/>
      </w:divBdr>
      <w:divsChild>
        <w:div w:id="352535478">
          <w:marLeft w:val="547"/>
          <w:marRight w:val="0"/>
          <w:marTop w:val="240"/>
          <w:marBottom w:val="0"/>
          <w:divBdr>
            <w:top w:val="none" w:sz="0" w:space="0" w:color="auto"/>
            <w:left w:val="none" w:sz="0" w:space="0" w:color="auto"/>
            <w:bottom w:val="none" w:sz="0" w:space="0" w:color="auto"/>
            <w:right w:val="none" w:sz="0" w:space="0" w:color="auto"/>
          </w:divBdr>
        </w:div>
      </w:divsChild>
    </w:div>
    <w:div w:id="1126656832">
      <w:bodyDiv w:val="1"/>
      <w:marLeft w:val="0"/>
      <w:marRight w:val="0"/>
      <w:marTop w:val="0"/>
      <w:marBottom w:val="0"/>
      <w:divBdr>
        <w:top w:val="none" w:sz="0" w:space="0" w:color="auto"/>
        <w:left w:val="none" w:sz="0" w:space="0" w:color="auto"/>
        <w:bottom w:val="none" w:sz="0" w:space="0" w:color="auto"/>
        <w:right w:val="none" w:sz="0" w:space="0" w:color="auto"/>
      </w:divBdr>
      <w:divsChild>
        <w:div w:id="261501445">
          <w:marLeft w:val="1282"/>
          <w:marRight w:val="0"/>
          <w:marTop w:val="132"/>
          <w:marBottom w:val="0"/>
          <w:divBdr>
            <w:top w:val="none" w:sz="0" w:space="0" w:color="auto"/>
            <w:left w:val="none" w:sz="0" w:space="0" w:color="auto"/>
            <w:bottom w:val="none" w:sz="0" w:space="0" w:color="auto"/>
            <w:right w:val="none" w:sz="0" w:space="0" w:color="auto"/>
          </w:divBdr>
        </w:div>
        <w:div w:id="825172215">
          <w:marLeft w:val="1282"/>
          <w:marRight w:val="0"/>
          <w:marTop w:val="132"/>
          <w:marBottom w:val="0"/>
          <w:divBdr>
            <w:top w:val="none" w:sz="0" w:space="0" w:color="auto"/>
            <w:left w:val="none" w:sz="0" w:space="0" w:color="auto"/>
            <w:bottom w:val="none" w:sz="0" w:space="0" w:color="auto"/>
            <w:right w:val="none" w:sz="0" w:space="0" w:color="auto"/>
          </w:divBdr>
        </w:div>
        <w:div w:id="2081057208">
          <w:marLeft w:val="1282"/>
          <w:marRight w:val="0"/>
          <w:marTop w:val="132"/>
          <w:marBottom w:val="0"/>
          <w:divBdr>
            <w:top w:val="none" w:sz="0" w:space="0" w:color="auto"/>
            <w:left w:val="none" w:sz="0" w:space="0" w:color="auto"/>
            <w:bottom w:val="none" w:sz="0" w:space="0" w:color="auto"/>
            <w:right w:val="none" w:sz="0" w:space="0" w:color="auto"/>
          </w:divBdr>
        </w:div>
        <w:div w:id="2106802581">
          <w:marLeft w:val="562"/>
          <w:marRight w:val="0"/>
          <w:marTop w:val="132"/>
          <w:marBottom w:val="0"/>
          <w:divBdr>
            <w:top w:val="none" w:sz="0" w:space="0" w:color="auto"/>
            <w:left w:val="none" w:sz="0" w:space="0" w:color="auto"/>
            <w:bottom w:val="none" w:sz="0" w:space="0" w:color="auto"/>
            <w:right w:val="none" w:sz="0" w:space="0" w:color="auto"/>
          </w:divBdr>
        </w:div>
      </w:divsChild>
    </w:div>
    <w:div w:id="1137068833">
      <w:bodyDiv w:val="1"/>
      <w:marLeft w:val="0"/>
      <w:marRight w:val="0"/>
      <w:marTop w:val="0"/>
      <w:marBottom w:val="0"/>
      <w:divBdr>
        <w:top w:val="none" w:sz="0" w:space="0" w:color="auto"/>
        <w:left w:val="none" w:sz="0" w:space="0" w:color="auto"/>
        <w:bottom w:val="none" w:sz="0" w:space="0" w:color="auto"/>
        <w:right w:val="none" w:sz="0" w:space="0" w:color="auto"/>
      </w:divBdr>
    </w:div>
    <w:div w:id="1139687407">
      <w:bodyDiv w:val="1"/>
      <w:marLeft w:val="0"/>
      <w:marRight w:val="0"/>
      <w:marTop w:val="0"/>
      <w:marBottom w:val="0"/>
      <w:divBdr>
        <w:top w:val="none" w:sz="0" w:space="0" w:color="auto"/>
        <w:left w:val="none" w:sz="0" w:space="0" w:color="auto"/>
        <w:bottom w:val="none" w:sz="0" w:space="0" w:color="auto"/>
        <w:right w:val="none" w:sz="0" w:space="0" w:color="auto"/>
      </w:divBdr>
    </w:div>
    <w:div w:id="1164934447">
      <w:marLeft w:val="0"/>
      <w:marRight w:val="0"/>
      <w:marTop w:val="0"/>
      <w:marBottom w:val="0"/>
      <w:divBdr>
        <w:top w:val="none" w:sz="0" w:space="0" w:color="auto"/>
        <w:left w:val="none" w:sz="0" w:space="0" w:color="auto"/>
        <w:bottom w:val="none" w:sz="0" w:space="0" w:color="auto"/>
        <w:right w:val="none" w:sz="0" w:space="0" w:color="auto"/>
      </w:divBdr>
      <w:divsChild>
        <w:div w:id="45106913">
          <w:marLeft w:val="0"/>
          <w:marRight w:val="0"/>
          <w:marTop w:val="0"/>
          <w:marBottom w:val="0"/>
          <w:divBdr>
            <w:top w:val="none" w:sz="0" w:space="0" w:color="auto"/>
            <w:left w:val="none" w:sz="0" w:space="0" w:color="auto"/>
            <w:bottom w:val="none" w:sz="0" w:space="0" w:color="auto"/>
            <w:right w:val="none" w:sz="0" w:space="0" w:color="auto"/>
          </w:divBdr>
          <w:divsChild>
            <w:div w:id="39867748">
              <w:marLeft w:val="0"/>
              <w:marRight w:val="0"/>
              <w:marTop w:val="0"/>
              <w:marBottom w:val="0"/>
              <w:divBdr>
                <w:top w:val="none" w:sz="0" w:space="0" w:color="auto"/>
                <w:left w:val="none" w:sz="0" w:space="0" w:color="auto"/>
                <w:bottom w:val="none" w:sz="0" w:space="0" w:color="auto"/>
                <w:right w:val="none" w:sz="0" w:space="0" w:color="auto"/>
              </w:divBdr>
              <w:divsChild>
                <w:div w:id="1530223756">
                  <w:marLeft w:val="0"/>
                  <w:marRight w:val="0"/>
                  <w:marTop w:val="0"/>
                  <w:marBottom w:val="0"/>
                  <w:divBdr>
                    <w:top w:val="none" w:sz="0" w:space="0" w:color="auto"/>
                    <w:left w:val="none" w:sz="0" w:space="0" w:color="auto"/>
                    <w:bottom w:val="none" w:sz="0" w:space="0" w:color="auto"/>
                    <w:right w:val="none" w:sz="0" w:space="0" w:color="auto"/>
                  </w:divBdr>
                </w:div>
              </w:divsChild>
            </w:div>
            <w:div w:id="1154486849">
              <w:marLeft w:val="0"/>
              <w:marRight w:val="0"/>
              <w:marTop w:val="0"/>
              <w:marBottom w:val="0"/>
              <w:divBdr>
                <w:top w:val="none" w:sz="0" w:space="0" w:color="auto"/>
                <w:left w:val="none" w:sz="0" w:space="0" w:color="auto"/>
                <w:bottom w:val="none" w:sz="0" w:space="0" w:color="auto"/>
                <w:right w:val="none" w:sz="0" w:space="0" w:color="auto"/>
              </w:divBdr>
              <w:divsChild>
                <w:div w:id="1632053656">
                  <w:marLeft w:val="0"/>
                  <w:marRight w:val="0"/>
                  <w:marTop w:val="0"/>
                  <w:marBottom w:val="0"/>
                  <w:divBdr>
                    <w:top w:val="none" w:sz="0" w:space="0" w:color="auto"/>
                    <w:left w:val="none" w:sz="0" w:space="0" w:color="auto"/>
                    <w:bottom w:val="none" w:sz="0" w:space="0" w:color="auto"/>
                    <w:right w:val="none" w:sz="0" w:space="0" w:color="auto"/>
                  </w:divBdr>
                  <w:divsChild>
                    <w:div w:id="122962627">
                      <w:marLeft w:val="0"/>
                      <w:marRight w:val="0"/>
                      <w:marTop w:val="0"/>
                      <w:marBottom w:val="0"/>
                      <w:divBdr>
                        <w:top w:val="none" w:sz="0" w:space="0" w:color="auto"/>
                        <w:left w:val="none" w:sz="0" w:space="0" w:color="auto"/>
                        <w:bottom w:val="none" w:sz="0" w:space="0" w:color="auto"/>
                        <w:right w:val="none" w:sz="0" w:space="0" w:color="auto"/>
                      </w:divBdr>
                    </w:div>
                    <w:div w:id="143039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477436">
      <w:marLeft w:val="0"/>
      <w:marRight w:val="0"/>
      <w:marTop w:val="0"/>
      <w:marBottom w:val="0"/>
      <w:divBdr>
        <w:top w:val="none" w:sz="0" w:space="0" w:color="auto"/>
        <w:left w:val="none" w:sz="0" w:space="0" w:color="auto"/>
        <w:bottom w:val="none" w:sz="0" w:space="0" w:color="auto"/>
        <w:right w:val="none" w:sz="0" w:space="0" w:color="auto"/>
      </w:divBdr>
      <w:divsChild>
        <w:div w:id="1751538880">
          <w:marLeft w:val="0"/>
          <w:marRight w:val="0"/>
          <w:marTop w:val="0"/>
          <w:marBottom w:val="0"/>
          <w:divBdr>
            <w:top w:val="none" w:sz="0" w:space="0" w:color="auto"/>
            <w:left w:val="none" w:sz="0" w:space="0" w:color="auto"/>
            <w:bottom w:val="none" w:sz="0" w:space="0" w:color="auto"/>
            <w:right w:val="none" w:sz="0" w:space="0" w:color="auto"/>
          </w:divBdr>
          <w:divsChild>
            <w:div w:id="689530593">
              <w:marLeft w:val="0"/>
              <w:marRight w:val="0"/>
              <w:marTop w:val="0"/>
              <w:marBottom w:val="0"/>
              <w:divBdr>
                <w:top w:val="none" w:sz="0" w:space="0" w:color="auto"/>
                <w:left w:val="none" w:sz="0" w:space="0" w:color="auto"/>
                <w:bottom w:val="none" w:sz="0" w:space="0" w:color="auto"/>
                <w:right w:val="none" w:sz="0" w:space="0" w:color="auto"/>
              </w:divBdr>
              <w:divsChild>
                <w:div w:id="121003175">
                  <w:marLeft w:val="0"/>
                  <w:marRight w:val="0"/>
                  <w:marTop w:val="0"/>
                  <w:marBottom w:val="0"/>
                  <w:divBdr>
                    <w:top w:val="none" w:sz="0" w:space="0" w:color="auto"/>
                    <w:left w:val="none" w:sz="0" w:space="0" w:color="auto"/>
                    <w:bottom w:val="none" w:sz="0" w:space="0" w:color="auto"/>
                    <w:right w:val="none" w:sz="0" w:space="0" w:color="auto"/>
                  </w:divBdr>
                </w:div>
                <w:div w:id="1702902121">
                  <w:marLeft w:val="0"/>
                  <w:marRight w:val="0"/>
                  <w:marTop w:val="0"/>
                  <w:marBottom w:val="0"/>
                  <w:divBdr>
                    <w:top w:val="none" w:sz="0" w:space="0" w:color="auto"/>
                    <w:left w:val="none" w:sz="0" w:space="0" w:color="auto"/>
                    <w:bottom w:val="none" w:sz="0" w:space="0" w:color="auto"/>
                    <w:right w:val="none" w:sz="0" w:space="0" w:color="auto"/>
                  </w:divBdr>
                  <w:divsChild>
                    <w:div w:id="10692657">
                      <w:marLeft w:val="0"/>
                      <w:marRight w:val="0"/>
                      <w:marTop w:val="0"/>
                      <w:marBottom w:val="0"/>
                      <w:divBdr>
                        <w:top w:val="none" w:sz="0" w:space="0" w:color="auto"/>
                        <w:left w:val="none" w:sz="0" w:space="0" w:color="auto"/>
                        <w:bottom w:val="none" w:sz="0" w:space="0" w:color="auto"/>
                        <w:right w:val="none" w:sz="0" w:space="0" w:color="auto"/>
                      </w:divBdr>
                    </w:div>
                    <w:div w:id="120609968">
                      <w:marLeft w:val="0"/>
                      <w:marRight w:val="0"/>
                      <w:marTop w:val="0"/>
                      <w:marBottom w:val="0"/>
                      <w:divBdr>
                        <w:top w:val="none" w:sz="0" w:space="0" w:color="auto"/>
                        <w:left w:val="none" w:sz="0" w:space="0" w:color="auto"/>
                        <w:bottom w:val="none" w:sz="0" w:space="0" w:color="auto"/>
                        <w:right w:val="none" w:sz="0" w:space="0" w:color="auto"/>
                      </w:divBdr>
                    </w:div>
                    <w:div w:id="158814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961001">
              <w:marLeft w:val="0"/>
              <w:marRight w:val="0"/>
              <w:marTop w:val="0"/>
              <w:marBottom w:val="0"/>
              <w:divBdr>
                <w:top w:val="none" w:sz="0" w:space="0" w:color="auto"/>
                <w:left w:val="none" w:sz="0" w:space="0" w:color="auto"/>
                <w:bottom w:val="none" w:sz="0" w:space="0" w:color="auto"/>
                <w:right w:val="none" w:sz="0" w:space="0" w:color="auto"/>
              </w:divBdr>
            </w:div>
            <w:div w:id="190764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940333">
      <w:bodyDiv w:val="1"/>
      <w:marLeft w:val="0"/>
      <w:marRight w:val="0"/>
      <w:marTop w:val="0"/>
      <w:marBottom w:val="0"/>
      <w:divBdr>
        <w:top w:val="none" w:sz="0" w:space="0" w:color="auto"/>
        <w:left w:val="none" w:sz="0" w:space="0" w:color="auto"/>
        <w:bottom w:val="none" w:sz="0" w:space="0" w:color="auto"/>
        <w:right w:val="none" w:sz="0" w:space="0" w:color="auto"/>
      </w:divBdr>
    </w:div>
    <w:div w:id="1167869780">
      <w:bodyDiv w:val="1"/>
      <w:marLeft w:val="0"/>
      <w:marRight w:val="0"/>
      <w:marTop w:val="0"/>
      <w:marBottom w:val="0"/>
      <w:divBdr>
        <w:top w:val="none" w:sz="0" w:space="0" w:color="auto"/>
        <w:left w:val="none" w:sz="0" w:space="0" w:color="auto"/>
        <w:bottom w:val="none" w:sz="0" w:space="0" w:color="auto"/>
        <w:right w:val="none" w:sz="0" w:space="0" w:color="auto"/>
      </w:divBdr>
    </w:div>
    <w:div w:id="1193302812">
      <w:bodyDiv w:val="1"/>
      <w:marLeft w:val="0"/>
      <w:marRight w:val="0"/>
      <w:marTop w:val="0"/>
      <w:marBottom w:val="0"/>
      <w:divBdr>
        <w:top w:val="none" w:sz="0" w:space="0" w:color="auto"/>
        <w:left w:val="none" w:sz="0" w:space="0" w:color="auto"/>
        <w:bottom w:val="none" w:sz="0" w:space="0" w:color="auto"/>
        <w:right w:val="none" w:sz="0" w:space="0" w:color="auto"/>
      </w:divBdr>
    </w:div>
    <w:div w:id="1221674986">
      <w:bodyDiv w:val="1"/>
      <w:marLeft w:val="0"/>
      <w:marRight w:val="0"/>
      <w:marTop w:val="0"/>
      <w:marBottom w:val="0"/>
      <w:divBdr>
        <w:top w:val="none" w:sz="0" w:space="0" w:color="auto"/>
        <w:left w:val="none" w:sz="0" w:space="0" w:color="auto"/>
        <w:bottom w:val="none" w:sz="0" w:space="0" w:color="auto"/>
        <w:right w:val="none" w:sz="0" w:space="0" w:color="auto"/>
      </w:divBdr>
      <w:divsChild>
        <w:div w:id="1706758020">
          <w:marLeft w:val="547"/>
          <w:marRight w:val="0"/>
          <w:marTop w:val="240"/>
          <w:marBottom w:val="120"/>
          <w:divBdr>
            <w:top w:val="none" w:sz="0" w:space="0" w:color="auto"/>
            <w:left w:val="none" w:sz="0" w:space="0" w:color="auto"/>
            <w:bottom w:val="none" w:sz="0" w:space="0" w:color="auto"/>
            <w:right w:val="none" w:sz="0" w:space="0" w:color="auto"/>
          </w:divBdr>
        </w:div>
        <w:div w:id="1731809064">
          <w:marLeft w:val="547"/>
          <w:marRight w:val="0"/>
          <w:marTop w:val="240"/>
          <w:marBottom w:val="120"/>
          <w:divBdr>
            <w:top w:val="none" w:sz="0" w:space="0" w:color="auto"/>
            <w:left w:val="none" w:sz="0" w:space="0" w:color="auto"/>
            <w:bottom w:val="none" w:sz="0" w:space="0" w:color="auto"/>
            <w:right w:val="none" w:sz="0" w:space="0" w:color="auto"/>
          </w:divBdr>
        </w:div>
        <w:div w:id="1993287445">
          <w:marLeft w:val="547"/>
          <w:marRight w:val="0"/>
          <w:marTop w:val="240"/>
          <w:marBottom w:val="120"/>
          <w:divBdr>
            <w:top w:val="none" w:sz="0" w:space="0" w:color="auto"/>
            <w:left w:val="none" w:sz="0" w:space="0" w:color="auto"/>
            <w:bottom w:val="none" w:sz="0" w:space="0" w:color="auto"/>
            <w:right w:val="none" w:sz="0" w:space="0" w:color="auto"/>
          </w:divBdr>
        </w:div>
      </w:divsChild>
    </w:div>
    <w:div w:id="1229268057">
      <w:bodyDiv w:val="1"/>
      <w:marLeft w:val="0"/>
      <w:marRight w:val="0"/>
      <w:marTop w:val="0"/>
      <w:marBottom w:val="0"/>
      <w:divBdr>
        <w:top w:val="none" w:sz="0" w:space="0" w:color="auto"/>
        <w:left w:val="none" w:sz="0" w:space="0" w:color="auto"/>
        <w:bottom w:val="none" w:sz="0" w:space="0" w:color="auto"/>
        <w:right w:val="none" w:sz="0" w:space="0" w:color="auto"/>
      </w:divBdr>
    </w:div>
    <w:div w:id="1231503118">
      <w:bodyDiv w:val="1"/>
      <w:marLeft w:val="0"/>
      <w:marRight w:val="0"/>
      <w:marTop w:val="0"/>
      <w:marBottom w:val="0"/>
      <w:divBdr>
        <w:top w:val="none" w:sz="0" w:space="0" w:color="auto"/>
        <w:left w:val="none" w:sz="0" w:space="0" w:color="auto"/>
        <w:bottom w:val="none" w:sz="0" w:space="0" w:color="auto"/>
        <w:right w:val="none" w:sz="0" w:space="0" w:color="auto"/>
      </w:divBdr>
    </w:div>
    <w:div w:id="1231844864">
      <w:bodyDiv w:val="1"/>
      <w:marLeft w:val="0"/>
      <w:marRight w:val="0"/>
      <w:marTop w:val="0"/>
      <w:marBottom w:val="0"/>
      <w:divBdr>
        <w:top w:val="none" w:sz="0" w:space="0" w:color="auto"/>
        <w:left w:val="none" w:sz="0" w:space="0" w:color="auto"/>
        <w:bottom w:val="none" w:sz="0" w:space="0" w:color="auto"/>
        <w:right w:val="none" w:sz="0" w:space="0" w:color="auto"/>
      </w:divBdr>
    </w:div>
    <w:div w:id="1236428129">
      <w:bodyDiv w:val="1"/>
      <w:marLeft w:val="0"/>
      <w:marRight w:val="0"/>
      <w:marTop w:val="0"/>
      <w:marBottom w:val="0"/>
      <w:divBdr>
        <w:top w:val="none" w:sz="0" w:space="0" w:color="auto"/>
        <w:left w:val="none" w:sz="0" w:space="0" w:color="auto"/>
        <w:bottom w:val="none" w:sz="0" w:space="0" w:color="auto"/>
        <w:right w:val="none" w:sz="0" w:space="0" w:color="auto"/>
      </w:divBdr>
    </w:div>
    <w:div w:id="1236475114">
      <w:bodyDiv w:val="1"/>
      <w:marLeft w:val="0"/>
      <w:marRight w:val="0"/>
      <w:marTop w:val="0"/>
      <w:marBottom w:val="0"/>
      <w:divBdr>
        <w:top w:val="none" w:sz="0" w:space="0" w:color="auto"/>
        <w:left w:val="none" w:sz="0" w:space="0" w:color="auto"/>
        <w:bottom w:val="none" w:sz="0" w:space="0" w:color="auto"/>
        <w:right w:val="none" w:sz="0" w:space="0" w:color="auto"/>
      </w:divBdr>
    </w:div>
    <w:div w:id="1250390117">
      <w:bodyDiv w:val="1"/>
      <w:marLeft w:val="0"/>
      <w:marRight w:val="0"/>
      <w:marTop w:val="0"/>
      <w:marBottom w:val="0"/>
      <w:divBdr>
        <w:top w:val="none" w:sz="0" w:space="0" w:color="auto"/>
        <w:left w:val="none" w:sz="0" w:space="0" w:color="auto"/>
        <w:bottom w:val="none" w:sz="0" w:space="0" w:color="auto"/>
        <w:right w:val="none" w:sz="0" w:space="0" w:color="auto"/>
      </w:divBdr>
      <w:divsChild>
        <w:div w:id="109670331">
          <w:marLeft w:val="1166"/>
          <w:marRight w:val="0"/>
          <w:marTop w:val="0"/>
          <w:marBottom w:val="0"/>
          <w:divBdr>
            <w:top w:val="none" w:sz="0" w:space="0" w:color="auto"/>
            <w:left w:val="none" w:sz="0" w:space="0" w:color="auto"/>
            <w:bottom w:val="none" w:sz="0" w:space="0" w:color="auto"/>
            <w:right w:val="none" w:sz="0" w:space="0" w:color="auto"/>
          </w:divBdr>
        </w:div>
        <w:div w:id="180172891">
          <w:marLeft w:val="1166"/>
          <w:marRight w:val="0"/>
          <w:marTop w:val="0"/>
          <w:marBottom w:val="0"/>
          <w:divBdr>
            <w:top w:val="none" w:sz="0" w:space="0" w:color="auto"/>
            <w:left w:val="none" w:sz="0" w:space="0" w:color="auto"/>
            <w:bottom w:val="none" w:sz="0" w:space="0" w:color="auto"/>
            <w:right w:val="none" w:sz="0" w:space="0" w:color="auto"/>
          </w:divBdr>
        </w:div>
        <w:div w:id="1089543128">
          <w:marLeft w:val="1166"/>
          <w:marRight w:val="0"/>
          <w:marTop w:val="0"/>
          <w:marBottom w:val="0"/>
          <w:divBdr>
            <w:top w:val="none" w:sz="0" w:space="0" w:color="auto"/>
            <w:left w:val="none" w:sz="0" w:space="0" w:color="auto"/>
            <w:bottom w:val="none" w:sz="0" w:space="0" w:color="auto"/>
            <w:right w:val="none" w:sz="0" w:space="0" w:color="auto"/>
          </w:divBdr>
        </w:div>
        <w:div w:id="1819833862">
          <w:marLeft w:val="547"/>
          <w:marRight w:val="0"/>
          <w:marTop w:val="240"/>
          <w:marBottom w:val="0"/>
          <w:divBdr>
            <w:top w:val="none" w:sz="0" w:space="0" w:color="auto"/>
            <w:left w:val="none" w:sz="0" w:space="0" w:color="auto"/>
            <w:bottom w:val="none" w:sz="0" w:space="0" w:color="auto"/>
            <w:right w:val="none" w:sz="0" w:space="0" w:color="auto"/>
          </w:divBdr>
        </w:div>
        <w:div w:id="1929850878">
          <w:marLeft w:val="1166"/>
          <w:marRight w:val="0"/>
          <w:marTop w:val="0"/>
          <w:marBottom w:val="0"/>
          <w:divBdr>
            <w:top w:val="none" w:sz="0" w:space="0" w:color="auto"/>
            <w:left w:val="none" w:sz="0" w:space="0" w:color="auto"/>
            <w:bottom w:val="none" w:sz="0" w:space="0" w:color="auto"/>
            <w:right w:val="none" w:sz="0" w:space="0" w:color="auto"/>
          </w:divBdr>
        </w:div>
      </w:divsChild>
    </w:div>
    <w:div w:id="1252857760">
      <w:bodyDiv w:val="1"/>
      <w:marLeft w:val="0"/>
      <w:marRight w:val="0"/>
      <w:marTop w:val="0"/>
      <w:marBottom w:val="0"/>
      <w:divBdr>
        <w:top w:val="none" w:sz="0" w:space="0" w:color="auto"/>
        <w:left w:val="none" w:sz="0" w:space="0" w:color="auto"/>
        <w:bottom w:val="none" w:sz="0" w:space="0" w:color="auto"/>
        <w:right w:val="none" w:sz="0" w:space="0" w:color="auto"/>
      </w:divBdr>
    </w:div>
    <w:div w:id="1257711214">
      <w:bodyDiv w:val="1"/>
      <w:marLeft w:val="0"/>
      <w:marRight w:val="0"/>
      <w:marTop w:val="0"/>
      <w:marBottom w:val="0"/>
      <w:divBdr>
        <w:top w:val="none" w:sz="0" w:space="0" w:color="auto"/>
        <w:left w:val="none" w:sz="0" w:space="0" w:color="auto"/>
        <w:bottom w:val="none" w:sz="0" w:space="0" w:color="auto"/>
        <w:right w:val="none" w:sz="0" w:space="0" w:color="auto"/>
      </w:divBdr>
    </w:div>
    <w:div w:id="1268469497">
      <w:bodyDiv w:val="1"/>
      <w:marLeft w:val="0"/>
      <w:marRight w:val="0"/>
      <w:marTop w:val="0"/>
      <w:marBottom w:val="0"/>
      <w:divBdr>
        <w:top w:val="none" w:sz="0" w:space="0" w:color="auto"/>
        <w:left w:val="none" w:sz="0" w:space="0" w:color="auto"/>
        <w:bottom w:val="none" w:sz="0" w:space="0" w:color="auto"/>
        <w:right w:val="none" w:sz="0" w:space="0" w:color="auto"/>
      </w:divBdr>
    </w:div>
    <w:div w:id="1271398767">
      <w:bodyDiv w:val="1"/>
      <w:marLeft w:val="0"/>
      <w:marRight w:val="0"/>
      <w:marTop w:val="0"/>
      <w:marBottom w:val="0"/>
      <w:divBdr>
        <w:top w:val="none" w:sz="0" w:space="0" w:color="auto"/>
        <w:left w:val="none" w:sz="0" w:space="0" w:color="auto"/>
        <w:bottom w:val="none" w:sz="0" w:space="0" w:color="auto"/>
        <w:right w:val="none" w:sz="0" w:space="0" w:color="auto"/>
      </w:divBdr>
    </w:div>
    <w:div w:id="1278828545">
      <w:bodyDiv w:val="1"/>
      <w:marLeft w:val="0"/>
      <w:marRight w:val="0"/>
      <w:marTop w:val="0"/>
      <w:marBottom w:val="0"/>
      <w:divBdr>
        <w:top w:val="none" w:sz="0" w:space="0" w:color="auto"/>
        <w:left w:val="none" w:sz="0" w:space="0" w:color="auto"/>
        <w:bottom w:val="none" w:sz="0" w:space="0" w:color="auto"/>
        <w:right w:val="none" w:sz="0" w:space="0" w:color="auto"/>
      </w:divBdr>
    </w:div>
    <w:div w:id="1283345815">
      <w:bodyDiv w:val="1"/>
      <w:marLeft w:val="0"/>
      <w:marRight w:val="0"/>
      <w:marTop w:val="0"/>
      <w:marBottom w:val="0"/>
      <w:divBdr>
        <w:top w:val="none" w:sz="0" w:space="0" w:color="auto"/>
        <w:left w:val="none" w:sz="0" w:space="0" w:color="auto"/>
        <w:bottom w:val="none" w:sz="0" w:space="0" w:color="auto"/>
        <w:right w:val="none" w:sz="0" w:space="0" w:color="auto"/>
      </w:divBdr>
      <w:divsChild>
        <w:div w:id="373964493">
          <w:marLeft w:val="1166"/>
          <w:marRight w:val="0"/>
          <w:marTop w:val="120"/>
          <w:marBottom w:val="0"/>
          <w:divBdr>
            <w:top w:val="none" w:sz="0" w:space="0" w:color="auto"/>
            <w:left w:val="none" w:sz="0" w:space="0" w:color="auto"/>
            <w:bottom w:val="none" w:sz="0" w:space="0" w:color="auto"/>
            <w:right w:val="none" w:sz="0" w:space="0" w:color="auto"/>
          </w:divBdr>
        </w:div>
        <w:div w:id="1109932038">
          <w:marLeft w:val="1166"/>
          <w:marRight w:val="0"/>
          <w:marTop w:val="240"/>
          <w:marBottom w:val="120"/>
          <w:divBdr>
            <w:top w:val="none" w:sz="0" w:space="0" w:color="auto"/>
            <w:left w:val="none" w:sz="0" w:space="0" w:color="auto"/>
            <w:bottom w:val="none" w:sz="0" w:space="0" w:color="auto"/>
            <w:right w:val="none" w:sz="0" w:space="0" w:color="auto"/>
          </w:divBdr>
        </w:div>
        <w:div w:id="1167791274">
          <w:marLeft w:val="547"/>
          <w:marRight w:val="0"/>
          <w:marTop w:val="240"/>
          <w:marBottom w:val="0"/>
          <w:divBdr>
            <w:top w:val="none" w:sz="0" w:space="0" w:color="auto"/>
            <w:left w:val="none" w:sz="0" w:space="0" w:color="auto"/>
            <w:bottom w:val="none" w:sz="0" w:space="0" w:color="auto"/>
            <w:right w:val="none" w:sz="0" w:space="0" w:color="auto"/>
          </w:divBdr>
        </w:div>
        <w:div w:id="1610578589">
          <w:marLeft w:val="1166"/>
          <w:marRight w:val="0"/>
          <w:marTop w:val="120"/>
          <w:marBottom w:val="0"/>
          <w:divBdr>
            <w:top w:val="none" w:sz="0" w:space="0" w:color="auto"/>
            <w:left w:val="none" w:sz="0" w:space="0" w:color="auto"/>
            <w:bottom w:val="none" w:sz="0" w:space="0" w:color="auto"/>
            <w:right w:val="none" w:sz="0" w:space="0" w:color="auto"/>
          </w:divBdr>
        </w:div>
        <w:div w:id="1946381213">
          <w:marLeft w:val="547"/>
          <w:marRight w:val="0"/>
          <w:marTop w:val="240"/>
          <w:marBottom w:val="120"/>
          <w:divBdr>
            <w:top w:val="none" w:sz="0" w:space="0" w:color="auto"/>
            <w:left w:val="none" w:sz="0" w:space="0" w:color="auto"/>
            <w:bottom w:val="none" w:sz="0" w:space="0" w:color="auto"/>
            <w:right w:val="none" w:sz="0" w:space="0" w:color="auto"/>
          </w:divBdr>
        </w:div>
      </w:divsChild>
    </w:div>
    <w:div w:id="1325204941">
      <w:bodyDiv w:val="1"/>
      <w:marLeft w:val="0"/>
      <w:marRight w:val="0"/>
      <w:marTop w:val="0"/>
      <w:marBottom w:val="0"/>
      <w:divBdr>
        <w:top w:val="none" w:sz="0" w:space="0" w:color="auto"/>
        <w:left w:val="none" w:sz="0" w:space="0" w:color="auto"/>
        <w:bottom w:val="none" w:sz="0" w:space="0" w:color="auto"/>
        <w:right w:val="none" w:sz="0" w:space="0" w:color="auto"/>
      </w:divBdr>
    </w:div>
    <w:div w:id="1351108575">
      <w:bodyDiv w:val="1"/>
      <w:marLeft w:val="0"/>
      <w:marRight w:val="0"/>
      <w:marTop w:val="0"/>
      <w:marBottom w:val="0"/>
      <w:divBdr>
        <w:top w:val="none" w:sz="0" w:space="0" w:color="auto"/>
        <w:left w:val="none" w:sz="0" w:space="0" w:color="auto"/>
        <w:bottom w:val="none" w:sz="0" w:space="0" w:color="auto"/>
        <w:right w:val="none" w:sz="0" w:space="0" w:color="auto"/>
      </w:divBdr>
    </w:div>
    <w:div w:id="1352683930">
      <w:bodyDiv w:val="1"/>
      <w:marLeft w:val="0"/>
      <w:marRight w:val="0"/>
      <w:marTop w:val="0"/>
      <w:marBottom w:val="0"/>
      <w:divBdr>
        <w:top w:val="none" w:sz="0" w:space="0" w:color="auto"/>
        <w:left w:val="none" w:sz="0" w:space="0" w:color="auto"/>
        <w:bottom w:val="none" w:sz="0" w:space="0" w:color="auto"/>
        <w:right w:val="none" w:sz="0" w:space="0" w:color="auto"/>
      </w:divBdr>
    </w:div>
    <w:div w:id="1364478345">
      <w:bodyDiv w:val="1"/>
      <w:marLeft w:val="0"/>
      <w:marRight w:val="0"/>
      <w:marTop w:val="0"/>
      <w:marBottom w:val="0"/>
      <w:divBdr>
        <w:top w:val="none" w:sz="0" w:space="0" w:color="auto"/>
        <w:left w:val="none" w:sz="0" w:space="0" w:color="auto"/>
        <w:bottom w:val="none" w:sz="0" w:space="0" w:color="auto"/>
        <w:right w:val="none" w:sz="0" w:space="0" w:color="auto"/>
      </w:divBdr>
    </w:div>
    <w:div w:id="1372145073">
      <w:bodyDiv w:val="1"/>
      <w:marLeft w:val="0"/>
      <w:marRight w:val="0"/>
      <w:marTop w:val="0"/>
      <w:marBottom w:val="0"/>
      <w:divBdr>
        <w:top w:val="none" w:sz="0" w:space="0" w:color="auto"/>
        <w:left w:val="none" w:sz="0" w:space="0" w:color="auto"/>
        <w:bottom w:val="none" w:sz="0" w:space="0" w:color="auto"/>
        <w:right w:val="none" w:sz="0" w:space="0" w:color="auto"/>
      </w:divBdr>
      <w:divsChild>
        <w:div w:id="359092870">
          <w:marLeft w:val="1166"/>
          <w:marRight w:val="0"/>
          <w:marTop w:val="0"/>
          <w:marBottom w:val="0"/>
          <w:divBdr>
            <w:top w:val="none" w:sz="0" w:space="0" w:color="auto"/>
            <w:left w:val="none" w:sz="0" w:space="0" w:color="auto"/>
            <w:bottom w:val="none" w:sz="0" w:space="0" w:color="auto"/>
            <w:right w:val="none" w:sz="0" w:space="0" w:color="auto"/>
          </w:divBdr>
        </w:div>
        <w:div w:id="656030319">
          <w:marLeft w:val="1166"/>
          <w:marRight w:val="0"/>
          <w:marTop w:val="0"/>
          <w:marBottom w:val="0"/>
          <w:divBdr>
            <w:top w:val="none" w:sz="0" w:space="0" w:color="auto"/>
            <w:left w:val="none" w:sz="0" w:space="0" w:color="auto"/>
            <w:bottom w:val="none" w:sz="0" w:space="0" w:color="auto"/>
            <w:right w:val="none" w:sz="0" w:space="0" w:color="auto"/>
          </w:divBdr>
        </w:div>
        <w:div w:id="882984212">
          <w:marLeft w:val="1166"/>
          <w:marRight w:val="0"/>
          <w:marTop w:val="0"/>
          <w:marBottom w:val="0"/>
          <w:divBdr>
            <w:top w:val="none" w:sz="0" w:space="0" w:color="auto"/>
            <w:left w:val="none" w:sz="0" w:space="0" w:color="auto"/>
            <w:bottom w:val="none" w:sz="0" w:space="0" w:color="auto"/>
            <w:right w:val="none" w:sz="0" w:space="0" w:color="auto"/>
          </w:divBdr>
        </w:div>
      </w:divsChild>
    </w:div>
    <w:div w:id="1395469440">
      <w:bodyDiv w:val="1"/>
      <w:marLeft w:val="0"/>
      <w:marRight w:val="0"/>
      <w:marTop w:val="0"/>
      <w:marBottom w:val="0"/>
      <w:divBdr>
        <w:top w:val="none" w:sz="0" w:space="0" w:color="auto"/>
        <w:left w:val="none" w:sz="0" w:space="0" w:color="auto"/>
        <w:bottom w:val="none" w:sz="0" w:space="0" w:color="auto"/>
        <w:right w:val="none" w:sz="0" w:space="0" w:color="auto"/>
      </w:divBdr>
      <w:divsChild>
        <w:div w:id="669795515">
          <w:marLeft w:val="0"/>
          <w:marRight w:val="0"/>
          <w:marTop w:val="0"/>
          <w:marBottom w:val="0"/>
          <w:divBdr>
            <w:top w:val="none" w:sz="0" w:space="0" w:color="auto"/>
            <w:left w:val="none" w:sz="0" w:space="0" w:color="auto"/>
            <w:bottom w:val="none" w:sz="0" w:space="0" w:color="auto"/>
            <w:right w:val="none" w:sz="0" w:space="0" w:color="auto"/>
          </w:divBdr>
          <w:divsChild>
            <w:div w:id="100957494">
              <w:marLeft w:val="0"/>
              <w:marRight w:val="0"/>
              <w:marTop w:val="0"/>
              <w:marBottom w:val="0"/>
              <w:divBdr>
                <w:top w:val="none" w:sz="0" w:space="0" w:color="auto"/>
                <w:left w:val="none" w:sz="0" w:space="0" w:color="auto"/>
                <w:bottom w:val="none" w:sz="0" w:space="0" w:color="auto"/>
                <w:right w:val="none" w:sz="0" w:space="0" w:color="auto"/>
              </w:divBdr>
            </w:div>
            <w:div w:id="1498614788">
              <w:marLeft w:val="0"/>
              <w:marRight w:val="0"/>
              <w:marTop w:val="0"/>
              <w:marBottom w:val="0"/>
              <w:divBdr>
                <w:top w:val="none" w:sz="0" w:space="0" w:color="auto"/>
                <w:left w:val="none" w:sz="0" w:space="0" w:color="auto"/>
                <w:bottom w:val="none" w:sz="0" w:space="0" w:color="auto"/>
                <w:right w:val="none" w:sz="0" w:space="0" w:color="auto"/>
              </w:divBdr>
            </w:div>
            <w:div w:id="1963535207">
              <w:marLeft w:val="0"/>
              <w:marRight w:val="0"/>
              <w:marTop w:val="0"/>
              <w:marBottom w:val="0"/>
              <w:divBdr>
                <w:top w:val="none" w:sz="0" w:space="0" w:color="auto"/>
                <w:left w:val="none" w:sz="0" w:space="0" w:color="auto"/>
                <w:bottom w:val="none" w:sz="0" w:space="0" w:color="auto"/>
                <w:right w:val="none" w:sz="0" w:space="0" w:color="auto"/>
              </w:divBdr>
              <w:divsChild>
                <w:div w:id="88679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954783">
          <w:marLeft w:val="0"/>
          <w:marRight w:val="0"/>
          <w:marTop w:val="0"/>
          <w:marBottom w:val="0"/>
          <w:divBdr>
            <w:top w:val="none" w:sz="0" w:space="0" w:color="auto"/>
            <w:left w:val="none" w:sz="0" w:space="0" w:color="auto"/>
            <w:bottom w:val="none" w:sz="0" w:space="0" w:color="auto"/>
            <w:right w:val="none" w:sz="0" w:space="0" w:color="auto"/>
          </w:divBdr>
          <w:divsChild>
            <w:div w:id="278411284">
              <w:marLeft w:val="0"/>
              <w:marRight w:val="0"/>
              <w:marTop w:val="0"/>
              <w:marBottom w:val="0"/>
              <w:divBdr>
                <w:top w:val="none" w:sz="0" w:space="0" w:color="auto"/>
                <w:left w:val="none" w:sz="0" w:space="0" w:color="auto"/>
                <w:bottom w:val="none" w:sz="0" w:space="0" w:color="auto"/>
                <w:right w:val="none" w:sz="0" w:space="0" w:color="auto"/>
              </w:divBdr>
              <w:divsChild>
                <w:div w:id="873928936">
                  <w:marLeft w:val="0"/>
                  <w:marRight w:val="0"/>
                  <w:marTop w:val="0"/>
                  <w:marBottom w:val="0"/>
                  <w:divBdr>
                    <w:top w:val="none" w:sz="0" w:space="0" w:color="auto"/>
                    <w:left w:val="none" w:sz="0" w:space="0" w:color="auto"/>
                    <w:bottom w:val="none" w:sz="0" w:space="0" w:color="auto"/>
                    <w:right w:val="none" w:sz="0" w:space="0" w:color="auto"/>
                  </w:divBdr>
                  <w:divsChild>
                    <w:div w:id="1476407821">
                      <w:marLeft w:val="0"/>
                      <w:marRight w:val="0"/>
                      <w:marTop w:val="0"/>
                      <w:marBottom w:val="0"/>
                      <w:divBdr>
                        <w:top w:val="none" w:sz="0" w:space="0" w:color="auto"/>
                        <w:left w:val="none" w:sz="0" w:space="0" w:color="auto"/>
                        <w:bottom w:val="none" w:sz="0" w:space="0" w:color="auto"/>
                        <w:right w:val="none" w:sz="0" w:space="0" w:color="auto"/>
                      </w:divBdr>
                      <w:divsChild>
                        <w:div w:id="185568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72403">
                  <w:marLeft w:val="0"/>
                  <w:marRight w:val="0"/>
                  <w:marTop w:val="0"/>
                  <w:marBottom w:val="0"/>
                  <w:divBdr>
                    <w:top w:val="none" w:sz="0" w:space="0" w:color="auto"/>
                    <w:left w:val="none" w:sz="0" w:space="0" w:color="auto"/>
                    <w:bottom w:val="none" w:sz="0" w:space="0" w:color="auto"/>
                    <w:right w:val="none" w:sz="0" w:space="0" w:color="auto"/>
                  </w:divBdr>
                </w:div>
              </w:divsChild>
            </w:div>
            <w:div w:id="486363114">
              <w:marLeft w:val="0"/>
              <w:marRight w:val="0"/>
              <w:marTop w:val="0"/>
              <w:marBottom w:val="0"/>
              <w:divBdr>
                <w:top w:val="none" w:sz="0" w:space="0" w:color="auto"/>
                <w:left w:val="none" w:sz="0" w:space="0" w:color="auto"/>
                <w:bottom w:val="none" w:sz="0" w:space="0" w:color="auto"/>
                <w:right w:val="none" w:sz="0" w:space="0" w:color="auto"/>
              </w:divBdr>
            </w:div>
            <w:div w:id="1017275653">
              <w:marLeft w:val="0"/>
              <w:marRight w:val="0"/>
              <w:marTop w:val="0"/>
              <w:marBottom w:val="0"/>
              <w:divBdr>
                <w:top w:val="none" w:sz="0" w:space="0" w:color="auto"/>
                <w:left w:val="none" w:sz="0" w:space="0" w:color="auto"/>
                <w:bottom w:val="none" w:sz="0" w:space="0" w:color="auto"/>
                <w:right w:val="none" w:sz="0" w:space="0" w:color="auto"/>
              </w:divBdr>
              <w:divsChild>
                <w:div w:id="209501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018329">
      <w:bodyDiv w:val="1"/>
      <w:marLeft w:val="0"/>
      <w:marRight w:val="0"/>
      <w:marTop w:val="0"/>
      <w:marBottom w:val="0"/>
      <w:divBdr>
        <w:top w:val="none" w:sz="0" w:space="0" w:color="auto"/>
        <w:left w:val="none" w:sz="0" w:space="0" w:color="auto"/>
        <w:bottom w:val="none" w:sz="0" w:space="0" w:color="auto"/>
        <w:right w:val="none" w:sz="0" w:space="0" w:color="auto"/>
      </w:divBdr>
    </w:div>
    <w:div w:id="1442722663">
      <w:bodyDiv w:val="1"/>
      <w:marLeft w:val="0"/>
      <w:marRight w:val="0"/>
      <w:marTop w:val="0"/>
      <w:marBottom w:val="0"/>
      <w:divBdr>
        <w:top w:val="none" w:sz="0" w:space="0" w:color="auto"/>
        <w:left w:val="none" w:sz="0" w:space="0" w:color="auto"/>
        <w:bottom w:val="none" w:sz="0" w:space="0" w:color="auto"/>
        <w:right w:val="none" w:sz="0" w:space="0" w:color="auto"/>
      </w:divBdr>
    </w:div>
    <w:div w:id="1452016922">
      <w:bodyDiv w:val="1"/>
      <w:marLeft w:val="0"/>
      <w:marRight w:val="0"/>
      <w:marTop w:val="0"/>
      <w:marBottom w:val="0"/>
      <w:divBdr>
        <w:top w:val="none" w:sz="0" w:space="0" w:color="auto"/>
        <w:left w:val="none" w:sz="0" w:space="0" w:color="auto"/>
        <w:bottom w:val="none" w:sz="0" w:space="0" w:color="auto"/>
        <w:right w:val="none" w:sz="0" w:space="0" w:color="auto"/>
      </w:divBdr>
    </w:div>
    <w:div w:id="1455975845">
      <w:marLeft w:val="0"/>
      <w:marRight w:val="0"/>
      <w:marTop w:val="0"/>
      <w:marBottom w:val="0"/>
      <w:divBdr>
        <w:top w:val="none" w:sz="0" w:space="0" w:color="auto"/>
        <w:left w:val="none" w:sz="0" w:space="0" w:color="auto"/>
        <w:bottom w:val="none" w:sz="0" w:space="0" w:color="auto"/>
        <w:right w:val="none" w:sz="0" w:space="0" w:color="auto"/>
      </w:divBdr>
      <w:divsChild>
        <w:div w:id="185868462">
          <w:marLeft w:val="0"/>
          <w:marRight w:val="0"/>
          <w:marTop w:val="0"/>
          <w:marBottom w:val="0"/>
          <w:divBdr>
            <w:top w:val="none" w:sz="0" w:space="0" w:color="auto"/>
            <w:left w:val="none" w:sz="0" w:space="0" w:color="auto"/>
            <w:bottom w:val="none" w:sz="0" w:space="0" w:color="auto"/>
            <w:right w:val="none" w:sz="0" w:space="0" w:color="auto"/>
          </w:divBdr>
          <w:divsChild>
            <w:div w:id="1884126991">
              <w:marLeft w:val="0"/>
              <w:marRight w:val="0"/>
              <w:marTop w:val="0"/>
              <w:marBottom w:val="0"/>
              <w:divBdr>
                <w:top w:val="none" w:sz="0" w:space="0" w:color="auto"/>
                <w:left w:val="none" w:sz="0" w:space="0" w:color="auto"/>
                <w:bottom w:val="none" w:sz="0" w:space="0" w:color="auto"/>
                <w:right w:val="none" w:sz="0" w:space="0" w:color="auto"/>
              </w:divBdr>
              <w:divsChild>
                <w:div w:id="191042371">
                  <w:marLeft w:val="0"/>
                  <w:marRight w:val="0"/>
                  <w:marTop w:val="0"/>
                  <w:marBottom w:val="0"/>
                  <w:divBdr>
                    <w:top w:val="none" w:sz="0" w:space="0" w:color="auto"/>
                    <w:left w:val="none" w:sz="0" w:space="0" w:color="auto"/>
                    <w:bottom w:val="none" w:sz="0" w:space="0" w:color="auto"/>
                    <w:right w:val="none" w:sz="0" w:space="0" w:color="auto"/>
                  </w:divBdr>
                  <w:divsChild>
                    <w:div w:id="207377780">
                      <w:marLeft w:val="0"/>
                      <w:marRight w:val="0"/>
                      <w:marTop w:val="0"/>
                      <w:marBottom w:val="0"/>
                      <w:divBdr>
                        <w:top w:val="none" w:sz="0" w:space="0" w:color="auto"/>
                        <w:left w:val="none" w:sz="0" w:space="0" w:color="auto"/>
                        <w:bottom w:val="none" w:sz="0" w:space="0" w:color="auto"/>
                        <w:right w:val="none" w:sz="0" w:space="0" w:color="auto"/>
                      </w:divBdr>
                      <w:divsChild>
                        <w:div w:id="784235546">
                          <w:marLeft w:val="0"/>
                          <w:marRight w:val="0"/>
                          <w:marTop w:val="0"/>
                          <w:marBottom w:val="0"/>
                          <w:divBdr>
                            <w:top w:val="none" w:sz="0" w:space="0" w:color="auto"/>
                            <w:left w:val="none" w:sz="0" w:space="0" w:color="auto"/>
                            <w:bottom w:val="none" w:sz="0" w:space="0" w:color="auto"/>
                            <w:right w:val="none" w:sz="0" w:space="0" w:color="auto"/>
                          </w:divBdr>
                          <w:divsChild>
                            <w:div w:id="39941530">
                              <w:marLeft w:val="0"/>
                              <w:marRight w:val="-150"/>
                              <w:marTop w:val="0"/>
                              <w:marBottom w:val="0"/>
                              <w:divBdr>
                                <w:top w:val="none" w:sz="0" w:space="0" w:color="auto"/>
                                <w:left w:val="none" w:sz="0" w:space="0" w:color="auto"/>
                                <w:bottom w:val="none" w:sz="0" w:space="0" w:color="auto"/>
                                <w:right w:val="none" w:sz="0" w:space="0" w:color="auto"/>
                              </w:divBdr>
                              <w:divsChild>
                                <w:div w:id="1760323243">
                                  <w:marLeft w:val="0"/>
                                  <w:marRight w:val="0"/>
                                  <w:marTop w:val="0"/>
                                  <w:marBottom w:val="0"/>
                                  <w:divBdr>
                                    <w:top w:val="none" w:sz="0" w:space="0" w:color="auto"/>
                                    <w:left w:val="none" w:sz="0" w:space="0" w:color="auto"/>
                                    <w:bottom w:val="none" w:sz="0" w:space="0" w:color="auto"/>
                                    <w:right w:val="none" w:sz="0" w:space="0" w:color="auto"/>
                                  </w:divBdr>
                                  <w:divsChild>
                                    <w:div w:id="496308688">
                                      <w:marLeft w:val="0"/>
                                      <w:marRight w:val="0"/>
                                      <w:marTop w:val="0"/>
                                      <w:marBottom w:val="0"/>
                                      <w:divBdr>
                                        <w:top w:val="none" w:sz="0" w:space="0" w:color="auto"/>
                                        <w:left w:val="none" w:sz="0" w:space="0" w:color="auto"/>
                                        <w:bottom w:val="none" w:sz="0" w:space="0" w:color="auto"/>
                                        <w:right w:val="none" w:sz="0" w:space="0" w:color="auto"/>
                                      </w:divBdr>
                                      <w:divsChild>
                                        <w:div w:id="30022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781827">
                                  <w:marLeft w:val="0"/>
                                  <w:marRight w:val="0"/>
                                  <w:marTop w:val="0"/>
                                  <w:marBottom w:val="0"/>
                                  <w:divBdr>
                                    <w:top w:val="none" w:sz="0" w:space="0" w:color="auto"/>
                                    <w:left w:val="none" w:sz="0" w:space="0" w:color="auto"/>
                                    <w:bottom w:val="none" w:sz="0" w:space="0" w:color="auto"/>
                                    <w:right w:val="none" w:sz="0" w:space="0" w:color="auto"/>
                                  </w:divBdr>
                                  <w:divsChild>
                                    <w:div w:id="386032244">
                                      <w:marLeft w:val="0"/>
                                      <w:marRight w:val="0"/>
                                      <w:marTop w:val="0"/>
                                      <w:marBottom w:val="0"/>
                                      <w:divBdr>
                                        <w:top w:val="none" w:sz="0" w:space="0" w:color="auto"/>
                                        <w:left w:val="none" w:sz="0" w:space="0" w:color="auto"/>
                                        <w:bottom w:val="none" w:sz="0" w:space="0" w:color="auto"/>
                                        <w:right w:val="none" w:sz="0" w:space="0" w:color="auto"/>
                                      </w:divBdr>
                                    </w:div>
                                    <w:div w:id="623116304">
                                      <w:marLeft w:val="0"/>
                                      <w:marRight w:val="0"/>
                                      <w:marTop w:val="0"/>
                                      <w:marBottom w:val="0"/>
                                      <w:divBdr>
                                        <w:top w:val="none" w:sz="0" w:space="0" w:color="auto"/>
                                        <w:left w:val="none" w:sz="0" w:space="0" w:color="auto"/>
                                        <w:bottom w:val="none" w:sz="0" w:space="0" w:color="auto"/>
                                        <w:right w:val="none" w:sz="0" w:space="0" w:color="auto"/>
                                      </w:divBdr>
                                    </w:div>
                                    <w:div w:id="813303373">
                                      <w:marLeft w:val="0"/>
                                      <w:marRight w:val="0"/>
                                      <w:marTop w:val="0"/>
                                      <w:marBottom w:val="0"/>
                                      <w:divBdr>
                                        <w:top w:val="none" w:sz="0" w:space="0" w:color="auto"/>
                                        <w:left w:val="none" w:sz="0" w:space="0" w:color="auto"/>
                                        <w:bottom w:val="none" w:sz="0" w:space="0" w:color="auto"/>
                                        <w:right w:val="none" w:sz="0" w:space="0" w:color="auto"/>
                                      </w:divBdr>
                                      <w:divsChild>
                                        <w:div w:id="1200388159">
                                          <w:marLeft w:val="0"/>
                                          <w:marRight w:val="0"/>
                                          <w:marTop w:val="0"/>
                                          <w:marBottom w:val="0"/>
                                          <w:divBdr>
                                            <w:top w:val="none" w:sz="0" w:space="0" w:color="auto"/>
                                            <w:left w:val="none" w:sz="0" w:space="0" w:color="auto"/>
                                            <w:bottom w:val="none" w:sz="0" w:space="0" w:color="auto"/>
                                            <w:right w:val="none" w:sz="0" w:space="0" w:color="auto"/>
                                          </w:divBdr>
                                        </w:div>
                                      </w:divsChild>
                                    </w:div>
                                    <w:div w:id="99183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052282">
                      <w:marLeft w:val="0"/>
                      <w:marRight w:val="0"/>
                      <w:marTop w:val="0"/>
                      <w:marBottom w:val="0"/>
                      <w:divBdr>
                        <w:top w:val="none" w:sz="0" w:space="0" w:color="auto"/>
                        <w:left w:val="none" w:sz="0" w:space="0" w:color="auto"/>
                        <w:bottom w:val="none" w:sz="0" w:space="0" w:color="auto"/>
                        <w:right w:val="none" w:sz="0" w:space="0" w:color="auto"/>
                      </w:divBdr>
                      <w:divsChild>
                        <w:div w:id="2035614797">
                          <w:marLeft w:val="0"/>
                          <w:marRight w:val="0"/>
                          <w:marTop w:val="0"/>
                          <w:marBottom w:val="0"/>
                          <w:divBdr>
                            <w:top w:val="none" w:sz="0" w:space="0" w:color="auto"/>
                            <w:left w:val="none" w:sz="0" w:space="0" w:color="auto"/>
                            <w:bottom w:val="none" w:sz="0" w:space="0" w:color="auto"/>
                            <w:right w:val="none" w:sz="0" w:space="0" w:color="auto"/>
                          </w:divBdr>
                          <w:divsChild>
                            <w:div w:id="1526094981">
                              <w:marLeft w:val="0"/>
                              <w:marRight w:val="-150"/>
                              <w:marTop w:val="0"/>
                              <w:marBottom w:val="0"/>
                              <w:divBdr>
                                <w:top w:val="none" w:sz="0" w:space="0" w:color="auto"/>
                                <w:left w:val="none" w:sz="0" w:space="0" w:color="auto"/>
                                <w:bottom w:val="none" w:sz="0" w:space="0" w:color="auto"/>
                                <w:right w:val="none" w:sz="0" w:space="0" w:color="auto"/>
                              </w:divBdr>
                              <w:divsChild>
                                <w:div w:id="176698534">
                                  <w:marLeft w:val="0"/>
                                  <w:marRight w:val="0"/>
                                  <w:marTop w:val="0"/>
                                  <w:marBottom w:val="0"/>
                                  <w:divBdr>
                                    <w:top w:val="none" w:sz="0" w:space="0" w:color="auto"/>
                                    <w:left w:val="none" w:sz="0" w:space="0" w:color="auto"/>
                                    <w:bottom w:val="none" w:sz="0" w:space="0" w:color="auto"/>
                                    <w:right w:val="none" w:sz="0" w:space="0" w:color="auto"/>
                                  </w:divBdr>
                                  <w:divsChild>
                                    <w:div w:id="842207259">
                                      <w:marLeft w:val="0"/>
                                      <w:marRight w:val="0"/>
                                      <w:marTop w:val="0"/>
                                      <w:marBottom w:val="0"/>
                                      <w:divBdr>
                                        <w:top w:val="none" w:sz="0" w:space="0" w:color="auto"/>
                                        <w:left w:val="none" w:sz="0" w:space="0" w:color="auto"/>
                                        <w:bottom w:val="none" w:sz="0" w:space="0" w:color="auto"/>
                                        <w:right w:val="none" w:sz="0" w:space="0" w:color="auto"/>
                                      </w:divBdr>
                                    </w:div>
                                    <w:div w:id="1284312028">
                                      <w:marLeft w:val="0"/>
                                      <w:marRight w:val="0"/>
                                      <w:marTop w:val="0"/>
                                      <w:marBottom w:val="0"/>
                                      <w:divBdr>
                                        <w:top w:val="none" w:sz="0" w:space="0" w:color="auto"/>
                                        <w:left w:val="none" w:sz="0" w:space="0" w:color="auto"/>
                                        <w:bottom w:val="none" w:sz="0" w:space="0" w:color="auto"/>
                                        <w:right w:val="none" w:sz="0" w:space="0" w:color="auto"/>
                                      </w:divBdr>
                                    </w:div>
                                    <w:div w:id="1878467555">
                                      <w:marLeft w:val="0"/>
                                      <w:marRight w:val="0"/>
                                      <w:marTop w:val="0"/>
                                      <w:marBottom w:val="0"/>
                                      <w:divBdr>
                                        <w:top w:val="none" w:sz="0" w:space="0" w:color="auto"/>
                                        <w:left w:val="none" w:sz="0" w:space="0" w:color="auto"/>
                                        <w:bottom w:val="none" w:sz="0" w:space="0" w:color="auto"/>
                                        <w:right w:val="none" w:sz="0" w:space="0" w:color="auto"/>
                                      </w:divBdr>
                                    </w:div>
                                  </w:divsChild>
                                </w:div>
                                <w:div w:id="1728842177">
                                  <w:marLeft w:val="0"/>
                                  <w:marRight w:val="0"/>
                                  <w:marTop w:val="0"/>
                                  <w:marBottom w:val="0"/>
                                  <w:divBdr>
                                    <w:top w:val="none" w:sz="0" w:space="0" w:color="auto"/>
                                    <w:left w:val="none" w:sz="0" w:space="0" w:color="auto"/>
                                    <w:bottom w:val="none" w:sz="0" w:space="0" w:color="auto"/>
                                    <w:right w:val="none" w:sz="0" w:space="0" w:color="auto"/>
                                  </w:divBdr>
                                  <w:divsChild>
                                    <w:div w:id="350225457">
                                      <w:marLeft w:val="0"/>
                                      <w:marRight w:val="0"/>
                                      <w:marTop w:val="0"/>
                                      <w:marBottom w:val="0"/>
                                      <w:divBdr>
                                        <w:top w:val="none" w:sz="0" w:space="0" w:color="auto"/>
                                        <w:left w:val="none" w:sz="0" w:space="0" w:color="auto"/>
                                        <w:bottom w:val="none" w:sz="0" w:space="0" w:color="auto"/>
                                        <w:right w:val="none" w:sz="0" w:space="0" w:color="auto"/>
                                      </w:divBdr>
                                      <w:divsChild>
                                        <w:div w:id="18722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126393">
                      <w:marLeft w:val="0"/>
                      <w:marRight w:val="0"/>
                      <w:marTop w:val="0"/>
                      <w:marBottom w:val="0"/>
                      <w:divBdr>
                        <w:top w:val="none" w:sz="0" w:space="0" w:color="auto"/>
                        <w:left w:val="none" w:sz="0" w:space="0" w:color="auto"/>
                        <w:bottom w:val="none" w:sz="0" w:space="0" w:color="auto"/>
                        <w:right w:val="none" w:sz="0" w:space="0" w:color="auto"/>
                      </w:divBdr>
                    </w:div>
                    <w:div w:id="1887059055">
                      <w:marLeft w:val="0"/>
                      <w:marRight w:val="0"/>
                      <w:marTop w:val="0"/>
                      <w:marBottom w:val="0"/>
                      <w:divBdr>
                        <w:top w:val="none" w:sz="0" w:space="0" w:color="auto"/>
                        <w:left w:val="none" w:sz="0" w:space="0" w:color="auto"/>
                        <w:bottom w:val="none" w:sz="0" w:space="0" w:color="auto"/>
                        <w:right w:val="none" w:sz="0" w:space="0" w:color="auto"/>
                      </w:divBdr>
                      <w:divsChild>
                        <w:div w:id="512232355">
                          <w:marLeft w:val="0"/>
                          <w:marRight w:val="0"/>
                          <w:marTop w:val="0"/>
                          <w:marBottom w:val="0"/>
                          <w:divBdr>
                            <w:top w:val="none" w:sz="0" w:space="0" w:color="auto"/>
                            <w:left w:val="none" w:sz="0" w:space="0" w:color="auto"/>
                            <w:bottom w:val="none" w:sz="0" w:space="0" w:color="auto"/>
                            <w:right w:val="none" w:sz="0" w:space="0" w:color="auto"/>
                          </w:divBdr>
                          <w:divsChild>
                            <w:div w:id="303775432">
                              <w:marLeft w:val="0"/>
                              <w:marRight w:val="-150"/>
                              <w:marTop w:val="0"/>
                              <w:marBottom w:val="0"/>
                              <w:divBdr>
                                <w:top w:val="none" w:sz="0" w:space="0" w:color="auto"/>
                                <w:left w:val="none" w:sz="0" w:space="0" w:color="auto"/>
                                <w:bottom w:val="none" w:sz="0" w:space="0" w:color="auto"/>
                                <w:right w:val="none" w:sz="0" w:space="0" w:color="auto"/>
                              </w:divBdr>
                              <w:divsChild>
                                <w:div w:id="265239294">
                                  <w:marLeft w:val="0"/>
                                  <w:marRight w:val="0"/>
                                  <w:marTop w:val="0"/>
                                  <w:marBottom w:val="0"/>
                                  <w:divBdr>
                                    <w:top w:val="none" w:sz="0" w:space="0" w:color="auto"/>
                                    <w:left w:val="none" w:sz="0" w:space="0" w:color="auto"/>
                                    <w:bottom w:val="none" w:sz="0" w:space="0" w:color="auto"/>
                                    <w:right w:val="none" w:sz="0" w:space="0" w:color="auto"/>
                                  </w:divBdr>
                                  <w:divsChild>
                                    <w:div w:id="166792266">
                                      <w:marLeft w:val="0"/>
                                      <w:marRight w:val="0"/>
                                      <w:marTop w:val="0"/>
                                      <w:marBottom w:val="0"/>
                                      <w:divBdr>
                                        <w:top w:val="none" w:sz="0" w:space="0" w:color="auto"/>
                                        <w:left w:val="none" w:sz="0" w:space="0" w:color="auto"/>
                                        <w:bottom w:val="none" w:sz="0" w:space="0" w:color="auto"/>
                                        <w:right w:val="none" w:sz="0" w:space="0" w:color="auto"/>
                                      </w:divBdr>
                                      <w:divsChild>
                                        <w:div w:id="67372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015018">
                                  <w:marLeft w:val="0"/>
                                  <w:marRight w:val="0"/>
                                  <w:marTop w:val="0"/>
                                  <w:marBottom w:val="0"/>
                                  <w:divBdr>
                                    <w:top w:val="none" w:sz="0" w:space="0" w:color="auto"/>
                                    <w:left w:val="none" w:sz="0" w:space="0" w:color="auto"/>
                                    <w:bottom w:val="none" w:sz="0" w:space="0" w:color="auto"/>
                                    <w:right w:val="none" w:sz="0" w:space="0" w:color="auto"/>
                                  </w:divBdr>
                                  <w:divsChild>
                                    <w:div w:id="1171720378">
                                      <w:marLeft w:val="0"/>
                                      <w:marRight w:val="0"/>
                                      <w:marTop w:val="0"/>
                                      <w:marBottom w:val="0"/>
                                      <w:divBdr>
                                        <w:top w:val="none" w:sz="0" w:space="0" w:color="auto"/>
                                        <w:left w:val="none" w:sz="0" w:space="0" w:color="auto"/>
                                        <w:bottom w:val="none" w:sz="0" w:space="0" w:color="auto"/>
                                        <w:right w:val="none" w:sz="0" w:space="0" w:color="auto"/>
                                      </w:divBdr>
                                    </w:div>
                                    <w:div w:id="1604806402">
                                      <w:marLeft w:val="0"/>
                                      <w:marRight w:val="0"/>
                                      <w:marTop w:val="0"/>
                                      <w:marBottom w:val="0"/>
                                      <w:divBdr>
                                        <w:top w:val="none" w:sz="0" w:space="0" w:color="auto"/>
                                        <w:left w:val="none" w:sz="0" w:space="0" w:color="auto"/>
                                        <w:bottom w:val="none" w:sz="0" w:space="0" w:color="auto"/>
                                        <w:right w:val="none" w:sz="0" w:space="0" w:color="auto"/>
                                      </w:divBdr>
                                    </w:div>
                                    <w:div w:id="187900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7679480">
      <w:bodyDiv w:val="1"/>
      <w:marLeft w:val="0"/>
      <w:marRight w:val="0"/>
      <w:marTop w:val="0"/>
      <w:marBottom w:val="0"/>
      <w:divBdr>
        <w:top w:val="none" w:sz="0" w:space="0" w:color="auto"/>
        <w:left w:val="none" w:sz="0" w:space="0" w:color="auto"/>
        <w:bottom w:val="none" w:sz="0" w:space="0" w:color="auto"/>
        <w:right w:val="none" w:sz="0" w:space="0" w:color="auto"/>
      </w:divBdr>
    </w:div>
    <w:div w:id="1478452460">
      <w:bodyDiv w:val="1"/>
      <w:marLeft w:val="0"/>
      <w:marRight w:val="0"/>
      <w:marTop w:val="0"/>
      <w:marBottom w:val="0"/>
      <w:divBdr>
        <w:top w:val="none" w:sz="0" w:space="0" w:color="auto"/>
        <w:left w:val="none" w:sz="0" w:space="0" w:color="auto"/>
        <w:bottom w:val="none" w:sz="0" w:space="0" w:color="auto"/>
        <w:right w:val="none" w:sz="0" w:space="0" w:color="auto"/>
      </w:divBdr>
    </w:div>
    <w:div w:id="1487012531">
      <w:bodyDiv w:val="1"/>
      <w:marLeft w:val="0"/>
      <w:marRight w:val="0"/>
      <w:marTop w:val="0"/>
      <w:marBottom w:val="0"/>
      <w:divBdr>
        <w:top w:val="none" w:sz="0" w:space="0" w:color="auto"/>
        <w:left w:val="none" w:sz="0" w:space="0" w:color="auto"/>
        <w:bottom w:val="none" w:sz="0" w:space="0" w:color="auto"/>
        <w:right w:val="none" w:sz="0" w:space="0" w:color="auto"/>
      </w:divBdr>
    </w:div>
    <w:div w:id="1503008026">
      <w:bodyDiv w:val="1"/>
      <w:marLeft w:val="0"/>
      <w:marRight w:val="0"/>
      <w:marTop w:val="0"/>
      <w:marBottom w:val="0"/>
      <w:divBdr>
        <w:top w:val="none" w:sz="0" w:space="0" w:color="auto"/>
        <w:left w:val="none" w:sz="0" w:space="0" w:color="auto"/>
        <w:bottom w:val="none" w:sz="0" w:space="0" w:color="auto"/>
        <w:right w:val="none" w:sz="0" w:space="0" w:color="auto"/>
      </w:divBdr>
    </w:div>
    <w:div w:id="1512062244">
      <w:bodyDiv w:val="1"/>
      <w:marLeft w:val="0"/>
      <w:marRight w:val="0"/>
      <w:marTop w:val="0"/>
      <w:marBottom w:val="0"/>
      <w:divBdr>
        <w:top w:val="none" w:sz="0" w:space="0" w:color="auto"/>
        <w:left w:val="none" w:sz="0" w:space="0" w:color="auto"/>
        <w:bottom w:val="none" w:sz="0" w:space="0" w:color="auto"/>
        <w:right w:val="none" w:sz="0" w:space="0" w:color="auto"/>
      </w:divBdr>
    </w:div>
    <w:div w:id="1516965102">
      <w:bodyDiv w:val="1"/>
      <w:marLeft w:val="0"/>
      <w:marRight w:val="0"/>
      <w:marTop w:val="0"/>
      <w:marBottom w:val="0"/>
      <w:divBdr>
        <w:top w:val="none" w:sz="0" w:space="0" w:color="auto"/>
        <w:left w:val="none" w:sz="0" w:space="0" w:color="auto"/>
        <w:bottom w:val="none" w:sz="0" w:space="0" w:color="auto"/>
        <w:right w:val="none" w:sz="0" w:space="0" w:color="auto"/>
      </w:divBdr>
    </w:div>
    <w:div w:id="1525555870">
      <w:bodyDiv w:val="1"/>
      <w:marLeft w:val="0"/>
      <w:marRight w:val="0"/>
      <w:marTop w:val="0"/>
      <w:marBottom w:val="0"/>
      <w:divBdr>
        <w:top w:val="none" w:sz="0" w:space="0" w:color="auto"/>
        <w:left w:val="none" w:sz="0" w:space="0" w:color="auto"/>
        <w:bottom w:val="none" w:sz="0" w:space="0" w:color="auto"/>
        <w:right w:val="none" w:sz="0" w:space="0" w:color="auto"/>
      </w:divBdr>
    </w:div>
    <w:div w:id="1566138100">
      <w:bodyDiv w:val="1"/>
      <w:marLeft w:val="0"/>
      <w:marRight w:val="0"/>
      <w:marTop w:val="0"/>
      <w:marBottom w:val="0"/>
      <w:divBdr>
        <w:top w:val="none" w:sz="0" w:space="0" w:color="auto"/>
        <w:left w:val="none" w:sz="0" w:space="0" w:color="auto"/>
        <w:bottom w:val="none" w:sz="0" w:space="0" w:color="auto"/>
        <w:right w:val="none" w:sz="0" w:space="0" w:color="auto"/>
      </w:divBdr>
      <w:divsChild>
        <w:div w:id="156190151">
          <w:marLeft w:val="1166"/>
          <w:marRight w:val="0"/>
          <w:marTop w:val="0"/>
          <w:marBottom w:val="120"/>
          <w:divBdr>
            <w:top w:val="none" w:sz="0" w:space="0" w:color="auto"/>
            <w:left w:val="none" w:sz="0" w:space="0" w:color="auto"/>
            <w:bottom w:val="none" w:sz="0" w:space="0" w:color="auto"/>
            <w:right w:val="none" w:sz="0" w:space="0" w:color="auto"/>
          </w:divBdr>
        </w:div>
        <w:div w:id="225066252">
          <w:marLeft w:val="547"/>
          <w:marRight w:val="0"/>
          <w:marTop w:val="240"/>
          <w:marBottom w:val="120"/>
          <w:divBdr>
            <w:top w:val="none" w:sz="0" w:space="0" w:color="auto"/>
            <w:left w:val="none" w:sz="0" w:space="0" w:color="auto"/>
            <w:bottom w:val="none" w:sz="0" w:space="0" w:color="auto"/>
            <w:right w:val="none" w:sz="0" w:space="0" w:color="auto"/>
          </w:divBdr>
        </w:div>
        <w:div w:id="377900817">
          <w:marLeft w:val="1166"/>
          <w:marRight w:val="0"/>
          <w:marTop w:val="0"/>
          <w:marBottom w:val="120"/>
          <w:divBdr>
            <w:top w:val="none" w:sz="0" w:space="0" w:color="auto"/>
            <w:left w:val="none" w:sz="0" w:space="0" w:color="auto"/>
            <w:bottom w:val="none" w:sz="0" w:space="0" w:color="auto"/>
            <w:right w:val="none" w:sz="0" w:space="0" w:color="auto"/>
          </w:divBdr>
        </w:div>
        <w:div w:id="1100759453">
          <w:marLeft w:val="547"/>
          <w:marRight w:val="0"/>
          <w:marTop w:val="240"/>
          <w:marBottom w:val="0"/>
          <w:divBdr>
            <w:top w:val="none" w:sz="0" w:space="0" w:color="auto"/>
            <w:left w:val="none" w:sz="0" w:space="0" w:color="auto"/>
            <w:bottom w:val="none" w:sz="0" w:space="0" w:color="auto"/>
            <w:right w:val="none" w:sz="0" w:space="0" w:color="auto"/>
          </w:divBdr>
        </w:div>
        <w:div w:id="1165583102">
          <w:marLeft w:val="1166"/>
          <w:marRight w:val="0"/>
          <w:marTop w:val="0"/>
          <w:marBottom w:val="120"/>
          <w:divBdr>
            <w:top w:val="none" w:sz="0" w:space="0" w:color="auto"/>
            <w:left w:val="none" w:sz="0" w:space="0" w:color="auto"/>
            <w:bottom w:val="none" w:sz="0" w:space="0" w:color="auto"/>
            <w:right w:val="none" w:sz="0" w:space="0" w:color="auto"/>
          </w:divBdr>
        </w:div>
        <w:div w:id="1391416565">
          <w:marLeft w:val="1166"/>
          <w:marRight w:val="0"/>
          <w:marTop w:val="0"/>
          <w:marBottom w:val="120"/>
          <w:divBdr>
            <w:top w:val="none" w:sz="0" w:space="0" w:color="auto"/>
            <w:left w:val="none" w:sz="0" w:space="0" w:color="auto"/>
            <w:bottom w:val="none" w:sz="0" w:space="0" w:color="auto"/>
            <w:right w:val="none" w:sz="0" w:space="0" w:color="auto"/>
          </w:divBdr>
        </w:div>
        <w:div w:id="1801847232">
          <w:marLeft w:val="547"/>
          <w:marRight w:val="0"/>
          <w:marTop w:val="240"/>
          <w:marBottom w:val="0"/>
          <w:divBdr>
            <w:top w:val="none" w:sz="0" w:space="0" w:color="auto"/>
            <w:left w:val="none" w:sz="0" w:space="0" w:color="auto"/>
            <w:bottom w:val="none" w:sz="0" w:space="0" w:color="auto"/>
            <w:right w:val="none" w:sz="0" w:space="0" w:color="auto"/>
          </w:divBdr>
        </w:div>
      </w:divsChild>
    </w:div>
    <w:div w:id="1567490762">
      <w:bodyDiv w:val="1"/>
      <w:marLeft w:val="0"/>
      <w:marRight w:val="0"/>
      <w:marTop w:val="0"/>
      <w:marBottom w:val="0"/>
      <w:divBdr>
        <w:top w:val="none" w:sz="0" w:space="0" w:color="auto"/>
        <w:left w:val="none" w:sz="0" w:space="0" w:color="auto"/>
        <w:bottom w:val="none" w:sz="0" w:space="0" w:color="auto"/>
        <w:right w:val="none" w:sz="0" w:space="0" w:color="auto"/>
      </w:divBdr>
    </w:div>
    <w:div w:id="1581518540">
      <w:bodyDiv w:val="1"/>
      <w:marLeft w:val="0"/>
      <w:marRight w:val="0"/>
      <w:marTop w:val="0"/>
      <w:marBottom w:val="0"/>
      <w:divBdr>
        <w:top w:val="none" w:sz="0" w:space="0" w:color="auto"/>
        <w:left w:val="none" w:sz="0" w:space="0" w:color="auto"/>
        <w:bottom w:val="none" w:sz="0" w:space="0" w:color="auto"/>
        <w:right w:val="none" w:sz="0" w:space="0" w:color="auto"/>
      </w:divBdr>
    </w:div>
    <w:div w:id="1584535129">
      <w:marLeft w:val="0"/>
      <w:marRight w:val="0"/>
      <w:marTop w:val="0"/>
      <w:marBottom w:val="0"/>
      <w:divBdr>
        <w:top w:val="none" w:sz="0" w:space="0" w:color="auto"/>
        <w:left w:val="none" w:sz="0" w:space="0" w:color="auto"/>
        <w:bottom w:val="none" w:sz="0" w:space="0" w:color="auto"/>
        <w:right w:val="none" w:sz="0" w:space="0" w:color="auto"/>
      </w:divBdr>
      <w:divsChild>
        <w:div w:id="1116214422">
          <w:marLeft w:val="0"/>
          <w:marRight w:val="0"/>
          <w:marTop w:val="0"/>
          <w:marBottom w:val="0"/>
          <w:divBdr>
            <w:top w:val="none" w:sz="0" w:space="0" w:color="auto"/>
            <w:left w:val="none" w:sz="0" w:space="0" w:color="auto"/>
            <w:bottom w:val="none" w:sz="0" w:space="0" w:color="auto"/>
            <w:right w:val="none" w:sz="0" w:space="0" w:color="auto"/>
          </w:divBdr>
          <w:divsChild>
            <w:div w:id="395128987">
              <w:marLeft w:val="0"/>
              <w:marRight w:val="0"/>
              <w:marTop w:val="0"/>
              <w:marBottom w:val="0"/>
              <w:divBdr>
                <w:top w:val="none" w:sz="0" w:space="0" w:color="auto"/>
                <w:left w:val="none" w:sz="0" w:space="0" w:color="auto"/>
                <w:bottom w:val="none" w:sz="0" w:space="0" w:color="auto"/>
                <w:right w:val="none" w:sz="0" w:space="0" w:color="auto"/>
              </w:divBdr>
              <w:divsChild>
                <w:div w:id="1464077030">
                  <w:marLeft w:val="0"/>
                  <w:marRight w:val="0"/>
                  <w:marTop w:val="0"/>
                  <w:marBottom w:val="0"/>
                  <w:divBdr>
                    <w:top w:val="none" w:sz="0" w:space="0" w:color="auto"/>
                    <w:left w:val="none" w:sz="0" w:space="0" w:color="auto"/>
                    <w:bottom w:val="none" w:sz="0" w:space="0" w:color="auto"/>
                    <w:right w:val="none" w:sz="0" w:space="0" w:color="auto"/>
                  </w:divBdr>
                  <w:divsChild>
                    <w:div w:id="287008661">
                      <w:marLeft w:val="0"/>
                      <w:marRight w:val="0"/>
                      <w:marTop w:val="0"/>
                      <w:marBottom w:val="0"/>
                      <w:divBdr>
                        <w:top w:val="none" w:sz="0" w:space="0" w:color="auto"/>
                        <w:left w:val="none" w:sz="0" w:space="0" w:color="auto"/>
                        <w:bottom w:val="none" w:sz="0" w:space="0" w:color="auto"/>
                        <w:right w:val="none" w:sz="0" w:space="0" w:color="auto"/>
                      </w:divBdr>
                      <w:divsChild>
                        <w:div w:id="1351223731">
                          <w:marLeft w:val="0"/>
                          <w:marRight w:val="0"/>
                          <w:marTop w:val="0"/>
                          <w:marBottom w:val="0"/>
                          <w:divBdr>
                            <w:top w:val="none" w:sz="0" w:space="0" w:color="auto"/>
                            <w:left w:val="none" w:sz="0" w:space="0" w:color="auto"/>
                            <w:bottom w:val="none" w:sz="0" w:space="0" w:color="auto"/>
                            <w:right w:val="none" w:sz="0" w:space="0" w:color="auto"/>
                          </w:divBdr>
                          <w:divsChild>
                            <w:div w:id="1356884895">
                              <w:marLeft w:val="0"/>
                              <w:marRight w:val="0"/>
                              <w:marTop w:val="0"/>
                              <w:marBottom w:val="0"/>
                              <w:divBdr>
                                <w:top w:val="none" w:sz="0" w:space="0" w:color="auto"/>
                                <w:left w:val="none" w:sz="0" w:space="0" w:color="auto"/>
                                <w:bottom w:val="none" w:sz="0" w:space="0" w:color="auto"/>
                                <w:right w:val="none" w:sz="0" w:space="0" w:color="auto"/>
                              </w:divBdr>
                              <w:divsChild>
                                <w:div w:id="107959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79841">
                          <w:marLeft w:val="0"/>
                          <w:marRight w:val="0"/>
                          <w:marTop w:val="0"/>
                          <w:marBottom w:val="0"/>
                          <w:divBdr>
                            <w:top w:val="none" w:sz="0" w:space="0" w:color="auto"/>
                            <w:left w:val="none" w:sz="0" w:space="0" w:color="auto"/>
                            <w:bottom w:val="none" w:sz="0" w:space="0" w:color="auto"/>
                            <w:right w:val="none" w:sz="0" w:space="0" w:color="auto"/>
                          </w:divBdr>
                          <w:divsChild>
                            <w:div w:id="57404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05517">
                      <w:marLeft w:val="0"/>
                      <w:marRight w:val="0"/>
                      <w:marTop w:val="0"/>
                      <w:marBottom w:val="0"/>
                      <w:divBdr>
                        <w:top w:val="none" w:sz="0" w:space="0" w:color="auto"/>
                        <w:left w:val="none" w:sz="0" w:space="0" w:color="auto"/>
                        <w:bottom w:val="none" w:sz="0" w:space="0" w:color="auto"/>
                        <w:right w:val="none" w:sz="0" w:space="0" w:color="auto"/>
                      </w:divBdr>
                      <w:divsChild>
                        <w:div w:id="1521892087">
                          <w:marLeft w:val="0"/>
                          <w:marRight w:val="0"/>
                          <w:marTop w:val="0"/>
                          <w:marBottom w:val="0"/>
                          <w:divBdr>
                            <w:top w:val="none" w:sz="0" w:space="0" w:color="auto"/>
                            <w:left w:val="none" w:sz="0" w:space="0" w:color="auto"/>
                            <w:bottom w:val="none" w:sz="0" w:space="0" w:color="auto"/>
                            <w:right w:val="none" w:sz="0" w:space="0" w:color="auto"/>
                          </w:divBdr>
                          <w:divsChild>
                            <w:div w:id="445076928">
                              <w:marLeft w:val="0"/>
                              <w:marRight w:val="0"/>
                              <w:marTop w:val="0"/>
                              <w:marBottom w:val="0"/>
                              <w:divBdr>
                                <w:top w:val="none" w:sz="0" w:space="0" w:color="auto"/>
                                <w:left w:val="none" w:sz="0" w:space="0" w:color="auto"/>
                                <w:bottom w:val="none" w:sz="0" w:space="0" w:color="auto"/>
                                <w:right w:val="none" w:sz="0" w:space="0" w:color="auto"/>
                              </w:divBdr>
                            </w:div>
                            <w:div w:id="184551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68500">
                      <w:marLeft w:val="0"/>
                      <w:marRight w:val="0"/>
                      <w:marTop w:val="0"/>
                      <w:marBottom w:val="0"/>
                      <w:divBdr>
                        <w:top w:val="none" w:sz="0" w:space="0" w:color="auto"/>
                        <w:left w:val="none" w:sz="0" w:space="0" w:color="auto"/>
                        <w:bottom w:val="none" w:sz="0" w:space="0" w:color="auto"/>
                        <w:right w:val="none" w:sz="0" w:space="0" w:color="auto"/>
                      </w:divBdr>
                      <w:divsChild>
                        <w:div w:id="1908489973">
                          <w:marLeft w:val="0"/>
                          <w:marRight w:val="0"/>
                          <w:marTop w:val="0"/>
                          <w:marBottom w:val="0"/>
                          <w:divBdr>
                            <w:top w:val="none" w:sz="0" w:space="0" w:color="auto"/>
                            <w:left w:val="none" w:sz="0" w:space="0" w:color="auto"/>
                            <w:bottom w:val="none" w:sz="0" w:space="0" w:color="auto"/>
                            <w:right w:val="none" w:sz="0" w:space="0" w:color="auto"/>
                          </w:divBdr>
                          <w:divsChild>
                            <w:div w:id="1609435296">
                              <w:marLeft w:val="0"/>
                              <w:marRight w:val="0"/>
                              <w:marTop w:val="0"/>
                              <w:marBottom w:val="0"/>
                              <w:divBdr>
                                <w:top w:val="none" w:sz="0" w:space="0" w:color="auto"/>
                                <w:left w:val="none" w:sz="0" w:space="0" w:color="auto"/>
                                <w:bottom w:val="none" w:sz="0" w:space="0" w:color="auto"/>
                                <w:right w:val="none" w:sz="0" w:space="0" w:color="auto"/>
                              </w:divBdr>
                              <w:divsChild>
                                <w:div w:id="407659423">
                                  <w:marLeft w:val="0"/>
                                  <w:marRight w:val="0"/>
                                  <w:marTop w:val="0"/>
                                  <w:marBottom w:val="0"/>
                                  <w:divBdr>
                                    <w:top w:val="none" w:sz="0" w:space="0" w:color="auto"/>
                                    <w:left w:val="none" w:sz="0" w:space="0" w:color="auto"/>
                                    <w:bottom w:val="none" w:sz="0" w:space="0" w:color="auto"/>
                                    <w:right w:val="none" w:sz="0" w:space="0" w:color="auto"/>
                                  </w:divBdr>
                                  <w:divsChild>
                                    <w:div w:id="724571542">
                                      <w:marLeft w:val="0"/>
                                      <w:marRight w:val="0"/>
                                      <w:marTop w:val="0"/>
                                      <w:marBottom w:val="0"/>
                                      <w:divBdr>
                                        <w:top w:val="none" w:sz="0" w:space="0" w:color="auto"/>
                                        <w:left w:val="none" w:sz="0" w:space="0" w:color="auto"/>
                                        <w:bottom w:val="none" w:sz="0" w:space="0" w:color="auto"/>
                                        <w:right w:val="none" w:sz="0" w:space="0" w:color="auto"/>
                                      </w:divBdr>
                                      <w:divsChild>
                                        <w:div w:id="819888121">
                                          <w:marLeft w:val="0"/>
                                          <w:marRight w:val="0"/>
                                          <w:marTop w:val="0"/>
                                          <w:marBottom w:val="0"/>
                                          <w:divBdr>
                                            <w:top w:val="none" w:sz="0" w:space="0" w:color="auto"/>
                                            <w:left w:val="none" w:sz="0" w:space="0" w:color="auto"/>
                                            <w:bottom w:val="none" w:sz="0" w:space="0" w:color="auto"/>
                                            <w:right w:val="none" w:sz="0" w:space="0" w:color="auto"/>
                                          </w:divBdr>
                                        </w:div>
                                        <w:div w:id="191897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612244">
                      <w:marLeft w:val="0"/>
                      <w:marRight w:val="0"/>
                      <w:marTop w:val="0"/>
                      <w:marBottom w:val="0"/>
                      <w:divBdr>
                        <w:top w:val="none" w:sz="0" w:space="0" w:color="auto"/>
                        <w:left w:val="none" w:sz="0" w:space="0" w:color="auto"/>
                        <w:bottom w:val="none" w:sz="0" w:space="0" w:color="auto"/>
                        <w:right w:val="none" w:sz="0" w:space="0" w:color="auto"/>
                      </w:divBdr>
                      <w:divsChild>
                        <w:div w:id="20471012">
                          <w:marLeft w:val="0"/>
                          <w:marRight w:val="0"/>
                          <w:marTop w:val="0"/>
                          <w:marBottom w:val="0"/>
                          <w:divBdr>
                            <w:top w:val="none" w:sz="0" w:space="0" w:color="auto"/>
                            <w:left w:val="none" w:sz="0" w:space="0" w:color="auto"/>
                            <w:bottom w:val="none" w:sz="0" w:space="0" w:color="auto"/>
                            <w:right w:val="none" w:sz="0" w:space="0" w:color="auto"/>
                          </w:divBdr>
                        </w:div>
                        <w:div w:id="58215471">
                          <w:marLeft w:val="0"/>
                          <w:marRight w:val="0"/>
                          <w:marTop w:val="0"/>
                          <w:marBottom w:val="0"/>
                          <w:divBdr>
                            <w:top w:val="none" w:sz="0" w:space="0" w:color="auto"/>
                            <w:left w:val="none" w:sz="0" w:space="0" w:color="auto"/>
                            <w:bottom w:val="none" w:sz="0" w:space="0" w:color="auto"/>
                            <w:right w:val="none" w:sz="0" w:space="0" w:color="auto"/>
                          </w:divBdr>
                          <w:divsChild>
                            <w:div w:id="1057053058">
                              <w:marLeft w:val="0"/>
                              <w:marRight w:val="0"/>
                              <w:marTop w:val="0"/>
                              <w:marBottom w:val="0"/>
                              <w:divBdr>
                                <w:top w:val="none" w:sz="0" w:space="0" w:color="auto"/>
                                <w:left w:val="none" w:sz="0" w:space="0" w:color="auto"/>
                                <w:bottom w:val="none" w:sz="0" w:space="0" w:color="auto"/>
                                <w:right w:val="none" w:sz="0" w:space="0" w:color="auto"/>
                              </w:divBdr>
                            </w:div>
                          </w:divsChild>
                        </w:div>
                        <w:div w:id="74669379">
                          <w:marLeft w:val="0"/>
                          <w:marRight w:val="0"/>
                          <w:marTop w:val="0"/>
                          <w:marBottom w:val="0"/>
                          <w:divBdr>
                            <w:top w:val="none" w:sz="0" w:space="0" w:color="auto"/>
                            <w:left w:val="none" w:sz="0" w:space="0" w:color="auto"/>
                            <w:bottom w:val="none" w:sz="0" w:space="0" w:color="auto"/>
                            <w:right w:val="none" w:sz="0" w:space="0" w:color="auto"/>
                          </w:divBdr>
                        </w:div>
                        <w:div w:id="156000913">
                          <w:marLeft w:val="0"/>
                          <w:marRight w:val="0"/>
                          <w:marTop w:val="0"/>
                          <w:marBottom w:val="0"/>
                          <w:divBdr>
                            <w:top w:val="none" w:sz="0" w:space="0" w:color="auto"/>
                            <w:left w:val="none" w:sz="0" w:space="0" w:color="auto"/>
                            <w:bottom w:val="none" w:sz="0" w:space="0" w:color="auto"/>
                            <w:right w:val="none" w:sz="0" w:space="0" w:color="auto"/>
                          </w:divBdr>
                        </w:div>
                        <w:div w:id="274942064">
                          <w:marLeft w:val="0"/>
                          <w:marRight w:val="0"/>
                          <w:marTop w:val="0"/>
                          <w:marBottom w:val="0"/>
                          <w:divBdr>
                            <w:top w:val="none" w:sz="0" w:space="0" w:color="auto"/>
                            <w:left w:val="none" w:sz="0" w:space="0" w:color="auto"/>
                            <w:bottom w:val="none" w:sz="0" w:space="0" w:color="auto"/>
                            <w:right w:val="none" w:sz="0" w:space="0" w:color="auto"/>
                          </w:divBdr>
                          <w:divsChild>
                            <w:div w:id="753085909">
                              <w:marLeft w:val="0"/>
                              <w:marRight w:val="0"/>
                              <w:marTop w:val="0"/>
                              <w:marBottom w:val="0"/>
                              <w:divBdr>
                                <w:top w:val="none" w:sz="0" w:space="0" w:color="auto"/>
                                <w:left w:val="none" w:sz="0" w:space="0" w:color="auto"/>
                                <w:bottom w:val="none" w:sz="0" w:space="0" w:color="auto"/>
                                <w:right w:val="none" w:sz="0" w:space="0" w:color="auto"/>
                              </w:divBdr>
                            </w:div>
                            <w:div w:id="964505281">
                              <w:marLeft w:val="0"/>
                              <w:marRight w:val="0"/>
                              <w:marTop w:val="0"/>
                              <w:marBottom w:val="0"/>
                              <w:divBdr>
                                <w:top w:val="none" w:sz="0" w:space="0" w:color="auto"/>
                                <w:left w:val="none" w:sz="0" w:space="0" w:color="auto"/>
                                <w:bottom w:val="none" w:sz="0" w:space="0" w:color="auto"/>
                                <w:right w:val="none" w:sz="0" w:space="0" w:color="auto"/>
                              </w:divBdr>
                            </w:div>
                            <w:div w:id="1688677580">
                              <w:marLeft w:val="0"/>
                              <w:marRight w:val="0"/>
                              <w:marTop w:val="0"/>
                              <w:marBottom w:val="0"/>
                              <w:divBdr>
                                <w:top w:val="none" w:sz="0" w:space="0" w:color="auto"/>
                                <w:left w:val="none" w:sz="0" w:space="0" w:color="auto"/>
                                <w:bottom w:val="none" w:sz="0" w:space="0" w:color="auto"/>
                                <w:right w:val="none" w:sz="0" w:space="0" w:color="auto"/>
                              </w:divBdr>
                            </w:div>
                          </w:divsChild>
                        </w:div>
                        <w:div w:id="620846190">
                          <w:marLeft w:val="0"/>
                          <w:marRight w:val="0"/>
                          <w:marTop w:val="0"/>
                          <w:marBottom w:val="0"/>
                          <w:divBdr>
                            <w:top w:val="none" w:sz="0" w:space="0" w:color="auto"/>
                            <w:left w:val="none" w:sz="0" w:space="0" w:color="auto"/>
                            <w:bottom w:val="none" w:sz="0" w:space="0" w:color="auto"/>
                            <w:right w:val="none" w:sz="0" w:space="0" w:color="auto"/>
                          </w:divBdr>
                        </w:div>
                        <w:div w:id="883372615">
                          <w:marLeft w:val="0"/>
                          <w:marRight w:val="0"/>
                          <w:marTop w:val="0"/>
                          <w:marBottom w:val="0"/>
                          <w:divBdr>
                            <w:top w:val="none" w:sz="0" w:space="0" w:color="auto"/>
                            <w:left w:val="none" w:sz="0" w:space="0" w:color="auto"/>
                            <w:bottom w:val="none" w:sz="0" w:space="0" w:color="auto"/>
                            <w:right w:val="none" w:sz="0" w:space="0" w:color="auto"/>
                          </w:divBdr>
                        </w:div>
                        <w:div w:id="890308907">
                          <w:marLeft w:val="0"/>
                          <w:marRight w:val="0"/>
                          <w:marTop w:val="0"/>
                          <w:marBottom w:val="0"/>
                          <w:divBdr>
                            <w:top w:val="none" w:sz="0" w:space="0" w:color="auto"/>
                            <w:left w:val="none" w:sz="0" w:space="0" w:color="auto"/>
                            <w:bottom w:val="none" w:sz="0" w:space="0" w:color="auto"/>
                            <w:right w:val="none" w:sz="0" w:space="0" w:color="auto"/>
                          </w:divBdr>
                          <w:divsChild>
                            <w:div w:id="1501699629">
                              <w:marLeft w:val="0"/>
                              <w:marRight w:val="0"/>
                              <w:marTop w:val="0"/>
                              <w:marBottom w:val="0"/>
                              <w:divBdr>
                                <w:top w:val="none" w:sz="0" w:space="0" w:color="auto"/>
                                <w:left w:val="none" w:sz="0" w:space="0" w:color="auto"/>
                                <w:bottom w:val="none" w:sz="0" w:space="0" w:color="auto"/>
                                <w:right w:val="none" w:sz="0" w:space="0" w:color="auto"/>
                              </w:divBdr>
                            </w:div>
                          </w:divsChild>
                        </w:div>
                        <w:div w:id="1437559834">
                          <w:marLeft w:val="0"/>
                          <w:marRight w:val="0"/>
                          <w:marTop w:val="0"/>
                          <w:marBottom w:val="0"/>
                          <w:divBdr>
                            <w:top w:val="none" w:sz="0" w:space="0" w:color="auto"/>
                            <w:left w:val="none" w:sz="0" w:space="0" w:color="auto"/>
                            <w:bottom w:val="none" w:sz="0" w:space="0" w:color="auto"/>
                            <w:right w:val="none" w:sz="0" w:space="0" w:color="auto"/>
                          </w:divBdr>
                        </w:div>
                        <w:div w:id="1440904339">
                          <w:marLeft w:val="0"/>
                          <w:marRight w:val="0"/>
                          <w:marTop w:val="0"/>
                          <w:marBottom w:val="0"/>
                          <w:divBdr>
                            <w:top w:val="none" w:sz="0" w:space="0" w:color="auto"/>
                            <w:left w:val="none" w:sz="0" w:space="0" w:color="auto"/>
                            <w:bottom w:val="none" w:sz="0" w:space="0" w:color="auto"/>
                            <w:right w:val="none" w:sz="0" w:space="0" w:color="auto"/>
                          </w:divBdr>
                        </w:div>
                        <w:div w:id="1560751403">
                          <w:marLeft w:val="0"/>
                          <w:marRight w:val="0"/>
                          <w:marTop w:val="0"/>
                          <w:marBottom w:val="0"/>
                          <w:divBdr>
                            <w:top w:val="none" w:sz="0" w:space="0" w:color="auto"/>
                            <w:left w:val="none" w:sz="0" w:space="0" w:color="auto"/>
                            <w:bottom w:val="none" w:sz="0" w:space="0" w:color="auto"/>
                            <w:right w:val="none" w:sz="0" w:space="0" w:color="auto"/>
                          </w:divBdr>
                        </w:div>
                        <w:div w:id="1833058878">
                          <w:marLeft w:val="0"/>
                          <w:marRight w:val="0"/>
                          <w:marTop w:val="0"/>
                          <w:marBottom w:val="0"/>
                          <w:divBdr>
                            <w:top w:val="none" w:sz="0" w:space="0" w:color="auto"/>
                            <w:left w:val="none" w:sz="0" w:space="0" w:color="auto"/>
                            <w:bottom w:val="none" w:sz="0" w:space="0" w:color="auto"/>
                            <w:right w:val="none" w:sz="0" w:space="0" w:color="auto"/>
                          </w:divBdr>
                          <w:divsChild>
                            <w:div w:id="303896540">
                              <w:marLeft w:val="0"/>
                              <w:marRight w:val="0"/>
                              <w:marTop w:val="0"/>
                              <w:marBottom w:val="0"/>
                              <w:divBdr>
                                <w:top w:val="none" w:sz="0" w:space="0" w:color="auto"/>
                                <w:left w:val="none" w:sz="0" w:space="0" w:color="auto"/>
                                <w:bottom w:val="none" w:sz="0" w:space="0" w:color="auto"/>
                                <w:right w:val="none" w:sz="0" w:space="0" w:color="auto"/>
                              </w:divBdr>
                            </w:div>
                          </w:divsChild>
                        </w:div>
                        <w:div w:id="1885213906">
                          <w:marLeft w:val="0"/>
                          <w:marRight w:val="0"/>
                          <w:marTop w:val="0"/>
                          <w:marBottom w:val="0"/>
                          <w:divBdr>
                            <w:top w:val="none" w:sz="0" w:space="0" w:color="auto"/>
                            <w:left w:val="none" w:sz="0" w:space="0" w:color="auto"/>
                            <w:bottom w:val="none" w:sz="0" w:space="0" w:color="auto"/>
                            <w:right w:val="none" w:sz="0" w:space="0" w:color="auto"/>
                          </w:divBdr>
                        </w:div>
                        <w:div w:id="209547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82182">
              <w:marLeft w:val="0"/>
              <w:marRight w:val="0"/>
              <w:marTop w:val="0"/>
              <w:marBottom w:val="0"/>
              <w:divBdr>
                <w:top w:val="none" w:sz="0" w:space="0" w:color="auto"/>
                <w:left w:val="none" w:sz="0" w:space="0" w:color="auto"/>
                <w:bottom w:val="none" w:sz="0" w:space="0" w:color="auto"/>
                <w:right w:val="none" w:sz="0" w:space="0" w:color="auto"/>
              </w:divBdr>
              <w:divsChild>
                <w:div w:id="567108475">
                  <w:marLeft w:val="0"/>
                  <w:marRight w:val="0"/>
                  <w:marTop w:val="0"/>
                  <w:marBottom w:val="0"/>
                  <w:divBdr>
                    <w:top w:val="none" w:sz="0" w:space="0" w:color="auto"/>
                    <w:left w:val="none" w:sz="0" w:space="0" w:color="auto"/>
                    <w:bottom w:val="none" w:sz="0" w:space="0" w:color="auto"/>
                    <w:right w:val="none" w:sz="0" w:space="0" w:color="auto"/>
                  </w:divBdr>
                </w:div>
                <w:div w:id="202921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345377">
      <w:bodyDiv w:val="1"/>
      <w:marLeft w:val="0"/>
      <w:marRight w:val="0"/>
      <w:marTop w:val="0"/>
      <w:marBottom w:val="0"/>
      <w:divBdr>
        <w:top w:val="none" w:sz="0" w:space="0" w:color="auto"/>
        <w:left w:val="none" w:sz="0" w:space="0" w:color="auto"/>
        <w:bottom w:val="none" w:sz="0" w:space="0" w:color="auto"/>
        <w:right w:val="none" w:sz="0" w:space="0" w:color="auto"/>
      </w:divBdr>
    </w:div>
    <w:div w:id="1588921548">
      <w:bodyDiv w:val="1"/>
      <w:marLeft w:val="0"/>
      <w:marRight w:val="0"/>
      <w:marTop w:val="0"/>
      <w:marBottom w:val="0"/>
      <w:divBdr>
        <w:top w:val="none" w:sz="0" w:space="0" w:color="auto"/>
        <w:left w:val="none" w:sz="0" w:space="0" w:color="auto"/>
        <w:bottom w:val="none" w:sz="0" w:space="0" w:color="auto"/>
        <w:right w:val="none" w:sz="0" w:space="0" w:color="auto"/>
      </w:divBdr>
    </w:div>
    <w:div w:id="1589852457">
      <w:bodyDiv w:val="1"/>
      <w:marLeft w:val="0"/>
      <w:marRight w:val="0"/>
      <w:marTop w:val="0"/>
      <w:marBottom w:val="0"/>
      <w:divBdr>
        <w:top w:val="none" w:sz="0" w:space="0" w:color="auto"/>
        <w:left w:val="none" w:sz="0" w:space="0" w:color="auto"/>
        <w:bottom w:val="none" w:sz="0" w:space="0" w:color="auto"/>
        <w:right w:val="none" w:sz="0" w:space="0" w:color="auto"/>
      </w:divBdr>
    </w:div>
    <w:div w:id="1593781382">
      <w:bodyDiv w:val="1"/>
      <w:marLeft w:val="0"/>
      <w:marRight w:val="0"/>
      <w:marTop w:val="0"/>
      <w:marBottom w:val="0"/>
      <w:divBdr>
        <w:top w:val="none" w:sz="0" w:space="0" w:color="auto"/>
        <w:left w:val="none" w:sz="0" w:space="0" w:color="auto"/>
        <w:bottom w:val="none" w:sz="0" w:space="0" w:color="auto"/>
        <w:right w:val="none" w:sz="0" w:space="0" w:color="auto"/>
      </w:divBdr>
    </w:div>
    <w:div w:id="1604536080">
      <w:bodyDiv w:val="1"/>
      <w:marLeft w:val="0"/>
      <w:marRight w:val="0"/>
      <w:marTop w:val="0"/>
      <w:marBottom w:val="0"/>
      <w:divBdr>
        <w:top w:val="none" w:sz="0" w:space="0" w:color="auto"/>
        <w:left w:val="none" w:sz="0" w:space="0" w:color="auto"/>
        <w:bottom w:val="none" w:sz="0" w:space="0" w:color="auto"/>
        <w:right w:val="none" w:sz="0" w:space="0" w:color="auto"/>
      </w:divBdr>
    </w:div>
    <w:div w:id="1614899636">
      <w:bodyDiv w:val="1"/>
      <w:marLeft w:val="0"/>
      <w:marRight w:val="0"/>
      <w:marTop w:val="0"/>
      <w:marBottom w:val="0"/>
      <w:divBdr>
        <w:top w:val="none" w:sz="0" w:space="0" w:color="auto"/>
        <w:left w:val="none" w:sz="0" w:space="0" w:color="auto"/>
        <w:bottom w:val="none" w:sz="0" w:space="0" w:color="auto"/>
        <w:right w:val="none" w:sz="0" w:space="0" w:color="auto"/>
      </w:divBdr>
    </w:div>
    <w:div w:id="1615941028">
      <w:bodyDiv w:val="1"/>
      <w:marLeft w:val="0"/>
      <w:marRight w:val="0"/>
      <w:marTop w:val="0"/>
      <w:marBottom w:val="0"/>
      <w:divBdr>
        <w:top w:val="none" w:sz="0" w:space="0" w:color="auto"/>
        <w:left w:val="none" w:sz="0" w:space="0" w:color="auto"/>
        <w:bottom w:val="none" w:sz="0" w:space="0" w:color="auto"/>
        <w:right w:val="none" w:sz="0" w:space="0" w:color="auto"/>
      </w:divBdr>
    </w:div>
    <w:div w:id="1620335227">
      <w:bodyDiv w:val="1"/>
      <w:marLeft w:val="0"/>
      <w:marRight w:val="0"/>
      <w:marTop w:val="0"/>
      <w:marBottom w:val="0"/>
      <w:divBdr>
        <w:top w:val="none" w:sz="0" w:space="0" w:color="auto"/>
        <w:left w:val="none" w:sz="0" w:space="0" w:color="auto"/>
        <w:bottom w:val="none" w:sz="0" w:space="0" w:color="auto"/>
        <w:right w:val="none" w:sz="0" w:space="0" w:color="auto"/>
      </w:divBdr>
      <w:divsChild>
        <w:div w:id="599879010">
          <w:marLeft w:val="547"/>
          <w:marRight w:val="0"/>
          <w:marTop w:val="240"/>
          <w:marBottom w:val="0"/>
          <w:divBdr>
            <w:top w:val="none" w:sz="0" w:space="0" w:color="auto"/>
            <w:left w:val="none" w:sz="0" w:space="0" w:color="auto"/>
            <w:bottom w:val="none" w:sz="0" w:space="0" w:color="auto"/>
            <w:right w:val="none" w:sz="0" w:space="0" w:color="auto"/>
          </w:divBdr>
        </w:div>
      </w:divsChild>
    </w:div>
    <w:div w:id="1646163347">
      <w:bodyDiv w:val="1"/>
      <w:marLeft w:val="0"/>
      <w:marRight w:val="0"/>
      <w:marTop w:val="0"/>
      <w:marBottom w:val="0"/>
      <w:divBdr>
        <w:top w:val="none" w:sz="0" w:space="0" w:color="auto"/>
        <w:left w:val="none" w:sz="0" w:space="0" w:color="auto"/>
        <w:bottom w:val="none" w:sz="0" w:space="0" w:color="auto"/>
        <w:right w:val="none" w:sz="0" w:space="0" w:color="auto"/>
      </w:divBdr>
    </w:div>
    <w:div w:id="1653673798">
      <w:marLeft w:val="0"/>
      <w:marRight w:val="0"/>
      <w:marTop w:val="0"/>
      <w:marBottom w:val="0"/>
      <w:divBdr>
        <w:top w:val="none" w:sz="0" w:space="0" w:color="auto"/>
        <w:left w:val="none" w:sz="0" w:space="0" w:color="auto"/>
        <w:bottom w:val="none" w:sz="0" w:space="0" w:color="auto"/>
        <w:right w:val="none" w:sz="0" w:space="0" w:color="auto"/>
      </w:divBdr>
      <w:divsChild>
        <w:div w:id="1303584886">
          <w:marLeft w:val="0"/>
          <w:marRight w:val="0"/>
          <w:marTop w:val="0"/>
          <w:marBottom w:val="0"/>
          <w:divBdr>
            <w:top w:val="none" w:sz="0" w:space="0" w:color="auto"/>
            <w:left w:val="none" w:sz="0" w:space="0" w:color="auto"/>
            <w:bottom w:val="none" w:sz="0" w:space="0" w:color="auto"/>
            <w:right w:val="none" w:sz="0" w:space="0" w:color="auto"/>
          </w:divBdr>
          <w:divsChild>
            <w:div w:id="127476574">
              <w:marLeft w:val="0"/>
              <w:marRight w:val="0"/>
              <w:marTop w:val="0"/>
              <w:marBottom w:val="0"/>
              <w:divBdr>
                <w:top w:val="none" w:sz="0" w:space="0" w:color="auto"/>
                <w:left w:val="none" w:sz="0" w:space="0" w:color="auto"/>
                <w:bottom w:val="none" w:sz="0" w:space="0" w:color="auto"/>
                <w:right w:val="none" w:sz="0" w:space="0" w:color="auto"/>
              </w:divBdr>
              <w:divsChild>
                <w:div w:id="313265750">
                  <w:marLeft w:val="0"/>
                  <w:marRight w:val="0"/>
                  <w:marTop w:val="0"/>
                  <w:marBottom w:val="0"/>
                  <w:divBdr>
                    <w:top w:val="none" w:sz="0" w:space="0" w:color="auto"/>
                    <w:left w:val="none" w:sz="0" w:space="0" w:color="auto"/>
                    <w:bottom w:val="none" w:sz="0" w:space="0" w:color="auto"/>
                    <w:right w:val="none" w:sz="0" w:space="0" w:color="auto"/>
                  </w:divBdr>
                  <w:divsChild>
                    <w:div w:id="838082268">
                      <w:marLeft w:val="0"/>
                      <w:marRight w:val="0"/>
                      <w:marTop w:val="0"/>
                      <w:marBottom w:val="0"/>
                      <w:divBdr>
                        <w:top w:val="none" w:sz="0" w:space="0" w:color="auto"/>
                        <w:left w:val="none" w:sz="0" w:space="0" w:color="auto"/>
                        <w:bottom w:val="none" w:sz="0" w:space="0" w:color="auto"/>
                        <w:right w:val="none" w:sz="0" w:space="0" w:color="auto"/>
                      </w:divBdr>
                    </w:div>
                    <w:div w:id="1662811375">
                      <w:marLeft w:val="0"/>
                      <w:marRight w:val="0"/>
                      <w:marTop w:val="0"/>
                      <w:marBottom w:val="0"/>
                      <w:divBdr>
                        <w:top w:val="none" w:sz="0" w:space="0" w:color="auto"/>
                        <w:left w:val="none" w:sz="0" w:space="0" w:color="auto"/>
                        <w:bottom w:val="none" w:sz="0" w:space="0" w:color="auto"/>
                        <w:right w:val="none" w:sz="0" w:space="0" w:color="auto"/>
                      </w:divBdr>
                      <w:divsChild>
                        <w:div w:id="594745955">
                          <w:marLeft w:val="0"/>
                          <w:marRight w:val="0"/>
                          <w:marTop w:val="0"/>
                          <w:marBottom w:val="0"/>
                          <w:divBdr>
                            <w:top w:val="none" w:sz="0" w:space="0" w:color="auto"/>
                            <w:left w:val="none" w:sz="0" w:space="0" w:color="auto"/>
                            <w:bottom w:val="none" w:sz="0" w:space="0" w:color="auto"/>
                            <w:right w:val="none" w:sz="0" w:space="0" w:color="auto"/>
                          </w:divBdr>
                        </w:div>
                        <w:div w:id="1394503940">
                          <w:marLeft w:val="0"/>
                          <w:marRight w:val="0"/>
                          <w:marTop w:val="0"/>
                          <w:marBottom w:val="0"/>
                          <w:divBdr>
                            <w:top w:val="none" w:sz="0" w:space="0" w:color="auto"/>
                            <w:left w:val="none" w:sz="0" w:space="0" w:color="auto"/>
                            <w:bottom w:val="none" w:sz="0" w:space="0" w:color="auto"/>
                            <w:right w:val="none" w:sz="0" w:space="0" w:color="auto"/>
                          </w:divBdr>
                        </w:div>
                      </w:divsChild>
                    </w:div>
                    <w:div w:id="1820488943">
                      <w:marLeft w:val="0"/>
                      <w:marRight w:val="0"/>
                      <w:marTop w:val="0"/>
                      <w:marBottom w:val="0"/>
                      <w:divBdr>
                        <w:top w:val="none" w:sz="0" w:space="0" w:color="auto"/>
                        <w:left w:val="none" w:sz="0" w:space="0" w:color="auto"/>
                        <w:bottom w:val="none" w:sz="0" w:space="0" w:color="auto"/>
                        <w:right w:val="none" w:sz="0" w:space="0" w:color="auto"/>
                      </w:divBdr>
                      <w:divsChild>
                        <w:div w:id="107815354">
                          <w:marLeft w:val="0"/>
                          <w:marRight w:val="0"/>
                          <w:marTop w:val="0"/>
                          <w:marBottom w:val="0"/>
                          <w:divBdr>
                            <w:top w:val="none" w:sz="0" w:space="0" w:color="auto"/>
                            <w:left w:val="none" w:sz="0" w:space="0" w:color="auto"/>
                            <w:bottom w:val="none" w:sz="0" w:space="0" w:color="auto"/>
                            <w:right w:val="none" w:sz="0" w:space="0" w:color="auto"/>
                          </w:divBdr>
                        </w:div>
                        <w:div w:id="737896862">
                          <w:marLeft w:val="0"/>
                          <w:marRight w:val="0"/>
                          <w:marTop w:val="0"/>
                          <w:marBottom w:val="0"/>
                          <w:divBdr>
                            <w:top w:val="none" w:sz="0" w:space="0" w:color="auto"/>
                            <w:left w:val="none" w:sz="0" w:space="0" w:color="auto"/>
                            <w:bottom w:val="none" w:sz="0" w:space="0" w:color="auto"/>
                            <w:right w:val="none" w:sz="0" w:space="0" w:color="auto"/>
                          </w:divBdr>
                        </w:div>
                        <w:div w:id="178908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582074">
                  <w:marLeft w:val="0"/>
                  <w:marRight w:val="0"/>
                  <w:marTop w:val="0"/>
                  <w:marBottom w:val="0"/>
                  <w:divBdr>
                    <w:top w:val="none" w:sz="0" w:space="0" w:color="auto"/>
                    <w:left w:val="none" w:sz="0" w:space="0" w:color="auto"/>
                    <w:bottom w:val="none" w:sz="0" w:space="0" w:color="auto"/>
                    <w:right w:val="none" w:sz="0" w:space="0" w:color="auto"/>
                  </w:divBdr>
                  <w:divsChild>
                    <w:div w:id="240607378">
                      <w:marLeft w:val="0"/>
                      <w:marRight w:val="0"/>
                      <w:marTop w:val="0"/>
                      <w:marBottom w:val="0"/>
                      <w:divBdr>
                        <w:top w:val="none" w:sz="0" w:space="0" w:color="auto"/>
                        <w:left w:val="none" w:sz="0" w:space="0" w:color="auto"/>
                        <w:bottom w:val="none" w:sz="0" w:space="0" w:color="auto"/>
                        <w:right w:val="none" w:sz="0" w:space="0" w:color="auto"/>
                      </w:divBdr>
                    </w:div>
                    <w:div w:id="766313420">
                      <w:marLeft w:val="0"/>
                      <w:marRight w:val="0"/>
                      <w:marTop w:val="0"/>
                      <w:marBottom w:val="0"/>
                      <w:divBdr>
                        <w:top w:val="none" w:sz="0" w:space="0" w:color="auto"/>
                        <w:left w:val="none" w:sz="0" w:space="0" w:color="auto"/>
                        <w:bottom w:val="none" w:sz="0" w:space="0" w:color="auto"/>
                        <w:right w:val="none" w:sz="0" w:space="0" w:color="auto"/>
                      </w:divBdr>
                    </w:div>
                    <w:div w:id="1490289875">
                      <w:marLeft w:val="0"/>
                      <w:marRight w:val="0"/>
                      <w:marTop w:val="0"/>
                      <w:marBottom w:val="0"/>
                      <w:divBdr>
                        <w:top w:val="none" w:sz="0" w:space="0" w:color="auto"/>
                        <w:left w:val="none" w:sz="0" w:space="0" w:color="auto"/>
                        <w:bottom w:val="none" w:sz="0" w:space="0" w:color="auto"/>
                        <w:right w:val="none" w:sz="0" w:space="0" w:color="auto"/>
                      </w:divBdr>
                      <w:divsChild>
                        <w:div w:id="164899445">
                          <w:marLeft w:val="0"/>
                          <w:marRight w:val="0"/>
                          <w:marTop w:val="0"/>
                          <w:marBottom w:val="0"/>
                          <w:divBdr>
                            <w:top w:val="none" w:sz="0" w:space="0" w:color="auto"/>
                            <w:left w:val="none" w:sz="0" w:space="0" w:color="auto"/>
                            <w:bottom w:val="none" w:sz="0" w:space="0" w:color="auto"/>
                            <w:right w:val="none" w:sz="0" w:space="0" w:color="auto"/>
                          </w:divBdr>
                        </w:div>
                        <w:div w:id="1693990939">
                          <w:marLeft w:val="0"/>
                          <w:marRight w:val="0"/>
                          <w:marTop w:val="0"/>
                          <w:marBottom w:val="0"/>
                          <w:divBdr>
                            <w:top w:val="none" w:sz="0" w:space="0" w:color="auto"/>
                            <w:left w:val="none" w:sz="0" w:space="0" w:color="auto"/>
                            <w:bottom w:val="none" w:sz="0" w:space="0" w:color="auto"/>
                            <w:right w:val="none" w:sz="0" w:space="0" w:color="auto"/>
                          </w:divBdr>
                        </w:div>
                      </w:divsChild>
                    </w:div>
                    <w:div w:id="151213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722514">
      <w:bodyDiv w:val="1"/>
      <w:marLeft w:val="0"/>
      <w:marRight w:val="0"/>
      <w:marTop w:val="0"/>
      <w:marBottom w:val="0"/>
      <w:divBdr>
        <w:top w:val="none" w:sz="0" w:space="0" w:color="auto"/>
        <w:left w:val="none" w:sz="0" w:space="0" w:color="auto"/>
        <w:bottom w:val="none" w:sz="0" w:space="0" w:color="auto"/>
        <w:right w:val="none" w:sz="0" w:space="0" w:color="auto"/>
      </w:divBdr>
    </w:div>
    <w:div w:id="1662351582">
      <w:bodyDiv w:val="1"/>
      <w:marLeft w:val="0"/>
      <w:marRight w:val="0"/>
      <w:marTop w:val="0"/>
      <w:marBottom w:val="0"/>
      <w:divBdr>
        <w:top w:val="none" w:sz="0" w:space="0" w:color="auto"/>
        <w:left w:val="none" w:sz="0" w:space="0" w:color="auto"/>
        <w:bottom w:val="none" w:sz="0" w:space="0" w:color="auto"/>
        <w:right w:val="none" w:sz="0" w:space="0" w:color="auto"/>
      </w:divBdr>
    </w:div>
    <w:div w:id="1668442957">
      <w:bodyDiv w:val="1"/>
      <w:marLeft w:val="0"/>
      <w:marRight w:val="0"/>
      <w:marTop w:val="0"/>
      <w:marBottom w:val="0"/>
      <w:divBdr>
        <w:top w:val="none" w:sz="0" w:space="0" w:color="auto"/>
        <w:left w:val="none" w:sz="0" w:space="0" w:color="auto"/>
        <w:bottom w:val="none" w:sz="0" w:space="0" w:color="auto"/>
        <w:right w:val="none" w:sz="0" w:space="0" w:color="auto"/>
      </w:divBdr>
    </w:div>
    <w:div w:id="1673945268">
      <w:bodyDiv w:val="1"/>
      <w:marLeft w:val="0"/>
      <w:marRight w:val="0"/>
      <w:marTop w:val="0"/>
      <w:marBottom w:val="0"/>
      <w:divBdr>
        <w:top w:val="none" w:sz="0" w:space="0" w:color="auto"/>
        <w:left w:val="none" w:sz="0" w:space="0" w:color="auto"/>
        <w:bottom w:val="none" w:sz="0" w:space="0" w:color="auto"/>
        <w:right w:val="none" w:sz="0" w:space="0" w:color="auto"/>
      </w:divBdr>
    </w:div>
    <w:div w:id="1694648180">
      <w:bodyDiv w:val="1"/>
      <w:marLeft w:val="0"/>
      <w:marRight w:val="0"/>
      <w:marTop w:val="0"/>
      <w:marBottom w:val="0"/>
      <w:divBdr>
        <w:top w:val="none" w:sz="0" w:space="0" w:color="auto"/>
        <w:left w:val="none" w:sz="0" w:space="0" w:color="auto"/>
        <w:bottom w:val="none" w:sz="0" w:space="0" w:color="auto"/>
        <w:right w:val="none" w:sz="0" w:space="0" w:color="auto"/>
      </w:divBdr>
    </w:div>
    <w:div w:id="1716464588">
      <w:bodyDiv w:val="1"/>
      <w:marLeft w:val="0"/>
      <w:marRight w:val="0"/>
      <w:marTop w:val="0"/>
      <w:marBottom w:val="0"/>
      <w:divBdr>
        <w:top w:val="none" w:sz="0" w:space="0" w:color="auto"/>
        <w:left w:val="none" w:sz="0" w:space="0" w:color="auto"/>
        <w:bottom w:val="none" w:sz="0" w:space="0" w:color="auto"/>
        <w:right w:val="none" w:sz="0" w:space="0" w:color="auto"/>
      </w:divBdr>
      <w:divsChild>
        <w:div w:id="105126680">
          <w:marLeft w:val="1166"/>
          <w:marRight w:val="0"/>
          <w:marTop w:val="0"/>
          <w:marBottom w:val="0"/>
          <w:divBdr>
            <w:top w:val="none" w:sz="0" w:space="0" w:color="auto"/>
            <w:left w:val="none" w:sz="0" w:space="0" w:color="auto"/>
            <w:bottom w:val="none" w:sz="0" w:space="0" w:color="auto"/>
            <w:right w:val="none" w:sz="0" w:space="0" w:color="auto"/>
          </w:divBdr>
        </w:div>
        <w:div w:id="125271937">
          <w:marLeft w:val="547"/>
          <w:marRight w:val="0"/>
          <w:marTop w:val="240"/>
          <w:marBottom w:val="0"/>
          <w:divBdr>
            <w:top w:val="none" w:sz="0" w:space="0" w:color="auto"/>
            <w:left w:val="none" w:sz="0" w:space="0" w:color="auto"/>
            <w:bottom w:val="none" w:sz="0" w:space="0" w:color="auto"/>
            <w:right w:val="none" w:sz="0" w:space="0" w:color="auto"/>
          </w:divBdr>
        </w:div>
      </w:divsChild>
    </w:div>
    <w:div w:id="1718747457">
      <w:bodyDiv w:val="1"/>
      <w:marLeft w:val="0"/>
      <w:marRight w:val="0"/>
      <w:marTop w:val="0"/>
      <w:marBottom w:val="0"/>
      <w:divBdr>
        <w:top w:val="none" w:sz="0" w:space="0" w:color="auto"/>
        <w:left w:val="none" w:sz="0" w:space="0" w:color="auto"/>
        <w:bottom w:val="none" w:sz="0" w:space="0" w:color="auto"/>
        <w:right w:val="none" w:sz="0" w:space="0" w:color="auto"/>
      </w:divBdr>
    </w:div>
    <w:div w:id="1723752916">
      <w:bodyDiv w:val="1"/>
      <w:marLeft w:val="0"/>
      <w:marRight w:val="0"/>
      <w:marTop w:val="0"/>
      <w:marBottom w:val="0"/>
      <w:divBdr>
        <w:top w:val="none" w:sz="0" w:space="0" w:color="auto"/>
        <w:left w:val="none" w:sz="0" w:space="0" w:color="auto"/>
        <w:bottom w:val="none" w:sz="0" w:space="0" w:color="auto"/>
        <w:right w:val="none" w:sz="0" w:space="0" w:color="auto"/>
      </w:divBdr>
    </w:div>
    <w:div w:id="1726677847">
      <w:bodyDiv w:val="1"/>
      <w:marLeft w:val="0"/>
      <w:marRight w:val="0"/>
      <w:marTop w:val="0"/>
      <w:marBottom w:val="0"/>
      <w:divBdr>
        <w:top w:val="none" w:sz="0" w:space="0" w:color="auto"/>
        <w:left w:val="none" w:sz="0" w:space="0" w:color="auto"/>
        <w:bottom w:val="none" w:sz="0" w:space="0" w:color="auto"/>
        <w:right w:val="none" w:sz="0" w:space="0" w:color="auto"/>
      </w:divBdr>
    </w:div>
    <w:div w:id="1748453389">
      <w:bodyDiv w:val="1"/>
      <w:marLeft w:val="0"/>
      <w:marRight w:val="0"/>
      <w:marTop w:val="0"/>
      <w:marBottom w:val="0"/>
      <w:divBdr>
        <w:top w:val="none" w:sz="0" w:space="0" w:color="auto"/>
        <w:left w:val="none" w:sz="0" w:space="0" w:color="auto"/>
        <w:bottom w:val="none" w:sz="0" w:space="0" w:color="auto"/>
        <w:right w:val="none" w:sz="0" w:space="0" w:color="auto"/>
      </w:divBdr>
    </w:div>
    <w:div w:id="1760976876">
      <w:bodyDiv w:val="1"/>
      <w:marLeft w:val="0"/>
      <w:marRight w:val="0"/>
      <w:marTop w:val="0"/>
      <w:marBottom w:val="0"/>
      <w:divBdr>
        <w:top w:val="none" w:sz="0" w:space="0" w:color="auto"/>
        <w:left w:val="none" w:sz="0" w:space="0" w:color="auto"/>
        <w:bottom w:val="none" w:sz="0" w:space="0" w:color="auto"/>
        <w:right w:val="none" w:sz="0" w:space="0" w:color="auto"/>
      </w:divBdr>
    </w:div>
    <w:div w:id="1775051741">
      <w:bodyDiv w:val="1"/>
      <w:marLeft w:val="0"/>
      <w:marRight w:val="0"/>
      <w:marTop w:val="0"/>
      <w:marBottom w:val="0"/>
      <w:divBdr>
        <w:top w:val="none" w:sz="0" w:space="0" w:color="auto"/>
        <w:left w:val="none" w:sz="0" w:space="0" w:color="auto"/>
        <w:bottom w:val="none" w:sz="0" w:space="0" w:color="auto"/>
        <w:right w:val="none" w:sz="0" w:space="0" w:color="auto"/>
      </w:divBdr>
    </w:div>
    <w:div w:id="1784300841">
      <w:bodyDiv w:val="1"/>
      <w:marLeft w:val="0"/>
      <w:marRight w:val="0"/>
      <w:marTop w:val="0"/>
      <w:marBottom w:val="0"/>
      <w:divBdr>
        <w:top w:val="none" w:sz="0" w:space="0" w:color="auto"/>
        <w:left w:val="none" w:sz="0" w:space="0" w:color="auto"/>
        <w:bottom w:val="none" w:sz="0" w:space="0" w:color="auto"/>
        <w:right w:val="none" w:sz="0" w:space="0" w:color="auto"/>
      </w:divBdr>
    </w:div>
    <w:div w:id="1800226392">
      <w:bodyDiv w:val="1"/>
      <w:marLeft w:val="0"/>
      <w:marRight w:val="0"/>
      <w:marTop w:val="0"/>
      <w:marBottom w:val="0"/>
      <w:divBdr>
        <w:top w:val="none" w:sz="0" w:space="0" w:color="auto"/>
        <w:left w:val="none" w:sz="0" w:space="0" w:color="auto"/>
        <w:bottom w:val="none" w:sz="0" w:space="0" w:color="auto"/>
        <w:right w:val="none" w:sz="0" w:space="0" w:color="auto"/>
      </w:divBdr>
    </w:div>
    <w:div w:id="1800417076">
      <w:marLeft w:val="0"/>
      <w:marRight w:val="0"/>
      <w:marTop w:val="0"/>
      <w:marBottom w:val="0"/>
      <w:divBdr>
        <w:top w:val="none" w:sz="0" w:space="0" w:color="auto"/>
        <w:left w:val="none" w:sz="0" w:space="0" w:color="auto"/>
        <w:bottom w:val="none" w:sz="0" w:space="0" w:color="auto"/>
        <w:right w:val="none" w:sz="0" w:space="0" w:color="auto"/>
      </w:divBdr>
      <w:divsChild>
        <w:div w:id="69500515">
          <w:marLeft w:val="0"/>
          <w:marRight w:val="0"/>
          <w:marTop w:val="0"/>
          <w:marBottom w:val="0"/>
          <w:divBdr>
            <w:top w:val="none" w:sz="0" w:space="0" w:color="auto"/>
            <w:left w:val="none" w:sz="0" w:space="0" w:color="auto"/>
            <w:bottom w:val="none" w:sz="0" w:space="0" w:color="auto"/>
            <w:right w:val="none" w:sz="0" w:space="0" w:color="auto"/>
          </w:divBdr>
        </w:div>
        <w:div w:id="674529145">
          <w:marLeft w:val="0"/>
          <w:marRight w:val="0"/>
          <w:marTop w:val="0"/>
          <w:marBottom w:val="0"/>
          <w:divBdr>
            <w:top w:val="none" w:sz="0" w:space="0" w:color="auto"/>
            <w:left w:val="none" w:sz="0" w:space="0" w:color="auto"/>
            <w:bottom w:val="none" w:sz="0" w:space="0" w:color="auto"/>
            <w:right w:val="none" w:sz="0" w:space="0" w:color="auto"/>
          </w:divBdr>
          <w:divsChild>
            <w:div w:id="153109033">
              <w:marLeft w:val="0"/>
              <w:marRight w:val="0"/>
              <w:marTop w:val="0"/>
              <w:marBottom w:val="0"/>
              <w:divBdr>
                <w:top w:val="none" w:sz="0" w:space="0" w:color="auto"/>
                <w:left w:val="none" w:sz="0" w:space="0" w:color="auto"/>
                <w:bottom w:val="none" w:sz="0" w:space="0" w:color="auto"/>
                <w:right w:val="none" w:sz="0" w:space="0" w:color="auto"/>
              </w:divBdr>
            </w:div>
            <w:div w:id="870454737">
              <w:marLeft w:val="0"/>
              <w:marRight w:val="0"/>
              <w:marTop w:val="0"/>
              <w:marBottom w:val="0"/>
              <w:divBdr>
                <w:top w:val="none" w:sz="0" w:space="0" w:color="auto"/>
                <w:left w:val="none" w:sz="0" w:space="0" w:color="auto"/>
                <w:bottom w:val="none" w:sz="0" w:space="0" w:color="auto"/>
                <w:right w:val="none" w:sz="0" w:space="0" w:color="auto"/>
              </w:divBdr>
            </w:div>
            <w:div w:id="1778333174">
              <w:marLeft w:val="0"/>
              <w:marRight w:val="0"/>
              <w:marTop w:val="0"/>
              <w:marBottom w:val="0"/>
              <w:divBdr>
                <w:top w:val="none" w:sz="0" w:space="0" w:color="auto"/>
                <w:left w:val="none" w:sz="0" w:space="0" w:color="auto"/>
                <w:bottom w:val="none" w:sz="0" w:space="0" w:color="auto"/>
                <w:right w:val="none" w:sz="0" w:space="0" w:color="auto"/>
              </w:divBdr>
              <w:divsChild>
                <w:div w:id="108896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639913">
          <w:marLeft w:val="0"/>
          <w:marRight w:val="0"/>
          <w:marTop w:val="0"/>
          <w:marBottom w:val="0"/>
          <w:divBdr>
            <w:top w:val="none" w:sz="0" w:space="0" w:color="auto"/>
            <w:left w:val="none" w:sz="0" w:space="0" w:color="auto"/>
            <w:bottom w:val="none" w:sz="0" w:space="0" w:color="auto"/>
            <w:right w:val="none" w:sz="0" w:space="0" w:color="auto"/>
          </w:divBdr>
          <w:divsChild>
            <w:div w:id="958605517">
              <w:marLeft w:val="0"/>
              <w:marRight w:val="0"/>
              <w:marTop w:val="0"/>
              <w:marBottom w:val="0"/>
              <w:divBdr>
                <w:top w:val="none" w:sz="0" w:space="0" w:color="auto"/>
                <w:left w:val="none" w:sz="0" w:space="0" w:color="auto"/>
                <w:bottom w:val="none" w:sz="0" w:space="0" w:color="auto"/>
                <w:right w:val="none" w:sz="0" w:space="0" w:color="auto"/>
              </w:divBdr>
            </w:div>
            <w:div w:id="1520238594">
              <w:marLeft w:val="0"/>
              <w:marRight w:val="0"/>
              <w:marTop w:val="0"/>
              <w:marBottom w:val="0"/>
              <w:divBdr>
                <w:top w:val="none" w:sz="0" w:space="0" w:color="auto"/>
                <w:left w:val="none" w:sz="0" w:space="0" w:color="auto"/>
                <w:bottom w:val="none" w:sz="0" w:space="0" w:color="auto"/>
                <w:right w:val="none" w:sz="0" w:space="0" w:color="auto"/>
              </w:divBdr>
            </w:div>
            <w:div w:id="152786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21881">
      <w:bodyDiv w:val="1"/>
      <w:marLeft w:val="0"/>
      <w:marRight w:val="0"/>
      <w:marTop w:val="0"/>
      <w:marBottom w:val="0"/>
      <w:divBdr>
        <w:top w:val="none" w:sz="0" w:space="0" w:color="auto"/>
        <w:left w:val="none" w:sz="0" w:space="0" w:color="auto"/>
        <w:bottom w:val="none" w:sz="0" w:space="0" w:color="auto"/>
        <w:right w:val="none" w:sz="0" w:space="0" w:color="auto"/>
      </w:divBdr>
    </w:div>
    <w:div w:id="1854684256">
      <w:bodyDiv w:val="1"/>
      <w:marLeft w:val="0"/>
      <w:marRight w:val="0"/>
      <w:marTop w:val="0"/>
      <w:marBottom w:val="0"/>
      <w:divBdr>
        <w:top w:val="none" w:sz="0" w:space="0" w:color="auto"/>
        <w:left w:val="none" w:sz="0" w:space="0" w:color="auto"/>
        <w:bottom w:val="none" w:sz="0" w:space="0" w:color="auto"/>
        <w:right w:val="none" w:sz="0" w:space="0" w:color="auto"/>
      </w:divBdr>
    </w:div>
    <w:div w:id="1858301648">
      <w:bodyDiv w:val="1"/>
      <w:marLeft w:val="0"/>
      <w:marRight w:val="0"/>
      <w:marTop w:val="0"/>
      <w:marBottom w:val="0"/>
      <w:divBdr>
        <w:top w:val="none" w:sz="0" w:space="0" w:color="auto"/>
        <w:left w:val="none" w:sz="0" w:space="0" w:color="auto"/>
        <w:bottom w:val="none" w:sz="0" w:space="0" w:color="auto"/>
        <w:right w:val="none" w:sz="0" w:space="0" w:color="auto"/>
      </w:divBdr>
    </w:div>
    <w:div w:id="1859342953">
      <w:bodyDiv w:val="1"/>
      <w:marLeft w:val="0"/>
      <w:marRight w:val="0"/>
      <w:marTop w:val="0"/>
      <w:marBottom w:val="0"/>
      <w:divBdr>
        <w:top w:val="none" w:sz="0" w:space="0" w:color="auto"/>
        <w:left w:val="none" w:sz="0" w:space="0" w:color="auto"/>
        <w:bottom w:val="none" w:sz="0" w:space="0" w:color="auto"/>
        <w:right w:val="none" w:sz="0" w:space="0" w:color="auto"/>
      </w:divBdr>
    </w:div>
    <w:div w:id="1865626995">
      <w:bodyDiv w:val="1"/>
      <w:marLeft w:val="0"/>
      <w:marRight w:val="0"/>
      <w:marTop w:val="0"/>
      <w:marBottom w:val="0"/>
      <w:divBdr>
        <w:top w:val="none" w:sz="0" w:space="0" w:color="auto"/>
        <w:left w:val="none" w:sz="0" w:space="0" w:color="auto"/>
        <w:bottom w:val="none" w:sz="0" w:space="0" w:color="auto"/>
        <w:right w:val="none" w:sz="0" w:space="0" w:color="auto"/>
      </w:divBdr>
    </w:div>
    <w:div w:id="1890266420">
      <w:bodyDiv w:val="1"/>
      <w:marLeft w:val="0"/>
      <w:marRight w:val="0"/>
      <w:marTop w:val="0"/>
      <w:marBottom w:val="0"/>
      <w:divBdr>
        <w:top w:val="none" w:sz="0" w:space="0" w:color="auto"/>
        <w:left w:val="none" w:sz="0" w:space="0" w:color="auto"/>
        <w:bottom w:val="none" w:sz="0" w:space="0" w:color="auto"/>
        <w:right w:val="none" w:sz="0" w:space="0" w:color="auto"/>
      </w:divBdr>
      <w:divsChild>
        <w:div w:id="390155520">
          <w:marLeft w:val="1166"/>
          <w:marRight w:val="0"/>
          <w:marTop w:val="0"/>
          <w:marBottom w:val="0"/>
          <w:divBdr>
            <w:top w:val="none" w:sz="0" w:space="0" w:color="auto"/>
            <w:left w:val="none" w:sz="0" w:space="0" w:color="auto"/>
            <w:bottom w:val="none" w:sz="0" w:space="0" w:color="auto"/>
            <w:right w:val="none" w:sz="0" w:space="0" w:color="auto"/>
          </w:divBdr>
        </w:div>
        <w:div w:id="747700725">
          <w:marLeft w:val="1166"/>
          <w:marRight w:val="0"/>
          <w:marTop w:val="0"/>
          <w:marBottom w:val="0"/>
          <w:divBdr>
            <w:top w:val="none" w:sz="0" w:space="0" w:color="auto"/>
            <w:left w:val="none" w:sz="0" w:space="0" w:color="auto"/>
            <w:bottom w:val="none" w:sz="0" w:space="0" w:color="auto"/>
            <w:right w:val="none" w:sz="0" w:space="0" w:color="auto"/>
          </w:divBdr>
        </w:div>
        <w:div w:id="1389650030">
          <w:marLeft w:val="1166"/>
          <w:marRight w:val="0"/>
          <w:marTop w:val="0"/>
          <w:marBottom w:val="0"/>
          <w:divBdr>
            <w:top w:val="none" w:sz="0" w:space="0" w:color="auto"/>
            <w:left w:val="none" w:sz="0" w:space="0" w:color="auto"/>
            <w:bottom w:val="none" w:sz="0" w:space="0" w:color="auto"/>
            <w:right w:val="none" w:sz="0" w:space="0" w:color="auto"/>
          </w:divBdr>
        </w:div>
        <w:div w:id="1971933932">
          <w:marLeft w:val="547"/>
          <w:marRight w:val="0"/>
          <w:marTop w:val="240"/>
          <w:marBottom w:val="0"/>
          <w:divBdr>
            <w:top w:val="none" w:sz="0" w:space="0" w:color="auto"/>
            <w:left w:val="none" w:sz="0" w:space="0" w:color="auto"/>
            <w:bottom w:val="none" w:sz="0" w:space="0" w:color="auto"/>
            <w:right w:val="none" w:sz="0" w:space="0" w:color="auto"/>
          </w:divBdr>
        </w:div>
      </w:divsChild>
    </w:div>
    <w:div w:id="1890917665">
      <w:bodyDiv w:val="1"/>
      <w:marLeft w:val="0"/>
      <w:marRight w:val="0"/>
      <w:marTop w:val="0"/>
      <w:marBottom w:val="0"/>
      <w:divBdr>
        <w:top w:val="none" w:sz="0" w:space="0" w:color="auto"/>
        <w:left w:val="none" w:sz="0" w:space="0" w:color="auto"/>
        <w:bottom w:val="none" w:sz="0" w:space="0" w:color="auto"/>
        <w:right w:val="none" w:sz="0" w:space="0" w:color="auto"/>
      </w:divBdr>
    </w:div>
    <w:div w:id="1893619208">
      <w:bodyDiv w:val="1"/>
      <w:marLeft w:val="0"/>
      <w:marRight w:val="0"/>
      <w:marTop w:val="0"/>
      <w:marBottom w:val="0"/>
      <w:divBdr>
        <w:top w:val="none" w:sz="0" w:space="0" w:color="auto"/>
        <w:left w:val="none" w:sz="0" w:space="0" w:color="auto"/>
        <w:bottom w:val="none" w:sz="0" w:space="0" w:color="auto"/>
        <w:right w:val="none" w:sz="0" w:space="0" w:color="auto"/>
      </w:divBdr>
      <w:divsChild>
        <w:div w:id="1192302138">
          <w:marLeft w:val="547"/>
          <w:marRight w:val="0"/>
          <w:marTop w:val="0"/>
          <w:marBottom w:val="0"/>
          <w:divBdr>
            <w:top w:val="none" w:sz="0" w:space="0" w:color="auto"/>
            <w:left w:val="none" w:sz="0" w:space="0" w:color="auto"/>
            <w:bottom w:val="none" w:sz="0" w:space="0" w:color="auto"/>
            <w:right w:val="none" w:sz="0" w:space="0" w:color="auto"/>
          </w:divBdr>
        </w:div>
        <w:div w:id="1377315449">
          <w:marLeft w:val="547"/>
          <w:marRight w:val="0"/>
          <w:marTop w:val="0"/>
          <w:marBottom w:val="0"/>
          <w:divBdr>
            <w:top w:val="none" w:sz="0" w:space="0" w:color="auto"/>
            <w:left w:val="none" w:sz="0" w:space="0" w:color="auto"/>
            <w:bottom w:val="none" w:sz="0" w:space="0" w:color="auto"/>
            <w:right w:val="none" w:sz="0" w:space="0" w:color="auto"/>
          </w:divBdr>
        </w:div>
      </w:divsChild>
    </w:div>
    <w:div w:id="1896893760">
      <w:marLeft w:val="0"/>
      <w:marRight w:val="0"/>
      <w:marTop w:val="0"/>
      <w:marBottom w:val="0"/>
      <w:divBdr>
        <w:top w:val="none" w:sz="0" w:space="0" w:color="auto"/>
        <w:left w:val="none" w:sz="0" w:space="0" w:color="auto"/>
        <w:bottom w:val="none" w:sz="0" w:space="0" w:color="auto"/>
        <w:right w:val="none" w:sz="0" w:space="0" w:color="auto"/>
      </w:divBdr>
    </w:div>
    <w:div w:id="1909683223">
      <w:bodyDiv w:val="1"/>
      <w:marLeft w:val="0"/>
      <w:marRight w:val="0"/>
      <w:marTop w:val="0"/>
      <w:marBottom w:val="0"/>
      <w:divBdr>
        <w:top w:val="none" w:sz="0" w:space="0" w:color="auto"/>
        <w:left w:val="none" w:sz="0" w:space="0" w:color="auto"/>
        <w:bottom w:val="none" w:sz="0" w:space="0" w:color="auto"/>
        <w:right w:val="none" w:sz="0" w:space="0" w:color="auto"/>
      </w:divBdr>
      <w:divsChild>
        <w:div w:id="248126112">
          <w:marLeft w:val="1166"/>
          <w:marRight w:val="0"/>
          <w:marTop w:val="0"/>
          <w:marBottom w:val="0"/>
          <w:divBdr>
            <w:top w:val="none" w:sz="0" w:space="0" w:color="auto"/>
            <w:left w:val="none" w:sz="0" w:space="0" w:color="auto"/>
            <w:bottom w:val="none" w:sz="0" w:space="0" w:color="auto"/>
            <w:right w:val="none" w:sz="0" w:space="0" w:color="auto"/>
          </w:divBdr>
        </w:div>
        <w:div w:id="367143205">
          <w:marLeft w:val="547"/>
          <w:marRight w:val="0"/>
          <w:marTop w:val="240"/>
          <w:marBottom w:val="0"/>
          <w:divBdr>
            <w:top w:val="none" w:sz="0" w:space="0" w:color="auto"/>
            <w:left w:val="none" w:sz="0" w:space="0" w:color="auto"/>
            <w:bottom w:val="none" w:sz="0" w:space="0" w:color="auto"/>
            <w:right w:val="none" w:sz="0" w:space="0" w:color="auto"/>
          </w:divBdr>
        </w:div>
        <w:div w:id="1133795160">
          <w:marLeft w:val="1166"/>
          <w:marRight w:val="0"/>
          <w:marTop w:val="0"/>
          <w:marBottom w:val="0"/>
          <w:divBdr>
            <w:top w:val="none" w:sz="0" w:space="0" w:color="auto"/>
            <w:left w:val="none" w:sz="0" w:space="0" w:color="auto"/>
            <w:bottom w:val="none" w:sz="0" w:space="0" w:color="auto"/>
            <w:right w:val="none" w:sz="0" w:space="0" w:color="auto"/>
          </w:divBdr>
        </w:div>
        <w:div w:id="1567372917">
          <w:marLeft w:val="547"/>
          <w:marRight w:val="0"/>
          <w:marTop w:val="240"/>
          <w:marBottom w:val="0"/>
          <w:divBdr>
            <w:top w:val="none" w:sz="0" w:space="0" w:color="auto"/>
            <w:left w:val="none" w:sz="0" w:space="0" w:color="auto"/>
            <w:bottom w:val="none" w:sz="0" w:space="0" w:color="auto"/>
            <w:right w:val="none" w:sz="0" w:space="0" w:color="auto"/>
          </w:divBdr>
        </w:div>
        <w:div w:id="1920865791">
          <w:marLeft w:val="547"/>
          <w:marRight w:val="0"/>
          <w:marTop w:val="240"/>
          <w:marBottom w:val="0"/>
          <w:divBdr>
            <w:top w:val="none" w:sz="0" w:space="0" w:color="auto"/>
            <w:left w:val="none" w:sz="0" w:space="0" w:color="auto"/>
            <w:bottom w:val="none" w:sz="0" w:space="0" w:color="auto"/>
            <w:right w:val="none" w:sz="0" w:space="0" w:color="auto"/>
          </w:divBdr>
        </w:div>
      </w:divsChild>
    </w:div>
    <w:div w:id="1913275857">
      <w:bodyDiv w:val="1"/>
      <w:marLeft w:val="0"/>
      <w:marRight w:val="0"/>
      <w:marTop w:val="0"/>
      <w:marBottom w:val="0"/>
      <w:divBdr>
        <w:top w:val="none" w:sz="0" w:space="0" w:color="auto"/>
        <w:left w:val="none" w:sz="0" w:space="0" w:color="auto"/>
        <w:bottom w:val="none" w:sz="0" w:space="0" w:color="auto"/>
        <w:right w:val="none" w:sz="0" w:space="0" w:color="auto"/>
      </w:divBdr>
    </w:div>
    <w:div w:id="1919366232">
      <w:bodyDiv w:val="1"/>
      <w:marLeft w:val="0"/>
      <w:marRight w:val="0"/>
      <w:marTop w:val="0"/>
      <w:marBottom w:val="0"/>
      <w:divBdr>
        <w:top w:val="none" w:sz="0" w:space="0" w:color="auto"/>
        <w:left w:val="none" w:sz="0" w:space="0" w:color="auto"/>
        <w:bottom w:val="none" w:sz="0" w:space="0" w:color="auto"/>
        <w:right w:val="none" w:sz="0" w:space="0" w:color="auto"/>
      </w:divBdr>
    </w:div>
    <w:div w:id="1937328523">
      <w:bodyDiv w:val="1"/>
      <w:marLeft w:val="0"/>
      <w:marRight w:val="0"/>
      <w:marTop w:val="0"/>
      <w:marBottom w:val="0"/>
      <w:divBdr>
        <w:top w:val="none" w:sz="0" w:space="0" w:color="auto"/>
        <w:left w:val="none" w:sz="0" w:space="0" w:color="auto"/>
        <w:bottom w:val="none" w:sz="0" w:space="0" w:color="auto"/>
        <w:right w:val="none" w:sz="0" w:space="0" w:color="auto"/>
      </w:divBdr>
      <w:divsChild>
        <w:div w:id="479271276">
          <w:marLeft w:val="547"/>
          <w:marRight w:val="0"/>
          <w:marTop w:val="240"/>
          <w:marBottom w:val="0"/>
          <w:divBdr>
            <w:top w:val="none" w:sz="0" w:space="0" w:color="auto"/>
            <w:left w:val="none" w:sz="0" w:space="0" w:color="auto"/>
            <w:bottom w:val="none" w:sz="0" w:space="0" w:color="auto"/>
            <w:right w:val="none" w:sz="0" w:space="0" w:color="auto"/>
          </w:divBdr>
        </w:div>
        <w:div w:id="964507248">
          <w:marLeft w:val="547"/>
          <w:marRight w:val="0"/>
          <w:marTop w:val="240"/>
          <w:marBottom w:val="0"/>
          <w:divBdr>
            <w:top w:val="none" w:sz="0" w:space="0" w:color="auto"/>
            <w:left w:val="none" w:sz="0" w:space="0" w:color="auto"/>
            <w:bottom w:val="none" w:sz="0" w:space="0" w:color="auto"/>
            <w:right w:val="none" w:sz="0" w:space="0" w:color="auto"/>
          </w:divBdr>
        </w:div>
        <w:div w:id="1409620086">
          <w:marLeft w:val="547"/>
          <w:marRight w:val="0"/>
          <w:marTop w:val="240"/>
          <w:marBottom w:val="0"/>
          <w:divBdr>
            <w:top w:val="none" w:sz="0" w:space="0" w:color="auto"/>
            <w:left w:val="none" w:sz="0" w:space="0" w:color="auto"/>
            <w:bottom w:val="none" w:sz="0" w:space="0" w:color="auto"/>
            <w:right w:val="none" w:sz="0" w:space="0" w:color="auto"/>
          </w:divBdr>
        </w:div>
        <w:div w:id="1779062408">
          <w:marLeft w:val="547"/>
          <w:marRight w:val="0"/>
          <w:marTop w:val="240"/>
          <w:marBottom w:val="0"/>
          <w:divBdr>
            <w:top w:val="none" w:sz="0" w:space="0" w:color="auto"/>
            <w:left w:val="none" w:sz="0" w:space="0" w:color="auto"/>
            <w:bottom w:val="none" w:sz="0" w:space="0" w:color="auto"/>
            <w:right w:val="none" w:sz="0" w:space="0" w:color="auto"/>
          </w:divBdr>
        </w:div>
      </w:divsChild>
    </w:div>
    <w:div w:id="1954823887">
      <w:bodyDiv w:val="1"/>
      <w:marLeft w:val="0"/>
      <w:marRight w:val="0"/>
      <w:marTop w:val="0"/>
      <w:marBottom w:val="0"/>
      <w:divBdr>
        <w:top w:val="none" w:sz="0" w:space="0" w:color="auto"/>
        <w:left w:val="none" w:sz="0" w:space="0" w:color="auto"/>
        <w:bottom w:val="none" w:sz="0" w:space="0" w:color="auto"/>
        <w:right w:val="none" w:sz="0" w:space="0" w:color="auto"/>
      </w:divBdr>
      <w:divsChild>
        <w:div w:id="1088766256">
          <w:marLeft w:val="274"/>
          <w:marRight w:val="0"/>
          <w:marTop w:val="0"/>
          <w:marBottom w:val="0"/>
          <w:divBdr>
            <w:top w:val="none" w:sz="0" w:space="0" w:color="auto"/>
            <w:left w:val="none" w:sz="0" w:space="0" w:color="auto"/>
            <w:bottom w:val="none" w:sz="0" w:space="0" w:color="auto"/>
            <w:right w:val="none" w:sz="0" w:space="0" w:color="auto"/>
          </w:divBdr>
        </w:div>
      </w:divsChild>
    </w:div>
    <w:div w:id="1956329809">
      <w:marLeft w:val="0"/>
      <w:marRight w:val="0"/>
      <w:marTop w:val="0"/>
      <w:marBottom w:val="0"/>
      <w:divBdr>
        <w:top w:val="none" w:sz="0" w:space="0" w:color="auto"/>
        <w:left w:val="none" w:sz="0" w:space="0" w:color="auto"/>
        <w:bottom w:val="none" w:sz="0" w:space="0" w:color="auto"/>
        <w:right w:val="none" w:sz="0" w:space="0" w:color="auto"/>
      </w:divBdr>
      <w:divsChild>
        <w:div w:id="1783841532">
          <w:marLeft w:val="0"/>
          <w:marRight w:val="0"/>
          <w:marTop w:val="0"/>
          <w:marBottom w:val="0"/>
          <w:divBdr>
            <w:top w:val="none" w:sz="0" w:space="0" w:color="auto"/>
            <w:left w:val="none" w:sz="0" w:space="0" w:color="auto"/>
            <w:bottom w:val="none" w:sz="0" w:space="0" w:color="auto"/>
            <w:right w:val="none" w:sz="0" w:space="0" w:color="auto"/>
          </w:divBdr>
          <w:divsChild>
            <w:div w:id="1854805466">
              <w:marLeft w:val="0"/>
              <w:marRight w:val="0"/>
              <w:marTop w:val="0"/>
              <w:marBottom w:val="0"/>
              <w:divBdr>
                <w:top w:val="none" w:sz="0" w:space="0" w:color="auto"/>
                <w:left w:val="none" w:sz="0" w:space="0" w:color="auto"/>
                <w:bottom w:val="none" w:sz="0" w:space="0" w:color="auto"/>
                <w:right w:val="none" w:sz="0" w:space="0" w:color="auto"/>
              </w:divBdr>
              <w:divsChild>
                <w:div w:id="801264491">
                  <w:marLeft w:val="0"/>
                  <w:marRight w:val="0"/>
                  <w:marTop w:val="0"/>
                  <w:marBottom w:val="0"/>
                  <w:divBdr>
                    <w:top w:val="none" w:sz="0" w:space="0" w:color="auto"/>
                    <w:left w:val="none" w:sz="0" w:space="0" w:color="auto"/>
                    <w:bottom w:val="none" w:sz="0" w:space="0" w:color="auto"/>
                    <w:right w:val="none" w:sz="0" w:space="0" w:color="auto"/>
                  </w:divBdr>
                </w:div>
                <w:div w:id="1030303835">
                  <w:marLeft w:val="0"/>
                  <w:marRight w:val="0"/>
                  <w:marTop w:val="0"/>
                  <w:marBottom w:val="0"/>
                  <w:divBdr>
                    <w:top w:val="none" w:sz="0" w:space="0" w:color="auto"/>
                    <w:left w:val="none" w:sz="0" w:space="0" w:color="auto"/>
                    <w:bottom w:val="none" w:sz="0" w:space="0" w:color="auto"/>
                    <w:right w:val="none" w:sz="0" w:space="0" w:color="auto"/>
                  </w:divBdr>
                </w:div>
                <w:div w:id="1107651554">
                  <w:marLeft w:val="0"/>
                  <w:marRight w:val="0"/>
                  <w:marTop w:val="0"/>
                  <w:marBottom w:val="0"/>
                  <w:divBdr>
                    <w:top w:val="none" w:sz="0" w:space="0" w:color="auto"/>
                    <w:left w:val="none" w:sz="0" w:space="0" w:color="auto"/>
                    <w:bottom w:val="none" w:sz="0" w:space="0" w:color="auto"/>
                    <w:right w:val="none" w:sz="0" w:space="0" w:color="auto"/>
                  </w:divBdr>
                </w:div>
                <w:div w:id="1238321136">
                  <w:marLeft w:val="0"/>
                  <w:marRight w:val="0"/>
                  <w:marTop w:val="0"/>
                  <w:marBottom w:val="0"/>
                  <w:divBdr>
                    <w:top w:val="none" w:sz="0" w:space="0" w:color="auto"/>
                    <w:left w:val="none" w:sz="0" w:space="0" w:color="auto"/>
                    <w:bottom w:val="none" w:sz="0" w:space="0" w:color="auto"/>
                    <w:right w:val="none" w:sz="0" w:space="0" w:color="auto"/>
                  </w:divBdr>
                </w:div>
                <w:div w:id="1317759343">
                  <w:marLeft w:val="0"/>
                  <w:marRight w:val="0"/>
                  <w:marTop w:val="0"/>
                  <w:marBottom w:val="0"/>
                  <w:divBdr>
                    <w:top w:val="none" w:sz="0" w:space="0" w:color="auto"/>
                    <w:left w:val="none" w:sz="0" w:space="0" w:color="auto"/>
                    <w:bottom w:val="none" w:sz="0" w:space="0" w:color="auto"/>
                    <w:right w:val="none" w:sz="0" w:space="0" w:color="auto"/>
                  </w:divBdr>
                </w:div>
                <w:div w:id="1637024000">
                  <w:marLeft w:val="0"/>
                  <w:marRight w:val="0"/>
                  <w:marTop w:val="0"/>
                  <w:marBottom w:val="0"/>
                  <w:divBdr>
                    <w:top w:val="none" w:sz="0" w:space="0" w:color="auto"/>
                    <w:left w:val="none" w:sz="0" w:space="0" w:color="auto"/>
                    <w:bottom w:val="none" w:sz="0" w:space="0" w:color="auto"/>
                    <w:right w:val="none" w:sz="0" w:space="0" w:color="auto"/>
                  </w:divBdr>
                </w:div>
                <w:div w:id="193550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237354">
          <w:marLeft w:val="0"/>
          <w:marRight w:val="0"/>
          <w:marTop w:val="0"/>
          <w:marBottom w:val="0"/>
          <w:divBdr>
            <w:top w:val="none" w:sz="0" w:space="0" w:color="auto"/>
            <w:left w:val="none" w:sz="0" w:space="0" w:color="auto"/>
            <w:bottom w:val="none" w:sz="0" w:space="0" w:color="auto"/>
            <w:right w:val="none" w:sz="0" w:space="0" w:color="auto"/>
          </w:divBdr>
          <w:divsChild>
            <w:div w:id="1250042715">
              <w:marLeft w:val="0"/>
              <w:marRight w:val="0"/>
              <w:marTop w:val="0"/>
              <w:marBottom w:val="0"/>
              <w:divBdr>
                <w:top w:val="none" w:sz="0" w:space="0" w:color="auto"/>
                <w:left w:val="none" w:sz="0" w:space="0" w:color="auto"/>
                <w:bottom w:val="none" w:sz="0" w:space="0" w:color="auto"/>
                <w:right w:val="none" w:sz="0" w:space="0" w:color="auto"/>
              </w:divBdr>
              <w:divsChild>
                <w:div w:id="1795631012">
                  <w:marLeft w:val="0"/>
                  <w:marRight w:val="0"/>
                  <w:marTop w:val="0"/>
                  <w:marBottom w:val="0"/>
                  <w:divBdr>
                    <w:top w:val="none" w:sz="0" w:space="0" w:color="auto"/>
                    <w:left w:val="none" w:sz="0" w:space="0" w:color="auto"/>
                    <w:bottom w:val="none" w:sz="0" w:space="0" w:color="auto"/>
                    <w:right w:val="none" w:sz="0" w:space="0" w:color="auto"/>
                  </w:divBdr>
                  <w:divsChild>
                    <w:div w:id="253977773">
                      <w:marLeft w:val="0"/>
                      <w:marRight w:val="0"/>
                      <w:marTop w:val="0"/>
                      <w:marBottom w:val="0"/>
                      <w:divBdr>
                        <w:top w:val="none" w:sz="0" w:space="0" w:color="auto"/>
                        <w:left w:val="none" w:sz="0" w:space="0" w:color="auto"/>
                        <w:bottom w:val="none" w:sz="0" w:space="0" w:color="auto"/>
                        <w:right w:val="none" w:sz="0" w:space="0" w:color="auto"/>
                      </w:divBdr>
                    </w:div>
                    <w:div w:id="517085595">
                      <w:marLeft w:val="0"/>
                      <w:marRight w:val="0"/>
                      <w:marTop w:val="0"/>
                      <w:marBottom w:val="0"/>
                      <w:divBdr>
                        <w:top w:val="none" w:sz="0" w:space="0" w:color="auto"/>
                        <w:left w:val="none" w:sz="0" w:space="0" w:color="auto"/>
                        <w:bottom w:val="none" w:sz="0" w:space="0" w:color="auto"/>
                        <w:right w:val="none" w:sz="0" w:space="0" w:color="auto"/>
                      </w:divBdr>
                    </w:div>
                    <w:div w:id="123470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672234">
      <w:bodyDiv w:val="1"/>
      <w:marLeft w:val="0"/>
      <w:marRight w:val="0"/>
      <w:marTop w:val="0"/>
      <w:marBottom w:val="0"/>
      <w:divBdr>
        <w:top w:val="none" w:sz="0" w:space="0" w:color="auto"/>
        <w:left w:val="none" w:sz="0" w:space="0" w:color="auto"/>
        <w:bottom w:val="none" w:sz="0" w:space="0" w:color="auto"/>
        <w:right w:val="none" w:sz="0" w:space="0" w:color="auto"/>
      </w:divBdr>
    </w:div>
    <w:div w:id="1962104554">
      <w:bodyDiv w:val="1"/>
      <w:marLeft w:val="0"/>
      <w:marRight w:val="0"/>
      <w:marTop w:val="0"/>
      <w:marBottom w:val="0"/>
      <w:divBdr>
        <w:top w:val="none" w:sz="0" w:space="0" w:color="auto"/>
        <w:left w:val="none" w:sz="0" w:space="0" w:color="auto"/>
        <w:bottom w:val="none" w:sz="0" w:space="0" w:color="auto"/>
        <w:right w:val="none" w:sz="0" w:space="0" w:color="auto"/>
      </w:divBdr>
    </w:div>
    <w:div w:id="1965651681">
      <w:bodyDiv w:val="1"/>
      <w:marLeft w:val="0"/>
      <w:marRight w:val="0"/>
      <w:marTop w:val="0"/>
      <w:marBottom w:val="0"/>
      <w:divBdr>
        <w:top w:val="none" w:sz="0" w:space="0" w:color="auto"/>
        <w:left w:val="none" w:sz="0" w:space="0" w:color="auto"/>
        <w:bottom w:val="none" w:sz="0" w:space="0" w:color="auto"/>
        <w:right w:val="none" w:sz="0" w:space="0" w:color="auto"/>
      </w:divBdr>
      <w:divsChild>
        <w:div w:id="966861066">
          <w:marLeft w:val="1166"/>
          <w:marRight w:val="0"/>
          <w:marTop w:val="0"/>
          <w:marBottom w:val="0"/>
          <w:divBdr>
            <w:top w:val="none" w:sz="0" w:space="0" w:color="auto"/>
            <w:left w:val="none" w:sz="0" w:space="0" w:color="auto"/>
            <w:bottom w:val="none" w:sz="0" w:space="0" w:color="auto"/>
            <w:right w:val="none" w:sz="0" w:space="0" w:color="auto"/>
          </w:divBdr>
        </w:div>
        <w:div w:id="1008286157">
          <w:marLeft w:val="1166"/>
          <w:marRight w:val="0"/>
          <w:marTop w:val="0"/>
          <w:marBottom w:val="0"/>
          <w:divBdr>
            <w:top w:val="none" w:sz="0" w:space="0" w:color="auto"/>
            <w:left w:val="none" w:sz="0" w:space="0" w:color="auto"/>
            <w:bottom w:val="none" w:sz="0" w:space="0" w:color="auto"/>
            <w:right w:val="none" w:sz="0" w:space="0" w:color="auto"/>
          </w:divBdr>
        </w:div>
        <w:div w:id="1423455842">
          <w:marLeft w:val="1166"/>
          <w:marRight w:val="0"/>
          <w:marTop w:val="0"/>
          <w:marBottom w:val="0"/>
          <w:divBdr>
            <w:top w:val="none" w:sz="0" w:space="0" w:color="auto"/>
            <w:left w:val="none" w:sz="0" w:space="0" w:color="auto"/>
            <w:bottom w:val="none" w:sz="0" w:space="0" w:color="auto"/>
            <w:right w:val="none" w:sz="0" w:space="0" w:color="auto"/>
          </w:divBdr>
        </w:div>
      </w:divsChild>
    </w:div>
    <w:div w:id="1976135547">
      <w:bodyDiv w:val="1"/>
      <w:marLeft w:val="0"/>
      <w:marRight w:val="0"/>
      <w:marTop w:val="0"/>
      <w:marBottom w:val="0"/>
      <w:divBdr>
        <w:top w:val="none" w:sz="0" w:space="0" w:color="auto"/>
        <w:left w:val="none" w:sz="0" w:space="0" w:color="auto"/>
        <w:bottom w:val="none" w:sz="0" w:space="0" w:color="auto"/>
        <w:right w:val="none" w:sz="0" w:space="0" w:color="auto"/>
      </w:divBdr>
    </w:div>
    <w:div w:id="1980039614">
      <w:bodyDiv w:val="1"/>
      <w:marLeft w:val="0"/>
      <w:marRight w:val="0"/>
      <w:marTop w:val="0"/>
      <w:marBottom w:val="0"/>
      <w:divBdr>
        <w:top w:val="none" w:sz="0" w:space="0" w:color="auto"/>
        <w:left w:val="none" w:sz="0" w:space="0" w:color="auto"/>
        <w:bottom w:val="none" w:sz="0" w:space="0" w:color="auto"/>
        <w:right w:val="none" w:sz="0" w:space="0" w:color="auto"/>
      </w:divBdr>
    </w:div>
    <w:div w:id="2006087464">
      <w:bodyDiv w:val="1"/>
      <w:marLeft w:val="0"/>
      <w:marRight w:val="0"/>
      <w:marTop w:val="0"/>
      <w:marBottom w:val="0"/>
      <w:divBdr>
        <w:top w:val="none" w:sz="0" w:space="0" w:color="auto"/>
        <w:left w:val="none" w:sz="0" w:space="0" w:color="auto"/>
        <w:bottom w:val="none" w:sz="0" w:space="0" w:color="auto"/>
        <w:right w:val="none" w:sz="0" w:space="0" w:color="auto"/>
      </w:divBdr>
    </w:div>
    <w:div w:id="2008291738">
      <w:marLeft w:val="0"/>
      <w:marRight w:val="0"/>
      <w:marTop w:val="0"/>
      <w:marBottom w:val="0"/>
      <w:divBdr>
        <w:top w:val="none" w:sz="0" w:space="0" w:color="auto"/>
        <w:left w:val="none" w:sz="0" w:space="0" w:color="auto"/>
        <w:bottom w:val="none" w:sz="0" w:space="0" w:color="auto"/>
        <w:right w:val="none" w:sz="0" w:space="0" w:color="auto"/>
      </w:divBdr>
    </w:div>
    <w:div w:id="2043246799">
      <w:bodyDiv w:val="1"/>
      <w:marLeft w:val="0"/>
      <w:marRight w:val="0"/>
      <w:marTop w:val="0"/>
      <w:marBottom w:val="0"/>
      <w:divBdr>
        <w:top w:val="none" w:sz="0" w:space="0" w:color="auto"/>
        <w:left w:val="none" w:sz="0" w:space="0" w:color="auto"/>
        <w:bottom w:val="none" w:sz="0" w:space="0" w:color="auto"/>
        <w:right w:val="none" w:sz="0" w:space="0" w:color="auto"/>
      </w:divBdr>
      <w:divsChild>
        <w:div w:id="200290445">
          <w:marLeft w:val="1166"/>
          <w:marRight w:val="0"/>
          <w:marTop w:val="120"/>
          <w:marBottom w:val="0"/>
          <w:divBdr>
            <w:top w:val="none" w:sz="0" w:space="0" w:color="auto"/>
            <w:left w:val="none" w:sz="0" w:space="0" w:color="auto"/>
            <w:bottom w:val="none" w:sz="0" w:space="0" w:color="auto"/>
            <w:right w:val="none" w:sz="0" w:space="0" w:color="auto"/>
          </w:divBdr>
        </w:div>
        <w:div w:id="356658075">
          <w:marLeft w:val="1166"/>
          <w:marRight w:val="0"/>
          <w:marTop w:val="120"/>
          <w:marBottom w:val="0"/>
          <w:divBdr>
            <w:top w:val="none" w:sz="0" w:space="0" w:color="auto"/>
            <w:left w:val="none" w:sz="0" w:space="0" w:color="auto"/>
            <w:bottom w:val="none" w:sz="0" w:space="0" w:color="auto"/>
            <w:right w:val="none" w:sz="0" w:space="0" w:color="auto"/>
          </w:divBdr>
        </w:div>
        <w:div w:id="689646156">
          <w:marLeft w:val="547"/>
          <w:marRight w:val="0"/>
          <w:marTop w:val="240"/>
          <w:marBottom w:val="0"/>
          <w:divBdr>
            <w:top w:val="none" w:sz="0" w:space="0" w:color="auto"/>
            <w:left w:val="none" w:sz="0" w:space="0" w:color="auto"/>
            <w:bottom w:val="none" w:sz="0" w:space="0" w:color="auto"/>
            <w:right w:val="none" w:sz="0" w:space="0" w:color="auto"/>
          </w:divBdr>
        </w:div>
        <w:div w:id="749499764">
          <w:marLeft w:val="1166"/>
          <w:marRight w:val="0"/>
          <w:marTop w:val="120"/>
          <w:marBottom w:val="0"/>
          <w:divBdr>
            <w:top w:val="none" w:sz="0" w:space="0" w:color="auto"/>
            <w:left w:val="none" w:sz="0" w:space="0" w:color="auto"/>
            <w:bottom w:val="none" w:sz="0" w:space="0" w:color="auto"/>
            <w:right w:val="none" w:sz="0" w:space="0" w:color="auto"/>
          </w:divBdr>
        </w:div>
        <w:div w:id="1190028278">
          <w:marLeft w:val="1166"/>
          <w:marRight w:val="0"/>
          <w:marTop w:val="120"/>
          <w:marBottom w:val="0"/>
          <w:divBdr>
            <w:top w:val="none" w:sz="0" w:space="0" w:color="auto"/>
            <w:left w:val="none" w:sz="0" w:space="0" w:color="auto"/>
            <w:bottom w:val="none" w:sz="0" w:space="0" w:color="auto"/>
            <w:right w:val="none" w:sz="0" w:space="0" w:color="auto"/>
          </w:divBdr>
        </w:div>
        <w:div w:id="1316568536">
          <w:marLeft w:val="1166"/>
          <w:marRight w:val="0"/>
          <w:marTop w:val="120"/>
          <w:marBottom w:val="0"/>
          <w:divBdr>
            <w:top w:val="none" w:sz="0" w:space="0" w:color="auto"/>
            <w:left w:val="none" w:sz="0" w:space="0" w:color="auto"/>
            <w:bottom w:val="none" w:sz="0" w:space="0" w:color="auto"/>
            <w:right w:val="none" w:sz="0" w:space="0" w:color="auto"/>
          </w:divBdr>
        </w:div>
        <w:div w:id="1814829686">
          <w:marLeft w:val="1166"/>
          <w:marRight w:val="0"/>
          <w:marTop w:val="120"/>
          <w:marBottom w:val="0"/>
          <w:divBdr>
            <w:top w:val="none" w:sz="0" w:space="0" w:color="auto"/>
            <w:left w:val="none" w:sz="0" w:space="0" w:color="auto"/>
            <w:bottom w:val="none" w:sz="0" w:space="0" w:color="auto"/>
            <w:right w:val="none" w:sz="0" w:space="0" w:color="auto"/>
          </w:divBdr>
        </w:div>
        <w:div w:id="2115053604">
          <w:marLeft w:val="1166"/>
          <w:marRight w:val="0"/>
          <w:marTop w:val="120"/>
          <w:marBottom w:val="0"/>
          <w:divBdr>
            <w:top w:val="none" w:sz="0" w:space="0" w:color="auto"/>
            <w:left w:val="none" w:sz="0" w:space="0" w:color="auto"/>
            <w:bottom w:val="none" w:sz="0" w:space="0" w:color="auto"/>
            <w:right w:val="none" w:sz="0" w:space="0" w:color="auto"/>
          </w:divBdr>
        </w:div>
      </w:divsChild>
    </w:div>
    <w:div w:id="2047021567">
      <w:bodyDiv w:val="1"/>
      <w:marLeft w:val="0"/>
      <w:marRight w:val="0"/>
      <w:marTop w:val="0"/>
      <w:marBottom w:val="0"/>
      <w:divBdr>
        <w:top w:val="none" w:sz="0" w:space="0" w:color="auto"/>
        <w:left w:val="none" w:sz="0" w:space="0" w:color="auto"/>
        <w:bottom w:val="none" w:sz="0" w:space="0" w:color="auto"/>
        <w:right w:val="none" w:sz="0" w:space="0" w:color="auto"/>
      </w:divBdr>
      <w:divsChild>
        <w:div w:id="509833153">
          <w:marLeft w:val="1166"/>
          <w:marRight w:val="0"/>
          <w:marTop w:val="120"/>
          <w:marBottom w:val="120"/>
          <w:divBdr>
            <w:top w:val="none" w:sz="0" w:space="0" w:color="auto"/>
            <w:left w:val="none" w:sz="0" w:space="0" w:color="auto"/>
            <w:bottom w:val="none" w:sz="0" w:space="0" w:color="auto"/>
            <w:right w:val="none" w:sz="0" w:space="0" w:color="auto"/>
          </w:divBdr>
        </w:div>
        <w:div w:id="1145583312">
          <w:marLeft w:val="547"/>
          <w:marRight w:val="0"/>
          <w:marTop w:val="120"/>
          <w:marBottom w:val="120"/>
          <w:divBdr>
            <w:top w:val="none" w:sz="0" w:space="0" w:color="auto"/>
            <w:left w:val="none" w:sz="0" w:space="0" w:color="auto"/>
            <w:bottom w:val="none" w:sz="0" w:space="0" w:color="auto"/>
            <w:right w:val="none" w:sz="0" w:space="0" w:color="auto"/>
          </w:divBdr>
        </w:div>
        <w:div w:id="1216699869">
          <w:marLeft w:val="1166"/>
          <w:marRight w:val="0"/>
          <w:marTop w:val="120"/>
          <w:marBottom w:val="120"/>
          <w:divBdr>
            <w:top w:val="none" w:sz="0" w:space="0" w:color="auto"/>
            <w:left w:val="none" w:sz="0" w:space="0" w:color="auto"/>
            <w:bottom w:val="none" w:sz="0" w:space="0" w:color="auto"/>
            <w:right w:val="none" w:sz="0" w:space="0" w:color="auto"/>
          </w:divBdr>
        </w:div>
        <w:div w:id="1531189212">
          <w:marLeft w:val="1800"/>
          <w:marRight w:val="0"/>
          <w:marTop w:val="120"/>
          <w:marBottom w:val="120"/>
          <w:divBdr>
            <w:top w:val="none" w:sz="0" w:space="0" w:color="auto"/>
            <w:left w:val="none" w:sz="0" w:space="0" w:color="auto"/>
            <w:bottom w:val="none" w:sz="0" w:space="0" w:color="auto"/>
            <w:right w:val="none" w:sz="0" w:space="0" w:color="auto"/>
          </w:divBdr>
        </w:div>
      </w:divsChild>
    </w:div>
    <w:div w:id="2047293219">
      <w:bodyDiv w:val="1"/>
      <w:marLeft w:val="0"/>
      <w:marRight w:val="0"/>
      <w:marTop w:val="0"/>
      <w:marBottom w:val="0"/>
      <w:divBdr>
        <w:top w:val="none" w:sz="0" w:space="0" w:color="auto"/>
        <w:left w:val="none" w:sz="0" w:space="0" w:color="auto"/>
        <w:bottom w:val="none" w:sz="0" w:space="0" w:color="auto"/>
        <w:right w:val="none" w:sz="0" w:space="0" w:color="auto"/>
      </w:divBdr>
    </w:div>
    <w:div w:id="2064794847">
      <w:bodyDiv w:val="1"/>
      <w:marLeft w:val="0"/>
      <w:marRight w:val="0"/>
      <w:marTop w:val="0"/>
      <w:marBottom w:val="0"/>
      <w:divBdr>
        <w:top w:val="none" w:sz="0" w:space="0" w:color="auto"/>
        <w:left w:val="none" w:sz="0" w:space="0" w:color="auto"/>
        <w:bottom w:val="none" w:sz="0" w:space="0" w:color="auto"/>
        <w:right w:val="none" w:sz="0" w:space="0" w:color="auto"/>
      </w:divBdr>
      <w:divsChild>
        <w:div w:id="1495760074">
          <w:marLeft w:val="547"/>
          <w:marRight w:val="0"/>
          <w:marTop w:val="240"/>
          <w:marBottom w:val="0"/>
          <w:divBdr>
            <w:top w:val="none" w:sz="0" w:space="0" w:color="auto"/>
            <w:left w:val="none" w:sz="0" w:space="0" w:color="auto"/>
            <w:bottom w:val="none" w:sz="0" w:space="0" w:color="auto"/>
            <w:right w:val="none" w:sz="0" w:space="0" w:color="auto"/>
          </w:divBdr>
        </w:div>
      </w:divsChild>
    </w:div>
    <w:div w:id="2079084953">
      <w:bodyDiv w:val="1"/>
      <w:marLeft w:val="0"/>
      <w:marRight w:val="0"/>
      <w:marTop w:val="0"/>
      <w:marBottom w:val="0"/>
      <w:divBdr>
        <w:top w:val="none" w:sz="0" w:space="0" w:color="auto"/>
        <w:left w:val="none" w:sz="0" w:space="0" w:color="auto"/>
        <w:bottom w:val="none" w:sz="0" w:space="0" w:color="auto"/>
        <w:right w:val="none" w:sz="0" w:space="0" w:color="auto"/>
      </w:divBdr>
    </w:div>
    <w:div w:id="2084840207">
      <w:bodyDiv w:val="1"/>
      <w:marLeft w:val="0"/>
      <w:marRight w:val="0"/>
      <w:marTop w:val="0"/>
      <w:marBottom w:val="0"/>
      <w:divBdr>
        <w:top w:val="none" w:sz="0" w:space="0" w:color="auto"/>
        <w:left w:val="none" w:sz="0" w:space="0" w:color="auto"/>
        <w:bottom w:val="none" w:sz="0" w:space="0" w:color="auto"/>
        <w:right w:val="none" w:sz="0" w:space="0" w:color="auto"/>
      </w:divBdr>
    </w:div>
    <w:div w:id="2107262778">
      <w:marLeft w:val="0"/>
      <w:marRight w:val="0"/>
      <w:marTop w:val="0"/>
      <w:marBottom w:val="0"/>
      <w:divBdr>
        <w:top w:val="none" w:sz="0" w:space="0" w:color="auto"/>
        <w:left w:val="none" w:sz="0" w:space="0" w:color="auto"/>
        <w:bottom w:val="none" w:sz="0" w:space="0" w:color="auto"/>
        <w:right w:val="none" w:sz="0" w:space="0" w:color="auto"/>
      </w:divBdr>
      <w:divsChild>
        <w:div w:id="661854386">
          <w:marLeft w:val="0"/>
          <w:marRight w:val="0"/>
          <w:marTop w:val="0"/>
          <w:marBottom w:val="0"/>
          <w:divBdr>
            <w:top w:val="none" w:sz="0" w:space="0" w:color="auto"/>
            <w:left w:val="none" w:sz="0" w:space="0" w:color="auto"/>
            <w:bottom w:val="none" w:sz="0" w:space="0" w:color="auto"/>
            <w:right w:val="none" w:sz="0" w:space="0" w:color="auto"/>
          </w:divBdr>
          <w:divsChild>
            <w:div w:id="1359699682">
              <w:marLeft w:val="0"/>
              <w:marRight w:val="0"/>
              <w:marTop w:val="0"/>
              <w:marBottom w:val="0"/>
              <w:divBdr>
                <w:top w:val="none" w:sz="0" w:space="0" w:color="auto"/>
                <w:left w:val="none" w:sz="0" w:space="0" w:color="auto"/>
                <w:bottom w:val="none" w:sz="0" w:space="0" w:color="auto"/>
                <w:right w:val="none" w:sz="0" w:space="0" w:color="auto"/>
              </w:divBdr>
              <w:divsChild>
                <w:div w:id="630400188">
                  <w:marLeft w:val="0"/>
                  <w:marRight w:val="0"/>
                  <w:marTop w:val="0"/>
                  <w:marBottom w:val="0"/>
                  <w:divBdr>
                    <w:top w:val="none" w:sz="0" w:space="0" w:color="auto"/>
                    <w:left w:val="none" w:sz="0" w:space="0" w:color="auto"/>
                    <w:bottom w:val="none" w:sz="0" w:space="0" w:color="auto"/>
                    <w:right w:val="none" w:sz="0" w:space="0" w:color="auto"/>
                  </w:divBdr>
                  <w:divsChild>
                    <w:div w:id="173961738">
                      <w:marLeft w:val="0"/>
                      <w:marRight w:val="0"/>
                      <w:marTop w:val="0"/>
                      <w:marBottom w:val="0"/>
                      <w:divBdr>
                        <w:top w:val="none" w:sz="0" w:space="0" w:color="auto"/>
                        <w:left w:val="none" w:sz="0" w:space="0" w:color="auto"/>
                        <w:bottom w:val="none" w:sz="0" w:space="0" w:color="auto"/>
                        <w:right w:val="none" w:sz="0" w:space="0" w:color="auto"/>
                      </w:divBdr>
                      <w:divsChild>
                        <w:div w:id="1894610586">
                          <w:marLeft w:val="0"/>
                          <w:marRight w:val="0"/>
                          <w:marTop w:val="0"/>
                          <w:marBottom w:val="0"/>
                          <w:divBdr>
                            <w:top w:val="none" w:sz="0" w:space="0" w:color="auto"/>
                            <w:left w:val="none" w:sz="0" w:space="0" w:color="auto"/>
                            <w:bottom w:val="none" w:sz="0" w:space="0" w:color="auto"/>
                            <w:right w:val="none" w:sz="0" w:space="0" w:color="auto"/>
                          </w:divBdr>
                        </w:div>
                      </w:divsChild>
                    </w:div>
                    <w:div w:id="284847720">
                      <w:marLeft w:val="0"/>
                      <w:marRight w:val="0"/>
                      <w:marTop w:val="0"/>
                      <w:marBottom w:val="0"/>
                      <w:divBdr>
                        <w:top w:val="none" w:sz="0" w:space="0" w:color="auto"/>
                        <w:left w:val="none" w:sz="0" w:space="0" w:color="auto"/>
                        <w:bottom w:val="none" w:sz="0" w:space="0" w:color="auto"/>
                        <w:right w:val="none" w:sz="0" w:space="0" w:color="auto"/>
                      </w:divBdr>
                    </w:div>
                  </w:divsChild>
                </w:div>
                <w:div w:id="1340431576">
                  <w:marLeft w:val="0"/>
                  <w:marRight w:val="0"/>
                  <w:marTop w:val="0"/>
                  <w:marBottom w:val="0"/>
                  <w:divBdr>
                    <w:top w:val="none" w:sz="0" w:space="0" w:color="auto"/>
                    <w:left w:val="none" w:sz="0" w:space="0" w:color="auto"/>
                    <w:bottom w:val="none" w:sz="0" w:space="0" w:color="auto"/>
                    <w:right w:val="none" w:sz="0" w:space="0" w:color="auto"/>
                  </w:divBdr>
                  <w:divsChild>
                    <w:div w:id="1278949502">
                      <w:marLeft w:val="0"/>
                      <w:marRight w:val="0"/>
                      <w:marTop w:val="0"/>
                      <w:marBottom w:val="0"/>
                      <w:divBdr>
                        <w:top w:val="none" w:sz="0" w:space="0" w:color="auto"/>
                        <w:left w:val="none" w:sz="0" w:space="0" w:color="auto"/>
                        <w:bottom w:val="none" w:sz="0" w:space="0" w:color="auto"/>
                        <w:right w:val="none" w:sz="0" w:space="0" w:color="auto"/>
                      </w:divBdr>
                    </w:div>
                  </w:divsChild>
                </w:div>
                <w:div w:id="19061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079550">
      <w:bodyDiv w:val="1"/>
      <w:marLeft w:val="0"/>
      <w:marRight w:val="0"/>
      <w:marTop w:val="0"/>
      <w:marBottom w:val="0"/>
      <w:divBdr>
        <w:top w:val="none" w:sz="0" w:space="0" w:color="auto"/>
        <w:left w:val="none" w:sz="0" w:space="0" w:color="auto"/>
        <w:bottom w:val="none" w:sz="0" w:space="0" w:color="auto"/>
        <w:right w:val="none" w:sz="0" w:space="0" w:color="auto"/>
      </w:divBdr>
    </w:div>
    <w:div w:id="2140609695">
      <w:bodyDiv w:val="1"/>
      <w:marLeft w:val="0"/>
      <w:marRight w:val="0"/>
      <w:marTop w:val="0"/>
      <w:marBottom w:val="0"/>
      <w:divBdr>
        <w:top w:val="none" w:sz="0" w:space="0" w:color="auto"/>
        <w:left w:val="none" w:sz="0" w:space="0" w:color="auto"/>
        <w:bottom w:val="none" w:sz="0" w:space="0" w:color="auto"/>
        <w:right w:val="none" w:sz="0" w:space="0" w:color="auto"/>
      </w:divBdr>
    </w:div>
    <w:div w:id="2144618712">
      <w:bodyDiv w:val="1"/>
      <w:marLeft w:val="0"/>
      <w:marRight w:val="0"/>
      <w:marTop w:val="0"/>
      <w:marBottom w:val="0"/>
      <w:divBdr>
        <w:top w:val="none" w:sz="0" w:space="0" w:color="auto"/>
        <w:left w:val="none" w:sz="0" w:space="0" w:color="auto"/>
        <w:bottom w:val="none" w:sz="0" w:space="0" w:color="auto"/>
        <w:right w:val="none" w:sz="0" w:space="0" w:color="auto"/>
      </w:divBdr>
      <w:divsChild>
        <w:div w:id="880869446">
          <w:marLeft w:val="1166"/>
          <w:marRight w:val="0"/>
          <w:marTop w:val="0"/>
          <w:marBottom w:val="120"/>
          <w:divBdr>
            <w:top w:val="none" w:sz="0" w:space="0" w:color="auto"/>
            <w:left w:val="none" w:sz="0" w:space="0" w:color="auto"/>
            <w:bottom w:val="none" w:sz="0" w:space="0" w:color="auto"/>
            <w:right w:val="none" w:sz="0" w:space="0" w:color="auto"/>
          </w:divBdr>
        </w:div>
        <w:div w:id="1069811235">
          <w:marLeft w:val="547"/>
          <w:marRight w:val="0"/>
          <w:marTop w:val="240"/>
          <w:marBottom w:val="0"/>
          <w:divBdr>
            <w:top w:val="none" w:sz="0" w:space="0" w:color="auto"/>
            <w:left w:val="none" w:sz="0" w:space="0" w:color="auto"/>
            <w:bottom w:val="none" w:sz="0" w:space="0" w:color="auto"/>
            <w:right w:val="none" w:sz="0" w:space="0" w:color="auto"/>
          </w:divBdr>
        </w:div>
      </w:divsChild>
    </w:div>
    <w:div w:id="2145267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20https:/www.iso-ne.com/static-assets/documents/2019/04/2019_celt_report.xls" TargetMode="External"/><Relationship Id="rId39"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10.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iso-ne.com/static-assets/documents/2019/04/2019_celt_report.xls" TargetMode="External"/><Relationship Id="rId33" Type="http://schemas.openxmlformats.org/officeDocument/2006/relationships/image" Target="media/image9.emf"/><Relationship Id="rId38"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image" Target="media/image6.emf"/><Relationship Id="rId41"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8.xml"/><Relationship Id="rId32" Type="http://schemas.openxmlformats.org/officeDocument/2006/relationships/image" Target="media/image8.emf"/><Relationship Id="rId37" Type="http://schemas.openxmlformats.org/officeDocument/2006/relationships/image" Target="media/image13.emf"/><Relationship Id="rId40"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image" Target="media/image5.emf"/><Relationship Id="rId36" Type="http://schemas.openxmlformats.org/officeDocument/2006/relationships/image" Target="media/image12.emf"/><Relationship Id="rId10" Type="http://schemas.openxmlformats.org/officeDocument/2006/relationships/image" Target="media/image3.png"/><Relationship Id="rId19" Type="http://schemas.openxmlformats.org/officeDocument/2006/relationships/footer" Target="footer4.xml"/><Relationship Id="rId31"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hyperlink" Target="https://www.iso-ne.com/static-assets/documents/2019/02/fca_13_results_filing.pdf" TargetMode="External"/><Relationship Id="rId30" Type="http://schemas.openxmlformats.org/officeDocument/2006/relationships/hyperlink" Target="https://www.iso-ne.com/about/key-stats/maps-and-diagrams/" TargetMode="External"/><Relationship Id="rId35" Type="http://schemas.openxmlformats.org/officeDocument/2006/relationships/image" Target="media/image11.pn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iso-ne.com/static-assets/documents/regulatory/tariff/sect_3/mr1_sec_13_14.pdf" TargetMode="External"/><Relationship Id="rId13" Type="http://schemas.openxmlformats.org/officeDocument/2006/relationships/hyperlink" Target="https://www.iso-ne.com/static-assets/documents/2019/05/a2_2019_economic_study_draft_scope_of_work_and_high_level_assumptions.pptx" TargetMode="External"/><Relationship Id="rId18" Type="http://schemas.openxmlformats.org/officeDocument/2006/relationships/hyperlink" Target="https://www.iso-ne.com/static-assets/documents/regulatory/tariff/sect_2/sch23/sch_23_sgip.pdf" TargetMode="External"/><Relationship Id="rId26" Type="http://schemas.openxmlformats.org/officeDocument/2006/relationships/hyperlink" Target="https://www.nrel.gov/news/program/2018/nrels-evi-pro-lite-tool-paves-the-way-for-future-electric-vehicle-infrastructure-planning.html" TargetMode="External"/><Relationship Id="rId3" Type="http://schemas.openxmlformats.org/officeDocument/2006/relationships/hyperlink" Target="https://www.iso-ne.com/static-assets/documents/2019/04/a2_renew_2019_economic_study_request_presentation.pdf" TargetMode="External"/><Relationship Id="rId21" Type="http://schemas.openxmlformats.org/officeDocument/2006/relationships/hyperlink" Target="https://www.iso-ne.com/static-assets/documents/2019/08/a8_2019_economic_studies_detailed_assumptions.pptx" TargetMode="External"/><Relationship Id="rId34" Type="http://schemas.openxmlformats.org/officeDocument/2006/relationships/hyperlink" Target="https://www.iso-ne.com/static-assets/documents/2020/04/a5-nescoe-2019-econ-study-follow-to-the-feb-2019.pdf" TargetMode="External"/><Relationship Id="rId7" Type="http://schemas.openxmlformats.org/officeDocument/2006/relationships/hyperlink" Target="https://www.iso-ne.com/static-assets/documents/2020/02/2019_anbaric_econ_study_request.pdf" TargetMode="External"/><Relationship Id="rId12" Type="http://schemas.openxmlformats.org/officeDocument/2006/relationships/hyperlink" Target="https://www.iso-ne.com/participate/support/request-information" TargetMode="External"/><Relationship Id="rId17" Type="http://schemas.openxmlformats.org/officeDocument/2006/relationships/hyperlink" Target="https://www.iso-ne.com/static-assets/documents/regulatory/tariff/sect_2/sch22/sch_22_lgip.pdf" TargetMode="External"/><Relationship Id="rId25" Type="http://schemas.openxmlformats.org/officeDocument/2006/relationships/hyperlink" Target="https://www.iso-ne.com/system-planning/system-plans-studies/rsp/" TargetMode="External"/><Relationship Id="rId33" Type="http://schemas.openxmlformats.org/officeDocument/2006/relationships/hyperlink" Target="https://www.iso-ne.com/static-assets/documents/2020/02/a6_nescoe_2019_Econ_8000.pdf" TargetMode="External"/><Relationship Id="rId2" Type="http://schemas.openxmlformats.org/officeDocument/2006/relationships/hyperlink" Target="https://www.iso-ne.com/static-assets/documents/2019/04/anbaric_2019_economic_study_request.pdf" TargetMode="External"/><Relationship Id="rId16" Type="http://schemas.openxmlformats.org/officeDocument/2006/relationships/hyperlink" Target="https://irtt.iso-ne.com/reports/external" TargetMode="External"/><Relationship Id="rId20" Type="http://schemas.openxmlformats.org/officeDocument/2006/relationships/hyperlink" Target="https://www.iso-ne.com/static-assets/documents/2019/05/a2_2019_economic_study_draft_scope_of_work_and_high_level_assumptions.pptx" TargetMode="External"/><Relationship Id="rId29" Type="http://schemas.openxmlformats.org/officeDocument/2006/relationships/hyperlink" Target="https://fileservice.eea.comacloud.net/FileService.Api/file/FileRoom/9946890" TargetMode="External"/><Relationship Id="rId1" Type="http://schemas.openxmlformats.org/officeDocument/2006/relationships/hyperlink" Target="https://www.iso-ne.com/static-assets/documents/2020/06/2019_nescoe_economic_study_final.docx" TargetMode="External"/><Relationship Id="rId6" Type="http://schemas.openxmlformats.org/officeDocument/2006/relationships/hyperlink" Target="https://www.iso-ne.com/static-assets/documents/regulatory/tariff/sect_2/oatt/sect_ii.pdf" TargetMode="External"/><Relationship Id="rId11" Type="http://schemas.openxmlformats.org/officeDocument/2006/relationships/hyperlink" Target="https://www.iso-ne.com/static-assets/documents/2020/07/energy_storage_in_2019_anbaric_study_june_2020_pac.pdf" TargetMode="External"/><Relationship Id="rId24" Type="http://schemas.openxmlformats.org/officeDocument/2006/relationships/hyperlink" Target="https://www.iso-ne.com/about/key-stats/maps-and-diagrams/" TargetMode="External"/><Relationship Id="rId32" Type="http://schemas.openxmlformats.org/officeDocument/2006/relationships/hyperlink" Target="https://www.iso-ne.com/static-assets/documents/2020/01/a4_jan_2020_economic_study_qa_final-67f4425e.pdf" TargetMode="External"/><Relationship Id="rId5" Type="http://schemas.openxmlformats.org/officeDocument/2006/relationships/hyperlink" Target="https://www.iso-ne.com/static-assets/documents/2020/06/2019_nescoe_economic_study_final.docx" TargetMode="External"/><Relationship Id="rId15" Type="http://schemas.openxmlformats.org/officeDocument/2006/relationships/hyperlink" Target="https://www.iso-ne.com/system-planning/transmission-planning/interconnection-request-queue/" TargetMode="External"/><Relationship Id="rId23" Type="http://schemas.openxmlformats.org/officeDocument/2006/relationships/hyperlink" Target="https://www.iso-ne.com/static-assets/documents/2019/03/a8_fca14_transmission_transfer_capabilities_and_capacity_zone_development.pdf" TargetMode="External"/><Relationship Id="rId28" Type="http://schemas.openxmlformats.org/officeDocument/2006/relationships/hyperlink" Target="https://fileservice.eea.comacloud.net/FileService.Api/file/FileRoom/9946889" TargetMode="External"/><Relationship Id="rId36" Type="http://schemas.openxmlformats.org/officeDocument/2006/relationships/hyperlink" Target="https://www.iso-ne.com/static-assets/documents/2020/06/2019_nescoe_economic_study_final.docx" TargetMode="External"/><Relationship Id="rId10" Type="http://schemas.openxmlformats.org/officeDocument/2006/relationships/hyperlink" Target="https://www.iso-ne.com/static-assets/documents/2020/05/a6_anbaric_2019_economic_study_follow_up_to_march_2020_pac_meeting.pdf" TargetMode="External"/><Relationship Id="rId19" Type="http://schemas.openxmlformats.org/officeDocument/2006/relationships/hyperlink" Target="https://www.iso-ne.com/static-assets/documents/2015/02/sch_25.pdf" TargetMode="External"/><Relationship Id="rId31" Type="http://schemas.openxmlformats.org/officeDocument/2006/relationships/hyperlink" Target="https://www.iso-ne.com/static-assets/documents/2019/12/a3_2019_economic_study_preliminary_nescoe_results.pdf" TargetMode="External"/><Relationship Id="rId4" Type="http://schemas.openxmlformats.org/officeDocument/2006/relationships/hyperlink" Target="https://www.iso-ne.com/static-assets/documents/2019/04/a2_nescoe_2019_economic_study_request_presentation.pptx" TargetMode="External"/><Relationship Id="rId9" Type="http://schemas.openxmlformats.org/officeDocument/2006/relationships/hyperlink" Target="https://www.iso-ne.com/static-assets/documents/2020/03/a8_anbaric_2019_economic_study_prelim_results_marpac.pdf" TargetMode="External"/><Relationship Id="rId14" Type="http://schemas.openxmlformats.org/officeDocument/2006/relationships/hyperlink" Target="https://www.sec.gov/Archives/edgar/data/1634997/000156459018018891/agr-ex106_142.htm" TargetMode="External"/><Relationship Id="rId22" Type="http://schemas.openxmlformats.org/officeDocument/2006/relationships/hyperlink" Target="https://www.iso-ne.com/static-assets/documents/2019/11/a6_2019_economic_study_request_status_update.pdf" TargetMode="External"/><Relationship Id="rId27" Type="http://schemas.openxmlformats.org/officeDocument/2006/relationships/hyperlink" Target="https://fileservice.eea.comacloud.net/FileService.Api/file/FileRoom/9946888" TargetMode="External"/><Relationship Id="rId30" Type="http://schemas.openxmlformats.org/officeDocument/2006/relationships/hyperlink" Target="https://eeaonline.eea.state.ma.us/DPU/Fileroom/dockets/bynumber/18-65" TargetMode="External"/><Relationship Id="rId35" Type="http://schemas.openxmlformats.org/officeDocument/2006/relationships/hyperlink" Target="https://smd.iso-ne.com/operations-services/ceii/pac/2020/05/a3_2019_economic_study_offshore_wind_transmission_interconnection_analysis_ceii.pdf" TargetMode="External"/></Relationships>
</file>

<file path=word/theme/theme1.xml><?xml version="1.0" encoding="utf-8"?>
<a:theme xmlns:a="http://schemas.openxmlformats.org/drawingml/2006/main" name="ISONE2015">
  <a:themeElements>
    <a:clrScheme name="ISO-NE">
      <a:dk1>
        <a:srgbClr val="62777F"/>
      </a:dk1>
      <a:lt1>
        <a:srgbClr val="FFFFFF"/>
      </a:lt1>
      <a:dk2>
        <a:srgbClr val="1E6A9A"/>
      </a:dk2>
      <a:lt2>
        <a:srgbClr val="6DCFF6"/>
      </a:lt2>
      <a:accent1>
        <a:srgbClr val="1795D2"/>
      </a:accent1>
      <a:accent2>
        <a:srgbClr val="8555A1"/>
      </a:accent2>
      <a:accent3>
        <a:srgbClr val="77BD2A"/>
      </a:accent3>
      <a:accent4>
        <a:srgbClr val="FBB92F"/>
      </a:accent4>
      <a:accent5>
        <a:srgbClr val="F68920"/>
      </a:accent5>
      <a:accent6>
        <a:srgbClr val="EC1F25"/>
      </a:accent6>
      <a:hlink>
        <a:srgbClr val="1795D2"/>
      </a:hlink>
      <a:folHlink>
        <a:srgbClr val="8555A1"/>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28244-E016-473F-AC03-1F7AEFEC1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6431</Words>
  <Characters>41561</Characters>
  <Application>Microsoft Office Word</Application>
  <DocSecurity>0</DocSecurity>
  <Lines>346</Lines>
  <Paragraphs>95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47897</CharactersWithSpaces>
  <SharedDoc>false</SharedDoc>
  <HLinks>
    <vt:vector size="180" baseType="variant">
      <vt:variant>
        <vt:i4>5832765</vt:i4>
      </vt:variant>
      <vt:variant>
        <vt:i4>312</vt:i4>
      </vt:variant>
      <vt:variant>
        <vt:i4>0</vt:i4>
      </vt:variant>
      <vt:variant>
        <vt:i4>5</vt:i4>
      </vt:variant>
      <vt:variant>
        <vt:lpwstr>../../../AppData/Local/Microsoft/AppData/Local/Microsoft/Windows/Temporary Internet Files/Content.Outlook/L3G0JW5V/),  https:/iso-ne.com/static-assets/documents/2016/08/a5_generic_and_region_specific_costs_of_new_generating_technologies.pdf</vt:lpwstr>
      </vt:variant>
      <vt:variant>
        <vt:lpwstr/>
      </vt:variant>
      <vt:variant>
        <vt:i4>3932270</vt:i4>
      </vt:variant>
      <vt:variant>
        <vt:i4>273</vt:i4>
      </vt:variant>
      <vt:variant>
        <vt:i4>0</vt:i4>
      </vt:variant>
      <vt:variant>
        <vt:i4>5</vt:i4>
      </vt:variant>
      <vt:variant>
        <vt:lpwstr>http://www.eia.gov/forecasts/aeo/index.cfm</vt:lpwstr>
      </vt:variant>
      <vt:variant>
        <vt:lpwstr/>
      </vt:variant>
      <vt:variant>
        <vt:i4>6619234</vt:i4>
      </vt:variant>
      <vt:variant>
        <vt:i4>240</vt:i4>
      </vt:variant>
      <vt:variant>
        <vt:i4>0</vt:i4>
      </vt:variant>
      <vt:variant>
        <vt:i4>5</vt:i4>
      </vt:variant>
      <vt:variant>
        <vt:lpwstr>http://www.iso-ne.com/static-assets/documents/2016/03/a2_fca11_zonal_boundary_determinations.pdf</vt:lpwstr>
      </vt:variant>
      <vt:variant>
        <vt:lpwstr/>
      </vt:variant>
      <vt:variant>
        <vt:i4>6619234</vt:i4>
      </vt:variant>
      <vt:variant>
        <vt:i4>237</vt:i4>
      </vt:variant>
      <vt:variant>
        <vt:i4>0</vt:i4>
      </vt:variant>
      <vt:variant>
        <vt:i4>5</vt:i4>
      </vt:variant>
      <vt:variant>
        <vt:lpwstr>http://www.iso-ne.com/static-assets/documents/2016/03/a2_fca11_zonal_boundary_determinations.pdf</vt:lpwstr>
      </vt:variant>
      <vt:variant>
        <vt:lpwstr/>
      </vt:variant>
      <vt:variant>
        <vt:i4>6619234</vt:i4>
      </vt:variant>
      <vt:variant>
        <vt:i4>234</vt:i4>
      </vt:variant>
      <vt:variant>
        <vt:i4>0</vt:i4>
      </vt:variant>
      <vt:variant>
        <vt:i4>5</vt:i4>
      </vt:variant>
      <vt:variant>
        <vt:lpwstr>http://www.iso-ne.com/static-assets/documents/2016/03/a2_fca11_zonal_boundary_determinations.pdf</vt:lpwstr>
      </vt:variant>
      <vt:variant>
        <vt:lpwstr/>
      </vt:variant>
      <vt:variant>
        <vt:i4>6619234</vt:i4>
      </vt:variant>
      <vt:variant>
        <vt:i4>231</vt:i4>
      </vt:variant>
      <vt:variant>
        <vt:i4>0</vt:i4>
      </vt:variant>
      <vt:variant>
        <vt:i4>5</vt:i4>
      </vt:variant>
      <vt:variant>
        <vt:lpwstr>http://www.iso-ne.com/static-assets/documents/2016/03/a2_fca11_zonal_boundary_determinations.pdf</vt:lpwstr>
      </vt:variant>
      <vt:variant>
        <vt:lpwstr/>
      </vt:variant>
      <vt:variant>
        <vt:i4>6619234</vt:i4>
      </vt:variant>
      <vt:variant>
        <vt:i4>228</vt:i4>
      </vt:variant>
      <vt:variant>
        <vt:i4>0</vt:i4>
      </vt:variant>
      <vt:variant>
        <vt:i4>5</vt:i4>
      </vt:variant>
      <vt:variant>
        <vt:lpwstr>http://www.iso-ne.com/static-assets/documents/2016/03/a2_fca11_zonal_boundary_determinations.pdf</vt:lpwstr>
      </vt:variant>
      <vt:variant>
        <vt:lpwstr/>
      </vt:variant>
      <vt:variant>
        <vt:i4>6619234</vt:i4>
      </vt:variant>
      <vt:variant>
        <vt:i4>225</vt:i4>
      </vt:variant>
      <vt:variant>
        <vt:i4>0</vt:i4>
      </vt:variant>
      <vt:variant>
        <vt:i4>5</vt:i4>
      </vt:variant>
      <vt:variant>
        <vt:lpwstr>http://www.iso-ne.com/static-assets/documents/2016/03/a2_fca11_zonal_boundary_determinations.pdf</vt:lpwstr>
      </vt:variant>
      <vt:variant>
        <vt:lpwstr/>
      </vt:variant>
      <vt:variant>
        <vt:i4>1114190</vt:i4>
      </vt:variant>
      <vt:variant>
        <vt:i4>216</vt:i4>
      </vt:variant>
      <vt:variant>
        <vt:i4>0</vt:i4>
      </vt:variant>
      <vt:variant>
        <vt:i4>5</vt:i4>
      </vt:variant>
      <vt:variant>
        <vt:lpwstr>https://smd.iso-ne.com/operations-services/ceii/pac/2016/06/a3_transmission_transfer_capabilities_update.pdf</vt:lpwstr>
      </vt:variant>
      <vt:variant>
        <vt:lpwstr/>
      </vt:variant>
      <vt:variant>
        <vt:i4>1114190</vt:i4>
      </vt:variant>
      <vt:variant>
        <vt:i4>213</vt:i4>
      </vt:variant>
      <vt:variant>
        <vt:i4>0</vt:i4>
      </vt:variant>
      <vt:variant>
        <vt:i4>5</vt:i4>
      </vt:variant>
      <vt:variant>
        <vt:lpwstr>https://smd.iso-ne.com/operations-services/ceii/pac/2016/06/a3_transmission_transfer_capabilities_update.pdf</vt:lpwstr>
      </vt:variant>
      <vt:variant>
        <vt:lpwstr/>
      </vt:variant>
      <vt:variant>
        <vt:i4>1114190</vt:i4>
      </vt:variant>
      <vt:variant>
        <vt:i4>210</vt:i4>
      </vt:variant>
      <vt:variant>
        <vt:i4>0</vt:i4>
      </vt:variant>
      <vt:variant>
        <vt:i4>5</vt:i4>
      </vt:variant>
      <vt:variant>
        <vt:lpwstr>https://smd.iso-ne.com/operations-services/ceii/pac/2016/06/a3_transmission_transfer_capabilities_update.pdf</vt:lpwstr>
      </vt:variant>
      <vt:variant>
        <vt:lpwstr/>
      </vt:variant>
      <vt:variant>
        <vt:i4>1114190</vt:i4>
      </vt:variant>
      <vt:variant>
        <vt:i4>207</vt:i4>
      </vt:variant>
      <vt:variant>
        <vt:i4>0</vt:i4>
      </vt:variant>
      <vt:variant>
        <vt:i4>5</vt:i4>
      </vt:variant>
      <vt:variant>
        <vt:lpwstr>https://smd.iso-ne.com/operations-services/ceii/pac/2016/06/a3_transmission_transfer_capabilities_update.pdf</vt:lpwstr>
      </vt:variant>
      <vt:variant>
        <vt:lpwstr/>
      </vt:variant>
      <vt:variant>
        <vt:i4>1114190</vt:i4>
      </vt:variant>
      <vt:variant>
        <vt:i4>204</vt:i4>
      </vt:variant>
      <vt:variant>
        <vt:i4>0</vt:i4>
      </vt:variant>
      <vt:variant>
        <vt:i4>5</vt:i4>
      </vt:variant>
      <vt:variant>
        <vt:lpwstr>https://smd.iso-ne.com/operations-services/ceii/pac/2016/06/a3_transmission_transfer_capabilities_update.pdf</vt:lpwstr>
      </vt:variant>
      <vt:variant>
        <vt:lpwstr/>
      </vt:variant>
      <vt:variant>
        <vt:i4>524395</vt:i4>
      </vt:variant>
      <vt:variant>
        <vt:i4>48</vt:i4>
      </vt:variant>
      <vt:variant>
        <vt:i4>0</vt:i4>
      </vt:variant>
      <vt:variant>
        <vt:i4>5</vt:i4>
      </vt:variant>
      <vt:variant>
        <vt:lpwstr>http://www.iso-ne.com/static- assets/documents/2016/03/a2_maine_resource_integration_study_scope_of_  work.pdf</vt:lpwstr>
      </vt:variant>
      <vt:variant>
        <vt:lpwstr/>
      </vt:variant>
      <vt:variant>
        <vt:i4>6684788</vt:i4>
      </vt:variant>
      <vt:variant>
        <vt:i4>45</vt:i4>
      </vt:variant>
      <vt:variant>
        <vt:i4>0</vt:i4>
      </vt:variant>
      <vt:variant>
        <vt:i4>5</vt:i4>
      </vt:variant>
      <vt:variant>
        <vt:lpwstr>https://www.iso-ne.com/static-assets/documents/2016/08/a6_2016_economic_study_draft_results_appendix.pdf</vt:lpwstr>
      </vt:variant>
      <vt:variant>
        <vt:lpwstr/>
      </vt:variant>
      <vt:variant>
        <vt:i4>7077976</vt:i4>
      </vt:variant>
      <vt:variant>
        <vt:i4>42</vt:i4>
      </vt:variant>
      <vt:variant>
        <vt:i4>0</vt:i4>
      </vt:variant>
      <vt:variant>
        <vt:i4>5</vt:i4>
      </vt:variant>
      <vt:variant>
        <vt:lpwstr>https://www.iso-ne.com/static-assets/documents/2016/08/a6_2016_economic_study_draft_results.pdf</vt:lpwstr>
      </vt:variant>
      <vt:variant>
        <vt:lpwstr/>
      </vt:variant>
      <vt:variant>
        <vt:i4>2752573</vt:i4>
      </vt:variant>
      <vt:variant>
        <vt:i4>39</vt:i4>
      </vt:variant>
      <vt:variant>
        <vt:i4>0</vt:i4>
      </vt:variant>
      <vt:variant>
        <vt:i4>5</vt:i4>
      </vt:variant>
      <vt:variant>
        <vt:lpwstr>https://iso-ne.com/static-assets/documents/2016/09/a7_2016_economic_study_part_2_appendix.pdf</vt:lpwstr>
      </vt:variant>
      <vt:variant>
        <vt:lpwstr/>
      </vt:variant>
      <vt:variant>
        <vt:i4>1048639</vt:i4>
      </vt:variant>
      <vt:variant>
        <vt:i4>36</vt:i4>
      </vt:variant>
      <vt:variant>
        <vt:i4>0</vt:i4>
      </vt:variant>
      <vt:variant>
        <vt:i4>5</vt:i4>
      </vt:variant>
      <vt:variant>
        <vt:lpwstr>https://iso-ne.com/static-assets/documents/2016/09/a6_2016_economic_study_draft_results_part_2.pdf</vt:lpwstr>
      </vt:variant>
      <vt:variant>
        <vt:lpwstr/>
      </vt:variant>
      <vt:variant>
        <vt:i4>3932270</vt:i4>
      </vt:variant>
      <vt:variant>
        <vt:i4>33</vt:i4>
      </vt:variant>
      <vt:variant>
        <vt:i4>0</vt:i4>
      </vt:variant>
      <vt:variant>
        <vt:i4>5</vt:i4>
      </vt:variant>
      <vt:variant>
        <vt:lpwstr>http://www.eia.gov/forecasts/aeo/index.cfm</vt:lpwstr>
      </vt:variant>
      <vt:variant>
        <vt:lpwstr/>
      </vt:variant>
      <vt:variant>
        <vt:i4>7078013</vt:i4>
      </vt:variant>
      <vt:variant>
        <vt:i4>30</vt:i4>
      </vt:variant>
      <vt:variant>
        <vt:i4>0</vt:i4>
      </vt:variant>
      <vt:variant>
        <vt:i4>5</vt:i4>
      </vt:variant>
      <vt:variant>
        <vt:lpwstr>http://www.iso-ne.com/static-assets/documents/2016/05/a3_2016_economic_study_scope_of_work_rps_spreadsheet.xlsx</vt:lpwstr>
      </vt:variant>
      <vt:variant>
        <vt:lpwstr/>
      </vt:variant>
      <vt:variant>
        <vt:i4>196634</vt:i4>
      </vt:variant>
      <vt:variant>
        <vt:i4>27</vt:i4>
      </vt:variant>
      <vt:variant>
        <vt:i4>0</vt:i4>
      </vt:variant>
      <vt:variant>
        <vt:i4>5</vt:i4>
      </vt:variant>
      <vt:variant>
        <vt:lpwstr>http://www.iso-ne.com/static-assets/documents/2016/07/a6_2016_economic_study_update.pdf</vt:lpwstr>
      </vt:variant>
      <vt:variant>
        <vt:lpwstr/>
      </vt:variant>
      <vt:variant>
        <vt:i4>2228260</vt:i4>
      </vt:variant>
      <vt:variant>
        <vt:i4>24</vt:i4>
      </vt:variant>
      <vt:variant>
        <vt:i4>0</vt:i4>
      </vt:variant>
      <vt:variant>
        <vt:i4>5</vt:i4>
      </vt:variant>
      <vt:variant>
        <vt:lpwstr>http://www.iso-ne.com/static-assets/documents/2016/06/a9_2016_economic_study_assumptions.pdf</vt:lpwstr>
      </vt:variant>
      <vt:variant>
        <vt:lpwstr/>
      </vt:variant>
      <vt:variant>
        <vt:i4>1441896</vt:i4>
      </vt:variant>
      <vt:variant>
        <vt:i4>21</vt:i4>
      </vt:variant>
      <vt:variant>
        <vt:i4>0</vt:i4>
      </vt:variant>
      <vt:variant>
        <vt:i4>5</vt:i4>
      </vt:variant>
      <vt:variant>
        <vt:lpwstr>https://iso-ne.com/static-assets/documents/2016/05/a3_2016_economic_study_scope_of_work_assumptions.pdf</vt:lpwstr>
      </vt:variant>
      <vt:variant>
        <vt:lpwstr/>
      </vt:variant>
      <vt:variant>
        <vt:i4>7078013</vt:i4>
      </vt:variant>
      <vt:variant>
        <vt:i4>18</vt:i4>
      </vt:variant>
      <vt:variant>
        <vt:i4>0</vt:i4>
      </vt:variant>
      <vt:variant>
        <vt:i4>5</vt:i4>
      </vt:variant>
      <vt:variant>
        <vt:lpwstr>http://www.iso-ne.com/static-assets/documents/2016/05/a3_2016_economic_study_scope_of_work_rps_spreadsheet.xlsx</vt:lpwstr>
      </vt:variant>
      <vt:variant>
        <vt:lpwstr/>
      </vt:variant>
      <vt:variant>
        <vt:i4>196634</vt:i4>
      </vt:variant>
      <vt:variant>
        <vt:i4>15</vt:i4>
      </vt:variant>
      <vt:variant>
        <vt:i4>0</vt:i4>
      </vt:variant>
      <vt:variant>
        <vt:i4>5</vt:i4>
      </vt:variant>
      <vt:variant>
        <vt:lpwstr>http://www.iso-ne.com/static-assets/documents/2016/07/a6_2016_economic_study_update.pdf</vt:lpwstr>
      </vt:variant>
      <vt:variant>
        <vt:lpwstr/>
      </vt:variant>
      <vt:variant>
        <vt:i4>2228260</vt:i4>
      </vt:variant>
      <vt:variant>
        <vt:i4>12</vt:i4>
      </vt:variant>
      <vt:variant>
        <vt:i4>0</vt:i4>
      </vt:variant>
      <vt:variant>
        <vt:i4>5</vt:i4>
      </vt:variant>
      <vt:variant>
        <vt:lpwstr>http://www.iso-ne.com/static-assets/documents/2016/06/a9_2016_economic_study_assumptions.pdf</vt:lpwstr>
      </vt:variant>
      <vt:variant>
        <vt:lpwstr/>
      </vt:variant>
      <vt:variant>
        <vt:i4>1769541</vt:i4>
      </vt:variant>
      <vt:variant>
        <vt:i4>9</vt:i4>
      </vt:variant>
      <vt:variant>
        <vt:i4>0</vt:i4>
      </vt:variant>
      <vt:variant>
        <vt:i4>5</vt:i4>
      </vt:variant>
      <vt:variant>
        <vt:lpwstr>https://iso-ne.com/static-assets/documents/regulatory/tariff/sect_2/oatt/sect_ii.pdf</vt:lpwstr>
      </vt:variant>
      <vt:variant>
        <vt:lpwstr/>
      </vt:variant>
      <vt:variant>
        <vt:i4>196634</vt:i4>
      </vt:variant>
      <vt:variant>
        <vt:i4>6</vt:i4>
      </vt:variant>
      <vt:variant>
        <vt:i4>0</vt:i4>
      </vt:variant>
      <vt:variant>
        <vt:i4>5</vt:i4>
      </vt:variant>
      <vt:variant>
        <vt:lpwstr>http://www.iso-ne.com/static-assets/documents/2016/07/a6_2016_economic_study_update.pdf</vt:lpwstr>
      </vt:variant>
      <vt:variant>
        <vt:lpwstr/>
      </vt:variant>
      <vt:variant>
        <vt:i4>2228260</vt:i4>
      </vt:variant>
      <vt:variant>
        <vt:i4>3</vt:i4>
      </vt:variant>
      <vt:variant>
        <vt:i4>0</vt:i4>
      </vt:variant>
      <vt:variant>
        <vt:i4>5</vt:i4>
      </vt:variant>
      <vt:variant>
        <vt:lpwstr>http://www.iso-ne.com/static-assets/documents/2016/06/a9_2016_economic_study_assumptions.pdf</vt:lpwstr>
      </vt:variant>
      <vt:variant>
        <vt:lpwstr/>
      </vt:variant>
      <vt:variant>
        <vt:i4>2097272</vt:i4>
      </vt:variant>
      <vt:variant>
        <vt:i4>0</vt:i4>
      </vt:variant>
      <vt:variant>
        <vt:i4>0</vt:i4>
      </vt:variant>
      <vt:variant>
        <vt:i4>5</vt:i4>
      </vt:variant>
      <vt:variant>
        <vt:lpwstr>http://www.iso-ne.com/regulatory/tariff/sect_2/oatt/sect_ii.pdf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2020-10-05T17:42:00Z</dcterms:created>
  <dcterms:modified xsi:type="dcterms:W3CDTF">2020-12-04T18:13:00Z</dcterms:modified>
  <cp:contentStatus/>
</cp:coreProperties>
</file>