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CD5" w:rsidRPr="00954CD5" w:rsidRDefault="00DB2AB6" w:rsidP="00954CD5">
      <w:permStart w:id="1771732953" w:edGrp="everyone"/>
      <w:r w:rsidRPr="008F1136">
        <w:rPr>
          <w:noProof/>
        </w:rPr>
        <w:drawing>
          <wp:anchor distT="0" distB="0" distL="114300" distR="114300" simplePos="0" relativeHeight="251663360" behindDoc="0" locked="0" layoutInCell="1" allowOverlap="1" wp14:anchorId="1FBE50BF" wp14:editId="632C79CA">
            <wp:simplePos x="0" y="0"/>
            <wp:positionH relativeFrom="margin">
              <wp:align>right</wp:align>
            </wp:positionH>
            <wp:positionV relativeFrom="paragraph">
              <wp:posOffset>64770</wp:posOffset>
            </wp:positionV>
            <wp:extent cx="1600200" cy="1600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endel\AppData\Local\Microsoft\Windows\INetCache\Content.Outlook\4VNTXW68\economic-studies-icon-300px.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DC5">
        <w:rPr>
          <w:rFonts w:ascii="Calibri" w:hAnsi="Calibri" w:cs="OpenSans-Bold"/>
          <w:b/>
          <w:bCs/>
          <w:noProof/>
          <w:color w:val="3D484C"/>
          <w:sz w:val="80"/>
          <w:szCs w:val="80"/>
        </w:rPr>
        <w:drawing>
          <wp:anchor distT="0" distB="0" distL="114300" distR="114300" simplePos="0" relativeHeight="251664384" behindDoc="1" locked="0" layoutInCell="1" allowOverlap="1" wp14:anchorId="3C492262" wp14:editId="5CB8E7EF">
            <wp:simplePos x="0" y="0"/>
            <wp:positionH relativeFrom="page">
              <wp:posOffset>15240</wp:posOffset>
            </wp:positionH>
            <wp:positionV relativeFrom="page">
              <wp:posOffset>33020</wp:posOffset>
            </wp:positionV>
            <wp:extent cx="7772400" cy="1005840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ermEnd w:id="1771732953"/>
    </w:p>
    <w:p w:rsidR="00954CD5" w:rsidRDefault="00954CD5" w:rsidP="00C86E4B"/>
    <w:p w:rsidR="00954CD5" w:rsidRDefault="00FF2320" w:rsidP="00954CD5">
      <w:r>
        <w:rPr>
          <w:rFonts w:ascii="Calibri" w:hAnsi="Calibri" w:cs="OpenSans-Bold"/>
          <w:b/>
          <w:bCs/>
          <w:noProof/>
          <w:color w:val="3D484C"/>
          <w:sz w:val="80"/>
          <w:szCs w:val="80"/>
        </w:rPr>
        <mc:AlternateContent>
          <mc:Choice Requires="wps">
            <w:drawing>
              <wp:anchor distT="0" distB="0" distL="114300" distR="114300" simplePos="0" relativeHeight="251660288" behindDoc="0" locked="0" layoutInCell="1" allowOverlap="1" wp14:anchorId="3CA6AFF7" wp14:editId="61B95F09">
                <wp:simplePos x="0" y="0"/>
                <wp:positionH relativeFrom="margin">
                  <wp:posOffset>-680720</wp:posOffset>
                </wp:positionH>
                <wp:positionV relativeFrom="paragraph">
                  <wp:posOffset>5720080</wp:posOffset>
                </wp:positionV>
                <wp:extent cx="7299960" cy="320040"/>
                <wp:effectExtent l="0" t="0" r="0" b="381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9960" cy="320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rsidR="00BD6E1B" w:rsidRPr="00716539" w:rsidRDefault="00BD6E1B" w:rsidP="00017E7E">
                            <w:pPr>
                              <w:widowControl w:val="0"/>
                              <w:suppressAutoHyphens/>
                              <w:autoSpaceDE w:val="0"/>
                              <w:autoSpaceDN w:val="0"/>
                              <w:jc w:val="center"/>
                              <w:textAlignment w:val="center"/>
                              <w:rPr>
                                <w:rFonts w:ascii="Calibri" w:hAnsi="Calibri" w:cs="OpenSans-Bold"/>
                                <w:b/>
                                <w:bCs/>
                                <w:caps/>
                                <w:color w:val="62777F"/>
                                <w:sz w:val="14"/>
                                <w:szCs w:val="14"/>
                              </w:rPr>
                            </w:pPr>
                            <w:r w:rsidRPr="004A2480">
                              <w:rPr>
                                <w:rFonts w:ascii="Calibri" w:hAnsi="Calibri" w:cs="OpenSans-Bold"/>
                                <w:b/>
                                <w:bCs/>
                                <w:caps/>
                                <w:color w:val="62777F"/>
                                <w:sz w:val="14"/>
                                <w:szCs w:val="14"/>
                              </w:rPr>
                              <w:t>ISO-NE PUBLIC</w:t>
                            </w:r>
                          </w:p>
                          <w:p w:rsidR="00BD6E1B" w:rsidRPr="004759C4" w:rsidRDefault="00BD6E1B" w:rsidP="00017E7E">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CA6AFF7" id="_x0000_t202" coordsize="21600,21600" o:spt="202" path="m,l,21600r21600,l21600,xe">
                <v:stroke joinstyle="miter"/>
                <v:path gradientshapeok="t" o:connecttype="rect"/>
              </v:shapetype>
              <v:shape id="Text Box 12" o:spid="_x0000_s1026" type="#_x0000_t202" style="position:absolute;margin-left:-53.6pt;margin-top:450.4pt;width:574.8pt;height:25.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" filled="f" stroked="f">
                <v:path arrowok="t"/>
                <v:textbox>
                  <w:txbxContent>
                    <w:p w:rsidR="00BD6E1B" w:rsidRPr="00716539" w:rsidRDefault="00BD6E1B" w:rsidP="00017E7E">
                      <w:pPr>
                        <w:widowControl w:val="0"/>
                        <w:suppressAutoHyphens/>
                        <w:autoSpaceDE w:val="0"/>
                        <w:autoSpaceDN w:val="0"/>
                        <w:jc w:val="center"/>
                        <w:textAlignment w:val="center"/>
                        <w:rPr>
                          <w:rFonts w:ascii="Calibri" w:hAnsi="Calibri" w:cs="OpenSans-Bold"/>
                          <w:b/>
                          <w:bCs/>
                          <w:caps/>
                          <w:color w:val="62777F"/>
                          <w:sz w:val="14"/>
                          <w:szCs w:val="14"/>
                        </w:rPr>
                      </w:pPr>
                      <w:r w:rsidRPr="004A2480">
                        <w:rPr>
                          <w:rFonts w:ascii="Calibri" w:hAnsi="Calibri" w:cs="OpenSans-Bold"/>
                          <w:b/>
                          <w:bCs/>
                          <w:caps/>
                          <w:color w:val="62777F"/>
                          <w:sz w:val="14"/>
                          <w:szCs w:val="14"/>
                        </w:rPr>
                        <w:t>ISO-NE PUBLIC</w:t>
                      </w:r>
                    </w:p>
                    <w:p w:rsidR="00BD6E1B" w:rsidRPr="004759C4" w:rsidRDefault="00BD6E1B" w:rsidP="00017E7E">
                      <w:pPr>
                        <w:rPr>
                          <w:rFonts w:ascii="Calibri" w:hAnsi="Calibri"/>
                          <w:color w:val="787B7F"/>
                          <w:sz w:val="14"/>
                          <w:szCs w:val="14"/>
                        </w:rPr>
                      </w:pPr>
                    </w:p>
                  </w:txbxContent>
                </v:textbox>
                <w10:wrap type="square" anchorx="margin"/>
              </v:shape>
            </w:pict>
          </mc:Fallback>
        </mc:AlternateContent>
      </w:r>
      <w:r>
        <w:rPr>
          <w:rFonts w:ascii="Calibri" w:hAnsi="Calibri" w:cs="OpenSans-Bold"/>
          <w:b/>
          <w:bCs/>
          <w:noProof/>
          <w:color w:val="3D484C"/>
          <w:sz w:val="80"/>
          <w:szCs w:val="80"/>
        </w:rPr>
        <mc:AlternateContent>
          <mc:Choice Requires="wps">
            <w:drawing>
              <wp:anchor distT="0" distB="0" distL="114300" distR="114300" simplePos="0" relativeHeight="251662336" behindDoc="0" locked="0" layoutInCell="1" allowOverlap="1" wp14:anchorId="1F7FC0FA" wp14:editId="031AEF18">
                <wp:simplePos x="0" y="0"/>
                <wp:positionH relativeFrom="margin">
                  <wp:align>left</wp:align>
                </wp:positionH>
                <wp:positionV relativeFrom="paragraph">
                  <wp:posOffset>1038860</wp:posOffset>
                </wp:positionV>
                <wp:extent cx="6055360" cy="3769360"/>
                <wp:effectExtent l="0" t="0" r="0" b="254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76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E1B" w:rsidRPr="009E2582" w:rsidRDefault="00BD6E1B" w:rsidP="00C445C2">
                            <w:pPr>
                              <w:pStyle w:val="body"/>
                              <w:spacing w:before="0" w:after="120" w:line="192" w:lineRule="auto"/>
                              <w:rPr>
                                <w:rFonts w:ascii="Calibri" w:hAnsi="Calibri" w:cs="OpenSans-Bold"/>
                                <w:b/>
                                <w:bCs/>
                                <w:color w:val="C00000"/>
                                <w:sz w:val="72"/>
                                <w:szCs w:val="72"/>
                              </w:rPr>
                            </w:pPr>
                            <w:r w:rsidRPr="00596940">
                              <w:rPr>
                                <w:rFonts w:ascii="Calibri" w:hAnsi="Calibri" w:cs="OpenSans-Bold"/>
                                <w:b/>
                                <w:bCs/>
                                <w:color w:val="62777F"/>
                                <w:sz w:val="72"/>
                                <w:szCs w:val="72"/>
                              </w:rPr>
                              <w:t>201</w:t>
                            </w:r>
                            <w:r>
                              <w:rPr>
                                <w:rFonts w:ascii="Calibri" w:hAnsi="Calibri" w:cs="OpenSans-Bold"/>
                                <w:b/>
                                <w:bCs/>
                                <w:color w:val="62777F"/>
                                <w:sz w:val="72"/>
                                <w:szCs w:val="72"/>
                              </w:rPr>
                              <w:t>9</w:t>
                            </w:r>
                            <w:r w:rsidRPr="00596940">
                              <w:rPr>
                                <w:rFonts w:ascii="Calibri" w:hAnsi="Calibri" w:cs="OpenSans-Bold"/>
                                <w:b/>
                                <w:bCs/>
                                <w:color w:val="62777F"/>
                                <w:sz w:val="72"/>
                                <w:szCs w:val="72"/>
                              </w:rPr>
                              <w:t xml:space="preserve"> Economic Study:</w:t>
                            </w:r>
                            <w:r w:rsidRPr="00596940">
                              <w:rPr>
                                <w:rFonts w:ascii="Calibri" w:hAnsi="Calibri" w:cs="OpenSans-Bold"/>
                                <w:b/>
                                <w:bCs/>
                                <w:color w:val="62777F"/>
                                <w:sz w:val="72"/>
                                <w:szCs w:val="72"/>
                              </w:rPr>
                              <w:br/>
                            </w:r>
                            <w:r>
                              <w:rPr>
                                <w:rFonts w:ascii="Calibri" w:hAnsi="Calibri" w:cs="OpenSans-Bold"/>
                                <w:b/>
                                <w:bCs/>
                                <w:color w:val="62777F"/>
                                <w:sz w:val="72"/>
                                <w:szCs w:val="72"/>
                              </w:rPr>
                              <w:t>Economic I</w:t>
                            </w:r>
                            <w:r w:rsidRPr="00C31335">
                              <w:rPr>
                                <w:rFonts w:ascii="Calibri" w:hAnsi="Calibri" w:cs="OpenSans-Bold"/>
                                <w:b/>
                                <w:bCs/>
                                <w:color w:val="62777F"/>
                                <w:sz w:val="72"/>
                                <w:szCs w:val="72"/>
                              </w:rPr>
                              <w:t xml:space="preserve">mpacts of </w:t>
                            </w:r>
                            <w:r>
                              <w:rPr>
                                <w:rFonts w:ascii="Calibri" w:hAnsi="Calibri" w:cs="OpenSans-Bold"/>
                                <w:b/>
                                <w:bCs/>
                                <w:color w:val="62777F"/>
                                <w:sz w:val="72"/>
                                <w:szCs w:val="72"/>
                              </w:rPr>
                              <w:t>Increases in Operating Limits of the Orrington-South I</w:t>
                            </w:r>
                            <w:r w:rsidRPr="00C31335">
                              <w:rPr>
                                <w:rFonts w:ascii="Calibri" w:hAnsi="Calibri" w:cs="OpenSans-Bold"/>
                                <w:b/>
                                <w:bCs/>
                                <w:color w:val="62777F"/>
                                <w:sz w:val="72"/>
                                <w:szCs w:val="72"/>
                              </w:rPr>
                              <w:t>nterface</w:t>
                            </w:r>
                            <w:r>
                              <w:rPr>
                                <w:rFonts w:ascii="Calibri" w:hAnsi="Calibri" w:cs="OpenSans-Bold"/>
                                <w:b/>
                                <w:bCs/>
                                <w:color w:val="62777F"/>
                                <w:sz w:val="72"/>
                                <w:szCs w:val="72"/>
                              </w:rPr>
                              <w:t xml:space="preserve"> </w:t>
                            </w:r>
                          </w:p>
                          <w:p w:rsidR="00BD6E1B" w:rsidRPr="00A53E17" w:rsidRDefault="00BD6E1B" w:rsidP="00C445C2">
                            <w:pPr>
                              <w:pStyle w:val="body"/>
                              <w:spacing w:before="0" w:after="120" w:line="192" w:lineRule="auto"/>
                              <w:rPr>
                                <w:rFonts w:ascii="Calibri" w:hAnsi="Calibri" w:cs="OpenSans-Bold"/>
                                <w:b/>
                                <w:bCs/>
                                <w:color w:val="62777F"/>
                                <w:spacing w:val="-2"/>
                                <w:sz w:val="28"/>
                                <w:szCs w:val="28"/>
                              </w:rPr>
                            </w:pPr>
                          </w:p>
                          <w:p w:rsidR="00BD6E1B" w:rsidRPr="00C7798B" w:rsidRDefault="00BD6E1B" w:rsidP="00C445C2">
                            <w:pPr>
                              <w:pStyle w:val="body"/>
                              <w:spacing w:before="0" w:line="192" w:lineRule="auto"/>
                              <w:ind w:left="90"/>
                              <w:rPr>
                                <w:rFonts w:ascii="Calibri" w:hAnsi="Calibri" w:cs="OpenSans-Bold"/>
                                <w:b/>
                                <w:bCs/>
                                <w:caps/>
                                <w:color w:val="62777F"/>
                                <w:sz w:val="24"/>
                                <w:szCs w:val="24"/>
                              </w:rPr>
                            </w:pPr>
                            <w:r w:rsidRPr="00C7798B">
                              <w:rPr>
                                <w:rFonts w:ascii="Calibri" w:hAnsi="Calibri" w:cs="OpenSans-Bold"/>
                                <w:b/>
                                <w:bCs/>
                                <w:color w:val="62777F"/>
                                <w:spacing w:val="-2"/>
                                <w:sz w:val="32"/>
                                <w:szCs w:val="32"/>
                              </w:rPr>
                              <w:t>© ISO New England Inc.</w:t>
                            </w:r>
                          </w:p>
                          <w:p w:rsidR="00BD6E1B" w:rsidRPr="00026DFA" w:rsidRDefault="00BD6E1B" w:rsidP="00FF2320">
                            <w:pPr>
                              <w:pStyle w:val="body"/>
                              <w:spacing w:before="0" w:line="192" w:lineRule="auto"/>
                              <w:ind w:left="90"/>
                              <w:rPr>
                                <w:color w:val="FF0000"/>
                              </w:rPr>
                            </w:pPr>
                            <w:r w:rsidRPr="009E2582">
                              <w:rPr>
                                <w:rFonts w:ascii="Calibri" w:hAnsi="Calibri" w:cs="OpenSans-Bold"/>
                                <w:b/>
                                <w:bCs/>
                                <w:color w:val="62777F"/>
                                <w:spacing w:val="-2"/>
                                <w:sz w:val="24"/>
                                <w:szCs w:val="24"/>
                              </w:rPr>
                              <w:t>October 30,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FC0FA" id="Text Box 3" o:spid="_x0000_s1027" type="#_x0000_t202" style="position:absolute;margin-left:0;margin-top:81.8pt;width:476.8pt;height:296.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uAIAAMI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" filled="f" stroked="f">
                <v:textbox>
                  <w:txbxContent>
                    <w:p w:rsidR="00BD6E1B" w:rsidRPr="009E2582" w:rsidRDefault="00BD6E1B" w:rsidP="00C445C2">
                      <w:pPr>
                        <w:pStyle w:val="body"/>
                        <w:spacing w:before="0" w:after="120" w:line="192" w:lineRule="auto"/>
                        <w:rPr>
                          <w:rFonts w:ascii="Calibri" w:hAnsi="Calibri" w:cs="OpenSans-Bold"/>
                          <w:b/>
                          <w:bCs/>
                          <w:color w:val="C00000"/>
                          <w:sz w:val="72"/>
                          <w:szCs w:val="72"/>
                        </w:rPr>
                      </w:pPr>
                      <w:r w:rsidRPr="00596940">
                        <w:rPr>
                          <w:rFonts w:ascii="Calibri" w:hAnsi="Calibri" w:cs="OpenSans-Bold"/>
                          <w:b/>
                          <w:bCs/>
                          <w:color w:val="62777F"/>
                          <w:sz w:val="72"/>
                          <w:szCs w:val="72"/>
                        </w:rPr>
                        <w:t>201</w:t>
                      </w:r>
                      <w:r>
                        <w:rPr>
                          <w:rFonts w:ascii="Calibri" w:hAnsi="Calibri" w:cs="OpenSans-Bold"/>
                          <w:b/>
                          <w:bCs/>
                          <w:color w:val="62777F"/>
                          <w:sz w:val="72"/>
                          <w:szCs w:val="72"/>
                        </w:rPr>
                        <w:t>9</w:t>
                      </w:r>
                      <w:r w:rsidRPr="00596940">
                        <w:rPr>
                          <w:rFonts w:ascii="Calibri" w:hAnsi="Calibri" w:cs="OpenSans-Bold"/>
                          <w:b/>
                          <w:bCs/>
                          <w:color w:val="62777F"/>
                          <w:sz w:val="72"/>
                          <w:szCs w:val="72"/>
                        </w:rPr>
                        <w:t xml:space="preserve"> Economic Study</w:t>
                      </w:r>
                      <w:proofErr w:type="gramStart"/>
                      <w:r w:rsidRPr="00596940">
                        <w:rPr>
                          <w:rFonts w:ascii="Calibri" w:hAnsi="Calibri" w:cs="OpenSans-Bold"/>
                          <w:b/>
                          <w:bCs/>
                          <w:color w:val="62777F"/>
                          <w:sz w:val="72"/>
                          <w:szCs w:val="72"/>
                        </w:rPr>
                        <w:t>:</w:t>
                      </w:r>
                      <w:proofErr w:type="gramEnd"/>
                      <w:r w:rsidRPr="00596940">
                        <w:rPr>
                          <w:rFonts w:ascii="Calibri" w:hAnsi="Calibri" w:cs="OpenSans-Bold"/>
                          <w:b/>
                          <w:bCs/>
                          <w:color w:val="62777F"/>
                          <w:sz w:val="72"/>
                          <w:szCs w:val="72"/>
                        </w:rPr>
                        <w:br/>
                      </w:r>
                      <w:r>
                        <w:rPr>
                          <w:rFonts w:ascii="Calibri" w:hAnsi="Calibri" w:cs="OpenSans-Bold"/>
                          <w:b/>
                          <w:bCs/>
                          <w:color w:val="62777F"/>
                          <w:sz w:val="72"/>
                          <w:szCs w:val="72"/>
                        </w:rPr>
                        <w:t>Economic I</w:t>
                      </w:r>
                      <w:r w:rsidRPr="00C31335">
                        <w:rPr>
                          <w:rFonts w:ascii="Calibri" w:hAnsi="Calibri" w:cs="OpenSans-Bold"/>
                          <w:b/>
                          <w:bCs/>
                          <w:color w:val="62777F"/>
                          <w:sz w:val="72"/>
                          <w:szCs w:val="72"/>
                        </w:rPr>
                        <w:t xml:space="preserve">mpacts of </w:t>
                      </w:r>
                      <w:r>
                        <w:rPr>
                          <w:rFonts w:ascii="Calibri" w:hAnsi="Calibri" w:cs="OpenSans-Bold"/>
                          <w:b/>
                          <w:bCs/>
                          <w:color w:val="62777F"/>
                          <w:sz w:val="72"/>
                          <w:szCs w:val="72"/>
                        </w:rPr>
                        <w:t>Increases in Operating Limits of the Orrington-South I</w:t>
                      </w:r>
                      <w:r w:rsidRPr="00C31335">
                        <w:rPr>
                          <w:rFonts w:ascii="Calibri" w:hAnsi="Calibri" w:cs="OpenSans-Bold"/>
                          <w:b/>
                          <w:bCs/>
                          <w:color w:val="62777F"/>
                          <w:sz w:val="72"/>
                          <w:szCs w:val="72"/>
                        </w:rPr>
                        <w:t>nterface</w:t>
                      </w:r>
                      <w:r>
                        <w:rPr>
                          <w:rFonts w:ascii="Calibri" w:hAnsi="Calibri" w:cs="OpenSans-Bold"/>
                          <w:b/>
                          <w:bCs/>
                          <w:color w:val="62777F"/>
                          <w:sz w:val="72"/>
                          <w:szCs w:val="72"/>
                        </w:rPr>
                        <w:t xml:space="preserve"> </w:t>
                      </w:r>
                    </w:p>
                    <w:p w:rsidR="00BD6E1B" w:rsidRPr="00A53E17" w:rsidRDefault="00BD6E1B" w:rsidP="00C445C2">
                      <w:pPr>
                        <w:pStyle w:val="body"/>
                        <w:spacing w:before="0" w:after="120" w:line="192" w:lineRule="auto"/>
                        <w:rPr>
                          <w:rFonts w:ascii="Calibri" w:hAnsi="Calibri" w:cs="OpenSans-Bold"/>
                          <w:b/>
                          <w:bCs/>
                          <w:color w:val="62777F"/>
                          <w:spacing w:val="-2"/>
                          <w:sz w:val="28"/>
                          <w:szCs w:val="28"/>
                        </w:rPr>
                      </w:pPr>
                    </w:p>
                    <w:p w:rsidR="00BD6E1B" w:rsidRPr="00C7798B" w:rsidRDefault="00BD6E1B" w:rsidP="00C445C2">
                      <w:pPr>
                        <w:pStyle w:val="body"/>
                        <w:spacing w:before="0" w:line="192" w:lineRule="auto"/>
                        <w:ind w:left="90"/>
                        <w:rPr>
                          <w:rFonts w:ascii="Calibri" w:hAnsi="Calibri" w:cs="OpenSans-Bold"/>
                          <w:b/>
                          <w:bCs/>
                          <w:caps/>
                          <w:color w:val="62777F"/>
                          <w:sz w:val="24"/>
                          <w:szCs w:val="24"/>
                        </w:rPr>
                      </w:pPr>
                      <w:r w:rsidRPr="00C7798B">
                        <w:rPr>
                          <w:rFonts w:ascii="Calibri" w:hAnsi="Calibri" w:cs="OpenSans-Bold"/>
                          <w:b/>
                          <w:bCs/>
                          <w:color w:val="62777F"/>
                          <w:spacing w:val="-2"/>
                          <w:sz w:val="32"/>
                          <w:szCs w:val="32"/>
                        </w:rPr>
                        <w:t>© ISO New England Inc.</w:t>
                      </w:r>
                    </w:p>
                    <w:p w:rsidR="00BD6E1B" w:rsidRPr="00026DFA" w:rsidRDefault="00BD6E1B" w:rsidP="00FF2320">
                      <w:pPr>
                        <w:pStyle w:val="body"/>
                        <w:spacing w:before="0" w:line="192" w:lineRule="auto"/>
                        <w:ind w:left="90"/>
                        <w:rPr>
                          <w:color w:val="FF0000"/>
                        </w:rPr>
                      </w:pPr>
                      <w:r w:rsidRPr="009E2582">
                        <w:rPr>
                          <w:rFonts w:ascii="Calibri" w:hAnsi="Calibri" w:cs="OpenSans-Bold"/>
                          <w:b/>
                          <w:bCs/>
                          <w:color w:val="62777F"/>
                          <w:spacing w:val="-2"/>
                          <w:sz w:val="24"/>
                          <w:szCs w:val="24"/>
                        </w:rPr>
                        <w:t>October 30, 2020</w:t>
                      </w:r>
                    </w:p>
                  </w:txbxContent>
                </v:textbox>
                <w10:wrap anchorx="margin"/>
              </v:shape>
            </w:pict>
          </mc:Fallback>
        </mc:AlternateContent>
      </w:r>
    </w:p>
    <w:p w:rsidR="00400EA4" w:rsidRPr="00954CD5" w:rsidRDefault="00400EA4" w:rsidP="00AD76C4">
      <w:pPr>
        <w:sectPr w:rsidR="00400EA4" w:rsidRPr="00954CD5" w:rsidSect="004C3378">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NumType w:fmt="lowerRoman" w:start="2"/>
          <w:cols w:space="720"/>
          <w:docGrid w:linePitch="360"/>
        </w:sectPr>
      </w:pPr>
      <w:bookmarkStart w:id="0" w:name="_GoBack"/>
      <w:bookmarkEnd w:id="0"/>
    </w:p>
    <w:p w:rsidR="00D85494" w:rsidRDefault="00D85494" w:rsidP="00E401C4">
      <w:pPr>
        <w:adjustRightInd/>
        <w:spacing w:line="240" w:lineRule="auto"/>
        <w:textAlignment w:val="auto"/>
        <w:outlineLvl w:val="0"/>
        <w:rPr>
          <w:rFonts w:ascii="Calibri" w:hAnsi="Calibri" w:cs="Arial"/>
          <w:b/>
          <w:bCs/>
          <w:color w:val="0C95D2"/>
          <w:sz w:val="36"/>
          <w:szCs w:val="36"/>
        </w:rPr>
        <w:sectPr w:rsidR="00D85494" w:rsidSect="004C3378">
          <w:headerReference w:type="default" r:id="rId16"/>
          <w:footerReference w:type="default" r:id="rId17"/>
          <w:pgSz w:w="12240" w:h="15840" w:code="1"/>
          <w:pgMar w:top="1440" w:right="1440" w:bottom="1440" w:left="1440" w:header="720" w:footer="720" w:gutter="0"/>
          <w:pgNumType w:fmt="lowerRoman"/>
          <w:cols w:space="720"/>
          <w:docGrid w:linePitch="360"/>
        </w:sectPr>
      </w:pPr>
      <w:bookmarkStart w:id="1" w:name="_Toc477187093"/>
      <w:bookmarkStart w:id="2" w:name="_Toc477794591"/>
      <w:bookmarkStart w:id="3" w:name="_Toc486405945"/>
      <w:bookmarkStart w:id="4" w:name="_Toc497394705"/>
      <w:bookmarkStart w:id="5" w:name="_Toc497812733"/>
      <w:bookmarkStart w:id="6" w:name="_Toc517681482"/>
    </w:p>
    <w:p w:rsidR="00302948" w:rsidRDefault="00302948" w:rsidP="00E401C4">
      <w:pPr>
        <w:adjustRightInd/>
        <w:spacing w:line="240" w:lineRule="auto"/>
        <w:textAlignment w:val="auto"/>
        <w:outlineLvl w:val="0"/>
        <w:rPr>
          <w:rFonts w:ascii="Calibri" w:hAnsi="Calibri" w:cs="Arial"/>
          <w:b/>
          <w:bCs/>
          <w:color w:val="0C95D2"/>
          <w:sz w:val="36"/>
          <w:szCs w:val="36"/>
        </w:rPr>
      </w:pPr>
    </w:p>
    <w:p w:rsidR="00D85494" w:rsidRDefault="00D85494">
      <w:pPr>
        <w:adjustRightInd/>
        <w:spacing w:after="0" w:line="240" w:lineRule="auto"/>
        <w:textAlignment w:val="auto"/>
        <w:rPr>
          <w:rFonts w:ascii="Calibri" w:hAnsi="Calibri" w:cs="Arial"/>
          <w:b/>
          <w:bCs/>
          <w:color w:val="0C95D2"/>
          <w:sz w:val="36"/>
          <w:szCs w:val="36"/>
        </w:rPr>
        <w:sectPr w:rsidR="00D85494" w:rsidSect="00D85494">
          <w:type w:val="continuous"/>
          <w:pgSz w:w="12240" w:h="15840" w:code="1"/>
          <w:pgMar w:top="1440" w:right="1440" w:bottom="1440" w:left="1440" w:header="720" w:footer="720" w:gutter="0"/>
          <w:pgNumType w:fmt="lowerRoman"/>
          <w:cols w:space="720"/>
          <w:docGrid w:linePitch="360"/>
        </w:sectPr>
      </w:pPr>
    </w:p>
    <w:p w:rsidR="00CC36B0" w:rsidRPr="00B24D70" w:rsidRDefault="00F565D2" w:rsidP="00CC36B0">
      <w:pPr>
        <w:adjustRightInd/>
        <w:spacing w:after="120" w:line="240" w:lineRule="auto"/>
        <w:textAlignment w:val="auto"/>
        <w:outlineLvl w:val="0"/>
        <w:rPr>
          <w:rFonts w:eastAsiaTheme="minorEastAsia" w:cstheme="minorBidi"/>
          <w:b/>
          <w:bCs/>
          <w:noProof/>
          <w:sz w:val="22"/>
        </w:rPr>
      </w:pPr>
      <w:bookmarkStart w:id="7" w:name="_Toc518562629"/>
      <w:bookmarkStart w:id="8" w:name="_Toc528571170"/>
      <w:bookmarkStart w:id="9" w:name="_Toc43194319"/>
      <w:bookmarkStart w:id="10" w:name="_Toc43224071"/>
      <w:bookmarkStart w:id="11" w:name="_Toc43224447"/>
      <w:bookmarkStart w:id="12" w:name="_Toc51784651"/>
      <w:r w:rsidRPr="00B24D70">
        <w:rPr>
          <w:rFonts w:ascii="Calibri" w:hAnsi="Calibri" w:cs="Arial"/>
          <w:b/>
          <w:bCs/>
          <w:color w:val="0C95D2"/>
          <w:sz w:val="36"/>
          <w:szCs w:val="36"/>
        </w:rPr>
        <w:lastRenderedPageBreak/>
        <w:t>Table of Contents</w:t>
      </w:r>
      <w:bookmarkEnd w:id="1"/>
      <w:bookmarkEnd w:id="2"/>
      <w:bookmarkEnd w:id="3"/>
      <w:bookmarkEnd w:id="4"/>
      <w:bookmarkEnd w:id="5"/>
      <w:bookmarkEnd w:id="6"/>
      <w:bookmarkEnd w:id="7"/>
      <w:bookmarkEnd w:id="8"/>
      <w:bookmarkEnd w:id="9"/>
      <w:bookmarkEnd w:id="10"/>
      <w:bookmarkEnd w:id="11"/>
      <w:bookmarkEnd w:id="12"/>
      <w:r w:rsidR="00CD7DBD" w:rsidRPr="00B24D70">
        <w:fldChar w:fldCharType="begin"/>
      </w:r>
      <w:r w:rsidR="00CD7DBD" w:rsidRPr="00B24D70">
        <w:instrText xml:space="preserve"> TOC \o "1-3" \h \z \u </w:instrText>
      </w:r>
      <w:r w:rsidR="00CD7DBD" w:rsidRPr="00B24D70">
        <w:fldChar w:fldCharType="separate"/>
      </w:r>
    </w:p>
    <w:p w:rsidR="00CC36B0" w:rsidRPr="00B24D70" w:rsidRDefault="0089055C" w:rsidP="00DB66D1">
      <w:pPr>
        <w:pStyle w:val="TOC1"/>
        <w:rPr>
          <w:rFonts w:eastAsiaTheme="minorEastAsia" w:cstheme="minorBidi"/>
          <w:b w:val="0"/>
          <w:bCs w:val="0"/>
          <w:sz w:val="22"/>
          <w:szCs w:val="22"/>
        </w:rPr>
      </w:pPr>
      <w:hyperlink w:anchor="_Toc51784652" w:history="1">
        <w:r w:rsidR="00CC36B0" w:rsidRPr="00B24D70">
          <w:rPr>
            <w:rStyle w:val="Hyperlink"/>
          </w:rPr>
          <w:t>Figures</w:t>
        </w:r>
        <w:r w:rsidR="00CC36B0" w:rsidRPr="00B24D70">
          <w:rPr>
            <w:webHidden/>
          </w:rPr>
          <w:tab/>
        </w:r>
        <w:r w:rsidR="00CC36B0" w:rsidRPr="00B24D70">
          <w:rPr>
            <w:webHidden/>
          </w:rPr>
          <w:fldChar w:fldCharType="begin"/>
        </w:r>
        <w:r w:rsidR="00CC36B0" w:rsidRPr="00B24D70">
          <w:rPr>
            <w:webHidden/>
          </w:rPr>
          <w:instrText xml:space="preserve"> PAGEREF _Toc51784652 \h </w:instrText>
        </w:r>
        <w:r w:rsidR="00CC36B0" w:rsidRPr="00B24D70">
          <w:rPr>
            <w:webHidden/>
          </w:rPr>
        </w:r>
        <w:r w:rsidR="00CC36B0" w:rsidRPr="00B24D70">
          <w:rPr>
            <w:webHidden/>
          </w:rPr>
          <w:fldChar w:fldCharType="separate"/>
        </w:r>
        <w:r w:rsidR="004002F6">
          <w:rPr>
            <w:webHidden/>
          </w:rPr>
          <w:t>iv</w:t>
        </w:r>
        <w:r w:rsidR="00CC36B0" w:rsidRPr="00B24D70">
          <w:rPr>
            <w:webHidden/>
          </w:rPr>
          <w:fldChar w:fldCharType="end"/>
        </w:r>
      </w:hyperlink>
    </w:p>
    <w:p w:rsidR="00CC36B0" w:rsidRPr="00B24D70" w:rsidRDefault="0089055C" w:rsidP="00DB66D1">
      <w:pPr>
        <w:pStyle w:val="TOC1"/>
        <w:rPr>
          <w:rFonts w:eastAsiaTheme="minorEastAsia" w:cstheme="minorBidi"/>
          <w:b w:val="0"/>
          <w:bCs w:val="0"/>
          <w:sz w:val="22"/>
          <w:szCs w:val="22"/>
        </w:rPr>
      </w:pPr>
      <w:hyperlink w:anchor="_Toc51784653" w:history="1">
        <w:r w:rsidR="00CC36B0" w:rsidRPr="00B24D70">
          <w:rPr>
            <w:rStyle w:val="Hyperlink"/>
          </w:rPr>
          <w:t>Tables</w:t>
        </w:r>
        <w:r w:rsidR="00CC36B0" w:rsidRPr="00B24D70">
          <w:rPr>
            <w:webHidden/>
          </w:rPr>
          <w:tab/>
        </w:r>
        <w:r w:rsidR="00CC36B0" w:rsidRPr="00B24D70">
          <w:rPr>
            <w:webHidden/>
          </w:rPr>
          <w:fldChar w:fldCharType="begin"/>
        </w:r>
        <w:r w:rsidR="00CC36B0" w:rsidRPr="00B24D70">
          <w:rPr>
            <w:webHidden/>
          </w:rPr>
          <w:instrText xml:space="preserve"> PAGEREF _Toc51784653 \h </w:instrText>
        </w:r>
        <w:r w:rsidR="00CC36B0" w:rsidRPr="00B24D70">
          <w:rPr>
            <w:webHidden/>
          </w:rPr>
        </w:r>
        <w:r w:rsidR="00CC36B0" w:rsidRPr="00B24D70">
          <w:rPr>
            <w:webHidden/>
          </w:rPr>
          <w:fldChar w:fldCharType="separate"/>
        </w:r>
        <w:r w:rsidR="004002F6">
          <w:rPr>
            <w:webHidden/>
          </w:rPr>
          <w:t>v</w:t>
        </w:r>
        <w:r w:rsidR="00CC36B0" w:rsidRPr="00B24D70">
          <w:rPr>
            <w:webHidden/>
          </w:rPr>
          <w:fldChar w:fldCharType="end"/>
        </w:r>
      </w:hyperlink>
    </w:p>
    <w:p w:rsidR="00CC36B0" w:rsidRPr="00B24D70" w:rsidRDefault="0089055C" w:rsidP="00DB66D1">
      <w:pPr>
        <w:pStyle w:val="TOC1"/>
        <w:rPr>
          <w:rFonts w:eastAsiaTheme="minorEastAsia" w:cstheme="minorBidi"/>
          <w:b w:val="0"/>
          <w:bCs w:val="0"/>
          <w:sz w:val="22"/>
          <w:szCs w:val="22"/>
        </w:rPr>
      </w:pPr>
      <w:hyperlink w:anchor="_Toc51784654" w:history="1">
        <w:r w:rsidR="00CC36B0" w:rsidRPr="00B24D70">
          <w:rPr>
            <w:rStyle w:val="Hyperlink"/>
          </w:rPr>
          <w:t>Section 1</w:t>
        </w:r>
        <w:r w:rsidR="00CC36B0" w:rsidRPr="00B24D70">
          <w:rPr>
            <w:rStyle w:val="Hyperlink"/>
          </w:rPr>
          <w:br/>
          <w:t>Executive Summary</w:t>
        </w:r>
        <w:r w:rsidR="00CC36B0" w:rsidRPr="00B24D70">
          <w:rPr>
            <w:webHidden/>
          </w:rPr>
          <w:tab/>
        </w:r>
        <w:r w:rsidR="00CC36B0" w:rsidRPr="00B24D70">
          <w:rPr>
            <w:webHidden/>
          </w:rPr>
          <w:fldChar w:fldCharType="begin"/>
        </w:r>
        <w:r w:rsidR="00CC36B0" w:rsidRPr="00B24D70">
          <w:rPr>
            <w:webHidden/>
          </w:rPr>
          <w:instrText xml:space="preserve"> PAGEREF _Toc51784654 \h </w:instrText>
        </w:r>
        <w:r w:rsidR="00CC36B0" w:rsidRPr="00B24D70">
          <w:rPr>
            <w:webHidden/>
          </w:rPr>
        </w:r>
        <w:r w:rsidR="00CC36B0" w:rsidRPr="00B24D70">
          <w:rPr>
            <w:webHidden/>
          </w:rPr>
          <w:fldChar w:fldCharType="separate"/>
        </w:r>
        <w:r w:rsidR="004002F6">
          <w:rPr>
            <w:webHidden/>
          </w:rPr>
          <w:t>1</w:t>
        </w:r>
        <w:r w:rsidR="00CC36B0" w:rsidRPr="00B24D70">
          <w:rPr>
            <w:webHidden/>
          </w:rPr>
          <w:fldChar w:fldCharType="end"/>
        </w:r>
      </w:hyperlink>
    </w:p>
    <w:p w:rsidR="00CC36B0" w:rsidRPr="00B24D70" w:rsidRDefault="0089055C" w:rsidP="00DB66D1">
      <w:pPr>
        <w:pStyle w:val="TOC1"/>
        <w:rPr>
          <w:rFonts w:eastAsiaTheme="minorEastAsia" w:cstheme="minorBidi"/>
          <w:b w:val="0"/>
          <w:bCs w:val="0"/>
          <w:sz w:val="22"/>
          <w:szCs w:val="22"/>
        </w:rPr>
      </w:pPr>
      <w:hyperlink w:anchor="_Toc51784655" w:history="1">
        <w:r w:rsidR="00CC36B0" w:rsidRPr="00B24D70">
          <w:rPr>
            <w:rStyle w:val="Hyperlink"/>
          </w:rPr>
          <w:t>Section 2</w:t>
        </w:r>
        <w:r w:rsidR="00CC36B0" w:rsidRPr="00B24D70">
          <w:rPr>
            <w:rStyle w:val="Hyperlink"/>
          </w:rPr>
          <w:br/>
          <w:t>Background</w:t>
        </w:r>
        <w:r w:rsidR="00CC36B0" w:rsidRPr="00B24D70">
          <w:rPr>
            <w:webHidden/>
          </w:rPr>
          <w:tab/>
        </w:r>
        <w:r w:rsidR="00CC36B0" w:rsidRPr="00B24D70">
          <w:rPr>
            <w:webHidden/>
          </w:rPr>
          <w:fldChar w:fldCharType="begin"/>
        </w:r>
        <w:r w:rsidR="00CC36B0" w:rsidRPr="00B24D70">
          <w:rPr>
            <w:webHidden/>
          </w:rPr>
          <w:instrText xml:space="preserve"> PAGEREF _Toc51784655 \h </w:instrText>
        </w:r>
        <w:r w:rsidR="00CC36B0" w:rsidRPr="00B24D70">
          <w:rPr>
            <w:webHidden/>
          </w:rPr>
        </w:r>
        <w:r w:rsidR="00CC36B0" w:rsidRPr="00B24D70">
          <w:rPr>
            <w:webHidden/>
          </w:rPr>
          <w:fldChar w:fldCharType="separate"/>
        </w:r>
        <w:r w:rsidR="004002F6">
          <w:rPr>
            <w:webHidden/>
          </w:rPr>
          <w:t>2</w:t>
        </w:r>
        <w:r w:rsidR="00CC36B0" w:rsidRPr="00B24D70">
          <w:rPr>
            <w:webHidden/>
          </w:rPr>
          <w:fldChar w:fldCharType="end"/>
        </w:r>
      </w:hyperlink>
    </w:p>
    <w:p w:rsidR="00CC36B0" w:rsidRPr="00B24D70" w:rsidRDefault="0089055C" w:rsidP="00DB66D1">
      <w:pPr>
        <w:pStyle w:val="TOC1"/>
        <w:rPr>
          <w:rFonts w:eastAsiaTheme="minorEastAsia" w:cstheme="minorBidi"/>
          <w:b w:val="0"/>
          <w:bCs w:val="0"/>
          <w:sz w:val="22"/>
          <w:szCs w:val="22"/>
        </w:rPr>
      </w:pPr>
      <w:hyperlink w:anchor="_Toc51784656" w:history="1">
        <w:r w:rsidR="00CC36B0" w:rsidRPr="00B24D70">
          <w:rPr>
            <w:rStyle w:val="Hyperlink"/>
          </w:rPr>
          <w:t>Section 3</w:t>
        </w:r>
        <w:r w:rsidR="00CC36B0" w:rsidRPr="00B24D70">
          <w:rPr>
            <w:rStyle w:val="Hyperlink"/>
          </w:rPr>
          <w:br/>
          <w:t>Purpose of the 2019 RENEW Economic Study and Scenarios Analyzed</w:t>
        </w:r>
        <w:r w:rsidR="00CC36B0" w:rsidRPr="00B24D70">
          <w:rPr>
            <w:webHidden/>
          </w:rPr>
          <w:tab/>
        </w:r>
        <w:r w:rsidR="00CC36B0" w:rsidRPr="00B24D70">
          <w:rPr>
            <w:webHidden/>
          </w:rPr>
          <w:fldChar w:fldCharType="begin"/>
        </w:r>
        <w:r w:rsidR="00CC36B0" w:rsidRPr="00B24D70">
          <w:rPr>
            <w:webHidden/>
          </w:rPr>
          <w:instrText xml:space="preserve"> PAGEREF _Toc51784656 \h </w:instrText>
        </w:r>
        <w:r w:rsidR="00CC36B0" w:rsidRPr="00B24D70">
          <w:rPr>
            <w:webHidden/>
          </w:rPr>
        </w:r>
        <w:r w:rsidR="00CC36B0" w:rsidRPr="00B24D70">
          <w:rPr>
            <w:webHidden/>
          </w:rPr>
          <w:fldChar w:fldCharType="separate"/>
        </w:r>
        <w:r w:rsidR="004002F6">
          <w:rPr>
            <w:webHidden/>
          </w:rPr>
          <w:t>4</w:t>
        </w:r>
        <w:r w:rsidR="00CC36B0" w:rsidRPr="00B24D70">
          <w:rPr>
            <w:webHidden/>
          </w:rPr>
          <w:fldChar w:fldCharType="end"/>
        </w:r>
      </w:hyperlink>
    </w:p>
    <w:p w:rsidR="00CC36B0" w:rsidRPr="00B24D70" w:rsidRDefault="0089055C" w:rsidP="00DB66D1">
      <w:pPr>
        <w:pStyle w:val="TOC1"/>
        <w:rPr>
          <w:rFonts w:eastAsiaTheme="minorEastAsia" w:cstheme="minorBidi"/>
          <w:b w:val="0"/>
          <w:bCs w:val="0"/>
          <w:sz w:val="22"/>
          <w:szCs w:val="22"/>
        </w:rPr>
      </w:pPr>
      <w:hyperlink w:anchor="_Toc51784657" w:history="1">
        <w:r w:rsidR="00CC36B0" w:rsidRPr="00B24D70">
          <w:rPr>
            <w:rStyle w:val="Hyperlink"/>
          </w:rPr>
          <w:t>Section 4</w:t>
        </w:r>
        <w:r w:rsidR="00DB66D1" w:rsidRPr="00B24D70">
          <w:rPr>
            <w:rStyle w:val="Hyperlink"/>
          </w:rPr>
          <w:br/>
        </w:r>
        <w:r w:rsidR="00CC36B0" w:rsidRPr="00B24D70">
          <w:rPr>
            <w:rStyle w:val="Hyperlink"/>
          </w:rPr>
          <w:t>Methodology and Assumptions</w:t>
        </w:r>
        <w:r w:rsidR="00CC36B0" w:rsidRPr="00B24D70">
          <w:rPr>
            <w:webHidden/>
          </w:rPr>
          <w:tab/>
        </w:r>
        <w:r w:rsidR="00CC36B0" w:rsidRPr="00B24D70">
          <w:rPr>
            <w:webHidden/>
          </w:rPr>
          <w:fldChar w:fldCharType="begin"/>
        </w:r>
        <w:r w:rsidR="00CC36B0" w:rsidRPr="00B24D70">
          <w:rPr>
            <w:webHidden/>
          </w:rPr>
          <w:instrText xml:space="preserve"> PAGEREF _Toc51784657 \h </w:instrText>
        </w:r>
        <w:r w:rsidR="00CC36B0" w:rsidRPr="00B24D70">
          <w:rPr>
            <w:webHidden/>
          </w:rPr>
        </w:r>
        <w:r w:rsidR="00CC36B0" w:rsidRPr="00B24D70">
          <w:rPr>
            <w:webHidden/>
          </w:rPr>
          <w:fldChar w:fldCharType="separate"/>
        </w:r>
        <w:r w:rsidR="004002F6">
          <w:rPr>
            <w:webHidden/>
          </w:rPr>
          <w:t>7</w:t>
        </w:r>
        <w:r w:rsidR="00CC36B0" w:rsidRPr="00B24D70">
          <w:rPr>
            <w:webHidden/>
          </w:rPr>
          <w:fldChar w:fldCharType="end"/>
        </w:r>
      </w:hyperlink>
    </w:p>
    <w:p w:rsidR="00CC36B0" w:rsidRPr="00B24D70" w:rsidRDefault="0089055C" w:rsidP="00DB66D1">
      <w:pPr>
        <w:pStyle w:val="TOC2"/>
        <w:rPr>
          <w:rFonts w:eastAsiaTheme="minorEastAsia" w:cstheme="minorBidi"/>
          <w:bCs w:val="0"/>
          <w:sz w:val="22"/>
          <w:szCs w:val="22"/>
        </w:rPr>
      </w:pPr>
      <w:hyperlink w:anchor="_Toc51784658" w:history="1">
        <w:r w:rsidR="00CC36B0" w:rsidRPr="00B24D70">
          <w:rPr>
            <w:rStyle w:val="Hyperlink"/>
          </w:rPr>
          <w:t>4.1 Modeling Tools and Methodology</w:t>
        </w:r>
        <w:r w:rsidR="00CC36B0" w:rsidRPr="00B24D70">
          <w:rPr>
            <w:webHidden/>
          </w:rPr>
          <w:tab/>
        </w:r>
        <w:r w:rsidR="00CC36B0" w:rsidRPr="00B24D70">
          <w:rPr>
            <w:webHidden/>
          </w:rPr>
          <w:fldChar w:fldCharType="begin"/>
        </w:r>
        <w:r w:rsidR="00CC36B0" w:rsidRPr="00B24D70">
          <w:rPr>
            <w:webHidden/>
          </w:rPr>
          <w:instrText xml:space="preserve"> PAGEREF _Toc51784658 \h </w:instrText>
        </w:r>
        <w:r w:rsidR="00CC36B0" w:rsidRPr="00B24D70">
          <w:rPr>
            <w:webHidden/>
          </w:rPr>
        </w:r>
        <w:r w:rsidR="00CC36B0" w:rsidRPr="00B24D70">
          <w:rPr>
            <w:webHidden/>
          </w:rPr>
          <w:fldChar w:fldCharType="separate"/>
        </w:r>
        <w:r w:rsidR="004002F6">
          <w:rPr>
            <w:webHidden/>
          </w:rPr>
          <w:t>7</w:t>
        </w:r>
        <w:r w:rsidR="00CC36B0" w:rsidRPr="00B24D70">
          <w:rPr>
            <w:webHidden/>
          </w:rPr>
          <w:fldChar w:fldCharType="end"/>
        </w:r>
      </w:hyperlink>
    </w:p>
    <w:p w:rsidR="00CC36B0" w:rsidRPr="00B24D70" w:rsidRDefault="0089055C" w:rsidP="00DB66D1">
      <w:pPr>
        <w:pStyle w:val="TOC2"/>
        <w:rPr>
          <w:rFonts w:eastAsiaTheme="minorEastAsia" w:cstheme="minorBidi"/>
          <w:bCs w:val="0"/>
          <w:sz w:val="22"/>
          <w:szCs w:val="22"/>
        </w:rPr>
      </w:pPr>
      <w:hyperlink w:anchor="_Toc51784659" w:history="1">
        <w:r w:rsidR="00CC36B0" w:rsidRPr="00B24D70">
          <w:rPr>
            <w:rStyle w:val="Hyperlink"/>
          </w:rPr>
          <w:t>4.2 Assumptions</w:t>
        </w:r>
        <w:r w:rsidR="00CC36B0" w:rsidRPr="00B24D70">
          <w:rPr>
            <w:webHidden/>
          </w:rPr>
          <w:tab/>
        </w:r>
        <w:r w:rsidR="00CC36B0" w:rsidRPr="00B24D70">
          <w:rPr>
            <w:webHidden/>
          </w:rPr>
          <w:fldChar w:fldCharType="begin"/>
        </w:r>
        <w:r w:rsidR="00CC36B0" w:rsidRPr="00B24D70">
          <w:rPr>
            <w:webHidden/>
          </w:rPr>
          <w:instrText xml:space="preserve"> PAGEREF _Toc51784659 \h </w:instrText>
        </w:r>
        <w:r w:rsidR="00CC36B0" w:rsidRPr="00B24D70">
          <w:rPr>
            <w:webHidden/>
          </w:rPr>
        </w:r>
        <w:r w:rsidR="00CC36B0" w:rsidRPr="00B24D70">
          <w:rPr>
            <w:webHidden/>
          </w:rPr>
          <w:fldChar w:fldCharType="separate"/>
        </w:r>
        <w:r w:rsidR="004002F6">
          <w:rPr>
            <w:webHidden/>
          </w:rPr>
          <w:t>7</w:t>
        </w:r>
        <w:r w:rsidR="00CC36B0" w:rsidRPr="00B24D70">
          <w:rPr>
            <w:webHidden/>
          </w:rPr>
          <w:fldChar w:fldCharType="end"/>
        </w:r>
      </w:hyperlink>
    </w:p>
    <w:p w:rsidR="00CC36B0" w:rsidRPr="00B24D70" w:rsidRDefault="0089055C" w:rsidP="00DB66D1">
      <w:pPr>
        <w:pStyle w:val="TOC3"/>
        <w:spacing w:after="120" w:line="240" w:lineRule="auto"/>
        <w:rPr>
          <w:rFonts w:asciiTheme="minorHAnsi" w:eastAsiaTheme="minorEastAsia" w:hAnsiTheme="minorHAnsi" w:cstheme="minorBidi"/>
          <w:noProof/>
          <w:sz w:val="22"/>
          <w:szCs w:val="22"/>
        </w:rPr>
      </w:pPr>
      <w:hyperlink w:anchor="_Toc51784660" w:history="1">
        <w:r w:rsidR="00CC36B0" w:rsidRPr="00B24D70">
          <w:rPr>
            <w:rStyle w:val="Hyperlink"/>
            <w:rFonts w:asciiTheme="minorHAnsi" w:hAnsiTheme="minorHAnsi"/>
            <w:noProof/>
            <w14:scene3d>
              <w14:camera w14:prst="orthographicFront"/>
              <w14:lightRig w14:rig="threePt" w14:dir="t">
                <w14:rot w14:lat="0" w14:lon="0" w14:rev="0"/>
              </w14:lightRig>
            </w14:scene3d>
          </w:rPr>
          <w:t>4.2.1</w:t>
        </w:r>
        <w:r w:rsidR="00CC36B0" w:rsidRPr="00B24D70">
          <w:rPr>
            <w:rStyle w:val="Hyperlink"/>
            <w:rFonts w:asciiTheme="minorHAnsi" w:hAnsiTheme="minorHAnsi"/>
            <w:noProof/>
          </w:rPr>
          <w:t xml:space="preserve"> Parameters for Simulating Constrained Relaxed-Constraint Transmission</w:t>
        </w:r>
        <w:r w:rsidR="00CC36B0" w:rsidRPr="00B24D70">
          <w:rPr>
            <w:rFonts w:asciiTheme="minorHAnsi" w:hAnsiTheme="minorHAnsi"/>
            <w:noProof/>
            <w:webHidden/>
          </w:rPr>
          <w:tab/>
        </w:r>
        <w:r w:rsidR="00CC36B0" w:rsidRPr="00B24D70">
          <w:rPr>
            <w:rFonts w:asciiTheme="minorHAnsi" w:hAnsiTheme="minorHAnsi"/>
            <w:noProof/>
            <w:webHidden/>
          </w:rPr>
          <w:fldChar w:fldCharType="begin"/>
        </w:r>
        <w:r w:rsidR="00CC36B0" w:rsidRPr="00B24D70">
          <w:rPr>
            <w:rFonts w:asciiTheme="minorHAnsi" w:hAnsiTheme="minorHAnsi"/>
            <w:noProof/>
            <w:webHidden/>
          </w:rPr>
          <w:instrText xml:space="preserve"> PAGEREF _Toc51784660 \h </w:instrText>
        </w:r>
        <w:r w:rsidR="00CC36B0" w:rsidRPr="00B24D70">
          <w:rPr>
            <w:rFonts w:asciiTheme="minorHAnsi" w:hAnsiTheme="minorHAnsi"/>
            <w:noProof/>
            <w:webHidden/>
          </w:rPr>
        </w:r>
        <w:r w:rsidR="00CC36B0" w:rsidRPr="00B24D70">
          <w:rPr>
            <w:rFonts w:asciiTheme="minorHAnsi" w:hAnsiTheme="minorHAnsi"/>
            <w:noProof/>
            <w:webHidden/>
          </w:rPr>
          <w:fldChar w:fldCharType="separate"/>
        </w:r>
        <w:r w:rsidR="004002F6">
          <w:rPr>
            <w:rFonts w:asciiTheme="minorHAnsi" w:hAnsiTheme="minorHAnsi"/>
            <w:noProof/>
            <w:webHidden/>
          </w:rPr>
          <w:t>8</w:t>
        </w:r>
        <w:r w:rsidR="00CC36B0" w:rsidRPr="00B24D70">
          <w:rPr>
            <w:rFonts w:asciiTheme="minorHAnsi" w:hAnsiTheme="minorHAnsi"/>
            <w:noProof/>
            <w:webHidden/>
          </w:rPr>
          <w:fldChar w:fldCharType="end"/>
        </w:r>
      </w:hyperlink>
    </w:p>
    <w:p w:rsidR="00CC36B0" w:rsidRPr="00B24D70" w:rsidRDefault="0089055C" w:rsidP="00DB66D1">
      <w:pPr>
        <w:pStyle w:val="TOC3"/>
        <w:spacing w:after="120" w:line="240" w:lineRule="auto"/>
        <w:rPr>
          <w:rFonts w:asciiTheme="minorHAnsi" w:eastAsiaTheme="minorEastAsia" w:hAnsiTheme="minorHAnsi" w:cstheme="minorBidi"/>
          <w:noProof/>
          <w:sz w:val="22"/>
          <w:szCs w:val="22"/>
        </w:rPr>
      </w:pPr>
      <w:hyperlink w:anchor="_Toc51784661" w:history="1">
        <w:r w:rsidR="00CC36B0" w:rsidRPr="00B24D70">
          <w:rPr>
            <w:rStyle w:val="Hyperlink"/>
            <w:rFonts w:asciiTheme="minorHAnsi" w:hAnsiTheme="minorHAnsi"/>
            <w:noProof/>
            <w14:scene3d>
              <w14:camera w14:prst="orthographicFront"/>
              <w14:lightRig w14:rig="threePt" w14:dir="t">
                <w14:rot w14:lat="0" w14:lon="0" w14:rev="0"/>
              </w14:lightRig>
            </w14:scene3d>
          </w:rPr>
          <w:t>4.2.2</w:t>
        </w:r>
        <w:r w:rsidR="00CC36B0" w:rsidRPr="00B24D70">
          <w:rPr>
            <w:rStyle w:val="Hyperlink"/>
            <w:rFonts w:asciiTheme="minorHAnsi" w:hAnsiTheme="minorHAnsi"/>
            <w:noProof/>
          </w:rPr>
          <w:t xml:space="preserve"> Monthly Operating Limits at the Orrington-South Interface</w:t>
        </w:r>
        <w:r w:rsidR="00CC36B0" w:rsidRPr="00B24D70">
          <w:rPr>
            <w:rFonts w:asciiTheme="minorHAnsi" w:hAnsiTheme="minorHAnsi"/>
            <w:noProof/>
            <w:webHidden/>
          </w:rPr>
          <w:tab/>
        </w:r>
        <w:r w:rsidR="00CC36B0" w:rsidRPr="00B24D70">
          <w:rPr>
            <w:rFonts w:asciiTheme="minorHAnsi" w:hAnsiTheme="minorHAnsi"/>
            <w:noProof/>
            <w:webHidden/>
          </w:rPr>
          <w:fldChar w:fldCharType="begin"/>
        </w:r>
        <w:r w:rsidR="00CC36B0" w:rsidRPr="00B24D70">
          <w:rPr>
            <w:rFonts w:asciiTheme="minorHAnsi" w:hAnsiTheme="minorHAnsi"/>
            <w:noProof/>
            <w:webHidden/>
          </w:rPr>
          <w:instrText xml:space="preserve"> PAGEREF _Toc51784661 \h </w:instrText>
        </w:r>
        <w:r w:rsidR="00CC36B0" w:rsidRPr="00B24D70">
          <w:rPr>
            <w:rFonts w:asciiTheme="minorHAnsi" w:hAnsiTheme="minorHAnsi"/>
            <w:noProof/>
            <w:webHidden/>
          </w:rPr>
        </w:r>
        <w:r w:rsidR="00CC36B0" w:rsidRPr="00B24D70">
          <w:rPr>
            <w:rFonts w:asciiTheme="minorHAnsi" w:hAnsiTheme="minorHAnsi"/>
            <w:noProof/>
            <w:webHidden/>
          </w:rPr>
          <w:fldChar w:fldCharType="separate"/>
        </w:r>
        <w:r w:rsidR="004002F6">
          <w:rPr>
            <w:rFonts w:asciiTheme="minorHAnsi" w:hAnsiTheme="minorHAnsi"/>
            <w:noProof/>
            <w:webHidden/>
          </w:rPr>
          <w:t>9</w:t>
        </w:r>
        <w:r w:rsidR="00CC36B0" w:rsidRPr="00B24D70">
          <w:rPr>
            <w:rFonts w:asciiTheme="minorHAnsi" w:hAnsiTheme="minorHAnsi"/>
            <w:noProof/>
            <w:webHidden/>
          </w:rPr>
          <w:fldChar w:fldCharType="end"/>
        </w:r>
      </w:hyperlink>
    </w:p>
    <w:p w:rsidR="00CC36B0" w:rsidRPr="00B24D70" w:rsidRDefault="0089055C" w:rsidP="00DB66D1">
      <w:pPr>
        <w:pStyle w:val="TOC3"/>
        <w:spacing w:after="120" w:line="240" w:lineRule="auto"/>
        <w:rPr>
          <w:rFonts w:asciiTheme="minorHAnsi" w:eastAsiaTheme="minorEastAsia" w:hAnsiTheme="minorHAnsi" w:cstheme="minorBidi"/>
          <w:noProof/>
          <w:sz w:val="22"/>
          <w:szCs w:val="22"/>
        </w:rPr>
      </w:pPr>
      <w:hyperlink w:anchor="_Toc51784662" w:history="1">
        <w:r w:rsidR="00CC36B0" w:rsidRPr="00B24D70">
          <w:rPr>
            <w:rStyle w:val="Hyperlink"/>
            <w:rFonts w:asciiTheme="minorHAnsi" w:hAnsiTheme="minorHAnsi"/>
            <w:noProof/>
            <w14:scene3d>
              <w14:camera w14:prst="orthographicFront"/>
              <w14:lightRig w14:rig="threePt" w14:dir="t">
                <w14:rot w14:lat="0" w14:lon="0" w14:rev="0"/>
              </w14:lightRig>
            </w14:scene3d>
          </w:rPr>
          <w:t>4.2.3</w:t>
        </w:r>
        <w:r w:rsidR="00CC36B0" w:rsidRPr="00B24D70">
          <w:rPr>
            <w:rStyle w:val="Hyperlink"/>
            <w:rFonts w:asciiTheme="minorHAnsi" w:hAnsiTheme="minorHAnsi"/>
            <w:noProof/>
          </w:rPr>
          <w:t xml:space="preserve"> Interchanges with Neighboring Systems</w:t>
        </w:r>
        <w:r w:rsidR="00CC36B0" w:rsidRPr="00B24D70">
          <w:rPr>
            <w:rFonts w:asciiTheme="minorHAnsi" w:hAnsiTheme="minorHAnsi"/>
            <w:noProof/>
            <w:webHidden/>
          </w:rPr>
          <w:tab/>
        </w:r>
        <w:r w:rsidR="00CC36B0" w:rsidRPr="00B24D70">
          <w:rPr>
            <w:rFonts w:asciiTheme="minorHAnsi" w:hAnsiTheme="minorHAnsi"/>
            <w:noProof/>
            <w:webHidden/>
          </w:rPr>
          <w:fldChar w:fldCharType="begin"/>
        </w:r>
        <w:r w:rsidR="00CC36B0" w:rsidRPr="00B24D70">
          <w:rPr>
            <w:rFonts w:asciiTheme="minorHAnsi" w:hAnsiTheme="minorHAnsi"/>
            <w:noProof/>
            <w:webHidden/>
          </w:rPr>
          <w:instrText xml:space="preserve"> PAGEREF _Toc51784662 \h </w:instrText>
        </w:r>
        <w:r w:rsidR="00CC36B0" w:rsidRPr="00B24D70">
          <w:rPr>
            <w:rFonts w:asciiTheme="minorHAnsi" w:hAnsiTheme="minorHAnsi"/>
            <w:noProof/>
            <w:webHidden/>
          </w:rPr>
        </w:r>
        <w:r w:rsidR="00CC36B0" w:rsidRPr="00B24D70">
          <w:rPr>
            <w:rFonts w:asciiTheme="minorHAnsi" w:hAnsiTheme="minorHAnsi"/>
            <w:noProof/>
            <w:webHidden/>
          </w:rPr>
          <w:fldChar w:fldCharType="separate"/>
        </w:r>
        <w:r w:rsidR="004002F6">
          <w:rPr>
            <w:rFonts w:asciiTheme="minorHAnsi" w:hAnsiTheme="minorHAnsi"/>
            <w:noProof/>
            <w:webHidden/>
          </w:rPr>
          <w:t>9</w:t>
        </w:r>
        <w:r w:rsidR="00CC36B0" w:rsidRPr="00B24D70">
          <w:rPr>
            <w:rFonts w:asciiTheme="minorHAnsi" w:hAnsiTheme="minorHAnsi"/>
            <w:noProof/>
            <w:webHidden/>
          </w:rPr>
          <w:fldChar w:fldCharType="end"/>
        </w:r>
      </w:hyperlink>
    </w:p>
    <w:p w:rsidR="00CC36B0" w:rsidRPr="00B24D70" w:rsidRDefault="0089055C" w:rsidP="00DB66D1">
      <w:pPr>
        <w:pStyle w:val="TOC3"/>
        <w:spacing w:after="120" w:line="240" w:lineRule="auto"/>
        <w:rPr>
          <w:rFonts w:asciiTheme="minorHAnsi" w:eastAsiaTheme="minorEastAsia" w:hAnsiTheme="minorHAnsi" w:cstheme="minorBidi"/>
          <w:noProof/>
          <w:sz w:val="22"/>
          <w:szCs w:val="22"/>
        </w:rPr>
      </w:pPr>
      <w:hyperlink w:anchor="_Toc51784663" w:history="1">
        <w:r w:rsidR="00CC36B0" w:rsidRPr="00B24D70">
          <w:rPr>
            <w:rStyle w:val="Hyperlink"/>
            <w:rFonts w:asciiTheme="minorHAnsi" w:hAnsiTheme="minorHAnsi"/>
            <w:noProof/>
            <w14:scene3d>
              <w14:camera w14:prst="orthographicFront"/>
              <w14:lightRig w14:rig="threePt" w14:dir="t">
                <w14:rot w14:lat="0" w14:lon="0" w14:rev="0"/>
              </w14:lightRig>
            </w14:scene3d>
          </w:rPr>
          <w:t>4.2.4</w:t>
        </w:r>
        <w:r w:rsidR="00CC36B0" w:rsidRPr="00B24D70">
          <w:rPr>
            <w:rStyle w:val="Hyperlink"/>
            <w:rFonts w:asciiTheme="minorHAnsi" w:hAnsiTheme="minorHAnsi"/>
            <w:noProof/>
          </w:rPr>
          <w:t xml:space="preserve"> Assumptions about Load Levels</w:t>
        </w:r>
        <w:r w:rsidR="00CC36B0" w:rsidRPr="00B24D70">
          <w:rPr>
            <w:rFonts w:asciiTheme="minorHAnsi" w:hAnsiTheme="minorHAnsi"/>
            <w:noProof/>
            <w:webHidden/>
          </w:rPr>
          <w:tab/>
        </w:r>
        <w:r w:rsidR="00CC36B0" w:rsidRPr="00B24D70">
          <w:rPr>
            <w:rFonts w:asciiTheme="minorHAnsi" w:hAnsiTheme="minorHAnsi"/>
            <w:noProof/>
            <w:webHidden/>
          </w:rPr>
          <w:fldChar w:fldCharType="begin"/>
        </w:r>
        <w:r w:rsidR="00CC36B0" w:rsidRPr="00B24D70">
          <w:rPr>
            <w:rFonts w:asciiTheme="minorHAnsi" w:hAnsiTheme="minorHAnsi"/>
            <w:noProof/>
            <w:webHidden/>
          </w:rPr>
          <w:instrText xml:space="preserve"> PAGEREF _Toc51784663 \h </w:instrText>
        </w:r>
        <w:r w:rsidR="00CC36B0" w:rsidRPr="00B24D70">
          <w:rPr>
            <w:rFonts w:asciiTheme="minorHAnsi" w:hAnsiTheme="minorHAnsi"/>
            <w:noProof/>
            <w:webHidden/>
          </w:rPr>
        </w:r>
        <w:r w:rsidR="00CC36B0" w:rsidRPr="00B24D70">
          <w:rPr>
            <w:rFonts w:asciiTheme="minorHAnsi" w:hAnsiTheme="minorHAnsi"/>
            <w:noProof/>
            <w:webHidden/>
          </w:rPr>
          <w:fldChar w:fldCharType="separate"/>
        </w:r>
        <w:r w:rsidR="004002F6">
          <w:rPr>
            <w:rFonts w:asciiTheme="minorHAnsi" w:hAnsiTheme="minorHAnsi"/>
            <w:noProof/>
            <w:webHidden/>
          </w:rPr>
          <w:t>10</w:t>
        </w:r>
        <w:r w:rsidR="00CC36B0" w:rsidRPr="00B24D70">
          <w:rPr>
            <w:rFonts w:asciiTheme="minorHAnsi" w:hAnsiTheme="minorHAnsi"/>
            <w:noProof/>
            <w:webHidden/>
          </w:rPr>
          <w:fldChar w:fldCharType="end"/>
        </w:r>
      </w:hyperlink>
    </w:p>
    <w:p w:rsidR="00CC36B0" w:rsidRPr="00B24D70" w:rsidRDefault="0089055C" w:rsidP="00DB66D1">
      <w:pPr>
        <w:pStyle w:val="TOC3"/>
        <w:spacing w:after="120" w:line="240" w:lineRule="auto"/>
        <w:rPr>
          <w:rFonts w:asciiTheme="minorHAnsi" w:eastAsiaTheme="minorEastAsia" w:hAnsiTheme="minorHAnsi" w:cstheme="minorBidi"/>
          <w:noProof/>
          <w:sz w:val="22"/>
          <w:szCs w:val="22"/>
        </w:rPr>
      </w:pPr>
      <w:hyperlink w:anchor="_Toc51784664" w:history="1">
        <w:r w:rsidR="00CC36B0" w:rsidRPr="00B24D70">
          <w:rPr>
            <w:rStyle w:val="Hyperlink"/>
            <w:rFonts w:asciiTheme="minorHAnsi" w:hAnsiTheme="minorHAnsi"/>
            <w:noProof/>
            <w14:scene3d>
              <w14:camera w14:prst="orthographicFront"/>
              <w14:lightRig w14:rig="threePt" w14:dir="t">
                <w14:rot w14:lat="0" w14:lon="0" w14:rev="0"/>
              </w14:lightRig>
            </w14:scene3d>
          </w:rPr>
          <w:t>4.2.5</w:t>
        </w:r>
        <w:r w:rsidR="00CC36B0" w:rsidRPr="00B24D70">
          <w:rPr>
            <w:rStyle w:val="Hyperlink"/>
            <w:rFonts w:asciiTheme="minorHAnsi" w:hAnsiTheme="minorHAnsi"/>
            <w:noProof/>
          </w:rPr>
          <w:t xml:space="preserve"> Weather</w:t>
        </w:r>
        <w:r w:rsidR="00A917D3" w:rsidRPr="00B24D70">
          <w:rPr>
            <w:rStyle w:val="Hyperlink"/>
            <w:rFonts w:asciiTheme="minorHAnsi" w:hAnsiTheme="minorHAnsi"/>
            <w:noProof/>
          </w:rPr>
          <w:t>-Year</w:t>
        </w:r>
        <w:r w:rsidR="00CC36B0" w:rsidRPr="00B24D70">
          <w:rPr>
            <w:rStyle w:val="Hyperlink"/>
            <w:rFonts w:asciiTheme="minorHAnsi" w:hAnsiTheme="minorHAnsi"/>
            <w:noProof/>
          </w:rPr>
          <w:t xml:space="preserve"> Assumptions</w:t>
        </w:r>
        <w:r w:rsidR="00CC36B0" w:rsidRPr="00B24D70">
          <w:rPr>
            <w:rFonts w:asciiTheme="minorHAnsi" w:hAnsiTheme="minorHAnsi"/>
            <w:noProof/>
            <w:webHidden/>
          </w:rPr>
          <w:tab/>
        </w:r>
        <w:r w:rsidR="00CC36B0" w:rsidRPr="00B24D70">
          <w:rPr>
            <w:rFonts w:asciiTheme="minorHAnsi" w:hAnsiTheme="minorHAnsi"/>
            <w:noProof/>
            <w:webHidden/>
          </w:rPr>
          <w:fldChar w:fldCharType="begin"/>
        </w:r>
        <w:r w:rsidR="00CC36B0" w:rsidRPr="00B24D70">
          <w:rPr>
            <w:rFonts w:asciiTheme="minorHAnsi" w:hAnsiTheme="minorHAnsi"/>
            <w:noProof/>
            <w:webHidden/>
          </w:rPr>
          <w:instrText xml:space="preserve"> PAGEREF _Toc51784664 \h </w:instrText>
        </w:r>
        <w:r w:rsidR="00CC36B0" w:rsidRPr="00B24D70">
          <w:rPr>
            <w:rFonts w:asciiTheme="minorHAnsi" w:hAnsiTheme="minorHAnsi"/>
            <w:noProof/>
            <w:webHidden/>
          </w:rPr>
        </w:r>
        <w:r w:rsidR="00CC36B0" w:rsidRPr="00B24D70">
          <w:rPr>
            <w:rFonts w:asciiTheme="minorHAnsi" w:hAnsiTheme="minorHAnsi"/>
            <w:noProof/>
            <w:webHidden/>
          </w:rPr>
          <w:fldChar w:fldCharType="separate"/>
        </w:r>
        <w:r w:rsidR="004002F6">
          <w:rPr>
            <w:rFonts w:asciiTheme="minorHAnsi" w:hAnsiTheme="minorHAnsi"/>
            <w:noProof/>
            <w:webHidden/>
          </w:rPr>
          <w:t>10</w:t>
        </w:r>
        <w:r w:rsidR="00CC36B0" w:rsidRPr="00B24D70">
          <w:rPr>
            <w:rFonts w:asciiTheme="minorHAnsi" w:hAnsiTheme="minorHAnsi"/>
            <w:noProof/>
            <w:webHidden/>
          </w:rPr>
          <w:fldChar w:fldCharType="end"/>
        </w:r>
      </w:hyperlink>
    </w:p>
    <w:p w:rsidR="00CC36B0" w:rsidRPr="00B24D70" w:rsidRDefault="0089055C" w:rsidP="00DB66D1">
      <w:pPr>
        <w:pStyle w:val="TOC3"/>
        <w:spacing w:after="120" w:line="240" w:lineRule="auto"/>
        <w:rPr>
          <w:rFonts w:asciiTheme="minorHAnsi" w:eastAsiaTheme="minorEastAsia" w:hAnsiTheme="minorHAnsi" w:cstheme="minorBidi"/>
          <w:noProof/>
          <w:sz w:val="22"/>
          <w:szCs w:val="22"/>
        </w:rPr>
      </w:pPr>
      <w:hyperlink w:anchor="_Toc51784665" w:history="1">
        <w:r w:rsidR="00CC36B0" w:rsidRPr="00B24D70">
          <w:rPr>
            <w:rStyle w:val="Hyperlink"/>
            <w:rFonts w:asciiTheme="minorHAnsi" w:hAnsiTheme="minorHAnsi"/>
            <w:noProof/>
            <w14:scene3d>
              <w14:camera w14:prst="orthographicFront"/>
              <w14:lightRig w14:rig="threePt" w14:dir="t">
                <w14:rot w14:lat="0" w14:lon="0" w14:rev="0"/>
              </w14:lightRig>
            </w14:scene3d>
          </w:rPr>
          <w:t>4.2.6</w:t>
        </w:r>
        <w:r w:rsidR="00CC36B0" w:rsidRPr="00B24D70">
          <w:rPr>
            <w:rStyle w:val="Hyperlink"/>
            <w:rFonts w:asciiTheme="minorHAnsi" w:hAnsiTheme="minorHAnsi"/>
            <w:noProof/>
          </w:rPr>
          <w:t xml:space="preserve"> Supply-Side Resources</w:t>
        </w:r>
        <w:r w:rsidR="00CC36B0" w:rsidRPr="00B24D70">
          <w:rPr>
            <w:rFonts w:asciiTheme="minorHAnsi" w:hAnsiTheme="minorHAnsi"/>
            <w:noProof/>
            <w:webHidden/>
          </w:rPr>
          <w:tab/>
        </w:r>
        <w:r w:rsidR="00CC36B0" w:rsidRPr="00B24D70">
          <w:rPr>
            <w:rFonts w:asciiTheme="minorHAnsi" w:hAnsiTheme="minorHAnsi"/>
            <w:noProof/>
            <w:webHidden/>
          </w:rPr>
          <w:fldChar w:fldCharType="begin"/>
        </w:r>
        <w:r w:rsidR="00CC36B0" w:rsidRPr="00B24D70">
          <w:rPr>
            <w:rFonts w:asciiTheme="minorHAnsi" w:hAnsiTheme="minorHAnsi"/>
            <w:noProof/>
            <w:webHidden/>
          </w:rPr>
          <w:instrText xml:space="preserve"> PAGEREF _Toc51784665 \h </w:instrText>
        </w:r>
        <w:r w:rsidR="00CC36B0" w:rsidRPr="00B24D70">
          <w:rPr>
            <w:rFonts w:asciiTheme="minorHAnsi" w:hAnsiTheme="minorHAnsi"/>
            <w:noProof/>
            <w:webHidden/>
          </w:rPr>
        </w:r>
        <w:r w:rsidR="00CC36B0" w:rsidRPr="00B24D70">
          <w:rPr>
            <w:rFonts w:asciiTheme="minorHAnsi" w:hAnsiTheme="minorHAnsi"/>
            <w:noProof/>
            <w:webHidden/>
          </w:rPr>
          <w:fldChar w:fldCharType="separate"/>
        </w:r>
        <w:r w:rsidR="004002F6">
          <w:rPr>
            <w:rFonts w:asciiTheme="minorHAnsi" w:hAnsiTheme="minorHAnsi"/>
            <w:noProof/>
            <w:webHidden/>
          </w:rPr>
          <w:t>10</w:t>
        </w:r>
        <w:r w:rsidR="00CC36B0" w:rsidRPr="00B24D70">
          <w:rPr>
            <w:rFonts w:asciiTheme="minorHAnsi" w:hAnsiTheme="minorHAnsi"/>
            <w:noProof/>
            <w:webHidden/>
          </w:rPr>
          <w:fldChar w:fldCharType="end"/>
        </w:r>
      </w:hyperlink>
    </w:p>
    <w:p w:rsidR="00CC36B0" w:rsidRPr="00B24D70" w:rsidRDefault="0089055C" w:rsidP="00DB66D1">
      <w:pPr>
        <w:pStyle w:val="TOC3"/>
        <w:spacing w:after="120" w:line="240" w:lineRule="auto"/>
        <w:rPr>
          <w:rFonts w:asciiTheme="minorHAnsi" w:eastAsiaTheme="minorEastAsia" w:hAnsiTheme="minorHAnsi" w:cstheme="minorBidi"/>
          <w:noProof/>
          <w:sz w:val="22"/>
          <w:szCs w:val="22"/>
        </w:rPr>
      </w:pPr>
      <w:hyperlink w:anchor="_Toc51784666" w:history="1">
        <w:r w:rsidR="00CC36B0" w:rsidRPr="00B24D70">
          <w:rPr>
            <w:rStyle w:val="Hyperlink"/>
            <w:rFonts w:asciiTheme="minorHAnsi" w:hAnsiTheme="minorHAnsi"/>
            <w:noProof/>
            <w14:scene3d>
              <w14:camera w14:prst="orthographicFront"/>
              <w14:lightRig w14:rig="threePt" w14:dir="t">
                <w14:rot w14:lat="0" w14:lon="0" w14:rev="0"/>
              </w14:lightRig>
            </w14:scene3d>
          </w:rPr>
          <w:t>4.2.7</w:t>
        </w:r>
        <w:r w:rsidR="00CC36B0" w:rsidRPr="00B24D70">
          <w:rPr>
            <w:rStyle w:val="Hyperlink"/>
            <w:rFonts w:asciiTheme="minorHAnsi" w:hAnsiTheme="minorHAnsi"/>
            <w:noProof/>
          </w:rPr>
          <w:t xml:space="preserve"> Fuel-Price Assumptions</w:t>
        </w:r>
        <w:r w:rsidR="00CC36B0" w:rsidRPr="00B24D70">
          <w:rPr>
            <w:rFonts w:asciiTheme="minorHAnsi" w:hAnsiTheme="minorHAnsi"/>
            <w:noProof/>
            <w:webHidden/>
          </w:rPr>
          <w:tab/>
        </w:r>
        <w:r w:rsidR="00CC36B0" w:rsidRPr="00B24D70">
          <w:rPr>
            <w:rFonts w:asciiTheme="minorHAnsi" w:hAnsiTheme="minorHAnsi"/>
            <w:noProof/>
            <w:webHidden/>
          </w:rPr>
          <w:fldChar w:fldCharType="begin"/>
        </w:r>
        <w:r w:rsidR="00CC36B0" w:rsidRPr="00B24D70">
          <w:rPr>
            <w:rFonts w:asciiTheme="minorHAnsi" w:hAnsiTheme="minorHAnsi"/>
            <w:noProof/>
            <w:webHidden/>
          </w:rPr>
          <w:instrText xml:space="preserve"> PAGEREF _Toc51784666 \h </w:instrText>
        </w:r>
        <w:r w:rsidR="00CC36B0" w:rsidRPr="00B24D70">
          <w:rPr>
            <w:rFonts w:asciiTheme="minorHAnsi" w:hAnsiTheme="minorHAnsi"/>
            <w:noProof/>
            <w:webHidden/>
          </w:rPr>
        </w:r>
        <w:r w:rsidR="00CC36B0" w:rsidRPr="00B24D70">
          <w:rPr>
            <w:rFonts w:asciiTheme="minorHAnsi" w:hAnsiTheme="minorHAnsi"/>
            <w:noProof/>
            <w:webHidden/>
          </w:rPr>
          <w:fldChar w:fldCharType="separate"/>
        </w:r>
        <w:r w:rsidR="004002F6">
          <w:rPr>
            <w:rFonts w:asciiTheme="minorHAnsi" w:hAnsiTheme="minorHAnsi"/>
            <w:noProof/>
            <w:webHidden/>
          </w:rPr>
          <w:t>10</w:t>
        </w:r>
        <w:r w:rsidR="00CC36B0" w:rsidRPr="00B24D70">
          <w:rPr>
            <w:rFonts w:asciiTheme="minorHAnsi" w:hAnsiTheme="minorHAnsi"/>
            <w:noProof/>
            <w:webHidden/>
          </w:rPr>
          <w:fldChar w:fldCharType="end"/>
        </w:r>
      </w:hyperlink>
    </w:p>
    <w:p w:rsidR="00CC36B0" w:rsidRPr="00B24D70" w:rsidRDefault="0089055C" w:rsidP="00DB66D1">
      <w:pPr>
        <w:pStyle w:val="TOC3"/>
        <w:spacing w:after="120" w:line="240" w:lineRule="auto"/>
        <w:rPr>
          <w:rFonts w:asciiTheme="minorHAnsi" w:eastAsiaTheme="minorEastAsia" w:hAnsiTheme="minorHAnsi" w:cstheme="minorBidi"/>
          <w:noProof/>
          <w:sz w:val="22"/>
          <w:szCs w:val="22"/>
        </w:rPr>
      </w:pPr>
      <w:hyperlink w:anchor="_Toc51784667" w:history="1">
        <w:r w:rsidR="00CC36B0" w:rsidRPr="00B24D70">
          <w:rPr>
            <w:rStyle w:val="Hyperlink"/>
            <w:rFonts w:asciiTheme="minorHAnsi" w:hAnsiTheme="minorHAnsi"/>
            <w:noProof/>
            <w14:scene3d>
              <w14:camera w14:prst="orthographicFront"/>
              <w14:lightRig w14:rig="threePt" w14:dir="t">
                <w14:rot w14:lat="0" w14:lon="0" w14:rev="0"/>
              </w14:lightRig>
            </w14:scene3d>
          </w:rPr>
          <w:t>4.2.8</w:t>
        </w:r>
        <w:r w:rsidR="00CC36B0" w:rsidRPr="00B24D70">
          <w:rPr>
            <w:rStyle w:val="Hyperlink"/>
            <w:rFonts w:asciiTheme="minorHAnsi" w:hAnsiTheme="minorHAnsi"/>
            <w:noProof/>
          </w:rPr>
          <w:t xml:space="preserve"> Air Emission Allowance Prices</w:t>
        </w:r>
        <w:r w:rsidR="00CC36B0" w:rsidRPr="00B24D70">
          <w:rPr>
            <w:rFonts w:asciiTheme="minorHAnsi" w:hAnsiTheme="minorHAnsi"/>
            <w:noProof/>
            <w:webHidden/>
          </w:rPr>
          <w:tab/>
        </w:r>
        <w:r w:rsidR="00CC36B0" w:rsidRPr="00B24D70">
          <w:rPr>
            <w:rFonts w:asciiTheme="minorHAnsi" w:hAnsiTheme="minorHAnsi"/>
            <w:noProof/>
            <w:webHidden/>
          </w:rPr>
          <w:fldChar w:fldCharType="begin"/>
        </w:r>
        <w:r w:rsidR="00CC36B0" w:rsidRPr="00B24D70">
          <w:rPr>
            <w:rFonts w:asciiTheme="minorHAnsi" w:hAnsiTheme="minorHAnsi"/>
            <w:noProof/>
            <w:webHidden/>
          </w:rPr>
          <w:instrText xml:space="preserve"> PAGEREF _Toc51784667 \h </w:instrText>
        </w:r>
        <w:r w:rsidR="00CC36B0" w:rsidRPr="00B24D70">
          <w:rPr>
            <w:rFonts w:asciiTheme="minorHAnsi" w:hAnsiTheme="minorHAnsi"/>
            <w:noProof/>
            <w:webHidden/>
          </w:rPr>
        </w:r>
        <w:r w:rsidR="00CC36B0" w:rsidRPr="00B24D70">
          <w:rPr>
            <w:rFonts w:asciiTheme="minorHAnsi" w:hAnsiTheme="minorHAnsi"/>
            <w:noProof/>
            <w:webHidden/>
          </w:rPr>
          <w:fldChar w:fldCharType="separate"/>
        </w:r>
        <w:r w:rsidR="004002F6">
          <w:rPr>
            <w:rFonts w:asciiTheme="minorHAnsi" w:hAnsiTheme="minorHAnsi"/>
            <w:noProof/>
            <w:webHidden/>
          </w:rPr>
          <w:t>11</w:t>
        </w:r>
        <w:r w:rsidR="00CC36B0" w:rsidRPr="00B24D70">
          <w:rPr>
            <w:rFonts w:asciiTheme="minorHAnsi" w:hAnsiTheme="minorHAnsi"/>
            <w:noProof/>
            <w:webHidden/>
          </w:rPr>
          <w:fldChar w:fldCharType="end"/>
        </w:r>
      </w:hyperlink>
    </w:p>
    <w:p w:rsidR="00CC36B0" w:rsidRPr="00B24D70" w:rsidRDefault="0089055C" w:rsidP="00DB66D1">
      <w:pPr>
        <w:pStyle w:val="TOC3"/>
        <w:spacing w:after="120" w:line="240" w:lineRule="auto"/>
        <w:rPr>
          <w:rFonts w:asciiTheme="minorHAnsi" w:eastAsiaTheme="minorEastAsia" w:hAnsiTheme="minorHAnsi" w:cstheme="minorBidi"/>
          <w:noProof/>
          <w:sz w:val="22"/>
          <w:szCs w:val="22"/>
        </w:rPr>
      </w:pPr>
      <w:hyperlink w:anchor="_Toc51784668" w:history="1">
        <w:r w:rsidR="00CC36B0" w:rsidRPr="00B24D70">
          <w:rPr>
            <w:rStyle w:val="Hyperlink"/>
            <w:rFonts w:asciiTheme="minorHAnsi" w:hAnsiTheme="minorHAnsi"/>
            <w:noProof/>
            <w14:scene3d>
              <w14:camera w14:prst="orthographicFront"/>
              <w14:lightRig w14:rig="threePt" w14:dir="t">
                <w14:rot w14:lat="0" w14:lon="0" w14:rev="0"/>
              </w14:lightRig>
            </w14:scene3d>
          </w:rPr>
          <w:t>4.2.9</w:t>
        </w:r>
        <w:r w:rsidR="00CC36B0" w:rsidRPr="00B24D70">
          <w:rPr>
            <w:rStyle w:val="Hyperlink"/>
            <w:rFonts w:asciiTheme="minorHAnsi" w:hAnsiTheme="minorHAnsi"/>
            <w:noProof/>
          </w:rPr>
          <w:t xml:space="preserve"> Resource Threshold Prices</w:t>
        </w:r>
        <w:r w:rsidR="00CC36B0" w:rsidRPr="00B24D70">
          <w:rPr>
            <w:rFonts w:asciiTheme="minorHAnsi" w:hAnsiTheme="minorHAnsi"/>
            <w:noProof/>
            <w:webHidden/>
          </w:rPr>
          <w:tab/>
        </w:r>
        <w:r w:rsidR="00CC36B0" w:rsidRPr="00B24D70">
          <w:rPr>
            <w:rFonts w:asciiTheme="minorHAnsi" w:hAnsiTheme="minorHAnsi"/>
            <w:noProof/>
            <w:webHidden/>
          </w:rPr>
          <w:fldChar w:fldCharType="begin"/>
        </w:r>
        <w:r w:rsidR="00CC36B0" w:rsidRPr="00B24D70">
          <w:rPr>
            <w:rFonts w:asciiTheme="minorHAnsi" w:hAnsiTheme="minorHAnsi"/>
            <w:noProof/>
            <w:webHidden/>
          </w:rPr>
          <w:instrText xml:space="preserve"> PAGEREF _Toc51784668 \h </w:instrText>
        </w:r>
        <w:r w:rsidR="00CC36B0" w:rsidRPr="00B24D70">
          <w:rPr>
            <w:rFonts w:asciiTheme="minorHAnsi" w:hAnsiTheme="minorHAnsi"/>
            <w:noProof/>
            <w:webHidden/>
          </w:rPr>
        </w:r>
        <w:r w:rsidR="00CC36B0" w:rsidRPr="00B24D70">
          <w:rPr>
            <w:rFonts w:asciiTheme="minorHAnsi" w:hAnsiTheme="minorHAnsi"/>
            <w:noProof/>
            <w:webHidden/>
          </w:rPr>
          <w:fldChar w:fldCharType="separate"/>
        </w:r>
        <w:r w:rsidR="004002F6">
          <w:rPr>
            <w:rFonts w:asciiTheme="minorHAnsi" w:hAnsiTheme="minorHAnsi"/>
            <w:noProof/>
            <w:webHidden/>
          </w:rPr>
          <w:t>11</w:t>
        </w:r>
        <w:r w:rsidR="00CC36B0" w:rsidRPr="00B24D70">
          <w:rPr>
            <w:rFonts w:asciiTheme="minorHAnsi" w:hAnsiTheme="minorHAnsi"/>
            <w:noProof/>
            <w:webHidden/>
          </w:rPr>
          <w:fldChar w:fldCharType="end"/>
        </w:r>
      </w:hyperlink>
    </w:p>
    <w:p w:rsidR="00CC36B0" w:rsidRPr="00B24D70" w:rsidRDefault="0089055C" w:rsidP="00DB66D1">
      <w:pPr>
        <w:pStyle w:val="TOC1"/>
        <w:rPr>
          <w:rFonts w:eastAsiaTheme="minorEastAsia" w:cstheme="minorBidi"/>
          <w:b w:val="0"/>
          <w:bCs w:val="0"/>
          <w:sz w:val="22"/>
          <w:szCs w:val="22"/>
        </w:rPr>
      </w:pPr>
      <w:hyperlink w:anchor="_Toc51784669" w:history="1">
        <w:r w:rsidR="00CC36B0" w:rsidRPr="00B24D70">
          <w:rPr>
            <w:rStyle w:val="Hyperlink"/>
          </w:rPr>
          <w:t>Section 5</w:t>
        </w:r>
        <w:r w:rsidR="00DB66D1" w:rsidRPr="00B24D70">
          <w:rPr>
            <w:rStyle w:val="Hyperlink"/>
          </w:rPr>
          <w:br/>
        </w:r>
        <w:r w:rsidR="00CC36B0" w:rsidRPr="00B24D70">
          <w:rPr>
            <w:rStyle w:val="Hyperlink"/>
          </w:rPr>
          <w:t>Key Observations</w:t>
        </w:r>
        <w:r w:rsidR="00CC36B0" w:rsidRPr="00B24D70">
          <w:rPr>
            <w:webHidden/>
          </w:rPr>
          <w:tab/>
        </w:r>
        <w:r w:rsidR="00CC36B0" w:rsidRPr="00B24D70">
          <w:rPr>
            <w:webHidden/>
          </w:rPr>
          <w:fldChar w:fldCharType="begin"/>
        </w:r>
        <w:r w:rsidR="00CC36B0" w:rsidRPr="00B24D70">
          <w:rPr>
            <w:webHidden/>
          </w:rPr>
          <w:instrText xml:space="preserve"> PAGEREF _Toc51784669 \h </w:instrText>
        </w:r>
        <w:r w:rsidR="00CC36B0" w:rsidRPr="00B24D70">
          <w:rPr>
            <w:webHidden/>
          </w:rPr>
        </w:r>
        <w:r w:rsidR="00CC36B0" w:rsidRPr="00B24D70">
          <w:rPr>
            <w:webHidden/>
          </w:rPr>
          <w:fldChar w:fldCharType="separate"/>
        </w:r>
        <w:r w:rsidR="004002F6">
          <w:rPr>
            <w:webHidden/>
          </w:rPr>
          <w:t>13</w:t>
        </w:r>
        <w:r w:rsidR="00CC36B0" w:rsidRPr="00B24D70">
          <w:rPr>
            <w:webHidden/>
          </w:rPr>
          <w:fldChar w:fldCharType="end"/>
        </w:r>
      </w:hyperlink>
    </w:p>
    <w:p w:rsidR="00CC36B0" w:rsidRPr="00B24D70" w:rsidRDefault="0089055C" w:rsidP="00DB66D1">
      <w:pPr>
        <w:pStyle w:val="TOC2"/>
        <w:rPr>
          <w:rFonts w:eastAsiaTheme="minorEastAsia" w:cstheme="minorBidi"/>
          <w:bCs w:val="0"/>
          <w:sz w:val="22"/>
          <w:szCs w:val="22"/>
        </w:rPr>
      </w:pPr>
      <w:hyperlink w:anchor="_Toc51784670" w:history="1">
        <w:r w:rsidR="00CC36B0" w:rsidRPr="00B24D70">
          <w:rPr>
            <w:rStyle w:val="Hyperlink"/>
          </w:rPr>
          <w:t>5.1 Congestion</w:t>
        </w:r>
        <w:r w:rsidR="00CC36B0" w:rsidRPr="00B24D70">
          <w:rPr>
            <w:webHidden/>
          </w:rPr>
          <w:tab/>
        </w:r>
        <w:r w:rsidR="00CC36B0" w:rsidRPr="00B24D70">
          <w:rPr>
            <w:webHidden/>
          </w:rPr>
          <w:fldChar w:fldCharType="begin"/>
        </w:r>
        <w:r w:rsidR="00CC36B0" w:rsidRPr="00B24D70">
          <w:rPr>
            <w:webHidden/>
          </w:rPr>
          <w:instrText xml:space="preserve"> PAGEREF _Toc51784670 \h </w:instrText>
        </w:r>
        <w:r w:rsidR="00CC36B0" w:rsidRPr="00B24D70">
          <w:rPr>
            <w:webHidden/>
          </w:rPr>
        </w:r>
        <w:r w:rsidR="00CC36B0" w:rsidRPr="00B24D70">
          <w:rPr>
            <w:webHidden/>
          </w:rPr>
          <w:fldChar w:fldCharType="separate"/>
        </w:r>
        <w:r w:rsidR="004002F6">
          <w:rPr>
            <w:webHidden/>
          </w:rPr>
          <w:t>13</w:t>
        </w:r>
        <w:r w:rsidR="00CC36B0" w:rsidRPr="00B24D70">
          <w:rPr>
            <w:webHidden/>
          </w:rPr>
          <w:fldChar w:fldCharType="end"/>
        </w:r>
      </w:hyperlink>
    </w:p>
    <w:p w:rsidR="00CC36B0" w:rsidRPr="00B24D70" w:rsidRDefault="0089055C" w:rsidP="00DB66D1">
      <w:pPr>
        <w:pStyle w:val="TOC2"/>
        <w:rPr>
          <w:rFonts w:eastAsiaTheme="minorEastAsia" w:cstheme="minorBidi"/>
          <w:bCs w:val="0"/>
          <w:sz w:val="22"/>
          <w:szCs w:val="22"/>
        </w:rPr>
      </w:pPr>
      <w:hyperlink w:anchor="_Toc51784671" w:history="1">
        <w:r w:rsidR="00CC36B0" w:rsidRPr="00B24D70">
          <w:rPr>
            <w:rStyle w:val="Hyperlink"/>
          </w:rPr>
          <w:t xml:space="preserve">5.2 Production Costs </w:t>
        </w:r>
        <w:r w:rsidR="00CC36B0" w:rsidRPr="00B24D70">
          <w:rPr>
            <w:webHidden/>
          </w:rPr>
          <w:tab/>
        </w:r>
        <w:r w:rsidR="00CC36B0" w:rsidRPr="00B24D70">
          <w:rPr>
            <w:webHidden/>
          </w:rPr>
          <w:fldChar w:fldCharType="begin"/>
        </w:r>
        <w:r w:rsidR="00CC36B0" w:rsidRPr="00B24D70">
          <w:rPr>
            <w:webHidden/>
          </w:rPr>
          <w:instrText xml:space="preserve"> PAGEREF _Toc51784671 \h </w:instrText>
        </w:r>
        <w:r w:rsidR="00CC36B0" w:rsidRPr="00B24D70">
          <w:rPr>
            <w:webHidden/>
          </w:rPr>
        </w:r>
        <w:r w:rsidR="00CC36B0" w:rsidRPr="00B24D70">
          <w:rPr>
            <w:webHidden/>
          </w:rPr>
          <w:fldChar w:fldCharType="separate"/>
        </w:r>
        <w:r w:rsidR="004002F6">
          <w:rPr>
            <w:webHidden/>
          </w:rPr>
          <w:t>16</w:t>
        </w:r>
        <w:r w:rsidR="00CC36B0" w:rsidRPr="00B24D70">
          <w:rPr>
            <w:webHidden/>
          </w:rPr>
          <w:fldChar w:fldCharType="end"/>
        </w:r>
      </w:hyperlink>
    </w:p>
    <w:p w:rsidR="00CC36B0" w:rsidRPr="00B24D70" w:rsidRDefault="0089055C" w:rsidP="00DB66D1">
      <w:pPr>
        <w:pStyle w:val="TOC2"/>
        <w:rPr>
          <w:rFonts w:eastAsiaTheme="minorEastAsia" w:cstheme="minorBidi"/>
          <w:bCs w:val="0"/>
          <w:sz w:val="22"/>
          <w:szCs w:val="22"/>
        </w:rPr>
      </w:pPr>
      <w:hyperlink w:anchor="_Toc51784672" w:history="1">
        <w:r w:rsidR="00CC36B0" w:rsidRPr="00B24D70">
          <w:rPr>
            <w:rStyle w:val="Hyperlink"/>
          </w:rPr>
          <w:t>5.3 Load-Serving Entity Energy Expense and Uplift Costs</w:t>
        </w:r>
        <w:r w:rsidR="00CC36B0" w:rsidRPr="00B24D70">
          <w:rPr>
            <w:webHidden/>
          </w:rPr>
          <w:tab/>
        </w:r>
        <w:r w:rsidR="00CC36B0" w:rsidRPr="00B24D70">
          <w:rPr>
            <w:webHidden/>
          </w:rPr>
          <w:fldChar w:fldCharType="begin"/>
        </w:r>
        <w:r w:rsidR="00CC36B0" w:rsidRPr="00B24D70">
          <w:rPr>
            <w:webHidden/>
          </w:rPr>
          <w:instrText xml:space="preserve"> PAGEREF _Toc51784672 \h </w:instrText>
        </w:r>
        <w:r w:rsidR="00CC36B0" w:rsidRPr="00B24D70">
          <w:rPr>
            <w:webHidden/>
          </w:rPr>
        </w:r>
        <w:r w:rsidR="00CC36B0" w:rsidRPr="00B24D70">
          <w:rPr>
            <w:webHidden/>
          </w:rPr>
          <w:fldChar w:fldCharType="separate"/>
        </w:r>
        <w:r w:rsidR="004002F6">
          <w:rPr>
            <w:webHidden/>
          </w:rPr>
          <w:t>17</w:t>
        </w:r>
        <w:r w:rsidR="00CC36B0" w:rsidRPr="00B24D70">
          <w:rPr>
            <w:webHidden/>
          </w:rPr>
          <w:fldChar w:fldCharType="end"/>
        </w:r>
      </w:hyperlink>
    </w:p>
    <w:p w:rsidR="00CC36B0" w:rsidRPr="00B24D70" w:rsidRDefault="0089055C" w:rsidP="00DB66D1">
      <w:pPr>
        <w:pStyle w:val="TOC2"/>
        <w:rPr>
          <w:rFonts w:eastAsiaTheme="minorEastAsia" w:cstheme="minorBidi"/>
          <w:bCs w:val="0"/>
          <w:sz w:val="22"/>
          <w:szCs w:val="22"/>
        </w:rPr>
      </w:pPr>
      <w:hyperlink w:anchor="_Toc51784673" w:history="1">
        <w:r w:rsidR="00CC36B0" w:rsidRPr="00B24D70">
          <w:rPr>
            <w:rStyle w:val="Hyperlink"/>
          </w:rPr>
          <w:t>5.4 Native New England Resource CO</w:t>
        </w:r>
        <w:r w:rsidR="00CC36B0" w:rsidRPr="00B24D70">
          <w:rPr>
            <w:rStyle w:val="Hyperlink"/>
            <w:vertAlign w:val="subscript"/>
          </w:rPr>
          <w:t>2</w:t>
        </w:r>
        <w:r w:rsidR="00CC36B0" w:rsidRPr="00B24D70">
          <w:rPr>
            <w:rStyle w:val="Hyperlink"/>
          </w:rPr>
          <w:t xml:space="preserve"> Emissions</w:t>
        </w:r>
        <w:r w:rsidR="00CC36B0" w:rsidRPr="00B24D70">
          <w:rPr>
            <w:webHidden/>
          </w:rPr>
          <w:tab/>
        </w:r>
        <w:r w:rsidR="00CC36B0" w:rsidRPr="00B24D70">
          <w:rPr>
            <w:webHidden/>
          </w:rPr>
          <w:fldChar w:fldCharType="begin"/>
        </w:r>
        <w:r w:rsidR="00CC36B0" w:rsidRPr="00B24D70">
          <w:rPr>
            <w:webHidden/>
          </w:rPr>
          <w:instrText xml:space="preserve"> PAGEREF _Toc51784673 \h </w:instrText>
        </w:r>
        <w:r w:rsidR="00CC36B0" w:rsidRPr="00B24D70">
          <w:rPr>
            <w:webHidden/>
          </w:rPr>
        </w:r>
        <w:r w:rsidR="00CC36B0" w:rsidRPr="00B24D70">
          <w:rPr>
            <w:webHidden/>
          </w:rPr>
          <w:fldChar w:fldCharType="separate"/>
        </w:r>
        <w:r w:rsidR="004002F6">
          <w:rPr>
            <w:webHidden/>
          </w:rPr>
          <w:t>18</w:t>
        </w:r>
        <w:r w:rsidR="00CC36B0" w:rsidRPr="00B24D70">
          <w:rPr>
            <w:webHidden/>
          </w:rPr>
          <w:fldChar w:fldCharType="end"/>
        </w:r>
      </w:hyperlink>
    </w:p>
    <w:p w:rsidR="00CC36B0" w:rsidRPr="00B24D70" w:rsidRDefault="0089055C" w:rsidP="00DB66D1">
      <w:pPr>
        <w:pStyle w:val="TOC2"/>
        <w:rPr>
          <w:rFonts w:eastAsiaTheme="minorEastAsia" w:cstheme="minorBidi"/>
          <w:bCs w:val="0"/>
          <w:sz w:val="22"/>
          <w:szCs w:val="22"/>
        </w:rPr>
      </w:pPr>
      <w:hyperlink w:anchor="_Toc51784674" w:history="1">
        <w:r w:rsidR="00CC36B0" w:rsidRPr="00B24D70">
          <w:rPr>
            <w:rStyle w:val="Hyperlink"/>
          </w:rPr>
          <w:t>5.5 Annual Average Locational Marginal Prices</w:t>
        </w:r>
        <w:r w:rsidR="00CC36B0" w:rsidRPr="00B24D70">
          <w:rPr>
            <w:webHidden/>
          </w:rPr>
          <w:tab/>
        </w:r>
        <w:r w:rsidR="00CC36B0" w:rsidRPr="00B24D70">
          <w:rPr>
            <w:webHidden/>
          </w:rPr>
          <w:fldChar w:fldCharType="begin"/>
        </w:r>
        <w:r w:rsidR="00CC36B0" w:rsidRPr="00B24D70">
          <w:rPr>
            <w:webHidden/>
          </w:rPr>
          <w:instrText xml:space="preserve"> PAGEREF _Toc51784674 \h </w:instrText>
        </w:r>
        <w:r w:rsidR="00CC36B0" w:rsidRPr="00B24D70">
          <w:rPr>
            <w:webHidden/>
          </w:rPr>
        </w:r>
        <w:r w:rsidR="00CC36B0" w:rsidRPr="00B24D70">
          <w:rPr>
            <w:webHidden/>
          </w:rPr>
          <w:fldChar w:fldCharType="separate"/>
        </w:r>
        <w:r w:rsidR="004002F6">
          <w:rPr>
            <w:webHidden/>
          </w:rPr>
          <w:t>19</w:t>
        </w:r>
        <w:r w:rsidR="00CC36B0" w:rsidRPr="00B24D70">
          <w:rPr>
            <w:webHidden/>
          </w:rPr>
          <w:fldChar w:fldCharType="end"/>
        </w:r>
      </w:hyperlink>
    </w:p>
    <w:p w:rsidR="00CC36B0" w:rsidRPr="00B24D70" w:rsidRDefault="0089055C" w:rsidP="00DB66D1">
      <w:pPr>
        <w:pStyle w:val="TOC1"/>
        <w:rPr>
          <w:rFonts w:eastAsiaTheme="minorEastAsia" w:cstheme="minorBidi"/>
          <w:b w:val="0"/>
          <w:bCs w:val="0"/>
          <w:sz w:val="22"/>
          <w:szCs w:val="22"/>
        </w:rPr>
      </w:pPr>
      <w:hyperlink w:anchor="_Toc51784675" w:history="1">
        <w:r w:rsidR="00CC36B0" w:rsidRPr="00B24D70">
          <w:rPr>
            <w:rStyle w:val="Hyperlink"/>
          </w:rPr>
          <w:t>Section 6</w:t>
        </w:r>
        <w:r w:rsidR="00DB66D1" w:rsidRPr="00B24D70">
          <w:rPr>
            <w:rStyle w:val="Hyperlink"/>
          </w:rPr>
          <w:br/>
        </w:r>
        <w:r w:rsidR="00CC36B0" w:rsidRPr="00B24D70">
          <w:rPr>
            <w:rStyle w:val="Hyperlink"/>
          </w:rPr>
          <w:t>Summary</w:t>
        </w:r>
        <w:r w:rsidR="00CC36B0" w:rsidRPr="00B24D70">
          <w:rPr>
            <w:webHidden/>
          </w:rPr>
          <w:tab/>
        </w:r>
        <w:r w:rsidR="00CC36B0" w:rsidRPr="00B24D70">
          <w:rPr>
            <w:webHidden/>
          </w:rPr>
          <w:fldChar w:fldCharType="begin"/>
        </w:r>
        <w:r w:rsidR="00CC36B0" w:rsidRPr="00B24D70">
          <w:rPr>
            <w:webHidden/>
          </w:rPr>
          <w:instrText xml:space="preserve"> PAGEREF _Toc51784675 \h </w:instrText>
        </w:r>
        <w:r w:rsidR="00CC36B0" w:rsidRPr="00B24D70">
          <w:rPr>
            <w:webHidden/>
          </w:rPr>
        </w:r>
        <w:r w:rsidR="00CC36B0" w:rsidRPr="00B24D70">
          <w:rPr>
            <w:webHidden/>
          </w:rPr>
          <w:fldChar w:fldCharType="separate"/>
        </w:r>
        <w:r w:rsidR="004002F6">
          <w:rPr>
            <w:webHidden/>
          </w:rPr>
          <w:t>20</w:t>
        </w:r>
        <w:r w:rsidR="00CC36B0" w:rsidRPr="00B24D70">
          <w:rPr>
            <w:webHidden/>
          </w:rPr>
          <w:fldChar w:fldCharType="end"/>
        </w:r>
      </w:hyperlink>
    </w:p>
    <w:p w:rsidR="00F565D2" w:rsidRPr="00E712DA" w:rsidRDefault="00CD7DBD" w:rsidP="001F5E1A">
      <w:pPr>
        <w:spacing w:after="120" w:line="240" w:lineRule="auto"/>
        <w:rPr>
          <w:rFonts w:asciiTheme="majorHAnsi" w:hAnsiTheme="majorHAnsi" w:cstheme="majorHAnsi"/>
          <w:szCs w:val="20"/>
        </w:rPr>
        <w:sectPr w:rsidR="00F565D2" w:rsidRPr="00E712DA" w:rsidSect="001E2301">
          <w:headerReference w:type="default" r:id="rId18"/>
          <w:footerReference w:type="default" r:id="rId19"/>
          <w:pgSz w:w="12240" w:h="15840" w:code="1"/>
          <w:pgMar w:top="1440" w:right="1440" w:bottom="1440" w:left="1440" w:header="720" w:footer="720" w:gutter="0"/>
          <w:pgNumType w:fmt="lowerRoman" w:start="3"/>
          <w:cols w:space="720"/>
          <w:docGrid w:linePitch="360"/>
        </w:sectPr>
      </w:pPr>
      <w:r w:rsidRPr="00B24D70">
        <w:rPr>
          <w:rFonts w:asciiTheme="minorHAnsi" w:hAnsiTheme="minorHAnsi" w:cstheme="minorHAnsi"/>
          <w:szCs w:val="20"/>
        </w:rPr>
        <w:fldChar w:fldCharType="end"/>
      </w:r>
    </w:p>
    <w:p w:rsidR="00F565D2" w:rsidRPr="00225B89" w:rsidRDefault="00F565D2" w:rsidP="001F5E1A">
      <w:pPr>
        <w:adjustRightInd/>
        <w:spacing w:after="120" w:line="240" w:lineRule="auto"/>
        <w:textAlignment w:val="auto"/>
        <w:outlineLvl w:val="0"/>
        <w:rPr>
          <w:rFonts w:ascii="Calibri" w:hAnsi="Calibri" w:cs="Arial"/>
          <w:b/>
          <w:bCs/>
          <w:color w:val="0C95D2"/>
          <w:sz w:val="36"/>
          <w:szCs w:val="36"/>
        </w:rPr>
      </w:pPr>
      <w:bookmarkStart w:id="13" w:name="_Toc173682257"/>
      <w:bookmarkStart w:id="14" w:name="_Toc51784652"/>
      <w:r w:rsidRPr="00CC6422">
        <w:rPr>
          <w:rFonts w:ascii="Calibri" w:hAnsi="Calibri" w:cs="Arial"/>
          <w:b/>
          <w:bCs/>
          <w:color w:val="0C95D2"/>
          <w:sz w:val="36"/>
          <w:szCs w:val="36"/>
        </w:rPr>
        <w:t>Figures</w:t>
      </w:r>
      <w:bookmarkEnd w:id="13"/>
      <w:bookmarkEnd w:id="14"/>
    </w:p>
    <w:p w:rsidR="00CC36B0" w:rsidRPr="00CC36B0" w:rsidRDefault="00CD7DBD" w:rsidP="00CC36B0">
      <w:pPr>
        <w:pStyle w:val="TableofFigures"/>
        <w:rPr>
          <w:rFonts w:asciiTheme="minorHAnsi" w:eastAsiaTheme="minorEastAsia" w:hAnsiTheme="minorHAnsi" w:cstheme="minorBidi"/>
          <w:b w:val="0"/>
          <w:sz w:val="22"/>
          <w:szCs w:val="22"/>
        </w:rPr>
      </w:pPr>
      <w:r w:rsidRPr="00CC36B0">
        <w:rPr>
          <w:rFonts w:asciiTheme="minorHAnsi" w:hAnsiTheme="minorHAnsi"/>
          <w:b w:val="0"/>
        </w:rPr>
        <w:fldChar w:fldCharType="begin"/>
      </w:r>
      <w:r w:rsidRPr="00CC36B0">
        <w:rPr>
          <w:rFonts w:asciiTheme="minorHAnsi" w:hAnsiTheme="minorHAnsi"/>
          <w:b w:val="0"/>
        </w:rPr>
        <w:instrText xml:space="preserve"> TOC \h \z \c "Figure" </w:instrText>
      </w:r>
      <w:r w:rsidRPr="00CC36B0">
        <w:rPr>
          <w:rFonts w:asciiTheme="minorHAnsi" w:hAnsiTheme="minorHAnsi"/>
          <w:b w:val="0"/>
        </w:rPr>
        <w:fldChar w:fldCharType="separate"/>
      </w:r>
      <w:hyperlink w:anchor="_Toc51784371" w:history="1">
        <w:r w:rsidR="00CC36B0" w:rsidRPr="00CC36B0">
          <w:rPr>
            <w:rStyle w:val="Hyperlink"/>
            <w:b w:val="0"/>
          </w:rPr>
          <w:t>Figure 3</w:t>
        </w:r>
        <w:r w:rsidR="00CC36B0" w:rsidRPr="00CC36B0">
          <w:rPr>
            <w:rStyle w:val="Hyperlink"/>
            <w:b w:val="0"/>
          </w:rPr>
          <w:noBreakHyphen/>
          <w:t xml:space="preserve">1: </w:t>
        </w:r>
        <w:r w:rsidR="00CC36B0">
          <w:rPr>
            <w:rStyle w:val="Hyperlink"/>
            <w:b w:val="0"/>
          </w:rPr>
          <w:tab/>
        </w:r>
        <w:r w:rsidR="00CC36B0" w:rsidRPr="00CC36B0">
          <w:rPr>
            <w:rStyle w:val="Hyperlink"/>
            <w:b w:val="0"/>
          </w:rPr>
          <w:t>Location of the Orrington-South interface and proposed 345 kV transmission line</w:t>
        </w:r>
        <w:r w:rsidR="00CC36B0">
          <w:rPr>
            <w:rStyle w:val="Hyperlink"/>
            <w:b w:val="0"/>
          </w:rPr>
          <w:br/>
        </w:r>
        <w:r w:rsidR="00CC36B0" w:rsidRPr="00CC36B0">
          <w:rPr>
            <w:rStyle w:val="Hyperlink"/>
            <w:b w:val="0"/>
          </w:rPr>
          <w:t>for the S2 scenario.</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_Toc51784371 \h </w:instrText>
        </w:r>
        <w:r w:rsidR="00CC36B0" w:rsidRPr="00CC36B0">
          <w:rPr>
            <w:b w:val="0"/>
            <w:webHidden/>
          </w:rPr>
        </w:r>
        <w:r w:rsidR="00CC36B0" w:rsidRPr="00CC36B0">
          <w:rPr>
            <w:b w:val="0"/>
            <w:webHidden/>
          </w:rPr>
          <w:fldChar w:fldCharType="separate"/>
        </w:r>
        <w:r w:rsidR="004002F6">
          <w:rPr>
            <w:b w:val="0"/>
            <w:webHidden/>
          </w:rPr>
          <w:t>5</w:t>
        </w:r>
        <w:r w:rsidR="00CC36B0" w:rsidRPr="00CC36B0">
          <w:rPr>
            <w:b w:val="0"/>
            <w:webHidden/>
          </w:rPr>
          <w:fldChar w:fldCharType="end"/>
        </w:r>
      </w:hyperlink>
    </w:p>
    <w:p w:rsidR="00CC36B0" w:rsidRPr="00CC36B0" w:rsidRDefault="0089055C" w:rsidP="00CC36B0">
      <w:pPr>
        <w:pStyle w:val="TableofFigures"/>
        <w:rPr>
          <w:rFonts w:asciiTheme="minorHAnsi" w:eastAsiaTheme="minorEastAsia" w:hAnsiTheme="minorHAnsi" w:cstheme="minorBidi"/>
          <w:b w:val="0"/>
          <w:sz w:val="22"/>
          <w:szCs w:val="22"/>
        </w:rPr>
      </w:pPr>
      <w:hyperlink w:anchor="_Toc51784372" w:history="1">
        <w:r w:rsidR="00CC36B0" w:rsidRPr="00CC36B0">
          <w:rPr>
            <w:rStyle w:val="Hyperlink"/>
            <w:b w:val="0"/>
          </w:rPr>
          <w:t>Figure 4</w:t>
        </w:r>
        <w:r w:rsidR="00CC36B0" w:rsidRPr="00CC36B0">
          <w:rPr>
            <w:rStyle w:val="Hyperlink"/>
            <w:b w:val="0"/>
          </w:rPr>
          <w:noBreakHyphen/>
          <w:t xml:space="preserve">1: </w:t>
        </w:r>
        <w:r w:rsidR="00CC36B0">
          <w:rPr>
            <w:rStyle w:val="Hyperlink"/>
            <w:b w:val="0"/>
          </w:rPr>
          <w:tab/>
        </w:r>
        <w:r w:rsidR="00CC36B0" w:rsidRPr="00CC36B0">
          <w:rPr>
            <w:rStyle w:val="Hyperlink"/>
            <w:b w:val="0"/>
          </w:rPr>
          <w:t xml:space="preserve">Assumed New England </w:t>
        </w:r>
        <w:r w:rsidR="00E6476A">
          <w:rPr>
            <w:rStyle w:val="Hyperlink"/>
            <w:b w:val="0"/>
          </w:rPr>
          <w:t xml:space="preserve">system interface constraints </w:t>
        </w:r>
        <w:r w:rsidR="00CC36B0" w:rsidRPr="00CC36B0">
          <w:rPr>
            <w:rStyle w:val="Hyperlink"/>
            <w:b w:val="0"/>
          </w:rPr>
          <w:t>for the 2025 study year.</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_Toc51784372 \h </w:instrText>
        </w:r>
        <w:r w:rsidR="00CC36B0" w:rsidRPr="00CC36B0">
          <w:rPr>
            <w:b w:val="0"/>
            <w:webHidden/>
          </w:rPr>
        </w:r>
        <w:r w:rsidR="00CC36B0" w:rsidRPr="00CC36B0">
          <w:rPr>
            <w:b w:val="0"/>
            <w:webHidden/>
          </w:rPr>
          <w:fldChar w:fldCharType="separate"/>
        </w:r>
        <w:r w:rsidR="004002F6">
          <w:rPr>
            <w:b w:val="0"/>
            <w:webHidden/>
          </w:rPr>
          <w:t>9</w:t>
        </w:r>
        <w:r w:rsidR="00CC36B0" w:rsidRPr="00CC36B0">
          <w:rPr>
            <w:b w:val="0"/>
            <w:webHidden/>
          </w:rPr>
          <w:fldChar w:fldCharType="end"/>
        </w:r>
      </w:hyperlink>
    </w:p>
    <w:p w:rsidR="00CC36B0" w:rsidRPr="00CC36B0" w:rsidRDefault="0089055C" w:rsidP="00CC36B0">
      <w:pPr>
        <w:pStyle w:val="TableofFigures"/>
        <w:rPr>
          <w:rFonts w:asciiTheme="minorHAnsi" w:eastAsiaTheme="minorEastAsia" w:hAnsiTheme="minorHAnsi" w:cstheme="minorBidi"/>
          <w:b w:val="0"/>
          <w:sz w:val="22"/>
          <w:szCs w:val="22"/>
        </w:rPr>
      </w:pPr>
      <w:hyperlink w:anchor="_Toc51784373" w:history="1">
        <w:r w:rsidR="00CC36B0" w:rsidRPr="00CC36B0">
          <w:rPr>
            <w:rStyle w:val="Hyperlink"/>
            <w:b w:val="0"/>
          </w:rPr>
          <w:t>Figure 5</w:t>
        </w:r>
        <w:r w:rsidR="00CC36B0" w:rsidRPr="00CC36B0">
          <w:rPr>
            <w:rStyle w:val="Hyperlink"/>
            <w:b w:val="0"/>
          </w:rPr>
          <w:noBreakHyphen/>
          <w:t xml:space="preserve">1: </w:t>
        </w:r>
        <w:r w:rsidR="00CC36B0">
          <w:rPr>
            <w:rStyle w:val="Hyperlink"/>
            <w:b w:val="0"/>
          </w:rPr>
          <w:tab/>
        </w:r>
        <w:r w:rsidR="00CC36B0" w:rsidRPr="00CC36B0">
          <w:rPr>
            <w:rStyle w:val="Hyperlink"/>
            <w:b w:val="0"/>
          </w:rPr>
          <w:t xml:space="preserve">Congestion cost by interface ($ million). </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_Toc51784373 \h </w:instrText>
        </w:r>
        <w:r w:rsidR="00CC36B0" w:rsidRPr="00CC36B0">
          <w:rPr>
            <w:b w:val="0"/>
            <w:webHidden/>
          </w:rPr>
        </w:r>
        <w:r w:rsidR="00CC36B0" w:rsidRPr="00CC36B0">
          <w:rPr>
            <w:b w:val="0"/>
            <w:webHidden/>
          </w:rPr>
          <w:fldChar w:fldCharType="separate"/>
        </w:r>
        <w:r w:rsidR="004002F6">
          <w:rPr>
            <w:b w:val="0"/>
            <w:webHidden/>
          </w:rPr>
          <w:t>13</w:t>
        </w:r>
        <w:r w:rsidR="00CC36B0" w:rsidRPr="00CC36B0">
          <w:rPr>
            <w:b w:val="0"/>
            <w:webHidden/>
          </w:rPr>
          <w:fldChar w:fldCharType="end"/>
        </w:r>
      </w:hyperlink>
    </w:p>
    <w:p w:rsidR="00CC36B0" w:rsidRPr="00A917D3" w:rsidRDefault="0089055C" w:rsidP="00CC36B0">
      <w:pPr>
        <w:pStyle w:val="TableofFigures"/>
        <w:rPr>
          <w:rFonts w:asciiTheme="minorHAnsi" w:eastAsiaTheme="minorEastAsia" w:hAnsiTheme="minorHAnsi" w:cstheme="minorBidi"/>
          <w:b w:val="0"/>
          <w:sz w:val="22"/>
          <w:szCs w:val="22"/>
        </w:rPr>
      </w:pPr>
      <w:hyperlink w:anchor="_Toc51784374" w:history="1">
        <w:r w:rsidR="00CC36B0" w:rsidRPr="00A917D3">
          <w:rPr>
            <w:rStyle w:val="Hyperlink"/>
            <w:b w:val="0"/>
          </w:rPr>
          <w:t>Figure 5</w:t>
        </w:r>
        <w:r w:rsidR="00CC36B0" w:rsidRPr="00A917D3">
          <w:rPr>
            <w:rStyle w:val="Hyperlink"/>
            <w:b w:val="0"/>
          </w:rPr>
          <w:noBreakHyphen/>
          <w:t xml:space="preserve">2: </w:t>
        </w:r>
        <w:r w:rsidR="00CC36B0" w:rsidRPr="00A917D3">
          <w:rPr>
            <w:rStyle w:val="Hyperlink"/>
            <w:b w:val="0"/>
          </w:rPr>
          <w:tab/>
          <w:t>Monthly Orrington-South interface flow-duration curve and limit</w:t>
        </w:r>
        <w:r w:rsidR="00CC36B0" w:rsidRPr="00A917D3">
          <w:rPr>
            <w:rStyle w:val="Hyperlink"/>
            <w:b w:val="0"/>
          </w:rPr>
          <w:br/>
          <w:t>for the constrained Base scenario (MW).</w:t>
        </w:r>
        <w:r w:rsidR="00CC36B0" w:rsidRPr="00A917D3">
          <w:rPr>
            <w:b w:val="0"/>
            <w:webHidden/>
          </w:rPr>
          <w:tab/>
        </w:r>
        <w:r w:rsidR="00CC36B0" w:rsidRPr="00A917D3">
          <w:rPr>
            <w:b w:val="0"/>
            <w:webHidden/>
          </w:rPr>
          <w:fldChar w:fldCharType="begin"/>
        </w:r>
        <w:r w:rsidR="00CC36B0" w:rsidRPr="00A917D3">
          <w:rPr>
            <w:b w:val="0"/>
            <w:webHidden/>
          </w:rPr>
          <w:instrText xml:space="preserve"> PAGEREF _Toc51784374 \h </w:instrText>
        </w:r>
        <w:r w:rsidR="00CC36B0" w:rsidRPr="00A917D3">
          <w:rPr>
            <w:b w:val="0"/>
            <w:webHidden/>
          </w:rPr>
        </w:r>
        <w:r w:rsidR="00CC36B0" w:rsidRPr="00A917D3">
          <w:rPr>
            <w:b w:val="0"/>
            <w:webHidden/>
          </w:rPr>
          <w:fldChar w:fldCharType="separate"/>
        </w:r>
        <w:r w:rsidR="004002F6">
          <w:rPr>
            <w:b w:val="0"/>
            <w:webHidden/>
          </w:rPr>
          <w:t>14</w:t>
        </w:r>
        <w:r w:rsidR="00CC36B0" w:rsidRPr="00A917D3">
          <w:rPr>
            <w:b w:val="0"/>
            <w:webHidden/>
          </w:rPr>
          <w:fldChar w:fldCharType="end"/>
        </w:r>
      </w:hyperlink>
    </w:p>
    <w:p w:rsidR="00CC36B0" w:rsidRPr="00A917D3" w:rsidRDefault="0089055C" w:rsidP="00CC36B0">
      <w:pPr>
        <w:pStyle w:val="TableofFigures"/>
        <w:rPr>
          <w:rFonts w:asciiTheme="minorHAnsi" w:eastAsiaTheme="minorEastAsia" w:hAnsiTheme="minorHAnsi" w:cstheme="minorBidi"/>
          <w:b w:val="0"/>
          <w:sz w:val="22"/>
          <w:szCs w:val="22"/>
        </w:rPr>
      </w:pPr>
      <w:hyperlink w:anchor="_Toc51784375" w:history="1">
        <w:r w:rsidR="00CC36B0" w:rsidRPr="00A917D3">
          <w:rPr>
            <w:rStyle w:val="Hyperlink"/>
            <w:b w:val="0"/>
          </w:rPr>
          <w:t>Figure 5</w:t>
        </w:r>
        <w:r w:rsidR="00CC36B0" w:rsidRPr="00A917D3">
          <w:rPr>
            <w:rStyle w:val="Hyperlink"/>
            <w:b w:val="0"/>
          </w:rPr>
          <w:noBreakHyphen/>
          <w:t xml:space="preserve">3: </w:t>
        </w:r>
        <w:r w:rsidR="00CC36B0" w:rsidRPr="00A917D3">
          <w:rPr>
            <w:rStyle w:val="Hyperlink"/>
            <w:b w:val="0"/>
          </w:rPr>
          <w:tab/>
          <w:t>Monthly Orrington-South interface-flow duration curve and limit</w:t>
        </w:r>
        <w:r w:rsidR="00CC36B0" w:rsidRPr="00A917D3">
          <w:rPr>
            <w:rStyle w:val="Hyperlink"/>
            <w:b w:val="0"/>
          </w:rPr>
          <w:br/>
          <w:t>for the constrained S1 scenario (MW).</w:t>
        </w:r>
        <w:r w:rsidR="00CC36B0" w:rsidRPr="00A917D3">
          <w:rPr>
            <w:b w:val="0"/>
            <w:webHidden/>
          </w:rPr>
          <w:tab/>
        </w:r>
        <w:r w:rsidR="00CC36B0" w:rsidRPr="00A917D3">
          <w:rPr>
            <w:b w:val="0"/>
            <w:webHidden/>
          </w:rPr>
          <w:fldChar w:fldCharType="begin"/>
        </w:r>
        <w:r w:rsidR="00CC36B0" w:rsidRPr="00A917D3">
          <w:rPr>
            <w:b w:val="0"/>
            <w:webHidden/>
          </w:rPr>
          <w:instrText xml:space="preserve"> PAGEREF _Toc51784375 \h </w:instrText>
        </w:r>
        <w:r w:rsidR="00CC36B0" w:rsidRPr="00A917D3">
          <w:rPr>
            <w:b w:val="0"/>
            <w:webHidden/>
          </w:rPr>
        </w:r>
        <w:r w:rsidR="00CC36B0" w:rsidRPr="00A917D3">
          <w:rPr>
            <w:b w:val="0"/>
            <w:webHidden/>
          </w:rPr>
          <w:fldChar w:fldCharType="separate"/>
        </w:r>
        <w:r w:rsidR="004002F6">
          <w:rPr>
            <w:b w:val="0"/>
            <w:webHidden/>
          </w:rPr>
          <w:t>14</w:t>
        </w:r>
        <w:r w:rsidR="00CC36B0" w:rsidRPr="00A917D3">
          <w:rPr>
            <w:b w:val="0"/>
            <w:webHidden/>
          </w:rPr>
          <w:fldChar w:fldCharType="end"/>
        </w:r>
      </w:hyperlink>
    </w:p>
    <w:p w:rsidR="00CC36B0" w:rsidRPr="00CC36B0" w:rsidRDefault="0089055C" w:rsidP="00CC36B0">
      <w:pPr>
        <w:pStyle w:val="TableofFigures"/>
        <w:rPr>
          <w:rFonts w:asciiTheme="minorHAnsi" w:eastAsiaTheme="minorEastAsia" w:hAnsiTheme="minorHAnsi" w:cstheme="minorBidi"/>
          <w:b w:val="0"/>
          <w:sz w:val="22"/>
          <w:szCs w:val="22"/>
        </w:rPr>
      </w:pPr>
      <w:hyperlink w:anchor="_Toc51784376" w:history="1">
        <w:r w:rsidR="00CC36B0" w:rsidRPr="00A917D3">
          <w:rPr>
            <w:rStyle w:val="Hyperlink"/>
            <w:b w:val="0"/>
          </w:rPr>
          <w:t>Figure 5</w:t>
        </w:r>
        <w:r w:rsidR="00CC36B0" w:rsidRPr="00A917D3">
          <w:rPr>
            <w:rStyle w:val="Hyperlink"/>
            <w:b w:val="0"/>
          </w:rPr>
          <w:noBreakHyphen/>
          <w:t xml:space="preserve">4: </w:t>
        </w:r>
        <w:r w:rsidR="00CC36B0" w:rsidRPr="00A917D3">
          <w:rPr>
            <w:rStyle w:val="Hyperlink"/>
            <w:b w:val="0"/>
          </w:rPr>
          <w:tab/>
          <w:t>Monthly Orrington-South interface flow-duration curve and limit</w:t>
        </w:r>
        <w:r w:rsidR="00CC36B0" w:rsidRPr="00A917D3">
          <w:rPr>
            <w:rStyle w:val="Hyperlink"/>
            <w:b w:val="0"/>
          </w:rPr>
          <w:br/>
          <w:t>for the constrained S2 scenario (MW).</w:t>
        </w:r>
        <w:r w:rsidR="00CC36B0" w:rsidRPr="00A917D3">
          <w:rPr>
            <w:b w:val="0"/>
            <w:webHidden/>
          </w:rPr>
          <w:tab/>
        </w:r>
        <w:r w:rsidR="00CC36B0" w:rsidRPr="00A917D3">
          <w:rPr>
            <w:b w:val="0"/>
            <w:webHidden/>
          </w:rPr>
          <w:fldChar w:fldCharType="begin"/>
        </w:r>
        <w:r w:rsidR="00CC36B0" w:rsidRPr="00A917D3">
          <w:rPr>
            <w:b w:val="0"/>
            <w:webHidden/>
          </w:rPr>
          <w:instrText xml:space="preserve"> PAGEREF _Toc51784376 \h </w:instrText>
        </w:r>
        <w:r w:rsidR="00CC36B0" w:rsidRPr="00A917D3">
          <w:rPr>
            <w:b w:val="0"/>
            <w:webHidden/>
          </w:rPr>
        </w:r>
        <w:r w:rsidR="00CC36B0" w:rsidRPr="00A917D3">
          <w:rPr>
            <w:b w:val="0"/>
            <w:webHidden/>
          </w:rPr>
          <w:fldChar w:fldCharType="separate"/>
        </w:r>
        <w:r w:rsidR="004002F6">
          <w:rPr>
            <w:b w:val="0"/>
            <w:webHidden/>
          </w:rPr>
          <w:t>15</w:t>
        </w:r>
        <w:r w:rsidR="00CC36B0" w:rsidRPr="00A917D3">
          <w:rPr>
            <w:b w:val="0"/>
            <w:webHidden/>
          </w:rPr>
          <w:fldChar w:fldCharType="end"/>
        </w:r>
      </w:hyperlink>
    </w:p>
    <w:p w:rsidR="00CC36B0" w:rsidRPr="00CC36B0" w:rsidRDefault="0089055C" w:rsidP="00CC36B0">
      <w:pPr>
        <w:pStyle w:val="TableofFigures"/>
        <w:rPr>
          <w:rFonts w:asciiTheme="minorHAnsi" w:eastAsiaTheme="minorEastAsia" w:hAnsiTheme="minorHAnsi" w:cstheme="minorBidi"/>
          <w:b w:val="0"/>
          <w:sz w:val="22"/>
          <w:szCs w:val="22"/>
        </w:rPr>
      </w:pPr>
      <w:hyperlink w:anchor="_Toc51784377" w:history="1">
        <w:r w:rsidR="00CC36B0" w:rsidRPr="00CC36B0">
          <w:rPr>
            <w:rStyle w:val="Hyperlink"/>
            <w:b w:val="0"/>
          </w:rPr>
          <w:t>Figure 5</w:t>
        </w:r>
        <w:r w:rsidR="00CC36B0" w:rsidRPr="00CC36B0">
          <w:rPr>
            <w:rStyle w:val="Hyperlink"/>
            <w:b w:val="0"/>
          </w:rPr>
          <w:noBreakHyphen/>
          <w:t xml:space="preserve">5: </w:t>
        </w:r>
        <w:r w:rsidR="00CC36B0">
          <w:rPr>
            <w:rStyle w:val="Hyperlink"/>
            <w:b w:val="0"/>
          </w:rPr>
          <w:tab/>
        </w:r>
        <w:r w:rsidR="00CC36B0" w:rsidRPr="00CC36B0">
          <w:rPr>
            <w:rStyle w:val="Hyperlink"/>
            <w:b w:val="0"/>
          </w:rPr>
          <w:t>Systemwide production costs ($ million).</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_Toc51784377 \h </w:instrText>
        </w:r>
        <w:r w:rsidR="00CC36B0" w:rsidRPr="00CC36B0">
          <w:rPr>
            <w:b w:val="0"/>
            <w:webHidden/>
          </w:rPr>
        </w:r>
        <w:r w:rsidR="00CC36B0" w:rsidRPr="00CC36B0">
          <w:rPr>
            <w:b w:val="0"/>
            <w:webHidden/>
          </w:rPr>
          <w:fldChar w:fldCharType="separate"/>
        </w:r>
        <w:r w:rsidR="004002F6">
          <w:rPr>
            <w:b w:val="0"/>
            <w:webHidden/>
          </w:rPr>
          <w:t>17</w:t>
        </w:r>
        <w:r w:rsidR="00CC36B0" w:rsidRPr="00CC36B0">
          <w:rPr>
            <w:b w:val="0"/>
            <w:webHidden/>
          </w:rPr>
          <w:fldChar w:fldCharType="end"/>
        </w:r>
      </w:hyperlink>
    </w:p>
    <w:p w:rsidR="00CC36B0" w:rsidRPr="00CC36B0" w:rsidRDefault="0089055C" w:rsidP="00CC36B0">
      <w:pPr>
        <w:pStyle w:val="TableofFigures"/>
        <w:rPr>
          <w:rFonts w:asciiTheme="minorHAnsi" w:eastAsiaTheme="minorEastAsia" w:hAnsiTheme="minorHAnsi" w:cstheme="minorBidi"/>
          <w:b w:val="0"/>
          <w:sz w:val="22"/>
          <w:szCs w:val="22"/>
        </w:rPr>
      </w:pPr>
      <w:hyperlink w:anchor="_Toc51784378" w:history="1">
        <w:r w:rsidR="00CC36B0" w:rsidRPr="00CC36B0">
          <w:rPr>
            <w:rStyle w:val="Hyperlink"/>
            <w:b w:val="0"/>
          </w:rPr>
          <w:t>Figure 5</w:t>
        </w:r>
        <w:r w:rsidR="00CC36B0" w:rsidRPr="00CC36B0">
          <w:rPr>
            <w:rStyle w:val="Hyperlink"/>
            <w:b w:val="0"/>
          </w:rPr>
          <w:noBreakHyphen/>
          <w:t xml:space="preserve">6: </w:t>
        </w:r>
        <w:r w:rsidR="00CC36B0">
          <w:rPr>
            <w:rStyle w:val="Hyperlink"/>
            <w:b w:val="0"/>
          </w:rPr>
          <w:tab/>
        </w:r>
        <w:r w:rsidR="00CC36B0" w:rsidRPr="00CC36B0">
          <w:rPr>
            <w:rStyle w:val="Hyperlink"/>
            <w:b w:val="0"/>
          </w:rPr>
          <w:t>Load-serving entity energy expenses and uplift costs ($ million).</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_Toc51784378 \h </w:instrText>
        </w:r>
        <w:r w:rsidR="00CC36B0" w:rsidRPr="00CC36B0">
          <w:rPr>
            <w:b w:val="0"/>
            <w:webHidden/>
          </w:rPr>
        </w:r>
        <w:r w:rsidR="00CC36B0" w:rsidRPr="00CC36B0">
          <w:rPr>
            <w:b w:val="0"/>
            <w:webHidden/>
          </w:rPr>
          <w:fldChar w:fldCharType="separate"/>
        </w:r>
        <w:r w:rsidR="004002F6">
          <w:rPr>
            <w:b w:val="0"/>
            <w:webHidden/>
          </w:rPr>
          <w:t>18</w:t>
        </w:r>
        <w:r w:rsidR="00CC36B0" w:rsidRPr="00CC36B0">
          <w:rPr>
            <w:b w:val="0"/>
            <w:webHidden/>
          </w:rPr>
          <w:fldChar w:fldCharType="end"/>
        </w:r>
      </w:hyperlink>
    </w:p>
    <w:p w:rsidR="00CC36B0" w:rsidRPr="00CC36B0" w:rsidRDefault="0089055C" w:rsidP="00CC36B0">
      <w:pPr>
        <w:pStyle w:val="TableofFigures"/>
        <w:rPr>
          <w:rFonts w:asciiTheme="minorHAnsi" w:eastAsiaTheme="minorEastAsia" w:hAnsiTheme="minorHAnsi" w:cstheme="minorBidi"/>
          <w:b w:val="0"/>
          <w:sz w:val="22"/>
          <w:szCs w:val="22"/>
        </w:rPr>
      </w:pPr>
      <w:hyperlink w:anchor="_Toc51784379" w:history="1">
        <w:r w:rsidR="00CC36B0" w:rsidRPr="00CC36B0">
          <w:rPr>
            <w:rStyle w:val="Hyperlink"/>
            <w:b w:val="0"/>
          </w:rPr>
          <w:t>Figure 5</w:t>
        </w:r>
        <w:r w:rsidR="00CC36B0" w:rsidRPr="00CC36B0">
          <w:rPr>
            <w:rStyle w:val="Hyperlink"/>
            <w:b w:val="0"/>
          </w:rPr>
          <w:noBreakHyphen/>
          <w:t xml:space="preserve">7: </w:t>
        </w:r>
        <w:r w:rsidR="00CC36B0">
          <w:rPr>
            <w:rStyle w:val="Hyperlink"/>
            <w:b w:val="0"/>
          </w:rPr>
          <w:tab/>
        </w:r>
        <w:r w:rsidR="00CC36B0" w:rsidRPr="00CC36B0">
          <w:rPr>
            <w:rStyle w:val="Hyperlink"/>
            <w:b w:val="0"/>
          </w:rPr>
          <w:t>Native New England resource CO</w:t>
        </w:r>
        <w:r w:rsidR="00CC36B0" w:rsidRPr="00CC36B0">
          <w:rPr>
            <w:rStyle w:val="Hyperlink"/>
            <w:b w:val="0"/>
            <w:vertAlign w:val="subscript"/>
          </w:rPr>
          <w:t>2</w:t>
        </w:r>
        <w:r w:rsidR="00CC36B0" w:rsidRPr="00CC36B0">
          <w:rPr>
            <w:rStyle w:val="Hyperlink"/>
            <w:b w:val="0"/>
          </w:rPr>
          <w:t xml:space="preserve"> emissions (millions of short tons).</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_Toc51784379 \h </w:instrText>
        </w:r>
        <w:r w:rsidR="00CC36B0" w:rsidRPr="00CC36B0">
          <w:rPr>
            <w:b w:val="0"/>
            <w:webHidden/>
          </w:rPr>
        </w:r>
        <w:r w:rsidR="00CC36B0" w:rsidRPr="00CC36B0">
          <w:rPr>
            <w:b w:val="0"/>
            <w:webHidden/>
          </w:rPr>
          <w:fldChar w:fldCharType="separate"/>
        </w:r>
        <w:r w:rsidR="004002F6">
          <w:rPr>
            <w:b w:val="0"/>
            <w:webHidden/>
          </w:rPr>
          <w:t>19</w:t>
        </w:r>
        <w:r w:rsidR="00CC36B0" w:rsidRPr="00CC36B0">
          <w:rPr>
            <w:b w:val="0"/>
            <w:webHidden/>
          </w:rPr>
          <w:fldChar w:fldCharType="end"/>
        </w:r>
      </w:hyperlink>
    </w:p>
    <w:p w:rsidR="00CC36B0" w:rsidRPr="00CC36B0" w:rsidRDefault="0089055C" w:rsidP="00CC36B0">
      <w:pPr>
        <w:pStyle w:val="TableofFigures"/>
        <w:rPr>
          <w:rFonts w:asciiTheme="minorHAnsi" w:eastAsiaTheme="minorEastAsia" w:hAnsiTheme="minorHAnsi" w:cstheme="minorBidi"/>
          <w:b w:val="0"/>
          <w:sz w:val="22"/>
          <w:szCs w:val="22"/>
        </w:rPr>
      </w:pPr>
      <w:hyperlink w:anchor="_Toc51784380" w:history="1">
        <w:r w:rsidR="00CC36B0" w:rsidRPr="00CC36B0">
          <w:rPr>
            <w:rStyle w:val="Hyperlink"/>
            <w:b w:val="0"/>
          </w:rPr>
          <w:t>Figure 5</w:t>
        </w:r>
        <w:r w:rsidR="00CC36B0" w:rsidRPr="00CC36B0">
          <w:rPr>
            <w:rStyle w:val="Hyperlink"/>
            <w:b w:val="0"/>
          </w:rPr>
          <w:noBreakHyphen/>
          <w:t xml:space="preserve">8: </w:t>
        </w:r>
        <w:r w:rsidR="00CC36B0">
          <w:rPr>
            <w:rStyle w:val="Hyperlink"/>
            <w:b w:val="0"/>
          </w:rPr>
          <w:tab/>
        </w:r>
        <w:r w:rsidR="00CC36B0" w:rsidRPr="00CC36B0">
          <w:rPr>
            <w:rStyle w:val="Hyperlink"/>
            <w:b w:val="0"/>
          </w:rPr>
          <w:t>Annual average LMPs by RSP subarea ($/MWh).</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_Toc51784380 \h </w:instrText>
        </w:r>
        <w:r w:rsidR="00CC36B0" w:rsidRPr="00CC36B0">
          <w:rPr>
            <w:b w:val="0"/>
            <w:webHidden/>
          </w:rPr>
        </w:r>
        <w:r w:rsidR="00CC36B0" w:rsidRPr="00CC36B0">
          <w:rPr>
            <w:b w:val="0"/>
            <w:webHidden/>
          </w:rPr>
          <w:fldChar w:fldCharType="separate"/>
        </w:r>
        <w:r w:rsidR="004002F6">
          <w:rPr>
            <w:b w:val="0"/>
            <w:webHidden/>
          </w:rPr>
          <w:t>19</w:t>
        </w:r>
        <w:r w:rsidR="00CC36B0" w:rsidRPr="00CC36B0">
          <w:rPr>
            <w:b w:val="0"/>
            <w:webHidden/>
          </w:rPr>
          <w:fldChar w:fldCharType="end"/>
        </w:r>
      </w:hyperlink>
    </w:p>
    <w:p w:rsidR="00F565D2" w:rsidRPr="001F5E1A" w:rsidRDefault="00CD7DBD" w:rsidP="00CC36B0">
      <w:pPr>
        <w:spacing w:after="120" w:line="240" w:lineRule="auto"/>
        <w:ind w:left="1260" w:hanging="1267"/>
      </w:pPr>
      <w:r w:rsidRPr="00CC36B0">
        <w:rPr>
          <w:rFonts w:asciiTheme="minorHAnsi" w:hAnsiTheme="minorHAnsi"/>
          <w:szCs w:val="20"/>
        </w:rPr>
        <w:fldChar w:fldCharType="end"/>
      </w:r>
    </w:p>
    <w:p w:rsidR="003745BD" w:rsidRDefault="003745BD" w:rsidP="001F5E1A">
      <w:pPr>
        <w:pStyle w:val="TableofFigures"/>
        <w:sectPr w:rsidR="003745BD" w:rsidSect="00532809">
          <w:pgSz w:w="12240" w:h="15840" w:code="1"/>
          <w:pgMar w:top="1440" w:right="1440" w:bottom="1440" w:left="1440" w:header="720" w:footer="720" w:gutter="0"/>
          <w:pgNumType w:fmt="lowerRoman"/>
          <w:cols w:space="720"/>
          <w:docGrid w:linePitch="360"/>
        </w:sectPr>
      </w:pPr>
    </w:p>
    <w:p w:rsidR="00F565D2" w:rsidRPr="00225B89" w:rsidRDefault="00F565D2" w:rsidP="0091124D">
      <w:pPr>
        <w:adjustRightInd/>
        <w:spacing w:line="240" w:lineRule="auto"/>
        <w:textAlignment w:val="auto"/>
        <w:outlineLvl w:val="0"/>
        <w:rPr>
          <w:rFonts w:ascii="Calibri" w:hAnsi="Calibri" w:cs="Arial"/>
          <w:b/>
          <w:bCs/>
          <w:color w:val="0C95D2"/>
          <w:sz w:val="36"/>
          <w:szCs w:val="36"/>
        </w:rPr>
      </w:pPr>
      <w:bookmarkStart w:id="15" w:name="_Toc51784653"/>
      <w:r w:rsidRPr="00CC6422">
        <w:rPr>
          <w:rFonts w:ascii="Calibri" w:hAnsi="Calibri" w:cs="Arial"/>
          <w:b/>
          <w:bCs/>
          <w:color w:val="0C95D2"/>
          <w:sz w:val="36"/>
          <w:szCs w:val="36"/>
        </w:rPr>
        <w:t>Tables</w:t>
      </w:r>
      <w:bookmarkEnd w:id="15"/>
    </w:p>
    <w:p w:rsidR="00CC36B0" w:rsidRPr="00CC36B0" w:rsidRDefault="00B42251" w:rsidP="00CC36B0">
      <w:pPr>
        <w:pStyle w:val="TableofFigures"/>
        <w:rPr>
          <w:rFonts w:asciiTheme="minorHAnsi" w:eastAsiaTheme="minorEastAsia" w:hAnsiTheme="minorHAnsi" w:cstheme="minorBidi"/>
          <w:b w:val="0"/>
          <w:sz w:val="22"/>
          <w:szCs w:val="22"/>
        </w:rPr>
      </w:pPr>
      <w:r w:rsidRPr="00CC36B0">
        <w:rPr>
          <w:rFonts w:asciiTheme="minorHAnsi" w:hAnsiTheme="minorHAnsi"/>
          <w:b w:val="0"/>
        </w:rPr>
        <w:fldChar w:fldCharType="begin"/>
      </w:r>
      <w:r w:rsidRPr="00CC36B0">
        <w:rPr>
          <w:rFonts w:asciiTheme="minorHAnsi" w:hAnsiTheme="minorHAnsi"/>
          <w:b w:val="0"/>
        </w:rPr>
        <w:instrText xml:space="preserve"> TOC \h \z \c "Table" </w:instrText>
      </w:r>
      <w:r w:rsidRPr="00CC36B0">
        <w:rPr>
          <w:rFonts w:asciiTheme="minorHAnsi" w:hAnsiTheme="minorHAnsi"/>
          <w:b w:val="0"/>
        </w:rPr>
        <w:fldChar w:fldCharType="separate"/>
      </w:r>
      <w:hyperlink w:anchor="_Toc51784382" w:history="1">
        <w:r w:rsidR="00CC36B0" w:rsidRPr="00CC36B0">
          <w:rPr>
            <w:rStyle w:val="Hyperlink"/>
            <w:b w:val="0"/>
          </w:rPr>
          <w:t>Table 4</w:t>
        </w:r>
        <w:r w:rsidR="00CC36B0" w:rsidRPr="00CC36B0">
          <w:rPr>
            <w:rStyle w:val="Hyperlink"/>
            <w:b w:val="0"/>
          </w:rPr>
          <w:noBreakHyphen/>
          <w:t xml:space="preserve">1 </w:t>
        </w:r>
        <w:r w:rsidR="00CC36B0">
          <w:rPr>
            <w:rStyle w:val="Hyperlink"/>
            <w:b w:val="0"/>
          </w:rPr>
          <w:tab/>
        </w:r>
        <w:r w:rsidR="00CC36B0" w:rsidRPr="00CC36B0">
          <w:rPr>
            <w:rStyle w:val="Hyperlink"/>
            <w:b w:val="0"/>
          </w:rPr>
          <w:t>Monthly Operating Limits</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_Toc51784382 \h </w:instrText>
        </w:r>
        <w:r w:rsidR="00CC36B0" w:rsidRPr="00CC36B0">
          <w:rPr>
            <w:b w:val="0"/>
            <w:webHidden/>
          </w:rPr>
        </w:r>
        <w:r w:rsidR="00CC36B0" w:rsidRPr="00CC36B0">
          <w:rPr>
            <w:b w:val="0"/>
            <w:webHidden/>
          </w:rPr>
          <w:fldChar w:fldCharType="separate"/>
        </w:r>
        <w:r w:rsidR="004002F6">
          <w:rPr>
            <w:b w:val="0"/>
            <w:webHidden/>
          </w:rPr>
          <w:t>9</w:t>
        </w:r>
        <w:r w:rsidR="00CC36B0" w:rsidRPr="00CC36B0">
          <w:rPr>
            <w:b w:val="0"/>
            <w:webHidden/>
          </w:rPr>
          <w:fldChar w:fldCharType="end"/>
        </w:r>
      </w:hyperlink>
    </w:p>
    <w:p w:rsidR="00CC36B0" w:rsidRPr="00CC36B0" w:rsidRDefault="0089055C" w:rsidP="00CC36B0">
      <w:pPr>
        <w:pStyle w:val="TableofFigures"/>
        <w:rPr>
          <w:rFonts w:asciiTheme="minorHAnsi" w:eastAsiaTheme="minorEastAsia" w:hAnsiTheme="minorHAnsi" w:cstheme="minorBidi"/>
          <w:b w:val="0"/>
          <w:sz w:val="22"/>
          <w:szCs w:val="22"/>
        </w:rPr>
      </w:pPr>
      <w:hyperlink w:anchor="_Toc51784383" w:history="1">
        <w:r w:rsidR="00CC36B0" w:rsidRPr="00CC36B0">
          <w:rPr>
            <w:rStyle w:val="Hyperlink"/>
            <w:b w:val="0"/>
          </w:rPr>
          <w:t>Table 4</w:t>
        </w:r>
        <w:r w:rsidR="00CC36B0" w:rsidRPr="00CC36B0">
          <w:rPr>
            <w:rStyle w:val="Hyperlink"/>
            <w:b w:val="0"/>
          </w:rPr>
          <w:noBreakHyphen/>
          <w:t xml:space="preserve">2 </w:t>
        </w:r>
        <w:r w:rsidR="00CC36B0">
          <w:rPr>
            <w:rStyle w:val="Hyperlink"/>
            <w:b w:val="0"/>
          </w:rPr>
          <w:tab/>
        </w:r>
        <w:r w:rsidR="00CC36B0" w:rsidRPr="00CC36B0">
          <w:rPr>
            <w:rStyle w:val="Hyperlink"/>
            <w:b w:val="0"/>
          </w:rPr>
          <w:t>Interchange with Neighboring Systems (MW)</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_Toc51784383 \h </w:instrText>
        </w:r>
        <w:r w:rsidR="00CC36B0" w:rsidRPr="00CC36B0">
          <w:rPr>
            <w:b w:val="0"/>
            <w:webHidden/>
          </w:rPr>
        </w:r>
        <w:r w:rsidR="00CC36B0" w:rsidRPr="00CC36B0">
          <w:rPr>
            <w:b w:val="0"/>
            <w:webHidden/>
          </w:rPr>
          <w:fldChar w:fldCharType="separate"/>
        </w:r>
        <w:r w:rsidR="004002F6">
          <w:rPr>
            <w:b w:val="0"/>
            <w:webHidden/>
          </w:rPr>
          <w:t>10</w:t>
        </w:r>
        <w:r w:rsidR="00CC36B0" w:rsidRPr="00CC36B0">
          <w:rPr>
            <w:b w:val="0"/>
            <w:webHidden/>
          </w:rPr>
          <w:fldChar w:fldCharType="end"/>
        </w:r>
      </w:hyperlink>
    </w:p>
    <w:p w:rsidR="00CC36B0" w:rsidRPr="00CC36B0" w:rsidRDefault="0089055C" w:rsidP="00CC36B0">
      <w:pPr>
        <w:pStyle w:val="TableofFigures"/>
        <w:rPr>
          <w:rFonts w:asciiTheme="minorHAnsi" w:eastAsiaTheme="minorEastAsia" w:hAnsiTheme="minorHAnsi" w:cstheme="minorBidi"/>
          <w:b w:val="0"/>
          <w:sz w:val="22"/>
          <w:szCs w:val="22"/>
        </w:rPr>
      </w:pPr>
      <w:hyperlink w:anchor="_Toc51784384" w:history="1">
        <w:r w:rsidR="00CC36B0" w:rsidRPr="00CC36B0">
          <w:rPr>
            <w:rStyle w:val="Hyperlink"/>
            <w:b w:val="0"/>
          </w:rPr>
          <w:t>Table 4</w:t>
        </w:r>
        <w:r w:rsidR="00CC36B0" w:rsidRPr="00CC36B0">
          <w:rPr>
            <w:rStyle w:val="Hyperlink"/>
            <w:b w:val="0"/>
          </w:rPr>
          <w:noBreakHyphen/>
          <w:t xml:space="preserve">3 </w:t>
        </w:r>
        <w:r w:rsidR="00CC36B0">
          <w:rPr>
            <w:rStyle w:val="Hyperlink"/>
            <w:b w:val="0"/>
          </w:rPr>
          <w:tab/>
        </w:r>
        <w:r w:rsidR="00CC36B0" w:rsidRPr="00CC36B0">
          <w:rPr>
            <w:rStyle w:val="Hyperlink"/>
            <w:b w:val="0"/>
          </w:rPr>
          <w:t>Resource Threshold Prices ($/MWh)</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_Toc51784384 \h </w:instrText>
        </w:r>
        <w:r w:rsidR="00CC36B0" w:rsidRPr="00CC36B0">
          <w:rPr>
            <w:b w:val="0"/>
            <w:webHidden/>
          </w:rPr>
        </w:r>
        <w:r w:rsidR="00CC36B0" w:rsidRPr="00CC36B0">
          <w:rPr>
            <w:b w:val="0"/>
            <w:webHidden/>
          </w:rPr>
          <w:fldChar w:fldCharType="separate"/>
        </w:r>
        <w:r w:rsidR="004002F6">
          <w:rPr>
            <w:b w:val="0"/>
            <w:webHidden/>
          </w:rPr>
          <w:t>12</w:t>
        </w:r>
        <w:r w:rsidR="00CC36B0" w:rsidRPr="00CC36B0">
          <w:rPr>
            <w:b w:val="0"/>
            <w:webHidden/>
          </w:rPr>
          <w:fldChar w:fldCharType="end"/>
        </w:r>
      </w:hyperlink>
    </w:p>
    <w:p w:rsidR="00CC36B0" w:rsidRPr="00CC36B0" w:rsidRDefault="0089055C" w:rsidP="00CC36B0">
      <w:pPr>
        <w:pStyle w:val="TableofFigures"/>
        <w:rPr>
          <w:rFonts w:asciiTheme="minorHAnsi" w:eastAsiaTheme="minorEastAsia" w:hAnsiTheme="minorHAnsi" w:cstheme="minorBidi"/>
          <w:b w:val="0"/>
          <w:sz w:val="22"/>
          <w:szCs w:val="22"/>
        </w:rPr>
      </w:pPr>
      <w:hyperlink w:anchor="_Toc51784385" w:history="1">
        <w:r w:rsidR="00CC36B0" w:rsidRPr="00CC36B0">
          <w:rPr>
            <w:rStyle w:val="Hyperlink"/>
            <w:b w:val="0"/>
          </w:rPr>
          <w:t>Table 5</w:t>
        </w:r>
        <w:r w:rsidR="00CC36B0" w:rsidRPr="00CC36B0">
          <w:rPr>
            <w:rStyle w:val="Hyperlink"/>
            <w:b w:val="0"/>
          </w:rPr>
          <w:noBreakHyphen/>
          <w:t xml:space="preserve">1 </w:t>
        </w:r>
        <w:r w:rsidR="00CC36B0">
          <w:rPr>
            <w:rStyle w:val="Hyperlink"/>
            <w:b w:val="0"/>
          </w:rPr>
          <w:tab/>
        </w:r>
        <w:r w:rsidR="00CC36B0" w:rsidRPr="00CC36B0">
          <w:rPr>
            <w:rStyle w:val="Hyperlink"/>
            <w:b w:val="0"/>
          </w:rPr>
          <w:t>Percentage of Time the Orrington-South Interface Is Congested by Month</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_Toc51784385 \h </w:instrText>
        </w:r>
        <w:r w:rsidR="00CC36B0" w:rsidRPr="00CC36B0">
          <w:rPr>
            <w:b w:val="0"/>
            <w:webHidden/>
          </w:rPr>
        </w:r>
        <w:r w:rsidR="00CC36B0" w:rsidRPr="00CC36B0">
          <w:rPr>
            <w:b w:val="0"/>
            <w:webHidden/>
          </w:rPr>
          <w:fldChar w:fldCharType="separate"/>
        </w:r>
        <w:r w:rsidR="004002F6">
          <w:rPr>
            <w:b w:val="0"/>
            <w:webHidden/>
          </w:rPr>
          <w:t>16</w:t>
        </w:r>
        <w:r w:rsidR="00CC36B0" w:rsidRPr="00CC36B0">
          <w:rPr>
            <w:b w:val="0"/>
            <w:webHidden/>
          </w:rPr>
          <w:fldChar w:fldCharType="end"/>
        </w:r>
      </w:hyperlink>
    </w:p>
    <w:p w:rsidR="00CC36B0" w:rsidRPr="00CC36B0" w:rsidRDefault="0089055C" w:rsidP="00CC36B0">
      <w:pPr>
        <w:pStyle w:val="TableofFigures"/>
        <w:rPr>
          <w:rFonts w:asciiTheme="minorHAnsi" w:eastAsiaTheme="minorEastAsia" w:hAnsiTheme="minorHAnsi" w:cstheme="minorBidi"/>
          <w:b w:val="0"/>
          <w:sz w:val="22"/>
          <w:szCs w:val="22"/>
        </w:rPr>
      </w:pPr>
      <w:hyperlink w:anchor="_Toc51784386" w:history="1">
        <w:r w:rsidR="00CC36B0" w:rsidRPr="00CC36B0">
          <w:rPr>
            <w:rStyle w:val="Hyperlink"/>
            <w:b w:val="0"/>
          </w:rPr>
          <w:t>Table 5</w:t>
        </w:r>
        <w:r w:rsidR="00CC36B0" w:rsidRPr="00CC36B0">
          <w:rPr>
            <w:rStyle w:val="Hyperlink"/>
            <w:b w:val="0"/>
          </w:rPr>
          <w:noBreakHyphen/>
          <w:t xml:space="preserve">2 </w:t>
        </w:r>
        <w:r w:rsidR="00CC36B0">
          <w:rPr>
            <w:rStyle w:val="Hyperlink"/>
            <w:b w:val="0"/>
          </w:rPr>
          <w:tab/>
        </w:r>
        <w:r w:rsidR="00CC36B0" w:rsidRPr="00CC36B0">
          <w:rPr>
            <w:rStyle w:val="Hyperlink"/>
            <w:b w:val="0"/>
          </w:rPr>
          <w:t>Systemwide Energy Production (TWh) for Constrained (C)</w:t>
        </w:r>
        <w:r w:rsidR="00CC36B0">
          <w:rPr>
            <w:rStyle w:val="Hyperlink"/>
            <w:b w:val="0"/>
          </w:rPr>
          <w:br/>
        </w:r>
        <w:r w:rsidR="00CC36B0" w:rsidRPr="00CC36B0">
          <w:rPr>
            <w:rStyle w:val="Hyperlink"/>
            <w:b w:val="0"/>
          </w:rPr>
          <w:t>and Relaxed Constraints (RC) Transmission</w:t>
        </w:r>
        <w:r w:rsidR="00CC36B0" w:rsidRPr="00CC36B0">
          <w:rPr>
            <w:b w:val="0"/>
            <w:webHidden/>
          </w:rPr>
          <w:tab/>
        </w:r>
        <w:r w:rsidR="00CC36B0" w:rsidRPr="00CC36B0">
          <w:rPr>
            <w:b w:val="0"/>
            <w:webHidden/>
          </w:rPr>
          <w:fldChar w:fldCharType="begin"/>
        </w:r>
        <w:r w:rsidR="00CC36B0" w:rsidRPr="00CC36B0">
          <w:rPr>
            <w:b w:val="0"/>
            <w:webHidden/>
          </w:rPr>
          <w:instrText xml:space="preserve"> PAGEREF _Toc51784386 \h </w:instrText>
        </w:r>
        <w:r w:rsidR="00CC36B0" w:rsidRPr="00CC36B0">
          <w:rPr>
            <w:b w:val="0"/>
            <w:webHidden/>
          </w:rPr>
        </w:r>
        <w:r w:rsidR="00CC36B0" w:rsidRPr="00CC36B0">
          <w:rPr>
            <w:b w:val="0"/>
            <w:webHidden/>
          </w:rPr>
          <w:fldChar w:fldCharType="separate"/>
        </w:r>
        <w:r w:rsidR="004002F6">
          <w:rPr>
            <w:b w:val="0"/>
            <w:webHidden/>
          </w:rPr>
          <w:t>17</w:t>
        </w:r>
        <w:r w:rsidR="00CC36B0" w:rsidRPr="00CC36B0">
          <w:rPr>
            <w:b w:val="0"/>
            <w:webHidden/>
          </w:rPr>
          <w:fldChar w:fldCharType="end"/>
        </w:r>
      </w:hyperlink>
    </w:p>
    <w:p w:rsidR="00D431AB" w:rsidRDefault="00B42251" w:rsidP="00CC36B0">
      <w:pPr>
        <w:spacing w:after="120" w:line="240" w:lineRule="auto"/>
        <w:rPr>
          <w:rFonts w:asciiTheme="minorHAnsi" w:hAnsiTheme="minorHAnsi"/>
        </w:rPr>
        <w:sectPr w:rsidR="00D431AB" w:rsidSect="00532809">
          <w:headerReference w:type="default" r:id="rId20"/>
          <w:footerReference w:type="default" r:id="rId21"/>
          <w:pgSz w:w="12240" w:h="15840" w:code="1"/>
          <w:pgMar w:top="1440" w:right="1440" w:bottom="1440" w:left="1440" w:header="720" w:footer="720" w:gutter="0"/>
          <w:pgNumType w:fmt="lowerRoman"/>
          <w:cols w:space="720"/>
          <w:docGrid w:linePitch="360"/>
        </w:sectPr>
      </w:pPr>
      <w:r w:rsidRPr="00CC36B0">
        <w:rPr>
          <w:rFonts w:asciiTheme="minorHAnsi" w:hAnsiTheme="minorHAnsi"/>
        </w:rPr>
        <w:fldChar w:fldCharType="end"/>
      </w:r>
    </w:p>
    <w:p w:rsidR="00DC665E" w:rsidRDefault="00DC665E" w:rsidP="00CC36B0">
      <w:pPr>
        <w:spacing w:after="120" w:line="240" w:lineRule="auto"/>
        <w:sectPr w:rsidR="00DC665E" w:rsidSect="00532809">
          <w:footerReference w:type="default" r:id="rId22"/>
          <w:pgSz w:w="12240" w:h="15840" w:code="1"/>
          <w:pgMar w:top="1440" w:right="1440" w:bottom="1440" w:left="1440" w:header="720" w:footer="720" w:gutter="0"/>
          <w:pgNumType w:fmt="lowerRoman"/>
          <w:cols w:space="720"/>
          <w:docGrid w:linePitch="360"/>
        </w:sectPr>
      </w:pPr>
    </w:p>
    <w:p w:rsidR="00607262" w:rsidRPr="00607262" w:rsidRDefault="00BF1EA7" w:rsidP="00623F88">
      <w:pPr>
        <w:pStyle w:val="Heading1"/>
      </w:pPr>
      <w:bookmarkStart w:id="16" w:name="_Toc418682041"/>
      <w:r>
        <w:br/>
      </w:r>
      <w:bookmarkStart w:id="17" w:name="_Toc51784654"/>
      <w:r w:rsidR="00607262" w:rsidRPr="00607262">
        <w:t>Executive Summary</w:t>
      </w:r>
      <w:bookmarkEnd w:id="16"/>
      <w:bookmarkEnd w:id="17"/>
      <w:r w:rsidR="00E318ED">
        <w:t xml:space="preserve"> </w:t>
      </w:r>
    </w:p>
    <w:p w:rsidR="001B1096" w:rsidRDefault="00FB2753" w:rsidP="001B1096">
      <w:r w:rsidRPr="00442D47">
        <w:t xml:space="preserve">This report documents </w:t>
      </w:r>
      <w:r w:rsidR="00347027">
        <w:t>RENEW’s request for an ISO New England (the ISO o</w:t>
      </w:r>
      <w:r w:rsidR="001271D0">
        <w:t>r</w:t>
      </w:r>
      <w:r w:rsidR="00347027">
        <w:t xml:space="preserve"> ISO-NE) </w:t>
      </w:r>
      <w:r w:rsidR="00544344">
        <w:t>e</w:t>
      </w:r>
      <w:r w:rsidR="00347027">
        <w:t xml:space="preserve">conomic </w:t>
      </w:r>
      <w:r w:rsidR="00544344">
        <w:t>s</w:t>
      </w:r>
      <w:r w:rsidR="00347027">
        <w:t xml:space="preserve">tudy of </w:t>
      </w:r>
      <w:r w:rsidR="00544F6F">
        <w:t xml:space="preserve">the </w:t>
      </w:r>
      <w:r w:rsidR="00347027">
        <w:t>i</w:t>
      </w:r>
      <w:r w:rsidR="00AD15AE" w:rsidRPr="003B2E40">
        <w:t xml:space="preserve">mpacts of </w:t>
      </w:r>
      <w:r w:rsidR="00347027">
        <w:t>i</w:t>
      </w:r>
      <w:r w:rsidR="00AD15AE" w:rsidRPr="003B2E40">
        <w:t>ncreas</w:t>
      </w:r>
      <w:r w:rsidR="00B91214">
        <w:t>ing the</w:t>
      </w:r>
      <w:r w:rsidR="00AD15AE" w:rsidRPr="003B2E40">
        <w:t xml:space="preserve"> </w:t>
      </w:r>
      <w:r w:rsidR="00347027">
        <w:t>o</w:t>
      </w:r>
      <w:r w:rsidR="00AD15AE" w:rsidRPr="003B2E40">
        <w:t xml:space="preserve">perating </w:t>
      </w:r>
      <w:r w:rsidR="00347027">
        <w:t>l</w:t>
      </w:r>
      <w:r w:rsidR="00AD15AE" w:rsidRPr="003B2E40">
        <w:t xml:space="preserve">imits of the Orrington-South </w:t>
      </w:r>
      <w:r w:rsidR="00C17D8C">
        <w:t>i</w:t>
      </w:r>
      <w:r w:rsidR="00AD15AE" w:rsidRPr="003B2E40">
        <w:t>nterface</w:t>
      </w:r>
      <w:r w:rsidR="00347027">
        <w:t xml:space="preserve"> in Maine.</w:t>
      </w:r>
      <w:r w:rsidR="00B42251">
        <w:t xml:space="preserve"> </w:t>
      </w:r>
      <w:r w:rsidR="0027313D">
        <w:t xml:space="preserve">The ISO’s planning level operating limit is 1,325 megawatts (MW), and the real-time hourly operating limit cannot exceed this planning limit. </w:t>
      </w:r>
      <w:r w:rsidR="00B42251">
        <w:t>C</w:t>
      </w:r>
      <w:r w:rsidR="00AA22CE">
        <w:t xml:space="preserve">onducted </w:t>
      </w:r>
      <w:r w:rsidR="00D178CD">
        <w:t>for ISO stakeholders</w:t>
      </w:r>
      <w:r w:rsidR="00347027">
        <w:t xml:space="preserve">, </w:t>
      </w:r>
      <w:r w:rsidR="00B42251">
        <w:t xml:space="preserve">the study </w:t>
      </w:r>
      <w:r w:rsidR="00544F6F">
        <w:t xml:space="preserve">examined </w:t>
      </w:r>
      <w:r w:rsidR="00125B80">
        <w:t xml:space="preserve">this interface’s </w:t>
      </w:r>
      <w:r w:rsidR="00AD15AE">
        <w:t>monthly operating l</w:t>
      </w:r>
      <w:r w:rsidR="00AD15AE" w:rsidRPr="00AD15AE">
        <w:t xml:space="preserve">imits </w:t>
      </w:r>
      <w:r w:rsidR="00125B80">
        <w:t>under</w:t>
      </w:r>
      <w:r w:rsidR="00347027">
        <w:t xml:space="preserve"> </w:t>
      </w:r>
      <w:r w:rsidR="00AD15AE">
        <w:t xml:space="preserve">three different </w:t>
      </w:r>
      <w:r w:rsidR="00B14A1D">
        <w:t>scenarios</w:t>
      </w:r>
      <w:r w:rsidR="00014C11">
        <w:t xml:space="preserve"> with various transmission buildout t</w:t>
      </w:r>
      <w:r w:rsidR="00F60ED9">
        <w:t>hat</w:t>
      </w:r>
      <w:r w:rsidR="00014C11">
        <w:t xml:space="preserve"> i</w:t>
      </w:r>
      <w:r w:rsidR="00347027">
        <w:t>ncrease</w:t>
      </w:r>
      <w:r w:rsidR="00F60ED9">
        <w:t>d</w:t>
      </w:r>
      <w:r w:rsidR="00014C11">
        <w:t xml:space="preserve"> </w:t>
      </w:r>
      <w:r w:rsidR="00B91214">
        <w:t>th</w:t>
      </w:r>
      <w:r w:rsidR="001271D0">
        <w:t>e</w:t>
      </w:r>
      <w:r w:rsidR="00594459">
        <w:t>se</w:t>
      </w:r>
      <w:r w:rsidR="00B91214">
        <w:t xml:space="preserve"> </w:t>
      </w:r>
      <w:r w:rsidR="00014C11">
        <w:t>operating limits</w:t>
      </w:r>
      <w:r w:rsidR="00B42251">
        <w:t xml:space="preserve">. </w:t>
      </w:r>
    </w:p>
    <w:p w:rsidR="00B42251" w:rsidRPr="004318BF" w:rsidRDefault="00125B80" w:rsidP="001B1096">
      <w:r>
        <w:t xml:space="preserve">The scenarios were studied under constrained </w:t>
      </w:r>
      <w:r w:rsidR="009F7D0E">
        <w:t xml:space="preserve">transmission conditions </w:t>
      </w:r>
      <w:r>
        <w:t>and relaxed</w:t>
      </w:r>
      <w:r w:rsidR="00B91214">
        <w:t xml:space="preserve"> </w:t>
      </w:r>
      <w:r>
        <w:t xml:space="preserve">constraints. </w:t>
      </w:r>
      <w:r w:rsidR="005064B5">
        <w:t>T</w:t>
      </w:r>
      <w:r w:rsidR="00F60ED9">
        <w:t>hreshold price</w:t>
      </w:r>
      <w:r w:rsidR="00B91214">
        <w:t>s</w:t>
      </w:r>
      <w:r w:rsidR="00F60ED9">
        <w:t xml:space="preserve"> </w:t>
      </w:r>
      <w:r w:rsidR="005064B5">
        <w:t xml:space="preserve">were used </w:t>
      </w:r>
      <w:r w:rsidR="00A836E1">
        <w:t>fo</w:t>
      </w:r>
      <w:r w:rsidR="00A836E1" w:rsidRPr="00DC7FC9">
        <w:t>r</w:t>
      </w:r>
      <w:r w:rsidR="00F60ED9" w:rsidRPr="00DC7FC9">
        <w:t xml:space="preserve"> </w:t>
      </w:r>
      <w:r w:rsidR="00E5721D" w:rsidRPr="00DC7FC9">
        <w:t xml:space="preserve">the dispatch of </w:t>
      </w:r>
      <w:r w:rsidR="00F60ED9" w:rsidRPr="00DC7FC9">
        <w:t>va</w:t>
      </w:r>
      <w:r w:rsidR="00F60ED9">
        <w:t>rious resources, including imports, hydroelectric, photovoltaics, and onshore and offshore wind</w:t>
      </w:r>
      <w:r w:rsidR="00A836E1">
        <w:t>,</w:t>
      </w:r>
      <w:r w:rsidR="00F60ED9">
        <w:t xml:space="preserve"> to examine </w:t>
      </w:r>
      <w:r w:rsidR="008525CC">
        <w:t>which</w:t>
      </w:r>
      <w:r w:rsidR="00F60ED9">
        <w:t xml:space="preserve"> resources would need to be backed down when the amount of $0/megawatt-hour resources exceeded system load.</w:t>
      </w:r>
      <w:r w:rsidR="005064B5">
        <w:t xml:space="preserve"> </w:t>
      </w:r>
      <w:r w:rsidR="005064B5" w:rsidRPr="003B2E40">
        <w:t>Sensitivities were perform</w:t>
      </w:r>
      <w:r w:rsidR="005064B5" w:rsidRPr="001C7D23">
        <w:t>ed o</w:t>
      </w:r>
      <w:r w:rsidR="00E5721D" w:rsidRPr="001C7D23">
        <w:t>n</w:t>
      </w:r>
      <w:r w:rsidR="005064B5" w:rsidRPr="001C7D23">
        <w:t xml:space="preserve"> the</w:t>
      </w:r>
      <w:r w:rsidR="005064B5" w:rsidRPr="00CC6422">
        <w:t xml:space="preserve"> requested scenarios</w:t>
      </w:r>
      <w:r w:rsidR="005064B5" w:rsidRPr="00314955">
        <w:t xml:space="preserve"> to</w:t>
      </w:r>
      <w:r w:rsidR="005064B5" w:rsidRPr="003B2E40">
        <w:t xml:space="preserve"> identify the impact</w:t>
      </w:r>
      <w:r w:rsidR="001C7D23">
        <w:t>s</w:t>
      </w:r>
      <w:r w:rsidR="005064B5" w:rsidRPr="003B2E40">
        <w:t xml:space="preserve"> of differing curtailment order</w:t>
      </w:r>
      <w:r w:rsidR="005064B5" w:rsidRPr="00314955">
        <w:t>s of the</w:t>
      </w:r>
      <w:r w:rsidR="005064B5" w:rsidRPr="003B2E40">
        <w:t xml:space="preserve"> New England Clean Energy Connect (NECEC) (i.e., an assumed new tie from Québec). For the sensitivities, the NECEC threshold price was increased from $2/megawatt-hour (MWh) to $11/MW</w:t>
      </w:r>
      <w:r w:rsidR="005064B5" w:rsidRPr="004751BC">
        <w:t xml:space="preserve">h, meaning that </w:t>
      </w:r>
      <w:r w:rsidR="005064B5" w:rsidRPr="00F85146">
        <w:t xml:space="preserve">NECEC would be curtailed before </w:t>
      </w:r>
      <w:r w:rsidR="005064B5" w:rsidRPr="00DC7FC9">
        <w:t xml:space="preserve">assumed </w:t>
      </w:r>
      <w:r w:rsidR="005064B5" w:rsidRPr="004318BF">
        <w:t>native New England wind and imports.</w:t>
      </w:r>
      <w:r w:rsidR="005064B5" w:rsidRPr="004318BF">
        <w:rPr>
          <w:rStyle w:val="FootnoteReference"/>
        </w:rPr>
        <w:footnoteReference w:id="2"/>
      </w:r>
      <w:r w:rsidR="005064B5" w:rsidRPr="004318BF">
        <w:t xml:space="preserve"> </w:t>
      </w:r>
    </w:p>
    <w:p w:rsidR="00647EB4" w:rsidRPr="004318BF" w:rsidRDefault="00FC4DC1" w:rsidP="001B1096">
      <w:r w:rsidRPr="004318BF">
        <w:t xml:space="preserve">As expected, congestion of the Orrington-South interface </w:t>
      </w:r>
      <w:r w:rsidR="00347027" w:rsidRPr="004318BF">
        <w:t>decreased</w:t>
      </w:r>
      <w:r w:rsidRPr="004318BF">
        <w:t xml:space="preserve"> </w:t>
      </w:r>
      <w:r w:rsidR="00526B07" w:rsidRPr="004318BF">
        <w:t xml:space="preserve">with the transmission buildout, </w:t>
      </w:r>
      <w:r w:rsidRPr="004318BF">
        <w:t xml:space="preserve">specifically </w:t>
      </w:r>
      <w:r w:rsidR="00347027" w:rsidRPr="004318BF">
        <w:t xml:space="preserve">when </w:t>
      </w:r>
      <w:r w:rsidRPr="004318BF">
        <w:t xml:space="preserve">adding the Cooper Mills </w:t>
      </w:r>
      <w:r w:rsidR="00347027" w:rsidRPr="004318BF">
        <w:t>static synchronous compensator (</w:t>
      </w:r>
      <w:r w:rsidR="00377EDE" w:rsidRPr="004318BF">
        <w:t>STATCOM</w:t>
      </w:r>
      <w:r w:rsidR="00347027" w:rsidRPr="004318BF">
        <w:t>)</w:t>
      </w:r>
      <w:r w:rsidRPr="004318BF">
        <w:t xml:space="preserve"> and a new </w:t>
      </w:r>
      <w:r w:rsidR="00B91214" w:rsidRPr="004318BF">
        <w:t>345 </w:t>
      </w:r>
      <w:r w:rsidR="00347027" w:rsidRPr="004318BF">
        <w:t xml:space="preserve">kilovolt </w:t>
      </w:r>
      <w:r w:rsidRPr="004318BF">
        <w:t xml:space="preserve">transmission path from the Orrington substation to the Maine Yankee station. </w:t>
      </w:r>
    </w:p>
    <w:p w:rsidR="00647EB4" w:rsidRPr="00675A2D" w:rsidRDefault="00D379B4" w:rsidP="0057419B">
      <w:r w:rsidRPr="00CC6422">
        <w:t>Production cost savings were shown to be on the order of $4 and $8 million per year in the constrained case and $5 and $9 million in the relaxed-constraint cases</w:t>
      </w:r>
      <w:r w:rsidR="008869B1" w:rsidRPr="00CC6422">
        <w:t xml:space="preserve">. For all cases, </w:t>
      </w:r>
      <w:r w:rsidR="00647EB4" w:rsidRPr="00CC6422">
        <w:t>about 75% of the saving</w:t>
      </w:r>
      <w:r w:rsidR="00BD6E1B">
        <w:t>s</w:t>
      </w:r>
      <w:r w:rsidR="00647EB4" w:rsidRPr="00CC6422">
        <w:t xml:space="preserve"> aris</w:t>
      </w:r>
      <w:r w:rsidR="008869B1" w:rsidRPr="00CC6422">
        <w:t>e</w:t>
      </w:r>
      <w:r w:rsidR="00BD6E1B">
        <w:t>s</w:t>
      </w:r>
      <w:r w:rsidR="00647EB4" w:rsidRPr="00CC6422">
        <w:t xml:space="preserve"> from a simplifying assumption that energy imported from New Brunswick had a zero production cost charge to New England.</w:t>
      </w:r>
      <w:r w:rsidR="00647EB4">
        <w:t xml:space="preserve"> </w:t>
      </w:r>
      <w:r w:rsidR="00647EB4" w:rsidRPr="00647EB4">
        <w:t>Assigning a cost</w:t>
      </w:r>
      <w:r w:rsidR="00594459" w:rsidRPr="00594459">
        <w:t xml:space="preserve"> </w:t>
      </w:r>
      <w:r w:rsidR="00594459">
        <w:t>equal to</w:t>
      </w:r>
      <w:r w:rsidR="00594459" w:rsidRPr="00647EB4">
        <w:t xml:space="preserve"> a New England</w:t>
      </w:r>
      <w:r w:rsidR="00594459">
        <w:t xml:space="preserve"> locational margin</w:t>
      </w:r>
      <w:r w:rsidR="00594459" w:rsidRPr="00A32307">
        <w:t>al price</w:t>
      </w:r>
      <w:r w:rsidR="001271D0">
        <w:t>,</w:t>
      </w:r>
      <w:r w:rsidR="00647EB4" w:rsidRPr="00647EB4">
        <w:t xml:space="preserve"> the energy imported from New Brunswick </w:t>
      </w:r>
      <w:r w:rsidR="00647EB4" w:rsidRPr="00A32307">
        <w:t>would reduce the adjusted savings to $1 and $2 million per year</w:t>
      </w:r>
      <w:r w:rsidR="00A55270" w:rsidRPr="00A32307">
        <w:t xml:space="preserve"> for both </w:t>
      </w:r>
      <w:r w:rsidR="00A55270" w:rsidRPr="00DC7FC9">
        <w:t>cases</w:t>
      </w:r>
      <w:r w:rsidR="00647EB4" w:rsidRPr="00DC7FC9">
        <w:t>.</w:t>
      </w:r>
      <w:r w:rsidR="00647EB4" w:rsidRPr="00647EB4">
        <w:t xml:space="preserve"> </w:t>
      </w:r>
      <w:r w:rsidR="00647EB4" w:rsidRPr="00647EB4">
        <w:br/>
      </w:r>
      <w:r w:rsidR="00647EB4" w:rsidRPr="00647EB4">
        <w:br/>
      </w:r>
      <w:r w:rsidR="005F66CD">
        <w:t>As part of its request, RENEW asked t</w:t>
      </w:r>
      <w:r w:rsidR="00594459">
        <w:t>he</w:t>
      </w:r>
      <w:r w:rsidR="005F66CD">
        <w:t xml:space="preserve"> ISO to identify as a possible </w:t>
      </w:r>
      <w:r w:rsidR="003C79FE">
        <w:t xml:space="preserve">Market Efficiency Transmission Upgrade </w:t>
      </w:r>
      <w:r w:rsidR="005F66CD">
        <w:t xml:space="preserve">(METU) any upgrade from the scenarios that showed the expected </w:t>
      </w:r>
      <w:r w:rsidR="00A2775D">
        <w:t xml:space="preserve">production </w:t>
      </w:r>
      <w:r w:rsidR="005F66CD">
        <w:t>cost savings to New England customers exceeding the expected cost of that upgrade.</w:t>
      </w:r>
      <w:r w:rsidR="0027313D">
        <w:rPr>
          <w:rStyle w:val="FootnoteReference"/>
        </w:rPr>
        <w:footnoteReference w:id="3"/>
      </w:r>
      <w:r w:rsidR="005F66CD" w:rsidRPr="005F66CD">
        <w:t xml:space="preserve"> </w:t>
      </w:r>
      <w:r w:rsidR="005F66CD">
        <w:t xml:space="preserve">The ISO’s </w:t>
      </w:r>
      <w:r w:rsidR="005F66CD" w:rsidRPr="00F41B5F">
        <w:rPr>
          <w:i/>
        </w:rPr>
        <w:t>Open Access Transmission Tarif</w:t>
      </w:r>
      <w:r w:rsidR="005F66CD">
        <w:rPr>
          <w:i/>
        </w:rPr>
        <w:t>f</w:t>
      </w:r>
      <w:r w:rsidR="005F66CD">
        <w:t xml:space="preserve">, </w:t>
      </w:r>
      <w:r w:rsidR="001271D0">
        <w:t>Attachment </w:t>
      </w:r>
      <w:r w:rsidR="005F66CD">
        <w:t>N, addresses transmission</w:t>
      </w:r>
      <w:r w:rsidR="00294387">
        <w:t>-</w:t>
      </w:r>
      <w:r w:rsidR="005F66CD">
        <w:t>upgrade</w:t>
      </w:r>
      <w:r w:rsidR="00294387">
        <w:t xml:space="preserve"> procedure</w:t>
      </w:r>
      <w:r w:rsidR="005F66CD">
        <w:t>s.</w:t>
      </w:r>
      <w:r w:rsidR="005F66CD">
        <w:rPr>
          <w:rStyle w:val="FootnoteReference"/>
        </w:rPr>
        <w:footnoteReference w:id="4"/>
      </w:r>
      <w:r w:rsidR="00647EB4">
        <w:t xml:space="preserve"> </w:t>
      </w:r>
      <w:r w:rsidR="00BD6E1B">
        <w:t>Results showed that t</w:t>
      </w:r>
      <w:r w:rsidR="003C79FE">
        <w:t>he limited reduction in production cost</w:t>
      </w:r>
      <w:r w:rsidR="00594459">
        <w:t>s</w:t>
      </w:r>
      <w:r w:rsidR="003C79FE">
        <w:t xml:space="preserve"> </w:t>
      </w:r>
      <w:r w:rsidR="00594459">
        <w:t xml:space="preserve">estimated in </w:t>
      </w:r>
      <w:r w:rsidR="003C79FE">
        <w:t xml:space="preserve">this study is not </w:t>
      </w:r>
      <w:r w:rsidR="00594459">
        <w:t xml:space="preserve">large </w:t>
      </w:r>
      <w:r w:rsidR="003C79FE">
        <w:t xml:space="preserve">enough to merit investigation of a METU.  </w:t>
      </w:r>
    </w:p>
    <w:p w:rsidR="00375A8D" w:rsidRDefault="00375A8D" w:rsidP="00C61CC4"/>
    <w:p w:rsidR="00053241" w:rsidRDefault="00053241" w:rsidP="00623F88">
      <w:pPr>
        <w:pStyle w:val="Heading1"/>
      </w:pPr>
      <w:r>
        <w:br/>
      </w:r>
      <w:bookmarkStart w:id="18" w:name="_Toc51784655"/>
      <w:r>
        <w:t>Background</w:t>
      </w:r>
      <w:bookmarkEnd w:id="18"/>
    </w:p>
    <w:p w:rsidR="00D7634C" w:rsidRDefault="00053241" w:rsidP="00053241">
      <w:r w:rsidRPr="00B5661F">
        <w:t xml:space="preserve">The </w:t>
      </w:r>
      <w:r w:rsidR="00CE18BF">
        <w:t>RENEW</w:t>
      </w:r>
      <w:r w:rsidRPr="00B5661F">
        <w:t xml:space="preserve"> </w:t>
      </w:r>
      <w:r w:rsidR="00544344">
        <w:t xml:space="preserve">2019 </w:t>
      </w:r>
      <w:r w:rsidRPr="00B5661F">
        <w:t xml:space="preserve">Economic Study was one of three </w:t>
      </w:r>
      <w:r>
        <w:t>e</w:t>
      </w:r>
      <w:r w:rsidRPr="00B5661F">
        <w:t xml:space="preserve">conomic </w:t>
      </w:r>
      <w:r>
        <w:t>s</w:t>
      </w:r>
      <w:r w:rsidRPr="00B5661F">
        <w:t xml:space="preserve">tudies submitted </w:t>
      </w:r>
      <w:r>
        <w:t xml:space="preserve">to the ISO </w:t>
      </w:r>
      <w:r w:rsidRPr="00B5661F">
        <w:t>in 2019</w:t>
      </w:r>
      <w:r>
        <w:t>.</w:t>
      </w:r>
      <w:r w:rsidR="001D5DB5" w:rsidRPr="00466D29">
        <w:rPr>
          <w:rStyle w:val="FootnoteReference"/>
        </w:rPr>
        <w:footnoteReference w:id="5"/>
      </w:r>
      <w:r w:rsidR="001D5DB5">
        <w:t xml:space="preserve"> </w:t>
      </w:r>
      <w:r w:rsidRPr="00B5661F">
        <w:t xml:space="preserve">The other two </w:t>
      </w:r>
      <w:r>
        <w:t>e</w:t>
      </w:r>
      <w:r w:rsidRPr="00B5661F">
        <w:t xml:space="preserve">conomic </w:t>
      </w:r>
      <w:r>
        <w:t>s</w:t>
      </w:r>
      <w:r w:rsidRPr="00B5661F">
        <w:t xml:space="preserve">tudy requests were from </w:t>
      </w:r>
      <w:r w:rsidR="00CE18BF">
        <w:t>NESCOE</w:t>
      </w:r>
      <w:r w:rsidRPr="00B5661F">
        <w:t xml:space="preserve"> and Anbaric</w:t>
      </w:r>
      <w:r w:rsidR="00CE18BF">
        <w:t>, and separate reports were</w:t>
      </w:r>
      <w:r>
        <w:t xml:space="preserve"> issued accordingly</w:t>
      </w:r>
      <w:r w:rsidRPr="00466D29">
        <w:t>.</w:t>
      </w:r>
      <w:bookmarkStart w:id="19" w:name="_Ref51753922"/>
      <w:r w:rsidR="001D5DB5">
        <w:rPr>
          <w:rStyle w:val="FootnoteReference"/>
        </w:rPr>
        <w:footnoteReference w:id="6"/>
      </w:r>
      <w:bookmarkEnd w:id="19"/>
      <w:r>
        <w:t xml:space="preserve"> </w:t>
      </w:r>
    </w:p>
    <w:p w:rsidR="00053241" w:rsidRDefault="00053241" w:rsidP="00053241">
      <w:r w:rsidRPr="00D13707">
        <w:t>As a part of the regional system planning effort</w:t>
      </w:r>
      <w:r>
        <w:t xml:space="preserve"> and </w:t>
      </w:r>
      <w:r w:rsidRPr="00D13707">
        <w:t xml:space="preserve">as specified in Attachment K of its </w:t>
      </w:r>
      <w:r w:rsidRPr="000A4048">
        <w:rPr>
          <w:i/>
        </w:rPr>
        <w:t>Open-Access Transmission Tariff</w:t>
      </w:r>
      <w:r w:rsidRPr="00D13707">
        <w:t xml:space="preserve"> (OATT)</w:t>
      </w:r>
      <w:r>
        <w:t>,</w:t>
      </w:r>
      <w:r w:rsidRPr="00375A8D">
        <w:t xml:space="preserve"> </w:t>
      </w:r>
      <w:r>
        <w:t xml:space="preserve">the </w:t>
      </w:r>
      <w:r w:rsidRPr="00D13707">
        <w:t xml:space="preserve">ISO </w:t>
      </w:r>
      <w:r>
        <w:t xml:space="preserve">may </w:t>
      </w:r>
      <w:r w:rsidRPr="00D13707">
        <w:t>conduct economic planning studies each year.</w:t>
      </w:r>
      <w:r>
        <w:rPr>
          <w:rStyle w:val="FootnoteReference"/>
        </w:rPr>
        <w:footnoteReference w:id="7"/>
      </w:r>
      <w:r w:rsidRPr="00D13707">
        <w:t xml:space="preserve"> The economic studies provide information on system performance, such as estimated production costs, load-serving entity </w:t>
      </w:r>
      <w:r w:rsidR="00A43E2E">
        <w:t xml:space="preserve">(LSE) </w:t>
      </w:r>
      <w:r w:rsidRPr="00D13707">
        <w:t xml:space="preserve">energy </w:t>
      </w:r>
      <w:r w:rsidRPr="004A2DCA">
        <w:t>expenses</w:t>
      </w:r>
      <w:r w:rsidR="00A43E2E">
        <w:t xml:space="preserve"> </w:t>
      </w:r>
      <w:r w:rsidR="00A864AA" w:rsidRPr="00D13707">
        <w:t>(LSE</w:t>
      </w:r>
      <w:r w:rsidR="00A864AA">
        <w:t>EE</w:t>
      </w:r>
      <w:r w:rsidR="00A43E2E">
        <w:t>s</w:t>
      </w:r>
      <w:r w:rsidR="00A864AA" w:rsidRPr="00D13707">
        <w:t>)</w:t>
      </w:r>
      <w:r w:rsidRPr="004A2DCA">
        <w:t>, transmission congestion, and environmental emission levels.</w:t>
      </w:r>
      <w:r w:rsidRPr="004A2DCA">
        <w:rPr>
          <w:rStyle w:val="FootnoteReference"/>
        </w:rPr>
        <w:footnoteReference w:id="8"/>
      </w:r>
      <w:r>
        <w:t xml:space="preserve"> </w:t>
      </w:r>
      <w:r w:rsidRPr="00C74B0B">
        <w:t>Scenario analyses</w:t>
      </w:r>
      <w:r>
        <w:t xml:space="preserve"> also</w:t>
      </w:r>
      <w:r w:rsidRPr="00C74B0B">
        <w:t xml:space="preserve"> inform stakeholders about different future </w:t>
      </w:r>
      <w:r w:rsidRPr="002B2179">
        <w:t xml:space="preserve">systems. These hypothetical systems should not be regarded as </w:t>
      </w:r>
      <w:r w:rsidRPr="0040073E">
        <w:t xml:space="preserve">physically realizable </w:t>
      </w:r>
      <w:r>
        <w:t xml:space="preserve">interconnection </w:t>
      </w:r>
      <w:r w:rsidRPr="0040073E">
        <w:t xml:space="preserve">plans or </w:t>
      </w:r>
      <w:r w:rsidRPr="002B2179">
        <w:t xml:space="preserve">the ISO’s vision of realistic future development, projections, and preferences. </w:t>
      </w:r>
      <w:r w:rsidRPr="0040073E">
        <w:t>While t</w:t>
      </w:r>
      <w:r w:rsidRPr="002B2179">
        <w:t xml:space="preserve">he scenarios </w:t>
      </w:r>
      <w:r w:rsidR="00B23E83">
        <w:t>may</w:t>
      </w:r>
      <w:r w:rsidRPr="002B2179">
        <w:t xml:space="preserve"> not fully </w:t>
      </w:r>
      <w:r>
        <w:t>reflect</w:t>
      </w:r>
      <w:r w:rsidRPr="002B2179">
        <w:t xml:space="preserve"> current law</w:t>
      </w:r>
      <w:r w:rsidRPr="00F7410A">
        <w:t>s</w:t>
      </w:r>
      <w:r w:rsidR="002073BB" w:rsidRPr="00F7410A">
        <w:t xml:space="preserve">, </w:t>
      </w:r>
      <w:r w:rsidRPr="00F7410A">
        <w:t>regulations</w:t>
      </w:r>
      <w:r w:rsidR="00B23E83" w:rsidRPr="002D445B">
        <w:t>,</w:t>
      </w:r>
      <w:r w:rsidR="002073BB" w:rsidRPr="00F7410A">
        <w:t xml:space="preserve"> or policy </w:t>
      </w:r>
      <w:r w:rsidR="002073BB" w:rsidRPr="002D445B">
        <w:t>incentives</w:t>
      </w:r>
      <w:r w:rsidRPr="00F7410A">
        <w:t>, they can assist readers by identifying key region</w:t>
      </w:r>
      <w:r w:rsidRPr="002B2179">
        <w:t>al issues</w:t>
      </w:r>
      <w:r>
        <w:t xml:space="preserve">. </w:t>
      </w:r>
    </w:p>
    <w:p w:rsidR="00901A74" w:rsidRDefault="002D445B" w:rsidP="00901A74">
      <w:pPr>
        <w:rPr>
          <w:szCs w:val="20"/>
        </w:rPr>
      </w:pPr>
      <w:r>
        <w:t xml:space="preserve">The ISO conducts economic studies under the auspices of the Planning Advisory Committee (PAC). </w:t>
      </w:r>
      <w:r w:rsidR="00053241">
        <w:t>The role of the PAC in the economic study process is to discuss, identify, and otherwise assist the ISO by advising on the proposed studies.</w:t>
      </w:r>
      <w:r w:rsidR="00053241">
        <w:rPr>
          <w:rStyle w:val="FootnoteReference"/>
        </w:rPr>
        <w:footnoteReference w:id="9"/>
      </w:r>
      <w:r w:rsidR="00053241">
        <w:t xml:space="preserve"> </w:t>
      </w:r>
      <w:r w:rsidR="00B226ED" w:rsidRPr="006D4074">
        <w:t xml:space="preserve">For this study, </w:t>
      </w:r>
      <w:r w:rsidR="008E5FBA">
        <w:t xml:space="preserve">stakeholders and the study proponent, RENEW, drove </w:t>
      </w:r>
      <w:r w:rsidR="00B226ED" w:rsidRPr="006D4074">
        <w:t>t</w:t>
      </w:r>
      <w:r w:rsidR="00053241" w:rsidRPr="006D4074">
        <w:t>he scop</w:t>
      </w:r>
      <w:r w:rsidR="00053241" w:rsidRPr="00DC34C4">
        <w:t>e of work</w:t>
      </w:r>
      <w:r w:rsidR="005C4BF3">
        <w:t xml:space="preserve"> and</w:t>
      </w:r>
      <w:r w:rsidR="00053241" w:rsidRPr="00DC34C4">
        <w:t xml:space="preserve"> assumptions</w:t>
      </w:r>
      <w:r w:rsidR="00B226ED">
        <w:t xml:space="preserve">. </w:t>
      </w:r>
      <w:r w:rsidR="008E5FBA">
        <w:t>The a</w:t>
      </w:r>
      <w:r w:rsidR="009B30CF">
        <w:t>ssumpti</w:t>
      </w:r>
      <w:r w:rsidR="009B30CF" w:rsidRPr="00F7410A">
        <w:t>ons</w:t>
      </w:r>
      <w:r w:rsidR="009B30CF" w:rsidRPr="0082145F">
        <w:t xml:space="preserve"> </w:t>
      </w:r>
      <w:r w:rsidR="00A230E0" w:rsidRPr="00F7410A">
        <w:t xml:space="preserve">for all three economic studies received in 2019 </w:t>
      </w:r>
      <w:r w:rsidR="005C4BF3" w:rsidRPr="00F7410A">
        <w:t>were discussed during</w:t>
      </w:r>
      <w:r w:rsidR="00B226ED" w:rsidRPr="00F7410A">
        <w:t xml:space="preserve"> </w:t>
      </w:r>
      <w:r w:rsidR="00053241" w:rsidRPr="00F7410A">
        <w:t>PAC meetings held from Apr</w:t>
      </w:r>
      <w:r w:rsidR="00053241" w:rsidRPr="002E3103">
        <w:t>il 201</w:t>
      </w:r>
      <w:r w:rsidR="00053241">
        <w:t>9</w:t>
      </w:r>
      <w:r w:rsidR="00053241" w:rsidRPr="002E3103">
        <w:t xml:space="preserve"> through </w:t>
      </w:r>
      <w:r w:rsidR="00901A74">
        <w:t>November 2019</w:t>
      </w:r>
      <w:r w:rsidR="00B226ED">
        <w:t xml:space="preserve"> and </w:t>
      </w:r>
      <w:r w:rsidR="00FB4EAA">
        <w:t xml:space="preserve">are </w:t>
      </w:r>
      <w:r w:rsidR="00B226ED">
        <w:t>summarized in this report</w:t>
      </w:r>
      <w:r w:rsidR="00053241" w:rsidRPr="002E3103">
        <w:t xml:space="preserve">. </w:t>
      </w:r>
      <w:r w:rsidR="00901A74" w:rsidRPr="00576B9F">
        <w:rPr>
          <w:szCs w:val="20"/>
        </w:rPr>
        <w:t xml:space="preserve">The ISO’s production cost study results for the </w:t>
      </w:r>
      <w:r w:rsidR="003821FC">
        <w:rPr>
          <w:szCs w:val="20"/>
        </w:rPr>
        <w:t xml:space="preserve">2019 </w:t>
      </w:r>
      <w:r w:rsidR="00901A74">
        <w:rPr>
          <w:szCs w:val="20"/>
        </w:rPr>
        <w:t>RENEW</w:t>
      </w:r>
      <w:r w:rsidR="00901A74" w:rsidRPr="00576B9F">
        <w:rPr>
          <w:szCs w:val="20"/>
        </w:rPr>
        <w:t xml:space="preserve"> Economic Study were presented to </w:t>
      </w:r>
      <w:r w:rsidR="00901A74">
        <w:rPr>
          <w:szCs w:val="20"/>
        </w:rPr>
        <w:t xml:space="preserve">the </w:t>
      </w:r>
      <w:r w:rsidR="00901A74" w:rsidRPr="00576B9F">
        <w:rPr>
          <w:szCs w:val="20"/>
        </w:rPr>
        <w:t xml:space="preserve">PAC on </w:t>
      </w:r>
      <w:r w:rsidR="00606021">
        <w:rPr>
          <w:szCs w:val="20"/>
        </w:rPr>
        <w:t>April </w:t>
      </w:r>
      <w:r w:rsidR="00901A74">
        <w:rPr>
          <w:szCs w:val="20"/>
        </w:rPr>
        <w:t>23, 2020</w:t>
      </w:r>
      <w:r w:rsidR="00901A74" w:rsidRPr="00D24022">
        <w:rPr>
          <w:szCs w:val="20"/>
        </w:rPr>
        <w:t>.</w:t>
      </w:r>
      <w:bookmarkStart w:id="20" w:name="_Ref43214196"/>
      <w:r w:rsidR="00901A74" w:rsidRPr="00D24022">
        <w:rPr>
          <w:rStyle w:val="FootnoteReference"/>
          <w:sz w:val="20"/>
          <w:szCs w:val="20"/>
        </w:rPr>
        <w:footnoteReference w:id="10"/>
      </w:r>
      <w:bookmarkEnd w:id="20"/>
      <w:r w:rsidR="00901A74" w:rsidRPr="009C02EB">
        <w:rPr>
          <w:szCs w:val="20"/>
        </w:rPr>
        <w:t xml:space="preserve"> </w:t>
      </w:r>
    </w:p>
    <w:p w:rsidR="00053241" w:rsidRDefault="00053241" w:rsidP="00053241">
      <w:r w:rsidRPr="00B82E49">
        <w:t>The ISO encourages interested parties to compare the results for the different scenarios</w:t>
      </w:r>
      <w:r w:rsidRPr="002E3103">
        <w:t xml:space="preserve"> and to reach their own conclusions about the possible outcomes.</w:t>
      </w:r>
    </w:p>
    <w:p w:rsidR="00053241" w:rsidRPr="005B4D9E" w:rsidRDefault="00053241" w:rsidP="00053241">
      <w:r w:rsidRPr="009C02EB">
        <w:t>The report includes hyperlinks throughout to PAC presentations and other materials that contain more</w:t>
      </w:r>
      <w:r>
        <w:t xml:space="preserve"> detailed</w:t>
      </w:r>
      <w:r w:rsidRPr="00513625">
        <w:t xml:space="preserve"> information. </w:t>
      </w:r>
      <w:r>
        <w:t>Some of these links are for materials containing Critical Energy Infrastructure Information (CEII).</w:t>
      </w:r>
      <w:r>
        <w:rPr>
          <w:rStyle w:val="FootnoteReference"/>
        </w:rPr>
        <w:footnoteReference w:id="11"/>
      </w:r>
      <w:r>
        <w:t xml:space="preserve"> </w:t>
      </w:r>
      <w:r w:rsidRPr="00513625">
        <w:t xml:space="preserve">These links </w:t>
      </w:r>
      <w:r>
        <w:t xml:space="preserve">are </w:t>
      </w:r>
      <w:r w:rsidRPr="00910EF9">
        <w:t>up to date as of the publication of the report.</w:t>
      </w:r>
    </w:p>
    <w:p w:rsidR="0066269A" w:rsidRDefault="00E95645" w:rsidP="00623F88">
      <w:pPr>
        <w:pStyle w:val="Heading1"/>
      </w:pPr>
      <w:r>
        <w:br/>
      </w:r>
      <w:bookmarkStart w:id="21" w:name="_Toc51784656"/>
      <w:r w:rsidR="003B7B71">
        <w:t xml:space="preserve">Purpose of the </w:t>
      </w:r>
      <w:r w:rsidR="003C7345">
        <w:t>201</w:t>
      </w:r>
      <w:r w:rsidR="006F597A">
        <w:t>9</w:t>
      </w:r>
      <w:r w:rsidR="003C7345">
        <w:t xml:space="preserve"> </w:t>
      </w:r>
      <w:r w:rsidR="002C360C">
        <w:t>RENEW</w:t>
      </w:r>
      <w:r w:rsidR="007145E4">
        <w:t xml:space="preserve"> </w:t>
      </w:r>
      <w:r w:rsidR="003B7B71">
        <w:t>Economic Study</w:t>
      </w:r>
      <w:r w:rsidR="00C61CC4">
        <w:br/>
      </w:r>
      <w:r w:rsidR="005F0CB1">
        <w:t xml:space="preserve">and </w:t>
      </w:r>
      <w:r w:rsidR="00145877">
        <w:t>Scenarios</w:t>
      </w:r>
      <w:r w:rsidR="007A2BF4">
        <w:t xml:space="preserve"> Analyzed</w:t>
      </w:r>
      <w:bookmarkEnd w:id="21"/>
    </w:p>
    <w:p w:rsidR="00F7410A" w:rsidRDefault="00C814FD" w:rsidP="00B268CF">
      <w:r>
        <w:t xml:space="preserve">In </w:t>
      </w:r>
      <w:r w:rsidR="006F597A">
        <w:t xml:space="preserve">April </w:t>
      </w:r>
      <w:r w:rsidRPr="00492526">
        <w:t>201</w:t>
      </w:r>
      <w:r w:rsidR="006F597A">
        <w:t>9</w:t>
      </w:r>
      <w:r w:rsidRPr="00492526">
        <w:t xml:space="preserve">, </w:t>
      </w:r>
      <w:r w:rsidR="00D62741">
        <w:t xml:space="preserve">in accordance with </w:t>
      </w:r>
      <w:r w:rsidR="00AA22CE">
        <w:t xml:space="preserve">the procedures of Attachment K of the ISO’s </w:t>
      </w:r>
      <w:r w:rsidR="00AA22CE" w:rsidRPr="00F07CD9">
        <w:rPr>
          <w:i/>
        </w:rPr>
        <w:t>Open-Access Transmission Tariff</w:t>
      </w:r>
      <w:r w:rsidR="00AA22CE">
        <w:t xml:space="preserve"> (OATT)</w:t>
      </w:r>
      <w:r w:rsidR="005F0CB1">
        <w:t>,</w:t>
      </w:r>
      <w:r w:rsidR="00AA22CE">
        <w:t xml:space="preserve"> </w:t>
      </w:r>
      <w:r w:rsidR="002C360C">
        <w:t>RENEW</w:t>
      </w:r>
      <w:r w:rsidR="002E09FB">
        <w:t xml:space="preserve"> </w:t>
      </w:r>
      <w:r w:rsidRPr="00492526">
        <w:t xml:space="preserve">submitted </w:t>
      </w:r>
      <w:r w:rsidR="00852887">
        <w:t xml:space="preserve">a </w:t>
      </w:r>
      <w:r w:rsidR="00D342CC">
        <w:t>request</w:t>
      </w:r>
      <w:r w:rsidR="00B50887">
        <w:t xml:space="preserve"> to conduct</w:t>
      </w:r>
      <w:r w:rsidR="00C43C37">
        <w:t xml:space="preserve"> </w:t>
      </w:r>
      <w:r w:rsidR="002C360C">
        <w:t>an economic study</w:t>
      </w:r>
      <w:r w:rsidR="00F31986">
        <w:t xml:space="preserve"> </w:t>
      </w:r>
      <w:r w:rsidR="002C360C">
        <w:t>evaluating the impact</w:t>
      </w:r>
      <w:r w:rsidR="00C43C37">
        <w:t>s</w:t>
      </w:r>
      <w:r w:rsidR="002C360C">
        <w:t xml:space="preserve"> of conceptual transmission upgrade</w:t>
      </w:r>
      <w:r w:rsidR="002C360C" w:rsidRPr="00F7410A">
        <w:t>s</w:t>
      </w:r>
      <w:r w:rsidR="00C43C37" w:rsidRPr="00F7410A">
        <w:t xml:space="preserve"> (i.e., scenarios)</w:t>
      </w:r>
      <w:r w:rsidR="002C360C" w:rsidRPr="00F7410A">
        <w:t xml:space="preserve"> that would increase the </w:t>
      </w:r>
      <w:r w:rsidR="002C360C" w:rsidRPr="00775F9B">
        <w:t>hourly operating limits of the Or</w:t>
      </w:r>
      <w:r w:rsidR="002C360C" w:rsidRPr="00F7410A">
        <w:t>rington</w:t>
      </w:r>
      <w:r w:rsidR="00C43C37" w:rsidRPr="00F7410A">
        <w:t>-</w:t>
      </w:r>
      <w:r w:rsidR="002C360C" w:rsidRPr="00F7410A">
        <w:t xml:space="preserve">South interface in Maine. </w:t>
      </w:r>
      <w:r w:rsidR="006F57F3" w:rsidRPr="00F7410A">
        <w:t>ISO</w:t>
      </w:r>
      <w:r w:rsidR="00F7410A" w:rsidRPr="00705625">
        <w:t xml:space="preserve"> system </w:t>
      </w:r>
      <w:r w:rsidR="006F57F3" w:rsidRPr="00F7410A">
        <w:t>planning sets the upper bound on operatio</w:t>
      </w:r>
      <w:r w:rsidR="006F57F3" w:rsidRPr="00775F9B">
        <w:t xml:space="preserve">nal limits for </w:t>
      </w:r>
      <w:r w:rsidR="006F57F3" w:rsidRPr="00F7410A">
        <w:t>defined transmission interfaces</w:t>
      </w:r>
      <w:r w:rsidR="00123CA8">
        <w:t>, and i</w:t>
      </w:r>
      <w:r w:rsidR="00775F9B">
        <w:t xml:space="preserve">n the case of the Orrington-South interface, the planning limit is 1,325 MW. </w:t>
      </w:r>
      <w:r w:rsidR="00840B57">
        <w:t>Additi</w:t>
      </w:r>
      <w:r w:rsidR="00840B57" w:rsidRPr="0043642B">
        <w:t>onally</w:t>
      </w:r>
      <w:r w:rsidR="00123CA8" w:rsidRPr="0043642B">
        <w:t>, b</w:t>
      </w:r>
      <w:r w:rsidR="006F57F3" w:rsidRPr="0043642B">
        <w:t>ased on</w:t>
      </w:r>
      <w:r w:rsidR="006F57F3" w:rsidRPr="00775F9B">
        <w:t xml:space="preserve"> real-time system conditions</w:t>
      </w:r>
      <w:r w:rsidR="00C43C37" w:rsidRPr="00F7410A">
        <w:t xml:space="preserve"> and</w:t>
      </w:r>
      <w:r w:rsidR="006F57F3" w:rsidRPr="00F7410A">
        <w:t xml:space="preserve"> taking int</w:t>
      </w:r>
      <w:r w:rsidR="006F57F3" w:rsidRPr="00031EFF">
        <w:t xml:space="preserve">o account such </w:t>
      </w:r>
      <w:r w:rsidR="00B50887" w:rsidRPr="00F7410A">
        <w:t>factors</w:t>
      </w:r>
      <w:r w:rsidR="006F57F3" w:rsidRPr="00F7410A">
        <w:t xml:space="preserve"> as transmission</w:t>
      </w:r>
      <w:r w:rsidR="00C43C37" w:rsidRPr="00F7410A">
        <w:t>-</w:t>
      </w:r>
      <w:r w:rsidR="006F57F3" w:rsidRPr="00F7410A">
        <w:t xml:space="preserve">element outages and generator dispatch, </w:t>
      </w:r>
      <w:r w:rsidR="00C43C37" w:rsidRPr="00F7410A">
        <w:t xml:space="preserve">the </w:t>
      </w:r>
      <w:r w:rsidR="006F57F3" w:rsidRPr="00F7410A">
        <w:t>ISO sets real-time operating limits</w:t>
      </w:r>
      <w:r w:rsidR="00123CA8">
        <w:t xml:space="preserve">, which </w:t>
      </w:r>
      <w:r w:rsidR="006F57F3" w:rsidRPr="00123CA8">
        <w:t xml:space="preserve">are </w:t>
      </w:r>
      <w:r w:rsidR="006F57F3" w:rsidRPr="00F7410A">
        <w:t>capped by the planning limit.</w:t>
      </w:r>
      <w:r w:rsidR="0027313D">
        <w:t xml:space="preserve">                    </w:t>
      </w:r>
    </w:p>
    <w:p w:rsidR="00123CA8" w:rsidRPr="00CB67D3" w:rsidRDefault="00A864AA" w:rsidP="00B268CF">
      <w:r>
        <w:t xml:space="preserve">As part of </w:t>
      </w:r>
      <w:r w:rsidR="00C43C37">
        <w:t>its</w:t>
      </w:r>
      <w:r>
        <w:t xml:space="preserve"> </w:t>
      </w:r>
      <w:r w:rsidR="00840B57">
        <w:t xml:space="preserve">2019 Economic Study </w:t>
      </w:r>
      <w:r>
        <w:t xml:space="preserve">request, </w:t>
      </w:r>
      <w:r w:rsidR="006F57F3">
        <w:t>RENEW</w:t>
      </w:r>
      <w:r w:rsidR="002929E2">
        <w:t xml:space="preserve"> assert</w:t>
      </w:r>
      <w:r w:rsidR="00C43C37">
        <w:t>ed</w:t>
      </w:r>
      <w:r w:rsidR="006F57F3">
        <w:t xml:space="preserve"> that </w:t>
      </w:r>
      <w:r w:rsidRPr="00775F9B">
        <w:t>the</w:t>
      </w:r>
      <w:r>
        <w:t xml:space="preserve"> </w:t>
      </w:r>
      <w:r w:rsidR="00775F9B">
        <w:t xml:space="preserve">real-time </w:t>
      </w:r>
      <w:r w:rsidR="006F57F3">
        <w:t xml:space="preserve">hourly operating limit </w:t>
      </w:r>
      <w:r w:rsidR="00123CA8">
        <w:t xml:space="preserve">has been </w:t>
      </w:r>
      <w:r w:rsidR="006F57F3">
        <w:t>below th</w:t>
      </w:r>
      <w:r w:rsidR="00123CA8">
        <w:t>e</w:t>
      </w:r>
      <w:r w:rsidR="006F57F3">
        <w:t xml:space="preserve"> </w:t>
      </w:r>
      <w:r w:rsidR="002929E2">
        <w:t xml:space="preserve">planning </w:t>
      </w:r>
      <w:r w:rsidR="006F57F3">
        <w:t xml:space="preserve">level </w:t>
      </w:r>
      <w:r w:rsidR="00F7410A">
        <w:t xml:space="preserve">most </w:t>
      </w:r>
      <w:r w:rsidR="006F57F3">
        <w:t xml:space="preserve">of the time </w:t>
      </w:r>
      <w:r>
        <w:t xml:space="preserve">and </w:t>
      </w:r>
      <w:r w:rsidR="006F57F3">
        <w:t>sometimes significantly</w:t>
      </w:r>
      <w:r w:rsidR="00F7410A">
        <w:t>,</w:t>
      </w:r>
      <w:r w:rsidR="00EA3CF2">
        <w:t xml:space="preserve"> </w:t>
      </w:r>
      <w:r w:rsidR="00416C8A">
        <w:t xml:space="preserve">from hour to hour </w:t>
      </w:r>
      <w:r w:rsidR="00840B57">
        <w:t>and</w:t>
      </w:r>
      <w:r w:rsidR="00416C8A">
        <w:t xml:space="preserve"> month to month</w:t>
      </w:r>
      <w:r w:rsidR="006F57F3">
        <w:t>.</w:t>
      </w:r>
      <w:r w:rsidR="00416C8A">
        <w:rPr>
          <w:rStyle w:val="FootnoteReference"/>
        </w:rPr>
        <w:footnoteReference w:id="12"/>
      </w:r>
      <w:r w:rsidR="00B268CF">
        <w:t xml:space="preserve"> </w:t>
      </w:r>
      <w:r w:rsidR="002929E2">
        <w:t xml:space="preserve">This premise </w:t>
      </w:r>
      <w:r w:rsidR="00840B57">
        <w:t xml:space="preserve">formed the basis of </w:t>
      </w:r>
      <w:r w:rsidR="00C43C37">
        <w:t>RENEW</w:t>
      </w:r>
      <w:r w:rsidR="00840B57">
        <w:t xml:space="preserve">’s </w:t>
      </w:r>
      <w:r>
        <w:t xml:space="preserve">request to </w:t>
      </w:r>
      <w:r w:rsidR="002929E2">
        <w:t>further investigat</w:t>
      </w:r>
      <w:r w:rsidR="00C43C37">
        <w:t>e</w:t>
      </w:r>
      <w:r w:rsidR="00EA3CF2">
        <w:t xml:space="preserve"> </w:t>
      </w:r>
      <w:r w:rsidR="002929E2">
        <w:t>the impact of transmission buildout</w:t>
      </w:r>
      <w:r w:rsidR="00726D2D">
        <w:t xml:space="preserve"> on interface congestion</w:t>
      </w:r>
      <w:r w:rsidR="006F57F3">
        <w:t xml:space="preserve">. </w:t>
      </w:r>
      <w:r w:rsidR="00123CA8">
        <w:t>Althou</w:t>
      </w:r>
      <w:r w:rsidR="00123CA8" w:rsidRPr="0043642B">
        <w:t xml:space="preserve">gh </w:t>
      </w:r>
      <w:r w:rsidR="00B268CF" w:rsidRPr="0043642B">
        <w:t xml:space="preserve">RENEW requested </w:t>
      </w:r>
      <w:r w:rsidR="00594459">
        <w:t xml:space="preserve">that </w:t>
      </w:r>
      <w:r w:rsidR="00B268CF" w:rsidRPr="0043642B">
        <w:t>the ISO assess</w:t>
      </w:r>
      <w:r w:rsidR="00840B57" w:rsidRPr="00705625">
        <w:t xml:space="preserve"> </w:t>
      </w:r>
      <w:r w:rsidR="00B268CF" w:rsidRPr="0043642B">
        <w:t>the interface limit</w:t>
      </w:r>
      <w:r w:rsidR="00840B57" w:rsidRPr="00705625">
        <w:t xml:space="preserve"> on an hourly basis</w:t>
      </w:r>
      <w:r w:rsidR="00C43C37" w:rsidRPr="00705625">
        <w:t>,</w:t>
      </w:r>
      <w:r w:rsidR="00B268CF" w:rsidRPr="0043642B">
        <w:t xml:space="preserve"> </w:t>
      </w:r>
      <w:r w:rsidR="00123CA8" w:rsidRPr="00705625">
        <w:t xml:space="preserve">the </w:t>
      </w:r>
      <w:r w:rsidR="00B268CF" w:rsidRPr="0043642B">
        <w:t>ISO</w:t>
      </w:r>
      <w:r w:rsidR="00606021">
        <w:t>’s</w:t>
      </w:r>
      <w:r w:rsidR="00123CA8" w:rsidRPr="00705625">
        <w:t xml:space="preserve"> </w:t>
      </w:r>
      <w:r w:rsidR="00B268CF" w:rsidRPr="0043642B">
        <w:t>modeling software does not have this capability</w:t>
      </w:r>
      <w:r w:rsidR="00840B57" w:rsidRPr="00705625">
        <w:t>. Also, while comparing h</w:t>
      </w:r>
      <w:r w:rsidR="00B268CF" w:rsidRPr="0043642B">
        <w:t>ourly limits with actual operating experience</w:t>
      </w:r>
      <w:r w:rsidR="00840B57" w:rsidRPr="00705625">
        <w:t xml:space="preserve"> may be informat</w:t>
      </w:r>
      <w:r w:rsidR="00840B57" w:rsidRPr="00DC7FC9">
        <w:t>ive</w:t>
      </w:r>
      <w:r w:rsidR="00B268CF" w:rsidRPr="00DC7FC9">
        <w:t xml:space="preserve">, this information is </w:t>
      </w:r>
      <w:r w:rsidR="00754A20" w:rsidRPr="00DC7FC9">
        <w:t>market sensitive</w:t>
      </w:r>
      <w:r w:rsidR="00123CA8" w:rsidRPr="00DC7FC9">
        <w:t>.</w:t>
      </w:r>
      <w:r w:rsidR="00123CA8" w:rsidRPr="00705625">
        <w:t xml:space="preserve"> </w:t>
      </w:r>
      <w:r w:rsidR="008815D7" w:rsidRPr="00705625">
        <w:t>Thus, the ISO varied the monthly limits</w:t>
      </w:r>
      <w:r w:rsidR="008815D7">
        <w:t>, as proposed by RENEW,</w:t>
      </w:r>
      <w:r w:rsidR="008815D7" w:rsidRPr="00705625">
        <w:t xml:space="preserve"> over the Orrington-South interface</w:t>
      </w:r>
      <w:r w:rsidR="008815D7">
        <w:t xml:space="preserve"> (refer to Section </w:t>
      </w:r>
      <w:r w:rsidR="008815D7">
        <w:fldChar w:fldCharType="begin"/>
      </w:r>
      <w:r w:rsidR="008815D7">
        <w:instrText xml:space="preserve"> REF _Ref51666837 \w \h </w:instrText>
      </w:r>
      <w:r w:rsidR="008815D7">
        <w:fldChar w:fldCharType="separate"/>
      </w:r>
      <w:r w:rsidR="008815D7">
        <w:t>4.2.2</w:t>
      </w:r>
      <w:r w:rsidR="008815D7">
        <w:fldChar w:fldCharType="end"/>
      </w:r>
      <w:r w:rsidR="008815D7">
        <w:t>)</w:t>
      </w:r>
      <w:r w:rsidR="008815D7" w:rsidRPr="00CB67D3">
        <w:t>.</w:t>
      </w:r>
    </w:p>
    <w:p w:rsidR="002C360C" w:rsidRDefault="00C43C37" w:rsidP="00B268CF">
      <w:r w:rsidRPr="005D371D">
        <w:t xml:space="preserve">RENEW </w:t>
      </w:r>
      <w:r w:rsidR="00416C8A" w:rsidRPr="0043642B">
        <w:t xml:space="preserve">developed </w:t>
      </w:r>
      <w:r w:rsidRPr="0043642B">
        <w:t xml:space="preserve">three scenarios, as follows, </w:t>
      </w:r>
      <w:r w:rsidR="002929E2" w:rsidRPr="0043642B">
        <w:t>for the 2025 study year</w:t>
      </w:r>
      <w:r w:rsidRPr="0043642B">
        <w:t>,</w:t>
      </w:r>
      <w:r w:rsidR="00416C8A" w:rsidRPr="0043642B">
        <w:t xml:space="preserve"> </w:t>
      </w:r>
      <w:r w:rsidRPr="0043642B">
        <w:t xml:space="preserve">which </w:t>
      </w:r>
      <w:r w:rsidRPr="005D371D">
        <w:t xml:space="preserve">the </w:t>
      </w:r>
      <w:r w:rsidR="00416C8A" w:rsidRPr="0043642B">
        <w:t>ISO</w:t>
      </w:r>
      <w:r w:rsidRPr="005D371D">
        <w:t xml:space="preserve"> analyzed </w:t>
      </w:r>
      <w:r w:rsidR="00416C8A" w:rsidRPr="0043642B">
        <w:t>without adjust</w:t>
      </w:r>
      <w:r w:rsidRPr="005D371D">
        <w:t>ing</w:t>
      </w:r>
      <w:r w:rsidR="00A95BEA" w:rsidRPr="0043642B">
        <w:t>:</w:t>
      </w:r>
    </w:p>
    <w:p w:rsidR="00DB0CA6" w:rsidRPr="00A95BEA" w:rsidRDefault="00F55850" w:rsidP="00434E1D">
      <w:pPr>
        <w:numPr>
          <w:ilvl w:val="0"/>
          <w:numId w:val="41"/>
        </w:numPr>
        <w:spacing w:after="120"/>
      </w:pPr>
      <w:r w:rsidRPr="00A95BEA">
        <w:rPr>
          <w:b/>
          <w:bCs/>
        </w:rPr>
        <w:t>Base</w:t>
      </w:r>
      <w:r w:rsidR="00C43C37">
        <w:rPr>
          <w:b/>
          <w:bCs/>
        </w:rPr>
        <w:t xml:space="preserve"> </w:t>
      </w:r>
      <w:r w:rsidR="00C61706">
        <w:rPr>
          <w:b/>
          <w:bCs/>
        </w:rPr>
        <w:t>scenario</w:t>
      </w:r>
      <w:r w:rsidR="00A95BEA">
        <w:t>:</w:t>
      </w:r>
      <w:r w:rsidRPr="00A95BEA">
        <w:t xml:space="preserve"> Estimated 2016 limits, modified to appro</w:t>
      </w:r>
      <w:r w:rsidRPr="0043642B">
        <w:t>ximate</w:t>
      </w:r>
      <w:r w:rsidR="00023725" w:rsidRPr="0043642B">
        <w:t xml:space="preserve"> the</w:t>
      </w:r>
      <w:r w:rsidRPr="0043642B">
        <w:t xml:space="preserve"> addition of </w:t>
      </w:r>
      <w:r w:rsidR="00023725" w:rsidRPr="0043642B">
        <w:t xml:space="preserve">the </w:t>
      </w:r>
      <w:r w:rsidRPr="0043642B">
        <w:t>Coo</w:t>
      </w:r>
      <w:r w:rsidRPr="00A95BEA">
        <w:t xml:space="preserve">per Mills </w:t>
      </w:r>
      <w:r w:rsidR="00C43C37" w:rsidRPr="00347027">
        <w:t>static synchronous compensator</w:t>
      </w:r>
      <w:r w:rsidR="00C43C37" w:rsidDel="00623F88">
        <w:t xml:space="preserve"> </w:t>
      </w:r>
      <w:r w:rsidR="00C43C37">
        <w:t>(</w:t>
      </w:r>
      <w:r w:rsidR="00623F88">
        <w:t>STATCOM</w:t>
      </w:r>
      <w:r w:rsidR="00C43C37">
        <w:t>)</w:t>
      </w:r>
      <w:r w:rsidR="00743CD0">
        <w:t>.</w:t>
      </w:r>
    </w:p>
    <w:p w:rsidR="00DB0CA6" w:rsidRPr="0043642B" w:rsidRDefault="00F55850" w:rsidP="00CC6422">
      <w:pPr>
        <w:numPr>
          <w:ilvl w:val="0"/>
          <w:numId w:val="41"/>
        </w:numPr>
        <w:spacing w:after="120"/>
      </w:pPr>
      <w:r w:rsidRPr="0043642B">
        <w:rPr>
          <w:b/>
          <w:bCs/>
        </w:rPr>
        <w:t>S</w:t>
      </w:r>
      <w:r w:rsidR="00C53AB7" w:rsidRPr="005D371D">
        <w:rPr>
          <w:b/>
          <w:bCs/>
        </w:rPr>
        <w:t>1</w:t>
      </w:r>
      <w:r w:rsidR="00A95BEA" w:rsidRPr="00C61706">
        <w:rPr>
          <w:b/>
          <w:bCs/>
        </w:rPr>
        <w:t>:</w:t>
      </w:r>
      <w:r w:rsidRPr="0043642B">
        <w:t xml:space="preserve"> Same as </w:t>
      </w:r>
      <w:r w:rsidR="00C43C37" w:rsidRPr="0043642B">
        <w:t xml:space="preserve">the </w:t>
      </w:r>
      <w:r w:rsidR="00686B19" w:rsidRPr="0043642B">
        <w:t>Base</w:t>
      </w:r>
      <w:r w:rsidR="00C43C37" w:rsidRPr="0043642B">
        <w:t xml:space="preserve"> </w:t>
      </w:r>
      <w:r w:rsidR="00C61706">
        <w:t>scenario</w:t>
      </w:r>
      <w:r w:rsidRPr="0043642B">
        <w:t xml:space="preserve"> but has a transmission device at the Orrington-South interface with equivalent impact to a large synchronous generator dispatched nearby the interface</w:t>
      </w:r>
      <w:r w:rsidR="00A95BEA" w:rsidRPr="0043642B">
        <w:t xml:space="preserve">. </w:t>
      </w:r>
      <w:r w:rsidRPr="0043642B">
        <w:t xml:space="preserve">All monthly limits are equal to or higher than </w:t>
      </w:r>
      <w:r w:rsidR="00686B19" w:rsidRPr="0043642B">
        <w:t xml:space="preserve">the </w:t>
      </w:r>
      <w:r w:rsidR="00C43C37" w:rsidRPr="0043642B">
        <w:t>B</w:t>
      </w:r>
      <w:r w:rsidRPr="0043642B">
        <w:t>ase scenario</w:t>
      </w:r>
      <w:r w:rsidR="00C43C37" w:rsidRPr="0043642B">
        <w:t>.</w:t>
      </w:r>
    </w:p>
    <w:p w:rsidR="00DB0CA6" w:rsidRPr="00F7410A" w:rsidRDefault="00F55850" w:rsidP="00B91214">
      <w:pPr>
        <w:numPr>
          <w:ilvl w:val="0"/>
          <w:numId w:val="41"/>
        </w:numPr>
      </w:pPr>
      <w:r w:rsidRPr="0043642B">
        <w:rPr>
          <w:b/>
          <w:bCs/>
        </w:rPr>
        <w:t>S2</w:t>
      </w:r>
      <w:r w:rsidR="00A95BEA" w:rsidRPr="00C61706">
        <w:t>:</w:t>
      </w:r>
      <w:r w:rsidRPr="0043642B">
        <w:t xml:space="preserve"> Same as </w:t>
      </w:r>
      <w:r w:rsidR="008D5C05">
        <w:t xml:space="preserve">the </w:t>
      </w:r>
      <w:r w:rsidR="00686B19" w:rsidRPr="0043642B">
        <w:t>Base</w:t>
      </w:r>
      <w:r w:rsidR="00C43C37" w:rsidRPr="0043642B">
        <w:t xml:space="preserve"> </w:t>
      </w:r>
      <w:r w:rsidR="00C61706">
        <w:t>scenario</w:t>
      </w:r>
      <w:r w:rsidRPr="00C61706">
        <w:t xml:space="preserve"> but has a new 345 </w:t>
      </w:r>
      <w:r w:rsidR="00C43C37" w:rsidRPr="0043642B">
        <w:t>kilovolt (</w:t>
      </w:r>
      <w:r w:rsidRPr="0043642B">
        <w:t>kV</w:t>
      </w:r>
      <w:r w:rsidR="00C43C37" w:rsidRPr="0043642B">
        <w:t>)</w:t>
      </w:r>
      <w:r w:rsidRPr="0043642B">
        <w:t xml:space="preserve"> transmission path from the Orrington substation to the Maine Yankee station</w:t>
      </w:r>
      <w:r w:rsidR="00A95BEA" w:rsidRPr="0043642B">
        <w:t xml:space="preserve">. </w:t>
      </w:r>
      <w:r w:rsidRPr="0043642B">
        <w:t>Monthly limits</w:t>
      </w:r>
      <w:r w:rsidR="00686B19" w:rsidRPr="0043642B">
        <w:t xml:space="preserve"> are</w:t>
      </w:r>
      <w:r w:rsidRPr="0043642B">
        <w:t xml:space="preserve"> higher than </w:t>
      </w:r>
      <w:r w:rsidR="00686B19" w:rsidRPr="0043642B">
        <w:t xml:space="preserve">the </w:t>
      </w:r>
      <w:r w:rsidR="00C43C37" w:rsidRPr="0043642B">
        <w:t>B</w:t>
      </w:r>
      <w:r w:rsidRPr="0043642B">
        <w:t>ase or S1</w:t>
      </w:r>
      <w:r w:rsidRPr="00A95BEA">
        <w:t xml:space="preserve"> scenarios</w:t>
      </w:r>
      <w:r w:rsidR="00356EEC">
        <w:t xml:space="preserve">. See </w:t>
      </w:r>
      <w:r w:rsidR="00F31986">
        <w:fldChar w:fldCharType="begin"/>
      </w:r>
      <w:r w:rsidR="00F31986">
        <w:instrText xml:space="preserve"> REF _Ref51661079 \h </w:instrText>
      </w:r>
      <w:r w:rsidR="00F31986">
        <w:fldChar w:fldCharType="separate"/>
      </w:r>
      <w:r w:rsidR="00F31986">
        <w:t xml:space="preserve">Figure </w:t>
      </w:r>
      <w:r w:rsidR="00F31986">
        <w:rPr>
          <w:noProof/>
        </w:rPr>
        <w:t>3</w:t>
      </w:r>
      <w:r w:rsidR="00F31986">
        <w:noBreakHyphen/>
      </w:r>
      <w:r w:rsidR="00F31986">
        <w:rPr>
          <w:noProof/>
        </w:rPr>
        <w:t>1</w:t>
      </w:r>
      <w:r w:rsidR="00F31986">
        <w:fldChar w:fldCharType="end"/>
      </w:r>
      <w:r w:rsidR="00F31986" w:rsidRPr="00F7410A">
        <w:t>.</w:t>
      </w:r>
    </w:p>
    <w:p w:rsidR="00A552C4" w:rsidRDefault="00A552C4" w:rsidP="004002F6">
      <w:pPr>
        <w:spacing w:after="0" w:line="240" w:lineRule="auto"/>
        <w:jc w:val="center"/>
      </w:pPr>
      <w:r w:rsidRPr="00A552C4">
        <w:rPr>
          <w:noProof/>
        </w:rPr>
        <w:drawing>
          <wp:inline distT="0" distB="0" distL="0" distR="0" wp14:anchorId="3B532F01" wp14:editId="013F178E">
            <wp:extent cx="6023993" cy="4653243"/>
            <wp:effectExtent l="19050" t="19050" r="1524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4194" cy="4684296"/>
                    </a:xfrm>
                    <a:prstGeom prst="rect">
                      <a:avLst/>
                    </a:prstGeom>
                    <a:noFill/>
                    <a:ln w="3175">
                      <a:solidFill>
                        <a:srgbClr val="000000"/>
                      </a:solidFill>
                    </a:ln>
                  </pic:spPr>
                </pic:pic>
              </a:graphicData>
            </a:graphic>
          </wp:inline>
        </w:drawing>
      </w:r>
    </w:p>
    <w:p w:rsidR="00356EEC" w:rsidRPr="00A95BEA" w:rsidRDefault="00F31986" w:rsidP="004002F6">
      <w:pPr>
        <w:pStyle w:val="Caption"/>
        <w:spacing w:before="120" w:after="240"/>
        <w:ind w:left="360" w:right="-547" w:hanging="270"/>
      </w:pPr>
      <w:bookmarkStart w:id="22" w:name="_Ref51661079"/>
      <w:bookmarkStart w:id="23" w:name="_Toc51784371"/>
      <w:r>
        <w:t xml:space="preserve">Figure </w:t>
      </w:r>
      <w:fldSimple w:instr=" STYLEREF 1 \s ">
        <w:r w:rsidR="00AB0D3B">
          <w:rPr>
            <w:noProof/>
          </w:rPr>
          <w:t>3</w:t>
        </w:r>
      </w:fldSimple>
      <w:r w:rsidR="00AB0D3B">
        <w:noBreakHyphen/>
      </w:r>
      <w:fldSimple w:instr=" SEQ Figure \* ARABIC \s 1 ">
        <w:r w:rsidR="00AB0D3B">
          <w:rPr>
            <w:noProof/>
          </w:rPr>
          <w:t>1</w:t>
        </w:r>
      </w:fldSimple>
      <w:bookmarkEnd w:id="22"/>
      <w:r>
        <w:t>: Location of the Orrington-South interface and proposed 345 kV transmission line for the S2 scenario.</w:t>
      </w:r>
      <w:bookmarkEnd w:id="23"/>
    </w:p>
    <w:p w:rsidR="007B522D" w:rsidRDefault="001A6714" w:rsidP="00F60ED9">
      <w:r w:rsidRPr="00CC6422">
        <w:t xml:space="preserve">The study assessed the three scenarios under constrained (C) and relaxed-constraint (RC) </w:t>
      </w:r>
      <w:r w:rsidR="00503299">
        <w:t xml:space="preserve">transmission </w:t>
      </w:r>
      <w:r w:rsidRPr="00CC6422">
        <w:t xml:space="preserve">conditions, </w:t>
      </w:r>
      <w:r w:rsidR="00503299">
        <w:t xml:space="preserve">described in Section </w:t>
      </w:r>
      <w:r w:rsidR="00503299">
        <w:fldChar w:fldCharType="begin"/>
      </w:r>
      <w:r w:rsidR="00503299">
        <w:instrText xml:space="preserve"> REF _Ref42679720 \w \h </w:instrText>
      </w:r>
      <w:r w:rsidR="00503299">
        <w:fldChar w:fldCharType="separate"/>
      </w:r>
      <w:r w:rsidR="00503299">
        <w:t>4.2.1</w:t>
      </w:r>
      <w:r w:rsidR="00503299">
        <w:fldChar w:fldCharType="end"/>
      </w:r>
      <w:r w:rsidR="008019BB">
        <w:t>.</w:t>
      </w:r>
      <w:r w:rsidR="00503299">
        <w:t xml:space="preserve"> </w:t>
      </w:r>
      <w:r w:rsidR="009D74C7">
        <w:t>T</w:t>
      </w:r>
      <w:r w:rsidR="009D74C7" w:rsidRPr="005B108E">
        <w:t>hreshold pric</w:t>
      </w:r>
      <w:r w:rsidR="009D74C7" w:rsidRPr="004318BF">
        <w:t>es</w:t>
      </w:r>
      <w:r w:rsidR="009D74C7" w:rsidRPr="00DC7FC9">
        <w:t xml:space="preserve"> for </w:t>
      </w:r>
      <w:r w:rsidR="00434E1D" w:rsidRPr="00DC7FC9">
        <w:t xml:space="preserve">dispatching </w:t>
      </w:r>
      <w:r w:rsidR="009D74C7" w:rsidRPr="00DC7FC9">
        <w:t>va</w:t>
      </w:r>
      <w:r w:rsidR="009D74C7" w:rsidRPr="004318BF">
        <w:t>rio</w:t>
      </w:r>
      <w:r w:rsidR="009D74C7" w:rsidRPr="005B108E">
        <w:t xml:space="preserve">us resources, including imports, hydroelectric, photovoltaics (PV), </w:t>
      </w:r>
      <w:r w:rsidR="009D74C7">
        <w:t xml:space="preserve">and </w:t>
      </w:r>
      <w:r w:rsidR="009D74C7" w:rsidRPr="005B108E">
        <w:t>onshore and offshore wind</w:t>
      </w:r>
      <w:r w:rsidR="009D74C7">
        <w:t xml:space="preserve">, </w:t>
      </w:r>
      <w:r w:rsidR="00117AEE">
        <w:t xml:space="preserve">were used </w:t>
      </w:r>
      <w:r w:rsidR="009D74C7">
        <w:t xml:space="preserve">to </w:t>
      </w:r>
      <w:r w:rsidR="009D74C7" w:rsidRPr="005B108E">
        <w:t>examine</w:t>
      </w:r>
      <w:r w:rsidR="009D74C7">
        <w:t xml:space="preserve"> </w:t>
      </w:r>
      <w:r w:rsidR="009D74C7" w:rsidRPr="005B108E">
        <w:t xml:space="preserve">which resources </w:t>
      </w:r>
      <w:r w:rsidR="009D74C7">
        <w:t>would need to be backed</w:t>
      </w:r>
      <w:r w:rsidR="009D74C7" w:rsidRPr="005B108E">
        <w:t xml:space="preserve"> down first (i.e., spill</w:t>
      </w:r>
      <w:r w:rsidR="009D74C7">
        <w:t>ed</w:t>
      </w:r>
      <w:r w:rsidR="009D74C7" w:rsidRPr="005B108E">
        <w:t>) when the amount of $0/megawatt-hour (MWh) resources exceeded system load</w:t>
      </w:r>
      <w:r w:rsidR="009D74C7">
        <w:t>, or were in o</w:t>
      </w:r>
      <w:r w:rsidR="009D74C7" w:rsidRPr="005B108E">
        <w:t>versuppl</w:t>
      </w:r>
      <w:r w:rsidR="009D74C7">
        <w:t xml:space="preserve">y. </w:t>
      </w:r>
      <w:r w:rsidR="00503299">
        <w:t>Additionally,</w:t>
      </w:r>
      <w:r w:rsidR="009D74C7">
        <w:t xml:space="preserve"> </w:t>
      </w:r>
      <w:r w:rsidR="009D74C7" w:rsidRPr="00434E1D">
        <w:t xml:space="preserve">sensitivities were performed </w:t>
      </w:r>
      <w:r w:rsidR="00117AEE">
        <w:t>on</w:t>
      </w:r>
      <w:r w:rsidR="009D74C7" w:rsidRPr="00434E1D">
        <w:t xml:space="preserve"> the requested scenarios to identify the impact of differing curtailment orders of the New England Clean Energy Connect (NECEC) (i.e., an assumed new tie from Québec). For the sensitivities, the NECEC threshold price was increased from $2/megawatt-hour (MWh) to $11/MWh, meaning that NECEC would be curtailed before assumed native New England wind and imports.</w:t>
      </w:r>
      <w:r w:rsidR="00503299">
        <w:t xml:space="preserve"> </w:t>
      </w:r>
      <w:r w:rsidR="00503299" w:rsidRPr="003D1984">
        <w:t xml:space="preserve">These sensitivity cases are labeled </w:t>
      </w:r>
      <w:r w:rsidR="00503299" w:rsidRPr="00434E1D">
        <w:t xml:space="preserve">Base_Sen, S1_Sen, and S2_Sen for </w:t>
      </w:r>
      <w:r w:rsidR="00503299" w:rsidRPr="002451D7">
        <w:t>t</w:t>
      </w:r>
      <w:r w:rsidR="00503299" w:rsidRPr="00B23288">
        <w:t>he constrained</w:t>
      </w:r>
      <w:r w:rsidR="00503299" w:rsidRPr="002451D7">
        <w:t xml:space="preserve"> scenarios and</w:t>
      </w:r>
      <w:r w:rsidR="00503299" w:rsidRPr="00434E1D">
        <w:t xml:space="preserve"> Base_Sen_RC, S1_Sen_RC, and S2_Sen_RC</w:t>
      </w:r>
      <w:r w:rsidR="00503299" w:rsidRPr="003D1984">
        <w:t xml:space="preserve"> for the scenarios under relaxed</w:t>
      </w:r>
      <w:r w:rsidR="0054444E">
        <w:t>-</w:t>
      </w:r>
      <w:r w:rsidR="00503299" w:rsidRPr="003D1984">
        <w:t>constraint conditions.</w:t>
      </w:r>
    </w:p>
    <w:p w:rsidR="00857A79" w:rsidRDefault="000A7E80" w:rsidP="002C360C">
      <w:r>
        <w:t>As part of its request, RENEW asked t</w:t>
      </w:r>
      <w:r w:rsidR="00577095">
        <w:t>he</w:t>
      </w:r>
      <w:r>
        <w:t xml:space="preserve"> ISO to identify as a possible </w:t>
      </w:r>
      <w:r w:rsidR="003C79FE">
        <w:t xml:space="preserve">Market Efficiency Transmission Upgrade </w:t>
      </w:r>
      <w:r>
        <w:t>(METU)</w:t>
      </w:r>
      <w:r w:rsidR="00DC1AA2">
        <w:t xml:space="preserve"> any upgrade from the scenarios that showed the expected </w:t>
      </w:r>
      <w:r w:rsidR="00A2775D">
        <w:t xml:space="preserve">production </w:t>
      </w:r>
      <w:r w:rsidR="00DC1AA2">
        <w:t>cost savings to New England customers exceed</w:t>
      </w:r>
      <w:r w:rsidR="00CE7DED">
        <w:t>ing</w:t>
      </w:r>
      <w:r w:rsidR="00DC1AA2">
        <w:t xml:space="preserve"> the expected cost of th</w:t>
      </w:r>
      <w:r w:rsidR="00A552C4">
        <w:t>at</w:t>
      </w:r>
      <w:r w:rsidR="00DC1AA2">
        <w:t xml:space="preserve"> upgrade.</w:t>
      </w:r>
      <w:r w:rsidR="00DC1AA2">
        <w:rPr>
          <w:rStyle w:val="FootnoteReference"/>
        </w:rPr>
        <w:footnoteReference w:id="13"/>
      </w:r>
      <w:r w:rsidR="00DC1AA2">
        <w:t xml:space="preserve"> </w:t>
      </w:r>
    </w:p>
    <w:p w:rsidR="0066269A" w:rsidRPr="004C0C16" w:rsidRDefault="004C0C16" w:rsidP="00623F88">
      <w:pPr>
        <w:pStyle w:val="Heading1"/>
      </w:pPr>
      <w:r w:rsidRPr="004C0C16">
        <w:br/>
      </w:r>
      <w:bookmarkStart w:id="24" w:name="_Toc51784657"/>
      <w:r w:rsidR="009E28C2" w:rsidRPr="004C0C16">
        <w:t>Methodology</w:t>
      </w:r>
      <w:r w:rsidR="000613FD" w:rsidRPr="004C0C16">
        <w:t xml:space="preserve"> </w:t>
      </w:r>
      <w:r w:rsidR="00FF76B8" w:rsidRPr="004C0C16">
        <w:t>and Assumptions</w:t>
      </w:r>
      <w:bookmarkEnd w:id="24"/>
      <w:r w:rsidR="00015ECB" w:rsidRPr="004C0C16">
        <w:t xml:space="preserve"> </w:t>
      </w:r>
    </w:p>
    <w:p w:rsidR="00901753" w:rsidRDefault="00D87E48" w:rsidP="00901753">
      <w:r>
        <w:t>S</w:t>
      </w:r>
      <w:r w:rsidR="00901753">
        <w:t xml:space="preserve">tudy </w:t>
      </w:r>
      <w:r w:rsidR="00A47D39">
        <w:t xml:space="preserve">assumptions </w:t>
      </w:r>
      <w:r w:rsidR="00901753">
        <w:t>drive</w:t>
      </w:r>
      <w:r w:rsidR="00A47D39">
        <w:t xml:space="preserve"> the results</w:t>
      </w:r>
      <w:r w:rsidR="004D09B8">
        <w:t>, and s</w:t>
      </w:r>
      <w:r w:rsidR="004D09B8" w:rsidRPr="001111C9">
        <w:t xml:space="preserve">ome assumptions have a greater impact on the results than others </w:t>
      </w:r>
      <w:r w:rsidR="004D09B8" w:rsidRPr="00A47D39">
        <w:t>(</w:t>
      </w:r>
      <w:r w:rsidR="004D09B8" w:rsidRPr="00513CC2">
        <w:t>e.</w:t>
      </w:r>
      <w:r w:rsidR="00A47D39" w:rsidRPr="00513CC2">
        <w:t>g</w:t>
      </w:r>
      <w:r w:rsidR="00763BE9">
        <w:t>.</w:t>
      </w:r>
      <w:r w:rsidR="004D09B8" w:rsidRPr="00513CC2">
        <w:t>,</w:t>
      </w:r>
      <w:r w:rsidR="00023725" w:rsidRPr="00513CC2">
        <w:t xml:space="preserve"> </w:t>
      </w:r>
      <w:r w:rsidR="00023725" w:rsidRPr="00763BE9">
        <w:t>internal</w:t>
      </w:r>
      <w:r w:rsidR="00023725" w:rsidRPr="00881458">
        <w:t xml:space="preserve"> transmission interface limits</w:t>
      </w:r>
      <w:r w:rsidR="004D09B8">
        <w:t>)</w:t>
      </w:r>
      <w:r w:rsidR="00901753">
        <w:t xml:space="preserve">. </w:t>
      </w:r>
      <w:r w:rsidR="00D61DF6">
        <w:t xml:space="preserve">To gain efficiencies, </w:t>
      </w:r>
      <w:r w:rsidR="00D24022">
        <w:t xml:space="preserve">the </w:t>
      </w:r>
      <w:r w:rsidR="00D61DF6">
        <w:t xml:space="preserve">assumptions </w:t>
      </w:r>
      <w:r w:rsidR="00466D29">
        <w:t xml:space="preserve">for all three economic studies submitted in 2019 </w:t>
      </w:r>
      <w:r w:rsidR="00D61DF6">
        <w:t xml:space="preserve">were determined in concert. </w:t>
      </w:r>
      <w:r w:rsidR="00D24022">
        <w:t xml:space="preserve">At the </w:t>
      </w:r>
      <w:r w:rsidR="004301A0" w:rsidRPr="004301A0">
        <w:t>May 21, 2019</w:t>
      </w:r>
      <w:r w:rsidR="00A47D39">
        <w:t>,</w:t>
      </w:r>
      <w:r w:rsidR="00901753" w:rsidRPr="004301A0">
        <w:t xml:space="preserve"> and </w:t>
      </w:r>
      <w:r w:rsidR="004301A0" w:rsidRPr="004301A0">
        <w:t>August 8, 201</w:t>
      </w:r>
      <w:r w:rsidR="004301A0" w:rsidRPr="0061012A">
        <w:t>9</w:t>
      </w:r>
      <w:r w:rsidR="00A47D39">
        <w:t>,</w:t>
      </w:r>
      <w:r w:rsidR="00D24022" w:rsidRPr="00E712DA">
        <w:rPr>
          <w:rStyle w:val="Hyperlink"/>
          <w:color w:val="auto"/>
          <w:u w:val="none"/>
        </w:rPr>
        <w:t xml:space="preserve"> PAC meetings</w:t>
      </w:r>
      <w:r w:rsidR="00C55A92" w:rsidRPr="00E712DA">
        <w:rPr>
          <w:rStyle w:val="Hyperlink"/>
          <w:color w:val="auto"/>
          <w:u w:val="none"/>
        </w:rPr>
        <w:t>,</w:t>
      </w:r>
      <w:r w:rsidR="00D24022" w:rsidRPr="00E712DA">
        <w:rPr>
          <w:rStyle w:val="Hyperlink"/>
          <w:color w:val="auto"/>
          <w:u w:val="none"/>
        </w:rPr>
        <w:t xml:space="preserve"> the ISO reviewed in detail the</w:t>
      </w:r>
      <w:r w:rsidR="00C55A92" w:rsidRPr="00E712DA">
        <w:rPr>
          <w:rStyle w:val="Hyperlink"/>
          <w:color w:val="auto"/>
          <w:u w:val="none"/>
        </w:rPr>
        <w:t xml:space="preserve"> assumptions associated with the 2019</w:t>
      </w:r>
      <w:r w:rsidR="0032250D">
        <w:rPr>
          <w:rStyle w:val="Hyperlink"/>
          <w:color w:val="auto"/>
          <w:u w:val="none"/>
        </w:rPr>
        <w:t xml:space="preserve"> RENEW</w:t>
      </w:r>
      <w:r w:rsidR="00C55A92" w:rsidRPr="00E712DA">
        <w:rPr>
          <w:rStyle w:val="Hyperlink"/>
          <w:color w:val="auto"/>
          <w:u w:val="none"/>
        </w:rPr>
        <w:t xml:space="preserve"> Economic Study</w:t>
      </w:r>
      <w:r w:rsidR="00901753" w:rsidRPr="00E712DA">
        <w:t>.</w:t>
      </w:r>
      <w:r w:rsidR="00D24022" w:rsidRPr="00E712DA">
        <w:rPr>
          <w:rStyle w:val="FootnoteReference"/>
        </w:rPr>
        <w:footnoteReference w:id="14"/>
      </w:r>
      <w:r w:rsidR="00901753" w:rsidRPr="00E712DA">
        <w:t xml:space="preserve"> </w:t>
      </w:r>
      <w:r w:rsidR="00901753" w:rsidRPr="001111C9">
        <w:t xml:space="preserve">A status update was given on </w:t>
      </w:r>
      <w:r w:rsidR="004301A0" w:rsidRPr="004301A0">
        <w:t>November 20, 2019</w:t>
      </w:r>
      <w:r w:rsidR="00901753" w:rsidRPr="001111C9">
        <w:t>.</w:t>
      </w:r>
      <w:r w:rsidR="00D24022" w:rsidRPr="001111C9">
        <w:rPr>
          <w:rStyle w:val="FootnoteReference"/>
        </w:rPr>
        <w:footnoteReference w:id="15"/>
      </w:r>
      <w:r w:rsidR="00901753" w:rsidRPr="001111C9">
        <w:t xml:space="preserve"> </w:t>
      </w:r>
      <w:r w:rsidR="009B39DE">
        <w:t xml:space="preserve">This section </w:t>
      </w:r>
      <w:r w:rsidR="0038192C">
        <w:t>highlights</w:t>
      </w:r>
      <w:r w:rsidR="009B39DE">
        <w:t xml:space="preserve"> the importance of certain assumptions and how modeling was performed for the 2019 </w:t>
      </w:r>
      <w:r w:rsidR="0032250D">
        <w:t>RENEW</w:t>
      </w:r>
      <w:r w:rsidR="009B39DE">
        <w:t xml:space="preserve"> Economic Study.</w:t>
      </w:r>
    </w:p>
    <w:p w:rsidR="00C55A92" w:rsidRDefault="00C55A92" w:rsidP="0061012A">
      <w:pPr>
        <w:pStyle w:val="Heading2"/>
      </w:pPr>
      <w:bookmarkStart w:id="25" w:name="_Toc51784658"/>
      <w:r>
        <w:t>Modeling Tools and Methodology</w:t>
      </w:r>
      <w:bookmarkEnd w:id="25"/>
    </w:p>
    <w:p w:rsidR="00E23572" w:rsidRDefault="00147DA2" w:rsidP="00740FBD">
      <w:r>
        <w:t xml:space="preserve">The analyses were conducted using </w:t>
      </w:r>
      <w:r w:rsidR="00740FBD">
        <w:t>ABB’s</w:t>
      </w:r>
      <w:r>
        <w:t xml:space="preserve"> </w:t>
      </w:r>
      <w:r w:rsidRPr="00357388">
        <w:t>Grid</w:t>
      </w:r>
      <w:r w:rsidR="002C0C8F">
        <w:t>V</w:t>
      </w:r>
      <w:r w:rsidRPr="00357388">
        <w:t xml:space="preserve">iew </w:t>
      </w:r>
      <w:r w:rsidR="008B7B57">
        <w:t>economic</w:t>
      </w:r>
      <w:r w:rsidR="00C55A92">
        <w:t>-</w:t>
      </w:r>
      <w:r w:rsidR="008B7B57">
        <w:t xml:space="preserve">dispatch program. </w:t>
      </w:r>
      <w:r w:rsidR="00C55A92">
        <w:t xml:space="preserve">The </w:t>
      </w:r>
      <w:r w:rsidR="00740FBD">
        <w:t>program</w:t>
      </w:r>
      <w:r w:rsidR="00C55A92">
        <w:t xml:space="preserve"> is</w:t>
      </w:r>
      <w:r w:rsidR="00740FBD">
        <w:t xml:space="preserve"> </w:t>
      </w:r>
      <w:r w:rsidR="00740FBD" w:rsidRPr="001A11D5">
        <w:t xml:space="preserve">a </w:t>
      </w:r>
      <w:r w:rsidR="00F73B39">
        <w:t xml:space="preserve">complex </w:t>
      </w:r>
      <w:r w:rsidR="00740FBD" w:rsidRPr="00E5063C">
        <w:t>simulation tool</w:t>
      </w:r>
      <w:r w:rsidR="00740FBD">
        <w:t xml:space="preserve"> that</w:t>
      </w:r>
      <w:r w:rsidR="00740FBD" w:rsidRPr="00A60F9F">
        <w:t xml:space="preserve"> </w:t>
      </w:r>
      <w:r w:rsidR="00740FBD">
        <w:t xml:space="preserve">calculates least-cost </w:t>
      </w:r>
      <w:r w:rsidR="00740FBD" w:rsidRPr="00F43291">
        <w:t>transmission</w:t>
      </w:r>
      <w:r w:rsidR="00740FBD" w:rsidRPr="00241D31">
        <w:t>-</w:t>
      </w:r>
      <w:r w:rsidR="00740FBD" w:rsidRPr="00F43291">
        <w:t>security</w:t>
      </w:r>
      <w:r w:rsidR="00740FBD">
        <w:t>-</w:t>
      </w:r>
      <w:r w:rsidR="00740FBD" w:rsidRPr="00241D31">
        <w:t>c</w:t>
      </w:r>
      <w:r w:rsidR="00740FBD" w:rsidRPr="00F43291">
        <w:t>onstrain</w:t>
      </w:r>
      <w:r w:rsidR="00740FBD" w:rsidRPr="00241D31">
        <w:t xml:space="preserve">ed </w:t>
      </w:r>
      <w:r w:rsidR="00740FBD" w:rsidRPr="00F43291">
        <w:t>unit</w:t>
      </w:r>
      <w:r w:rsidR="00740FBD">
        <w:t xml:space="preserve"> commitment and economic dispatch under differing sets of assumptions and </w:t>
      </w:r>
      <w:r w:rsidR="00740FBD" w:rsidRPr="00147DA2">
        <w:t>minimize</w:t>
      </w:r>
      <w:r w:rsidR="00740FBD">
        <w:t>s</w:t>
      </w:r>
      <w:r w:rsidR="00740FBD" w:rsidRPr="00147DA2">
        <w:t xml:space="preserve"> production costs </w:t>
      </w:r>
      <w:r w:rsidR="00740FBD">
        <w:t xml:space="preserve">for a </w:t>
      </w:r>
      <w:r w:rsidR="00740FBD" w:rsidRPr="00147DA2">
        <w:t>given set of unit characteristics</w:t>
      </w:r>
      <w:r w:rsidR="00BF1EA7" w:rsidRPr="001C20B1">
        <w:t xml:space="preserve">. </w:t>
      </w:r>
      <w:r w:rsidR="00E23572" w:rsidRPr="002D5261">
        <w:t>The program explicitly models a full network</w:t>
      </w:r>
      <w:r w:rsidR="00E76344">
        <w:t xml:space="preserve">, </w:t>
      </w:r>
      <w:r w:rsidR="00E23572" w:rsidRPr="002D5261">
        <w:t xml:space="preserve">and </w:t>
      </w:r>
      <w:r w:rsidR="005F0CB1" w:rsidRPr="00080481">
        <w:t xml:space="preserve">New England was modeled as a constrained single area for </w:t>
      </w:r>
      <w:r w:rsidR="005F0CB1" w:rsidRPr="002D5261">
        <w:t>unit commitment</w:t>
      </w:r>
      <w:r w:rsidR="00F73B39" w:rsidRPr="002D5261">
        <w:t>.</w:t>
      </w:r>
    </w:p>
    <w:p w:rsidR="00860A8C" w:rsidRDefault="00860A8C" w:rsidP="00740FBD">
      <w:r w:rsidRPr="002B1E0C">
        <w:t xml:space="preserve">The as-planned transmission system was used for estimating the system’s transfer limits for internal and external interfaces. The </w:t>
      </w:r>
      <w:r w:rsidR="0032250D">
        <w:t xml:space="preserve">projected </w:t>
      </w:r>
      <w:r w:rsidRPr="002B1E0C">
        <w:t>20</w:t>
      </w:r>
      <w:r w:rsidR="0032250D">
        <w:t>25</w:t>
      </w:r>
      <w:r w:rsidRPr="002B1E0C">
        <w:t xml:space="preserve"> </w:t>
      </w:r>
      <w:r w:rsidR="00C55A92" w:rsidRPr="002B1E0C">
        <w:t xml:space="preserve">transfer capabilities </w:t>
      </w:r>
      <w:r w:rsidR="00C55A92">
        <w:t xml:space="preserve">for </w:t>
      </w:r>
      <w:r w:rsidRPr="002B1E0C">
        <w:t>internal and external transmission</w:t>
      </w:r>
      <w:r w:rsidR="00C55A92">
        <w:t xml:space="preserve"> </w:t>
      </w:r>
      <w:r w:rsidRPr="002B1E0C">
        <w:t>interface</w:t>
      </w:r>
      <w:r w:rsidR="00C55A92">
        <w:t>s</w:t>
      </w:r>
      <w:r w:rsidRPr="002B1E0C">
        <w:t xml:space="preserve"> were </w:t>
      </w:r>
      <w:r w:rsidR="0032250D">
        <w:t>used</w:t>
      </w:r>
      <w:r w:rsidRPr="002B1E0C">
        <w:t>.</w:t>
      </w:r>
      <w:r w:rsidRPr="001C20B1">
        <w:rPr>
          <w:rStyle w:val="FootnoteReference"/>
        </w:rPr>
        <w:footnoteReference w:id="16"/>
      </w:r>
      <w:r w:rsidR="00EA37C5" w:rsidRPr="0061012A">
        <w:t xml:space="preserve"> Regional resources were economically dispatched in the simulations to respect the assumed “normal” transmission</w:t>
      </w:r>
      <w:r w:rsidR="00EA37C5" w:rsidRPr="00E712DA">
        <w:t xml:space="preserve"> system transfer lim</w:t>
      </w:r>
      <w:r w:rsidR="00EA37C5" w:rsidRPr="001C4DAF">
        <w:t>its.</w:t>
      </w:r>
      <w:r w:rsidR="00EA37C5" w:rsidRPr="001C4DAF">
        <w:rPr>
          <w:rStyle w:val="FootnoteReference"/>
        </w:rPr>
        <w:footnoteReference w:id="17"/>
      </w:r>
    </w:p>
    <w:p w:rsidR="009C02EB" w:rsidRDefault="009C02EB" w:rsidP="001C4DAF">
      <w:pPr>
        <w:pStyle w:val="Heading2"/>
      </w:pPr>
      <w:bookmarkStart w:id="26" w:name="_Ref42689949"/>
      <w:bookmarkStart w:id="27" w:name="_Toc51784659"/>
      <w:r>
        <w:t>Assumptions</w:t>
      </w:r>
      <w:bookmarkEnd w:id="26"/>
      <w:bookmarkEnd w:id="27"/>
    </w:p>
    <w:p w:rsidR="00E306F0" w:rsidRDefault="004D09B8" w:rsidP="00740FBD">
      <w:r w:rsidRPr="001C4DAF">
        <w:t xml:space="preserve">This </w:t>
      </w:r>
      <w:r w:rsidR="0061012A">
        <w:t>section</w:t>
      </w:r>
      <w:r w:rsidRPr="001C4DAF">
        <w:t xml:space="preserve"> summarizes the assumptions made for the following parameters:</w:t>
      </w:r>
    </w:p>
    <w:p w:rsidR="00E76344" w:rsidRDefault="00A422BA" w:rsidP="001C4DAF">
      <w:pPr>
        <w:pStyle w:val="ListParagraph"/>
        <w:numPr>
          <w:ilvl w:val="0"/>
          <w:numId w:val="38"/>
        </w:numPr>
      </w:pPr>
      <w:r>
        <w:t>C</w:t>
      </w:r>
      <w:r w:rsidR="00E76344" w:rsidRPr="00E76344">
        <w:t>onstrained</w:t>
      </w:r>
      <w:r>
        <w:t xml:space="preserve"> and relaxed-constraint</w:t>
      </w:r>
      <w:r w:rsidR="00E76344" w:rsidRPr="00E76344">
        <w:t xml:space="preserve"> </w:t>
      </w:r>
      <w:r w:rsidR="004D09B8">
        <w:t>t</w:t>
      </w:r>
      <w:r w:rsidR="00E76344" w:rsidRPr="00E76344">
        <w:t>ransmission</w:t>
      </w:r>
    </w:p>
    <w:p w:rsidR="00117DEB" w:rsidRDefault="00C224EF" w:rsidP="001C4DAF">
      <w:pPr>
        <w:pStyle w:val="ListParagraph"/>
        <w:numPr>
          <w:ilvl w:val="0"/>
          <w:numId w:val="38"/>
        </w:numPr>
      </w:pPr>
      <w:r>
        <w:t>New England Control Area internal interface limits</w:t>
      </w:r>
    </w:p>
    <w:p w:rsidR="00C224EF" w:rsidRPr="00F85146" w:rsidRDefault="00437DBC" w:rsidP="001C4DAF">
      <w:pPr>
        <w:pStyle w:val="ListParagraph"/>
        <w:numPr>
          <w:ilvl w:val="0"/>
          <w:numId w:val="38"/>
        </w:numPr>
      </w:pPr>
      <w:r w:rsidRPr="00F85146">
        <w:t xml:space="preserve">Monthly operating limits at the Orrington-South </w:t>
      </w:r>
      <w:r w:rsidR="00763BE9" w:rsidRPr="00F85146">
        <w:t>i</w:t>
      </w:r>
      <w:r w:rsidRPr="00F85146">
        <w:t>nterface</w:t>
      </w:r>
    </w:p>
    <w:p w:rsidR="00E76344" w:rsidRDefault="004D09B8" w:rsidP="001C4DAF">
      <w:pPr>
        <w:pStyle w:val="ListParagraph"/>
        <w:numPr>
          <w:ilvl w:val="0"/>
          <w:numId w:val="38"/>
        </w:numPr>
      </w:pPr>
      <w:r>
        <w:t>I</w:t>
      </w:r>
      <w:r w:rsidR="00E76344">
        <w:t>nter</w:t>
      </w:r>
      <w:r w:rsidR="005E52AC">
        <w:t>changes</w:t>
      </w:r>
      <w:r>
        <w:t xml:space="preserve"> with neighboring systems</w:t>
      </w:r>
    </w:p>
    <w:p w:rsidR="006D4C1A" w:rsidRDefault="006D4C1A" w:rsidP="006D4C1A">
      <w:pPr>
        <w:pStyle w:val="ListParagraph"/>
        <w:numPr>
          <w:ilvl w:val="0"/>
          <w:numId w:val="38"/>
        </w:numPr>
      </w:pPr>
      <w:r>
        <w:t>Load levels</w:t>
      </w:r>
    </w:p>
    <w:p w:rsidR="005E52AC" w:rsidRPr="00DE1024" w:rsidRDefault="005E52AC" w:rsidP="001C4DAF">
      <w:pPr>
        <w:pStyle w:val="ListParagraph"/>
        <w:numPr>
          <w:ilvl w:val="0"/>
          <w:numId w:val="38"/>
        </w:numPr>
      </w:pPr>
      <w:r>
        <w:t>Weather</w:t>
      </w:r>
      <w:r w:rsidR="009D74C7">
        <w:t xml:space="preserve"> </w:t>
      </w:r>
      <w:r w:rsidR="00434E1D">
        <w:t>y</w:t>
      </w:r>
      <w:r w:rsidR="009D74C7">
        <w:t>ear</w:t>
      </w:r>
    </w:p>
    <w:p w:rsidR="00063CA6" w:rsidRDefault="00063CA6" w:rsidP="001C4DAF">
      <w:pPr>
        <w:pStyle w:val="ListParagraph"/>
        <w:numPr>
          <w:ilvl w:val="0"/>
          <w:numId w:val="38"/>
        </w:numPr>
      </w:pPr>
      <w:r>
        <w:t>Supply</w:t>
      </w:r>
      <w:r w:rsidR="00961A06">
        <w:t>-s</w:t>
      </w:r>
      <w:r>
        <w:t xml:space="preserve">ide </w:t>
      </w:r>
      <w:r w:rsidR="00961A06">
        <w:t>r</w:t>
      </w:r>
      <w:r>
        <w:t>esources</w:t>
      </w:r>
    </w:p>
    <w:p w:rsidR="005E52AC" w:rsidRDefault="005E52AC" w:rsidP="001C4DAF">
      <w:pPr>
        <w:pStyle w:val="ListParagraph"/>
        <w:numPr>
          <w:ilvl w:val="0"/>
          <w:numId w:val="38"/>
        </w:numPr>
      </w:pPr>
      <w:r>
        <w:t>Fuel prices</w:t>
      </w:r>
    </w:p>
    <w:p w:rsidR="005E52AC" w:rsidRDefault="005E52AC" w:rsidP="001C4DAF">
      <w:pPr>
        <w:pStyle w:val="ListParagraph"/>
        <w:numPr>
          <w:ilvl w:val="0"/>
          <w:numId w:val="38"/>
        </w:numPr>
      </w:pPr>
      <w:r>
        <w:t>Air</w:t>
      </w:r>
      <w:r w:rsidR="004D09B8">
        <w:t>-</w:t>
      </w:r>
      <w:r>
        <w:t>emission allowance</w:t>
      </w:r>
      <w:r w:rsidR="00437DBC">
        <w:t xml:space="preserve"> price</w:t>
      </w:r>
      <w:r>
        <w:t>s</w:t>
      </w:r>
    </w:p>
    <w:p w:rsidR="005E52AC" w:rsidRDefault="004D09B8" w:rsidP="001C4DAF">
      <w:pPr>
        <w:pStyle w:val="ListParagraph"/>
        <w:numPr>
          <w:ilvl w:val="0"/>
          <w:numId w:val="38"/>
        </w:numPr>
        <w:spacing w:after="240"/>
      </w:pPr>
      <w:r>
        <w:t>Resource t</w:t>
      </w:r>
      <w:r w:rsidR="005E52AC">
        <w:t>hreshold prices</w:t>
      </w:r>
      <w:r>
        <w:t xml:space="preserve"> ($/MWh)</w:t>
      </w:r>
    </w:p>
    <w:p w:rsidR="009C02EB" w:rsidRDefault="009C02EB" w:rsidP="001C4DAF">
      <w:pPr>
        <w:pStyle w:val="Heading3"/>
      </w:pPr>
      <w:bookmarkStart w:id="28" w:name="_Ref42679720"/>
      <w:bookmarkStart w:id="29" w:name="_Toc51784660"/>
      <w:r>
        <w:t xml:space="preserve">Parameters for </w:t>
      </w:r>
      <w:r w:rsidR="00A422BA">
        <w:t xml:space="preserve">Simulating </w:t>
      </w:r>
      <w:r>
        <w:t xml:space="preserve">Constrained </w:t>
      </w:r>
      <w:r w:rsidR="00A422BA">
        <w:t>Relax</w:t>
      </w:r>
      <w:r w:rsidR="00961A06">
        <w:t>ed-</w:t>
      </w:r>
      <w:r w:rsidR="00A422BA">
        <w:t xml:space="preserve">Constraint </w:t>
      </w:r>
      <w:r>
        <w:t>Transmission</w:t>
      </w:r>
      <w:bookmarkEnd w:id="28"/>
      <w:bookmarkEnd w:id="29"/>
    </w:p>
    <w:p w:rsidR="00740FBD" w:rsidRDefault="00740FBD" w:rsidP="00740FBD">
      <w:r>
        <w:t>P</w:t>
      </w:r>
      <w:r w:rsidRPr="0050799C">
        <w:t>roduction cost</w:t>
      </w:r>
      <w:r w:rsidR="009D3C5C">
        <w:t>s were</w:t>
      </w:r>
      <w:r w:rsidRPr="0050799C">
        <w:t xml:space="preserve"> simulat</w:t>
      </w:r>
      <w:r w:rsidR="009D3C5C">
        <w:t xml:space="preserve">ed </w:t>
      </w:r>
      <w:r w:rsidRPr="0050799C">
        <w:t xml:space="preserve">under </w:t>
      </w:r>
      <w:r w:rsidR="00E306F0">
        <w:t>c</w:t>
      </w:r>
      <w:r w:rsidRPr="0050799C">
        <w:t>onstrained</w:t>
      </w:r>
      <w:r w:rsidR="004D09B8">
        <w:t xml:space="preserve"> </w:t>
      </w:r>
      <w:r w:rsidR="00A422BA">
        <w:t xml:space="preserve">and relaxed-constraint </w:t>
      </w:r>
      <w:r w:rsidR="004D09B8">
        <w:t>conditions</w:t>
      </w:r>
      <w:r w:rsidR="00BF1EA7">
        <w:t xml:space="preserve">. </w:t>
      </w:r>
      <w:r w:rsidR="004803CA" w:rsidRPr="00314955">
        <w:t xml:space="preserve">Under </w:t>
      </w:r>
      <w:r w:rsidRPr="00314955">
        <w:t>constrained transmission</w:t>
      </w:r>
      <w:r w:rsidR="004803CA" w:rsidRPr="00314955">
        <w:t>, the system</w:t>
      </w:r>
      <w:r w:rsidRPr="00314955">
        <w:t xml:space="preserve"> </w:t>
      </w:r>
      <w:r w:rsidR="00EA37C5" w:rsidRPr="00314955">
        <w:t>wa</w:t>
      </w:r>
      <w:r w:rsidRPr="00314955">
        <w:t>s modele</w:t>
      </w:r>
      <w:r w:rsidRPr="00DE1024">
        <w:t>d using the “</w:t>
      </w:r>
      <w:r w:rsidR="00E306F0" w:rsidRPr="00DE1024">
        <w:t>p</w:t>
      </w:r>
      <w:r w:rsidRPr="00DE1024">
        <w:t>ipe</w:t>
      </w:r>
      <w:r w:rsidR="001C4DAF" w:rsidRPr="00DE1024">
        <w:t>”</w:t>
      </w:r>
      <w:r w:rsidRPr="00DE1024">
        <w:t xml:space="preserve"> and </w:t>
      </w:r>
      <w:r w:rsidR="00E306F0" w:rsidRPr="00DE1024">
        <w:t>Regional System Plan (</w:t>
      </w:r>
      <w:r w:rsidRPr="00DE1024">
        <w:t>RSP</w:t>
      </w:r>
      <w:r w:rsidR="00E306F0" w:rsidRPr="00DE1024">
        <w:t>)</w:t>
      </w:r>
      <w:r w:rsidRPr="00DE1024">
        <w:t xml:space="preserve"> </w:t>
      </w:r>
      <w:r w:rsidR="001C4DAF" w:rsidRPr="00DE1024">
        <w:t>“</w:t>
      </w:r>
      <w:r w:rsidR="00E306F0" w:rsidRPr="00DE1024">
        <w:t>b</w:t>
      </w:r>
      <w:r w:rsidRPr="00DE1024">
        <w:t>ubble” configuration</w:t>
      </w:r>
      <w:r w:rsidR="00E306F0" w:rsidRPr="00DE1024">
        <w:t>, with “pipes” repre</w:t>
      </w:r>
      <w:r w:rsidR="00E306F0" w:rsidRPr="005D371D">
        <w:t xml:space="preserve">senting transmission interfaces </w:t>
      </w:r>
      <w:r w:rsidR="004803CA" w:rsidRPr="00DE1024">
        <w:t xml:space="preserve">that </w:t>
      </w:r>
      <w:r w:rsidR="00E306F0" w:rsidRPr="00DE1024">
        <w:t>connect the “bubbles</w:t>
      </w:r>
      <w:r w:rsidR="004803CA" w:rsidRPr="00DE1024">
        <w:t>,</w:t>
      </w:r>
      <w:r w:rsidR="00E306F0" w:rsidRPr="00DE1024">
        <w:t xml:space="preserve">” </w:t>
      </w:r>
      <w:r w:rsidR="004803CA" w:rsidRPr="00DE1024">
        <w:t xml:space="preserve">which </w:t>
      </w:r>
      <w:r w:rsidR="00E306F0" w:rsidRPr="00DE1024">
        <w:t xml:space="preserve">represent the various planning </w:t>
      </w:r>
      <w:r w:rsidR="008019BB" w:rsidRPr="00314955">
        <w:t>sub</w:t>
      </w:r>
      <w:r w:rsidR="00E306F0" w:rsidRPr="00314955">
        <w:t>a</w:t>
      </w:r>
      <w:r w:rsidR="00E306F0" w:rsidRPr="00DE1024">
        <w:t>reas.</w:t>
      </w:r>
      <w:r w:rsidR="009D3C5C" w:rsidRPr="00DE1024">
        <w:rPr>
          <w:rStyle w:val="FootnoteReference"/>
        </w:rPr>
        <w:footnoteReference w:id="18"/>
      </w:r>
      <w:r w:rsidR="00E306F0" w:rsidRPr="00DE1024">
        <w:t xml:space="preserve"> See </w:t>
      </w:r>
      <w:r w:rsidR="00961A06" w:rsidRPr="00960666">
        <w:fldChar w:fldCharType="begin"/>
      </w:r>
      <w:r w:rsidR="00961A06" w:rsidRPr="00DE1024">
        <w:instrText xml:space="preserve"> REF _Ref42588683 \h  \* MERGEFORMAT </w:instrText>
      </w:r>
      <w:r w:rsidR="00961A06" w:rsidRPr="00960666">
        <w:fldChar w:fldCharType="separate"/>
      </w:r>
      <w:r w:rsidR="00961A06" w:rsidRPr="00DE1024">
        <w:t xml:space="preserve">Figure </w:t>
      </w:r>
      <w:r w:rsidR="00961A06" w:rsidRPr="00DE1024">
        <w:rPr>
          <w:noProof/>
        </w:rPr>
        <w:t>4</w:t>
      </w:r>
      <w:r w:rsidR="00961A06" w:rsidRPr="00DE1024">
        <w:noBreakHyphen/>
      </w:r>
      <w:r w:rsidR="00961A06" w:rsidRPr="00DE1024">
        <w:rPr>
          <w:noProof/>
        </w:rPr>
        <w:t>1</w:t>
      </w:r>
      <w:r w:rsidR="00961A06" w:rsidRPr="00960666">
        <w:fldChar w:fldCharType="end"/>
      </w:r>
      <w:r w:rsidR="001C4DAF" w:rsidRPr="00DE1024">
        <w:t>.</w:t>
      </w:r>
      <w:r w:rsidR="00BF1EA7">
        <w:t xml:space="preserve"> </w:t>
      </w:r>
      <w:r w:rsidR="00314955">
        <w:t xml:space="preserve">Under relaxed-constraint </w:t>
      </w:r>
      <w:r w:rsidR="00314955" w:rsidRPr="0050799C">
        <w:t>transmission</w:t>
      </w:r>
      <w:r w:rsidR="00314955">
        <w:t>,</w:t>
      </w:r>
      <w:r w:rsidR="00314955" w:rsidRPr="0050799C">
        <w:t xml:space="preserve"> </w:t>
      </w:r>
      <w:r w:rsidR="00314955">
        <w:t xml:space="preserve">the New England transmission system </w:t>
      </w:r>
      <w:r w:rsidR="00314955" w:rsidRPr="00314955">
        <w:t xml:space="preserve">was modeled as </w:t>
      </w:r>
      <w:r w:rsidR="00314955" w:rsidRPr="005B69C2">
        <w:t>pipe and RSP bubble at the Orrington-South interface and as a single bus for the rest of system.</w:t>
      </w:r>
    </w:p>
    <w:p w:rsidR="00E911A0" w:rsidRDefault="00E911A0" w:rsidP="00E911A0">
      <w:pPr>
        <w:keepNext/>
        <w:keepLines/>
        <w:spacing w:after="0" w:line="240" w:lineRule="auto"/>
        <w:jc w:val="center"/>
      </w:pPr>
      <w:r w:rsidRPr="00E911A0">
        <w:rPr>
          <w:noProof/>
        </w:rPr>
        <w:drawing>
          <wp:inline distT="0" distB="0" distL="0" distR="0" wp14:anchorId="6C775310" wp14:editId="38BA7AA9">
            <wp:extent cx="5943600" cy="3186648"/>
            <wp:effectExtent l="19050" t="19050" r="1905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186648"/>
                    </a:xfrm>
                    <a:prstGeom prst="rect">
                      <a:avLst/>
                    </a:prstGeom>
                    <a:noFill/>
                    <a:ln w="3175">
                      <a:solidFill>
                        <a:srgbClr val="000000"/>
                      </a:solidFill>
                    </a:ln>
                  </pic:spPr>
                </pic:pic>
              </a:graphicData>
            </a:graphic>
          </wp:inline>
        </w:drawing>
      </w:r>
    </w:p>
    <w:p w:rsidR="00E306F0" w:rsidRPr="00E6476A" w:rsidRDefault="00961A06" w:rsidP="00CC36B0">
      <w:pPr>
        <w:pStyle w:val="Caption"/>
        <w:spacing w:before="120" w:after="80"/>
      </w:pPr>
      <w:bookmarkStart w:id="30" w:name="_Ref42588683"/>
      <w:bookmarkStart w:id="31" w:name="_Toc51784372"/>
      <w:r>
        <w:t xml:space="preserve">Figure </w:t>
      </w:r>
      <w:fldSimple w:instr=" STYLEREF 1 \s ">
        <w:r w:rsidR="00AB0D3B">
          <w:rPr>
            <w:noProof/>
          </w:rPr>
          <w:t>4</w:t>
        </w:r>
      </w:fldSimple>
      <w:r w:rsidR="00AB0D3B">
        <w:noBreakHyphen/>
      </w:r>
      <w:fldSimple w:instr=" SEQ Figure \* ARABIC \s 1 ">
        <w:r w:rsidR="00AB0D3B">
          <w:rPr>
            <w:noProof/>
          </w:rPr>
          <w:t>1</w:t>
        </w:r>
      </w:fldSimple>
      <w:bookmarkEnd w:id="30"/>
      <w:r w:rsidR="00E306F0" w:rsidRPr="00E712DA">
        <w:t>: Assumed New England sy</w:t>
      </w:r>
      <w:r w:rsidR="00EA1949">
        <w:t xml:space="preserve">stem </w:t>
      </w:r>
      <w:r w:rsidR="00E6476A">
        <w:t xml:space="preserve">interface constraints </w:t>
      </w:r>
      <w:r w:rsidR="00EA1949">
        <w:t>for the 2025</w:t>
      </w:r>
      <w:r w:rsidR="00E306F0" w:rsidRPr="00E712DA">
        <w:t xml:space="preserve"> study y</w:t>
      </w:r>
      <w:r w:rsidR="00E306F0" w:rsidRPr="00E6476A">
        <w:t>ear.</w:t>
      </w:r>
      <w:r w:rsidR="00592864" w:rsidRPr="00E6476A">
        <w:rPr>
          <w:vertAlign w:val="superscript"/>
        </w:rPr>
        <w:t>(a)</w:t>
      </w:r>
      <w:bookmarkEnd w:id="31"/>
    </w:p>
    <w:p w:rsidR="0054771A" w:rsidRDefault="00BB415A" w:rsidP="00314955">
      <w:pPr>
        <w:keepNext/>
        <w:keepLines/>
        <w:spacing w:after="0" w:line="240" w:lineRule="auto"/>
        <w:rPr>
          <w:rFonts w:asciiTheme="minorHAnsi" w:hAnsiTheme="minorHAnsi" w:cstheme="minorHAnsi"/>
          <w:sz w:val="16"/>
          <w:szCs w:val="16"/>
        </w:rPr>
      </w:pPr>
      <w:r w:rsidRPr="003D1984">
        <w:rPr>
          <w:rFonts w:asciiTheme="minorHAnsi" w:hAnsiTheme="minorHAnsi" w:cstheme="minorHAnsi"/>
          <w:b/>
          <w:sz w:val="16"/>
          <w:szCs w:val="16"/>
        </w:rPr>
        <w:t>Note</w:t>
      </w:r>
      <w:r w:rsidR="004826D9" w:rsidRPr="003D1984">
        <w:rPr>
          <w:rFonts w:asciiTheme="minorHAnsi" w:hAnsiTheme="minorHAnsi" w:cstheme="minorHAnsi"/>
          <w:b/>
          <w:sz w:val="16"/>
          <w:szCs w:val="16"/>
        </w:rPr>
        <w:t>s</w:t>
      </w:r>
      <w:r w:rsidRPr="003D1984">
        <w:rPr>
          <w:rFonts w:asciiTheme="minorHAnsi" w:hAnsiTheme="minorHAnsi" w:cstheme="minorHAnsi"/>
          <w:b/>
          <w:sz w:val="16"/>
          <w:szCs w:val="16"/>
        </w:rPr>
        <w:t xml:space="preserve">: </w:t>
      </w:r>
      <w:r w:rsidR="0054771A" w:rsidRPr="003D1984">
        <w:rPr>
          <w:rFonts w:asciiTheme="minorHAnsi" w:hAnsiTheme="minorHAnsi" w:cstheme="minorHAnsi"/>
          <w:sz w:val="16"/>
          <w:szCs w:val="16"/>
        </w:rPr>
        <w:t>(a)</w:t>
      </w:r>
      <w:r w:rsidR="008019BB" w:rsidRPr="008019BB">
        <w:rPr>
          <w:rFonts w:asciiTheme="minorHAnsi" w:hAnsiTheme="minorHAnsi" w:cstheme="minorHAnsi"/>
          <w:sz w:val="16"/>
          <w:szCs w:val="16"/>
        </w:rPr>
        <w:t xml:space="preserve"> </w:t>
      </w:r>
      <w:r w:rsidR="008019BB" w:rsidRPr="00592864">
        <w:rPr>
          <w:rFonts w:asciiTheme="minorHAnsi" w:hAnsiTheme="minorHAnsi" w:cstheme="minorHAnsi"/>
          <w:sz w:val="16"/>
          <w:szCs w:val="16"/>
        </w:rPr>
        <w:t xml:space="preserve">Ratings are a function of unit availabilities, area loads, or both. </w:t>
      </w:r>
      <w:r w:rsidR="00342666" w:rsidRPr="008019BB">
        <w:rPr>
          <w:rFonts w:asciiTheme="minorHAnsi" w:hAnsiTheme="minorHAnsi" w:cstheme="minorHAnsi"/>
          <w:sz w:val="16"/>
          <w:szCs w:val="16"/>
        </w:rPr>
        <w:t>B</w:t>
      </w:r>
      <w:r w:rsidR="00342666" w:rsidRPr="003D1984">
        <w:rPr>
          <w:rFonts w:asciiTheme="minorHAnsi" w:hAnsiTheme="minorHAnsi" w:cstheme="minorHAnsi"/>
          <w:sz w:val="16"/>
          <w:szCs w:val="16"/>
        </w:rPr>
        <w:t>H</w:t>
      </w:r>
      <w:r w:rsidR="00342666" w:rsidRPr="00E712DA">
        <w:rPr>
          <w:rFonts w:asciiTheme="minorHAnsi" w:hAnsiTheme="minorHAnsi" w:cstheme="minorHAnsi"/>
          <w:sz w:val="16"/>
          <w:szCs w:val="16"/>
        </w:rPr>
        <w:t>E</w:t>
      </w:r>
      <w:r w:rsidR="006C4900" w:rsidRPr="00E712DA">
        <w:rPr>
          <w:rFonts w:asciiTheme="minorHAnsi" w:hAnsiTheme="minorHAnsi" w:cstheme="minorHAnsi"/>
          <w:sz w:val="16"/>
          <w:szCs w:val="16"/>
        </w:rPr>
        <w:t xml:space="preserve"> = Northeastern Maine</w:t>
      </w:r>
      <w:r w:rsidR="00342666" w:rsidRPr="00E712DA">
        <w:rPr>
          <w:rFonts w:asciiTheme="minorHAnsi" w:hAnsiTheme="minorHAnsi" w:cstheme="minorHAnsi"/>
          <w:sz w:val="16"/>
          <w:szCs w:val="16"/>
        </w:rPr>
        <w:t>; CMA/NEMA</w:t>
      </w:r>
      <w:r w:rsidR="006C4900" w:rsidRPr="00E712DA">
        <w:rPr>
          <w:rFonts w:asciiTheme="minorHAnsi" w:hAnsiTheme="minorHAnsi" w:cstheme="minorHAnsi"/>
          <w:sz w:val="16"/>
          <w:szCs w:val="16"/>
        </w:rPr>
        <w:t xml:space="preserve"> = Central Massachusetts/Northeast Massachusetts</w:t>
      </w:r>
      <w:r w:rsidR="00342666" w:rsidRPr="00E712DA">
        <w:rPr>
          <w:rFonts w:asciiTheme="minorHAnsi" w:hAnsiTheme="minorHAnsi" w:cstheme="minorHAnsi"/>
          <w:sz w:val="16"/>
          <w:szCs w:val="16"/>
        </w:rPr>
        <w:t xml:space="preserve">; CSC = Cross-Sound Cable; </w:t>
      </w:r>
      <w:r w:rsidR="006C4900" w:rsidRPr="00E712DA">
        <w:rPr>
          <w:rFonts w:asciiTheme="minorHAnsi" w:hAnsiTheme="minorHAnsi" w:cstheme="minorHAnsi"/>
          <w:sz w:val="16"/>
          <w:szCs w:val="16"/>
        </w:rPr>
        <w:t xml:space="preserve">CT = Connecticut; </w:t>
      </w:r>
      <w:r w:rsidR="00342666" w:rsidRPr="00E712DA">
        <w:rPr>
          <w:rFonts w:asciiTheme="minorHAnsi" w:hAnsiTheme="minorHAnsi" w:cstheme="minorHAnsi"/>
          <w:sz w:val="16"/>
          <w:szCs w:val="16"/>
        </w:rPr>
        <w:t>NB = New Brunswi</w:t>
      </w:r>
      <w:r w:rsidR="002D5261" w:rsidRPr="00E712DA">
        <w:rPr>
          <w:rFonts w:asciiTheme="minorHAnsi" w:hAnsiTheme="minorHAnsi" w:cstheme="minorHAnsi"/>
          <w:sz w:val="16"/>
          <w:szCs w:val="16"/>
        </w:rPr>
        <w:t>c</w:t>
      </w:r>
      <w:r w:rsidR="00342666" w:rsidRPr="00E712DA">
        <w:rPr>
          <w:rFonts w:asciiTheme="minorHAnsi" w:hAnsiTheme="minorHAnsi" w:cstheme="minorHAnsi"/>
          <w:sz w:val="16"/>
          <w:szCs w:val="16"/>
        </w:rPr>
        <w:t>k, C</w:t>
      </w:r>
      <w:r w:rsidR="002D5261" w:rsidRPr="00E712DA">
        <w:rPr>
          <w:rFonts w:asciiTheme="minorHAnsi" w:hAnsiTheme="minorHAnsi" w:cstheme="minorHAnsi"/>
          <w:sz w:val="16"/>
          <w:szCs w:val="16"/>
        </w:rPr>
        <w:t>anada</w:t>
      </w:r>
      <w:r w:rsidR="00342666" w:rsidRPr="00E712DA">
        <w:rPr>
          <w:rFonts w:asciiTheme="minorHAnsi" w:hAnsiTheme="minorHAnsi" w:cstheme="minorHAnsi"/>
          <w:sz w:val="16"/>
          <w:szCs w:val="16"/>
        </w:rPr>
        <w:t xml:space="preserve">; NE = New England; </w:t>
      </w:r>
      <w:r w:rsidR="006C4900" w:rsidRPr="00E712DA">
        <w:rPr>
          <w:rFonts w:asciiTheme="minorHAnsi" w:hAnsiTheme="minorHAnsi" w:cstheme="minorHAnsi"/>
          <w:sz w:val="16"/>
          <w:szCs w:val="16"/>
        </w:rPr>
        <w:t xml:space="preserve">NH = New Hampshire; </w:t>
      </w:r>
      <w:r w:rsidR="00342666" w:rsidRPr="00E712DA">
        <w:rPr>
          <w:rFonts w:asciiTheme="minorHAnsi" w:hAnsiTheme="minorHAnsi" w:cstheme="minorHAnsi"/>
          <w:sz w:val="16"/>
          <w:szCs w:val="16"/>
        </w:rPr>
        <w:t>NOR = Norwalk; NY = New York; SEMA/RI = Southeast Massachusetts/Rhode Islan</w:t>
      </w:r>
      <w:r w:rsidR="00342666" w:rsidRPr="0083251A">
        <w:rPr>
          <w:rFonts w:asciiTheme="minorHAnsi" w:hAnsiTheme="minorHAnsi" w:cstheme="minorHAnsi"/>
          <w:sz w:val="16"/>
          <w:szCs w:val="16"/>
        </w:rPr>
        <w:t>d; SME</w:t>
      </w:r>
      <w:r w:rsidR="006C4900" w:rsidRPr="0083251A">
        <w:rPr>
          <w:rFonts w:asciiTheme="minorHAnsi" w:hAnsiTheme="minorHAnsi" w:cstheme="minorHAnsi"/>
          <w:sz w:val="16"/>
          <w:szCs w:val="16"/>
        </w:rPr>
        <w:t xml:space="preserve"> = Southern Maine; </w:t>
      </w:r>
      <w:r w:rsidR="00342666" w:rsidRPr="0083251A">
        <w:rPr>
          <w:rFonts w:asciiTheme="minorHAnsi" w:hAnsiTheme="minorHAnsi" w:cstheme="minorHAnsi"/>
          <w:sz w:val="16"/>
          <w:szCs w:val="16"/>
        </w:rPr>
        <w:t>SWCT</w:t>
      </w:r>
      <w:r w:rsidR="006C4900" w:rsidRPr="0083251A">
        <w:rPr>
          <w:rFonts w:asciiTheme="minorHAnsi" w:hAnsiTheme="minorHAnsi" w:cstheme="minorHAnsi"/>
          <w:sz w:val="16"/>
          <w:szCs w:val="16"/>
        </w:rPr>
        <w:t xml:space="preserve"> = Southwest</w:t>
      </w:r>
      <w:r w:rsidR="002D5261" w:rsidRPr="0083251A">
        <w:rPr>
          <w:rFonts w:asciiTheme="minorHAnsi" w:hAnsiTheme="minorHAnsi" w:cstheme="minorHAnsi"/>
          <w:sz w:val="16"/>
          <w:szCs w:val="16"/>
        </w:rPr>
        <w:t xml:space="preserve"> </w:t>
      </w:r>
      <w:r w:rsidR="0083251A">
        <w:rPr>
          <w:rFonts w:asciiTheme="minorHAnsi" w:hAnsiTheme="minorHAnsi" w:cstheme="minorHAnsi"/>
          <w:sz w:val="16"/>
          <w:szCs w:val="16"/>
        </w:rPr>
        <w:t>Connecticut</w:t>
      </w:r>
      <w:r w:rsidR="00342666" w:rsidRPr="0083251A">
        <w:rPr>
          <w:rFonts w:asciiTheme="minorHAnsi" w:hAnsiTheme="minorHAnsi" w:cstheme="minorHAnsi"/>
          <w:sz w:val="16"/>
          <w:szCs w:val="16"/>
        </w:rPr>
        <w:t xml:space="preserve">; OSW = offshore wind; VT = Vermont; WMA = </w:t>
      </w:r>
      <w:r w:rsidR="006C4900" w:rsidRPr="0083251A">
        <w:rPr>
          <w:rFonts w:asciiTheme="minorHAnsi" w:hAnsiTheme="minorHAnsi" w:cstheme="minorHAnsi"/>
          <w:sz w:val="16"/>
          <w:szCs w:val="16"/>
        </w:rPr>
        <w:t>W</w:t>
      </w:r>
      <w:r w:rsidR="00342666" w:rsidRPr="0083251A">
        <w:rPr>
          <w:rFonts w:asciiTheme="minorHAnsi" w:hAnsiTheme="minorHAnsi" w:cstheme="minorHAnsi"/>
          <w:sz w:val="16"/>
          <w:szCs w:val="16"/>
        </w:rPr>
        <w:t>estern Massachusetts</w:t>
      </w:r>
      <w:r w:rsidR="006C4900" w:rsidRPr="0083251A">
        <w:rPr>
          <w:rFonts w:asciiTheme="minorHAnsi" w:hAnsiTheme="minorHAnsi" w:cstheme="minorHAnsi"/>
          <w:sz w:val="16"/>
          <w:szCs w:val="16"/>
        </w:rPr>
        <w:t xml:space="preserve">. </w:t>
      </w:r>
      <w:r w:rsidR="002D5261" w:rsidRPr="0083251A">
        <w:rPr>
          <w:rFonts w:asciiTheme="minorHAnsi" w:hAnsiTheme="minorHAnsi" w:cstheme="minorHAnsi"/>
          <w:sz w:val="16"/>
          <w:szCs w:val="16"/>
        </w:rPr>
        <w:t xml:space="preserve">Refer to </w:t>
      </w:r>
      <w:r w:rsidR="006C4900" w:rsidRPr="0083251A">
        <w:rPr>
          <w:rFonts w:asciiTheme="minorHAnsi" w:hAnsiTheme="minorHAnsi" w:cstheme="minorHAnsi"/>
          <w:sz w:val="16"/>
          <w:szCs w:val="16"/>
        </w:rPr>
        <w:t>the Syste</w:t>
      </w:r>
      <w:r w:rsidR="006C4900" w:rsidRPr="00E712DA">
        <w:rPr>
          <w:rFonts w:asciiTheme="minorHAnsi" w:hAnsiTheme="minorHAnsi" w:cstheme="minorHAnsi"/>
          <w:sz w:val="16"/>
          <w:szCs w:val="16"/>
        </w:rPr>
        <w:t xml:space="preserve">m Planning Subareas map at this </w:t>
      </w:r>
      <w:r w:rsidR="002D5261" w:rsidRPr="00E712DA">
        <w:rPr>
          <w:rFonts w:asciiTheme="minorHAnsi" w:hAnsiTheme="minorHAnsi" w:cstheme="minorHAnsi"/>
          <w:sz w:val="16"/>
          <w:szCs w:val="16"/>
        </w:rPr>
        <w:t xml:space="preserve">ISO </w:t>
      </w:r>
      <w:r w:rsidR="006C4900" w:rsidRPr="00E712DA">
        <w:rPr>
          <w:rFonts w:asciiTheme="minorHAnsi" w:hAnsiTheme="minorHAnsi" w:cstheme="minorHAnsi"/>
          <w:sz w:val="16"/>
          <w:szCs w:val="16"/>
        </w:rPr>
        <w:t xml:space="preserve">link: </w:t>
      </w:r>
      <w:hyperlink r:id="rId25" w:history="1">
        <w:r w:rsidR="001C4DAF" w:rsidRPr="00E712DA">
          <w:rPr>
            <w:rStyle w:val="Hyperlink"/>
            <w:rFonts w:asciiTheme="minorHAnsi" w:hAnsiTheme="minorHAnsi" w:cstheme="minorHAnsi"/>
            <w:sz w:val="16"/>
            <w:szCs w:val="16"/>
          </w:rPr>
          <w:t>https://www.iso-ne.com/about/key-stats/maps-and-diagrams/</w:t>
        </w:r>
      </w:hyperlink>
      <w:r w:rsidR="006C4900" w:rsidRPr="00E712DA">
        <w:rPr>
          <w:rFonts w:asciiTheme="minorHAnsi" w:hAnsiTheme="minorHAnsi" w:cstheme="minorHAnsi"/>
          <w:sz w:val="16"/>
          <w:szCs w:val="16"/>
        </w:rPr>
        <w:t>.</w:t>
      </w:r>
    </w:p>
    <w:p w:rsidR="001C4DAF" w:rsidRDefault="008019BB" w:rsidP="008019BB">
      <w:pPr>
        <w:keepNext/>
        <w:keepLines/>
        <w:spacing w:line="240" w:lineRule="auto"/>
      </w:pPr>
      <w:r w:rsidRPr="00592864" w:rsidDel="008019BB">
        <w:rPr>
          <w:rFonts w:asciiTheme="minorHAnsi" w:hAnsiTheme="minorHAnsi" w:cstheme="minorHAnsi"/>
          <w:sz w:val="16"/>
          <w:szCs w:val="16"/>
        </w:rPr>
        <w:t xml:space="preserve"> </w:t>
      </w:r>
      <w:r w:rsidR="00592864" w:rsidRPr="0054771A">
        <w:rPr>
          <w:rFonts w:asciiTheme="minorHAnsi" w:hAnsiTheme="minorHAnsi" w:cstheme="minorHAnsi"/>
          <w:sz w:val="16"/>
          <w:szCs w:val="16"/>
        </w:rPr>
        <w:t xml:space="preserve">(b) The Surowiec-South </w:t>
      </w:r>
      <w:r w:rsidR="00B91214">
        <w:rPr>
          <w:rFonts w:asciiTheme="minorHAnsi" w:hAnsiTheme="minorHAnsi" w:cstheme="minorHAnsi"/>
          <w:sz w:val="16"/>
          <w:szCs w:val="16"/>
        </w:rPr>
        <w:t>i</w:t>
      </w:r>
      <w:r w:rsidR="00592864" w:rsidRPr="0054771A">
        <w:rPr>
          <w:rFonts w:asciiTheme="minorHAnsi" w:hAnsiTheme="minorHAnsi" w:cstheme="minorHAnsi"/>
          <w:sz w:val="16"/>
          <w:szCs w:val="16"/>
        </w:rPr>
        <w:t>nterface limit is 2,500 MW</w:t>
      </w:r>
      <w:r w:rsidR="00592864" w:rsidRPr="00961A06">
        <w:rPr>
          <w:rFonts w:asciiTheme="minorHAnsi" w:hAnsiTheme="minorHAnsi" w:cstheme="minorHAnsi"/>
          <w:sz w:val="16"/>
          <w:szCs w:val="16"/>
        </w:rPr>
        <w:t xml:space="preserve"> per NESCOE’s </w:t>
      </w:r>
      <w:r w:rsidR="00763BE9">
        <w:rPr>
          <w:rFonts w:asciiTheme="minorHAnsi" w:hAnsiTheme="minorHAnsi" w:cstheme="minorHAnsi"/>
          <w:sz w:val="16"/>
          <w:szCs w:val="16"/>
        </w:rPr>
        <w:t xml:space="preserve">2019 Economic Study </w:t>
      </w:r>
      <w:r w:rsidR="00592864" w:rsidRPr="00DE1024">
        <w:rPr>
          <w:rFonts w:asciiTheme="minorHAnsi" w:hAnsiTheme="minorHAnsi" w:cstheme="minorHAnsi"/>
          <w:sz w:val="16"/>
          <w:szCs w:val="16"/>
        </w:rPr>
        <w:t>r</w:t>
      </w:r>
      <w:r w:rsidR="00592864" w:rsidRPr="00314955">
        <w:rPr>
          <w:rFonts w:asciiTheme="minorHAnsi" w:hAnsiTheme="minorHAnsi" w:cstheme="minorHAnsi"/>
          <w:sz w:val="16"/>
          <w:szCs w:val="16"/>
        </w:rPr>
        <w:t>e</w:t>
      </w:r>
      <w:r w:rsidR="00592864" w:rsidRPr="00CC6422">
        <w:rPr>
          <w:rFonts w:asciiTheme="minorHAnsi" w:hAnsiTheme="minorHAnsi" w:cstheme="minorHAnsi"/>
          <w:sz w:val="16"/>
          <w:szCs w:val="16"/>
        </w:rPr>
        <w:t>quest</w:t>
      </w:r>
      <w:r w:rsidR="00961A06" w:rsidRPr="00CC6422">
        <w:rPr>
          <w:rFonts w:asciiTheme="minorHAnsi" w:hAnsiTheme="minorHAnsi" w:cstheme="minorHAnsi"/>
          <w:sz w:val="16"/>
          <w:szCs w:val="16"/>
        </w:rPr>
        <w:t>; see footn</w:t>
      </w:r>
      <w:r w:rsidR="00961A06" w:rsidRPr="00645F9F">
        <w:rPr>
          <w:rFonts w:asciiTheme="minorHAnsi" w:hAnsiTheme="minorHAnsi" w:cstheme="minorHAnsi"/>
          <w:sz w:val="16"/>
          <w:szCs w:val="16"/>
        </w:rPr>
        <w:t>o</w:t>
      </w:r>
      <w:r w:rsidR="00961A06" w:rsidRPr="006A50E6">
        <w:rPr>
          <w:rFonts w:asciiTheme="minorHAnsi" w:hAnsiTheme="minorHAnsi" w:cstheme="minorHAnsi"/>
          <w:sz w:val="16"/>
          <w:szCs w:val="16"/>
        </w:rPr>
        <w:t xml:space="preserve">te </w:t>
      </w:r>
      <w:r w:rsidR="006A50E6" w:rsidRPr="006A50E6">
        <w:rPr>
          <w:rFonts w:asciiTheme="minorHAnsi" w:hAnsiTheme="minorHAnsi" w:cstheme="minorHAnsi"/>
          <w:sz w:val="16"/>
          <w:szCs w:val="16"/>
        </w:rPr>
        <w:fldChar w:fldCharType="begin"/>
      </w:r>
      <w:r w:rsidR="006A50E6" w:rsidRPr="006A50E6">
        <w:rPr>
          <w:rFonts w:asciiTheme="minorHAnsi" w:hAnsiTheme="minorHAnsi" w:cstheme="minorHAnsi"/>
          <w:sz w:val="16"/>
          <w:szCs w:val="16"/>
        </w:rPr>
        <w:instrText xml:space="preserve"> NOTEREF _Ref51753922 \h </w:instrText>
      </w:r>
      <w:r w:rsidR="006A50E6">
        <w:rPr>
          <w:rFonts w:asciiTheme="minorHAnsi" w:hAnsiTheme="minorHAnsi" w:cstheme="minorHAnsi"/>
          <w:sz w:val="16"/>
          <w:szCs w:val="16"/>
        </w:rPr>
        <w:instrText xml:space="preserve"> \* MERGEFORMAT </w:instrText>
      </w:r>
      <w:r w:rsidR="006A50E6" w:rsidRPr="006A50E6">
        <w:rPr>
          <w:rFonts w:asciiTheme="minorHAnsi" w:hAnsiTheme="minorHAnsi" w:cstheme="minorHAnsi"/>
          <w:sz w:val="16"/>
          <w:szCs w:val="16"/>
        </w:rPr>
      </w:r>
      <w:r w:rsidR="006A50E6" w:rsidRPr="006A50E6">
        <w:rPr>
          <w:rFonts w:asciiTheme="minorHAnsi" w:hAnsiTheme="minorHAnsi" w:cstheme="minorHAnsi"/>
          <w:sz w:val="16"/>
          <w:szCs w:val="16"/>
        </w:rPr>
        <w:fldChar w:fldCharType="separate"/>
      </w:r>
      <w:r w:rsidR="006A50E6" w:rsidRPr="006A50E6">
        <w:rPr>
          <w:rFonts w:asciiTheme="minorHAnsi" w:hAnsiTheme="minorHAnsi" w:cstheme="minorHAnsi"/>
          <w:sz w:val="16"/>
          <w:szCs w:val="16"/>
        </w:rPr>
        <w:t>5</w:t>
      </w:r>
      <w:r w:rsidR="006A50E6" w:rsidRPr="006A50E6">
        <w:rPr>
          <w:rFonts w:asciiTheme="minorHAnsi" w:hAnsiTheme="minorHAnsi" w:cstheme="minorHAnsi"/>
          <w:sz w:val="16"/>
          <w:szCs w:val="16"/>
        </w:rPr>
        <w:fldChar w:fldCharType="end"/>
      </w:r>
      <w:r w:rsidR="00592864" w:rsidRPr="006A50E6">
        <w:t>.</w:t>
      </w:r>
    </w:p>
    <w:p w:rsidR="006F57F3" w:rsidRDefault="006F57F3" w:rsidP="00C54A0C">
      <w:pPr>
        <w:pStyle w:val="Heading3"/>
      </w:pPr>
      <w:bookmarkStart w:id="32" w:name="_Ref51666837"/>
      <w:bookmarkStart w:id="33" w:name="_Toc51784661"/>
      <w:r>
        <w:t>Monthly Operating Limits at the Orrington-South Interface</w:t>
      </w:r>
      <w:bookmarkEnd w:id="32"/>
      <w:bookmarkEnd w:id="33"/>
    </w:p>
    <w:p w:rsidR="006F57F3" w:rsidRDefault="006F57F3" w:rsidP="006F57F3">
      <w:r>
        <w:t xml:space="preserve">Based on </w:t>
      </w:r>
      <w:r w:rsidR="00691CB0">
        <w:t xml:space="preserve">the parameters </w:t>
      </w:r>
      <w:r w:rsidR="00363D94">
        <w:t xml:space="preserve">described </w:t>
      </w:r>
      <w:r w:rsidR="00691CB0">
        <w:t xml:space="preserve">in </w:t>
      </w:r>
      <w:r>
        <w:t xml:space="preserve">RENEW’s </w:t>
      </w:r>
      <w:r w:rsidR="003821FC">
        <w:t>e</w:t>
      </w:r>
      <w:r>
        <w:t xml:space="preserve">conomic </w:t>
      </w:r>
      <w:r w:rsidR="003821FC">
        <w:t>s</w:t>
      </w:r>
      <w:r>
        <w:t>tudy request,</w:t>
      </w:r>
      <w:r w:rsidRPr="00D622DB">
        <w:t xml:space="preserve"> </w:t>
      </w:r>
      <w:r w:rsidR="00D622DB" w:rsidRPr="00AA5FD3">
        <w:fldChar w:fldCharType="begin"/>
      </w:r>
      <w:r w:rsidR="00D622DB" w:rsidRPr="00513CC2">
        <w:instrText xml:space="preserve"> REF _Ref51679854 \h </w:instrText>
      </w:r>
      <w:r w:rsidR="00D622DB" w:rsidRPr="00CB38E1">
        <w:instrText xml:space="preserve"> \* MERGEFORMAT </w:instrText>
      </w:r>
      <w:r w:rsidR="00D622DB" w:rsidRPr="00AA5FD3">
        <w:fldChar w:fldCharType="separate"/>
      </w:r>
      <w:r w:rsidR="00D622DB" w:rsidRPr="00CB38E1">
        <w:t xml:space="preserve">Table </w:t>
      </w:r>
      <w:r w:rsidR="00D622DB" w:rsidRPr="00CB38E1">
        <w:rPr>
          <w:noProof/>
        </w:rPr>
        <w:t>4</w:t>
      </w:r>
      <w:r w:rsidR="00D622DB" w:rsidRPr="00CB38E1">
        <w:noBreakHyphen/>
      </w:r>
      <w:r w:rsidR="00D622DB" w:rsidRPr="00CB38E1">
        <w:rPr>
          <w:noProof/>
        </w:rPr>
        <w:t>1</w:t>
      </w:r>
      <w:r w:rsidR="00D622DB" w:rsidRPr="00AA5FD3">
        <w:fldChar w:fldCharType="end"/>
      </w:r>
      <w:r w:rsidRPr="00513CC2">
        <w:t xml:space="preserve"> </w:t>
      </w:r>
      <w:r>
        <w:t xml:space="preserve">illustrates the monthly operating limits at the Orrington-South interface for </w:t>
      </w:r>
      <w:r w:rsidR="008019BB">
        <w:t>the</w:t>
      </w:r>
      <w:r>
        <w:t xml:space="preserve"> three </w:t>
      </w:r>
      <w:r w:rsidR="008019BB">
        <w:t xml:space="preserve">main </w:t>
      </w:r>
      <w:r>
        <w:t>scenarios studied</w:t>
      </w:r>
      <w:r w:rsidR="00314955">
        <w:t xml:space="preserve"> </w:t>
      </w:r>
      <w:r w:rsidR="003275D7" w:rsidRPr="00DC7FC9">
        <w:t xml:space="preserve">under </w:t>
      </w:r>
      <w:r w:rsidR="00314955" w:rsidRPr="00DC7FC9">
        <w:t>constrained and relaxed-constraint transmission conditions</w:t>
      </w:r>
      <w:r w:rsidRPr="00DC7FC9">
        <w:t>.</w:t>
      </w:r>
    </w:p>
    <w:p w:rsidR="006F57F3" w:rsidRPr="00C73BCD" w:rsidRDefault="00C73BCD" w:rsidP="00C73BCD">
      <w:pPr>
        <w:pStyle w:val="Caption"/>
        <w:jc w:val="center"/>
      </w:pPr>
      <w:bookmarkStart w:id="34" w:name="_Ref51679854"/>
      <w:bookmarkStart w:id="35" w:name="_Toc51784382"/>
      <w:r w:rsidRPr="00C73BCD">
        <w:t xml:space="preserve">Table </w:t>
      </w:r>
      <w:fldSimple w:instr=" STYLEREF 1 \s ">
        <w:r w:rsidR="00206491">
          <w:rPr>
            <w:noProof/>
          </w:rPr>
          <w:t>4</w:t>
        </w:r>
      </w:fldSimple>
      <w:r w:rsidR="00206491">
        <w:noBreakHyphen/>
      </w:r>
      <w:fldSimple w:instr=" SEQ Table \* ARABIC \s 1 ">
        <w:r w:rsidR="00206491">
          <w:rPr>
            <w:noProof/>
          </w:rPr>
          <w:t>1</w:t>
        </w:r>
      </w:fldSimple>
      <w:bookmarkEnd w:id="34"/>
      <w:r w:rsidRPr="00C73BCD">
        <w:br/>
      </w:r>
      <w:r w:rsidR="006F57F3" w:rsidRPr="00C73BCD">
        <w:t>Monthly Operating Limits</w:t>
      </w:r>
      <w:r w:rsidRPr="00F95DED">
        <w:rPr>
          <w:vertAlign w:val="superscript"/>
        </w:rPr>
        <w:t>(a)</w:t>
      </w:r>
      <w:bookmarkEnd w:id="35"/>
    </w:p>
    <w:tbl>
      <w:tblPr>
        <w:tblStyle w:val="TableGrid"/>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872"/>
        <w:gridCol w:w="705"/>
        <w:gridCol w:w="707"/>
        <w:gridCol w:w="709"/>
        <w:gridCol w:w="706"/>
        <w:gridCol w:w="710"/>
        <w:gridCol w:w="705"/>
        <w:gridCol w:w="702"/>
        <w:gridCol w:w="707"/>
        <w:gridCol w:w="706"/>
        <w:gridCol w:w="706"/>
        <w:gridCol w:w="708"/>
        <w:gridCol w:w="707"/>
      </w:tblGrid>
      <w:tr w:rsidR="004F794A" w:rsidRPr="003821FC" w:rsidTr="001D318B">
        <w:tc>
          <w:tcPr>
            <w:tcW w:w="872" w:type="dxa"/>
            <w:vMerge w:val="restart"/>
            <w:shd w:val="clear" w:color="auto" w:fill="1795D2" w:themeFill="accent1"/>
            <w:tcMar>
              <w:left w:w="115" w:type="dxa"/>
              <w:right w:w="115" w:type="dxa"/>
            </w:tcMar>
            <w:vAlign w:val="center"/>
          </w:tcPr>
          <w:p w:rsidR="00C73BCD" w:rsidRPr="00C94F44" w:rsidRDefault="00C73BCD" w:rsidP="00F95DED">
            <w:pPr>
              <w:spacing w:before="40" w:after="40" w:line="240" w:lineRule="auto"/>
              <w:jc w:val="center"/>
              <w:rPr>
                <w:rFonts w:asciiTheme="majorHAnsi" w:hAnsiTheme="majorHAnsi" w:cstheme="majorHAnsi"/>
                <w:b/>
                <w:color w:val="FFFFFF" w:themeColor="background1"/>
                <w:sz w:val="18"/>
                <w:szCs w:val="18"/>
              </w:rPr>
            </w:pPr>
            <w:r w:rsidRPr="00C94F44">
              <w:rPr>
                <w:rFonts w:asciiTheme="majorHAnsi" w:hAnsiTheme="majorHAnsi" w:cstheme="majorHAnsi"/>
                <w:b/>
                <w:color w:val="FFFFFF" w:themeColor="background1"/>
                <w:sz w:val="18"/>
                <w:szCs w:val="18"/>
              </w:rPr>
              <w:t>Scenario</w:t>
            </w:r>
          </w:p>
        </w:tc>
        <w:tc>
          <w:tcPr>
            <w:tcW w:w="8478" w:type="dxa"/>
            <w:gridSpan w:val="12"/>
            <w:shd w:val="clear" w:color="auto" w:fill="1795D2" w:themeFill="accent1"/>
            <w:tcMar>
              <w:left w:w="115" w:type="dxa"/>
              <w:right w:w="115" w:type="dxa"/>
            </w:tcMar>
            <w:vAlign w:val="center"/>
          </w:tcPr>
          <w:p w:rsidR="00C73BCD" w:rsidRPr="00C94F44" w:rsidRDefault="00C73BCD" w:rsidP="00F95DED">
            <w:pPr>
              <w:spacing w:before="40" w:after="40" w:line="240" w:lineRule="auto"/>
              <w:jc w:val="center"/>
              <w:rPr>
                <w:rFonts w:asciiTheme="majorHAnsi" w:hAnsiTheme="majorHAnsi" w:cstheme="majorHAnsi"/>
                <w:b/>
                <w:color w:val="FFFFFF" w:themeColor="background1"/>
                <w:sz w:val="18"/>
                <w:szCs w:val="18"/>
              </w:rPr>
            </w:pPr>
            <w:r w:rsidRPr="00C94F44">
              <w:rPr>
                <w:rFonts w:asciiTheme="majorHAnsi" w:hAnsiTheme="majorHAnsi" w:cstheme="majorHAnsi"/>
                <w:b/>
                <w:color w:val="FFFFFF" w:themeColor="background1"/>
                <w:sz w:val="18"/>
                <w:szCs w:val="18"/>
              </w:rPr>
              <w:t>Orrington-South Monthly Interface Limits (MW)</w:t>
            </w:r>
          </w:p>
        </w:tc>
      </w:tr>
      <w:tr w:rsidR="004F794A" w:rsidRPr="003821FC" w:rsidTr="001D318B">
        <w:tc>
          <w:tcPr>
            <w:tcW w:w="872" w:type="dxa"/>
            <w:vMerge/>
            <w:shd w:val="clear" w:color="auto" w:fill="1795D2" w:themeFill="accent1"/>
            <w:tcMar>
              <w:left w:w="115" w:type="dxa"/>
              <w:right w:w="115" w:type="dxa"/>
            </w:tcMar>
            <w:vAlign w:val="center"/>
          </w:tcPr>
          <w:p w:rsidR="00C73BCD" w:rsidRPr="003821FC" w:rsidRDefault="00C73BCD" w:rsidP="00F95DED">
            <w:pPr>
              <w:spacing w:before="40" w:after="40" w:line="240" w:lineRule="auto"/>
              <w:rPr>
                <w:rFonts w:asciiTheme="majorHAnsi" w:hAnsiTheme="majorHAnsi" w:cstheme="majorHAnsi"/>
                <w:color w:val="FFFFFF" w:themeColor="background1"/>
                <w:sz w:val="18"/>
                <w:szCs w:val="18"/>
              </w:rPr>
            </w:pPr>
          </w:p>
        </w:tc>
        <w:tc>
          <w:tcPr>
            <w:tcW w:w="705" w:type="dxa"/>
            <w:shd w:val="clear" w:color="auto" w:fill="1795D2" w:themeFill="accent1"/>
            <w:tcMar>
              <w:left w:w="115" w:type="dxa"/>
              <w:right w:w="115" w:type="dxa"/>
            </w:tcMar>
            <w:vAlign w:val="center"/>
          </w:tcPr>
          <w:p w:rsidR="00C73BCD" w:rsidRPr="008E2050" w:rsidRDefault="00C73BCD" w:rsidP="00CC6422">
            <w:pPr>
              <w:spacing w:before="40" w:after="40" w:line="240" w:lineRule="auto"/>
              <w:jc w:val="center"/>
              <w:rPr>
                <w:rFonts w:asciiTheme="majorHAnsi" w:hAnsiTheme="majorHAnsi" w:cstheme="majorHAnsi"/>
                <w:b/>
                <w:color w:val="FFFFFF" w:themeColor="background1"/>
                <w:sz w:val="18"/>
                <w:szCs w:val="18"/>
              </w:rPr>
            </w:pPr>
            <w:r w:rsidRPr="008E2050">
              <w:rPr>
                <w:rFonts w:asciiTheme="majorHAnsi" w:hAnsiTheme="majorHAnsi" w:cstheme="majorHAnsi"/>
                <w:b/>
                <w:color w:val="FFFFFF" w:themeColor="background1"/>
                <w:sz w:val="18"/>
                <w:szCs w:val="18"/>
              </w:rPr>
              <w:t>Jan</w:t>
            </w:r>
          </w:p>
        </w:tc>
        <w:tc>
          <w:tcPr>
            <w:tcW w:w="707" w:type="dxa"/>
            <w:shd w:val="clear" w:color="auto" w:fill="1795D2" w:themeFill="accent1"/>
            <w:tcMar>
              <w:left w:w="115" w:type="dxa"/>
              <w:right w:w="115" w:type="dxa"/>
            </w:tcMar>
            <w:vAlign w:val="center"/>
          </w:tcPr>
          <w:p w:rsidR="00C73BCD" w:rsidRPr="003821FC" w:rsidRDefault="00C73BCD" w:rsidP="00CC6422">
            <w:pPr>
              <w:spacing w:before="40" w:after="40" w:line="240" w:lineRule="auto"/>
              <w:jc w:val="center"/>
              <w:rPr>
                <w:rFonts w:asciiTheme="majorHAnsi" w:hAnsiTheme="majorHAnsi" w:cstheme="majorHAnsi"/>
                <w:b/>
                <w:color w:val="FFFFFF" w:themeColor="background1"/>
                <w:sz w:val="18"/>
                <w:szCs w:val="18"/>
              </w:rPr>
            </w:pPr>
            <w:r w:rsidRPr="003821FC">
              <w:rPr>
                <w:rFonts w:asciiTheme="majorHAnsi" w:hAnsiTheme="majorHAnsi" w:cstheme="majorHAnsi"/>
                <w:b/>
                <w:color w:val="FFFFFF" w:themeColor="background1"/>
                <w:sz w:val="18"/>
                <w:szCs w:val="18"/>
              </w:rPr>
              <w:t>Feb</w:t>
            </w:r>
          </w:p>
        </w:tc>
        <w:tc>
          <w:tcPr>
            <w:tcW w:w="709" w:type="dxa"/>
            <w:shd w:val="clear" w:color="auto" w:fill="1795D2" w:themeFill="accent1"/>
            <w:tcMar>
              <w:left w:w="115" w:type="dxa"/>
              <w:right w:w="115" w:type="dxa"/>
            </w:tcMar>
            <w:vAlign w:val="center"/>
          </w:tcPr>
          <w:p w:rsidR="00C73BCD" w:rsidRPr="003821FC" w:rsidRDefault="00C73BCD" w:rsidP="00CC6422">
            <w:pPr>
              <w:spacing w:before="40" w:after="40" w:line="240" w:lineRule="auto"/>
              <w:jc w:val="center"/>
              <w:rPr>
                <w:rFonts w:asciiTheme="majorHAnsi" w:hAnsiTheme="majorHAnsi" w:cstheme="majorHAnsi"/>
                <w:b/>
                <w:color w:val="FFFFFF" w:themeColor="background1"/>
                <w:sz w:val="18"/>
                <w:szCs w:val="18"/>
              </w:rPr>
            </w:pPr>
            <w:r w:rsidRPr="003821FC">
              <w:rPr>
                <w:rFonts w:asciiTheme="majorHAnsi" w:hAnsiTheme="majorHAnsi" w:cstheme="majorHAnsi"/>
                <w:b/>
                <w:color w:val="FFFFFF" w:themeColor="background1"/>
                <w:sz w:val="18"/>
                <w:szCs w:val="18"/>
              </w:rPr>
              <w:t>Mar</w:t>
            </w:r>
          </w:p>
        </w:tc>
        <w:tc>
          <w:tcPr>
            <w:tcW w:w="706" w:type="dxa"/>
            <w:shd w:val="clear" w:color="auto" w:fill="1795D2" w:themeFill="accent1"/>
            <w:tcMar>
              <w:left w:w="115" w:type="dxa"/>
              <w:right w:w="115" w:type="dxa"/>
            </w:tcMar>
            <w:vAlign w:val="center"/>
          </w:tcPr>
          <w:p w:rsidR="00C73BCD" w:rsidRPr="003821FC" w:rsidRDefault="00C73BCD" w:rsidP="00CC6422">
            <w:pPr>
              <w:spacing w:before="40" w:after="40" w:line="240" w:lineRule="auto"/>
              <w:jc w:val="center"/>
              <w:rPr>
                <w:rFonts w:asciiTheme="majorHAnsi" w:hAnsiTheme="majorHAnsi" w:cstheme="majorHAnsi"/>
                <w:b/>
                <w:color w:val="FFFFFF" w:themeColor="background1"/>
                <w:sz w:val="18"/>
                <w:szCs w:val="18"/>
              </w:rPr>
            </w:pPr>
            <w:r w:rsidRPr="003821FC">
              <w:rPr>
                <w:rFonts w:asciiTheme="majorHAnsi" w:hAnsiTheme="majorHAnsi" w:cstheme="majorHAnsi"/>
                <w:b/>
                <w:color w:val="FFFFFF" w:themeColor="background1"/>
                <w:sz w:val="18"/>
                <w:szCs w:val="18"/>
              </w:rPr>
              <w:t>Apr</w:t>
            </w:r>
          </w:p>
        </w:tc>
        <w:tc>
          <w:tcPr>
            <w:tcW w:w="710" w:type="dxa"/>
            <w:shd w:val="clear" w:color="auto" w:fill="1795D2" w:themeFill="accent1"/>
            <w:tcMar>
              <w:left w:w="115" w:type="dxa"/>
              <w:right w:w="115" w:type="dxa"/>
            </w:tcMar>
            <w:vAlign w:val="center"/>
          </w:tcPr>
          <w:p w:rsidR="00C73BCD" w:rsidRPr="003821FC" w:rsidRDefault="00C73BCD" w:rsidP="00CC6422">
            <w:pPr>
              <w:spacing w:before="40" w:after="40" w:line="240" w:lineRule="auto"/>
              <w:jc w:val="center"/>
              <w:rPr>
                <w:rFonts w:asciiTheme="majorHAnsi" w:hAnsiTheme="majorHAnsi" w:cstheme="majorHAnsi"/>
                <w:b/>
                <w:color w:val="FFFFFF" w:themeColor="background1"/>
                <w:sz w:val="18"/>
                <w:szCs w:val="18"/>
              </w:rPr>
            </w:pPr>
            <w:r w:rsidRPr="003821FC">
              <w:rPr>
                <w:rFonts w:asciiTheme="majorHAnsi" w:hAnsiTheme="majorHAnsi" w:cstheme="majorHAnsi"/>
                <w:b/>
                <w:color w:val="FFFFFF" w:themeColor="background1"/>
                <w:sz w:val="18"/>
                <w:szCs w:val="18"/>
              </w:rPr>
              <w:t>May</w:t>
            </w:r>
          </w:p>
        </w:tc>
        <w:tc>
          <w:tcPr>
            <w:tcW w:w="705" w:type="dxa"/>
            <w:shd w:val="clear" w:color="auto" w:fill="1795D2" w:themeFill="accent1"/>
            <w:tcMar>
              <w:left w:w="115" w:type="dxa"/>
              <w:right w:w="115" w:type="dxa"/>
            </w:tcMar>
            <w:vAlign w:val="center"/>
          </w:tcPr>
          <w:p w:rsidR="00C73BCD" w:rsidRPr="003821FC" w:rsidRDefault="00C73BCD" w:rsidP="00CC6422">
            <w:pPr>
              <w:spacing w:before="40" w:after="40" w:line="240" w:lineRule="auto"/>
              <w:jc w:val="center"/>
              <w:rPr>
                <w:rFonts w:asciiTheme="majorHAnsi" w:hAnsiTheme="majorHAnsi" w:cstheme="majorHAnsi"/>
                <w:b/>
                <w:color w:val="FFFFFF" w:themeColor="background1"/>
                <w:sz w:val="18"/>
                <w:szCs w:val="18"/>
              </w:rPr>
            </w:pPr>
            <w:r w:rsidRPr="003821FC">
              <w:rPr>
                <w:rFonts w:asciiTheme="majorHAnsi" w:hAnsiTheme="majorHAnsi" w:cstheme="majorHAnsi"/>
                <w:b/>
                <w:color w:val="FFFFFF" w:themeColor="background1"/>
                <w:sz w:val="18"/>
                <w:szCs w:val="18"/>
              </w:rPr>
              <w:t>Jun</w:t>
            </w:r>
          </w:p>
        </w:tc>
        <w:tc>
          <w:tcPr>
            <w:tcW w:w="702" w:type="dxa"/>
            <w:shd w:val="clear" w:color="auto" w:fill="1795D2" w:themeFill="accent1"/>
            <w:tcMar>
              <w:left w:w="115" w:type="dxa"/>
              <w:right w:w="115" w:type="dxa"/>
            </w:tcMar>
            <w:vAlign w:val="center"/>
          </w:tcPr>
          <w:p w:rsidR="00C73BCD" w:rsidRPr="003821FC" w:rsidRDefault="00C73BCD" w:rsidP="00CC6422">
            <w:pPr>
              <w:spacing w:before="40" w:after="40" w:line="240" w:lineRule="auto"/>
              <w:jc w:val="center"/>
              <w:rPr>
                <w:rFonts w:asciiTheme="majorHAnsi" w:hAnsiTheme="majorHAnsi" w:cstheme="majorHAnsi"/>
                <w:b/>
                <w:color w:val="FFFFFF" w:themeColor="background1"/>
                <w:sz w:val="18"/>
                <w:szCs w:val="18"/>
              </w:rPr>
            </w:pPr>
            <w:r w:rsidRPr="003821FC">
              <w:rPr>
                <w:rFonts w:asciiTheme="majorHAnsi" w:hAnsiTheme="majorHAnsi" w:cstheme="majorHAnsi"/>
                <w:b/>
                <w:color w:val="FFFFFF" w:themeColor="background1"/>
                <w:sz w:val="18"/>
                <w:szCs w:val="18"/>
              </w:rPr>
              <w:t>Jul</w:t>
            </w:r>
          </w:p>
        </w:tc>
        <w:tc>
          <w:tcPr>
            <w:tcW w:w="707" w:type="dxa"/>
            <w:shd w:val="clear" w:color="auto" w:fill="1795D2" w:themeFill="accent1"/>
            <w:tcMar>
              <w:left w:w="115" w:type="dxa"/>
              <w:right w:w="115" w:type="dxa"/>
            </w:tcMar>
            <w:vAlign w:val="center"/>
          </w:tcPr>
          <w:p w:rsidR="00C73BCD" w:rsidRPr="003821FC" w:rsidRDefault="00C73BCD" w:rsidP="00CC6422">
            <w:pPr>
              <w:spacing w:before="40" w:after="40" w:line="240" w:lineRule="auto"/>
              <w:jc w:val="center"/>
              <w:rPr>
                <w:rFonts w:asciiTheme="majorHAnsi" w:hAnsiTheme="majorHAnsi" w:cstheme="majorHAnsi"/>
                <w:b/>
                <w:color w:val="FFFFFF" w:themeColor="background1"/>
                <w:sz w:val="18"/>
                <w:szCs w:val="18"/>
              </w:rPr>
            </w:pPr>
            <w:r w:rsidRPr="003821FC">
              <w:rPr>
                <w:rFonts w:asciiTheme="majorHAnsi" w:hAnsiTheme="majorHAnsi" w:cstheme="majorHAnsi"/>
                <w:b/>
                <w:color w:val="FFFFFF" w:themeColor="background1"/>
                <w:sz w:val="18"/>
                <w:szCs w:val="18"/>
              </w:rPr>
              <w:t>Aug</w:t>
            </w:r>
          </w:p>
        </w:tc>
        <w:tc>
          <w:tcPr>
            <w:tcW w:w="706" w:type="dxa"/>
            <w:shd w:val="clear" w:color="auto" w:fill="1795D2" w:themeFill="accent1"/>
            <w:tcMar>
              <w:left w:w="115" w:type="dxa"/>
              <w:right w:w="115" w:type="dxa"/>
            </w:tcMar>
            <w:vAlign w:val="center"/>
          </w:tcPr>
          <w:p w:rsidR="00C73BCD" w:rsidRPr="003821FC" w:rsidRDefault="00C73BCD" w:rsidP="00CC6422">
            <w:pPr>
              <w:spacing w:before="40" w:after="40" w:line="240" w:lineRule="auto"/>
              <w:jc w:val="center"/>
              <w:rPr>
                <w:rFonts w:asciiTheme="majorHAnsi" w:hAnsiTheme="majorHAnsi" w:cstheme="majorHAnsi"/>
                <w:b/>
                <w:color w:val="FFFFFF" w:themeColor="background1"/>
                <w:sz w:val="18"/>
                <w:szCs w:val="18"/>
              </w:rPr>
            </w:pPr>
            <w:r w:rsidRPr="003821FC">
              <w:rPr>
                <w:rFonts w:asciiTheme="majorHAnsi" w:hAnsiTheme="majorHAnsi" w:cstheme="majorHAnsi"/>
                <w:b/>
                <w:color w:val="FFFFFF" w:themeColor="background1"/>
                <w:sz w:val="18"/>
                <w:szCs w:val="18"/>
              </w:rPr>
              <w:t>Sep</w:t>
            </w:r>
          </w:p>
        </w:tc>
        <w:tc>
          <w:tcPr>
            <w:tcW w:w="706" w:type="dxa"/>
            <w:shd w:val="clear" w:color="auto" w:fill="1795D2" w:themeFill="accent1"/>
            <w:tcMar>
              <w:left w:w="115" w:type="dxa"/>
              <w:right w:w="115" w:type="dxa"/>
            </w:tcMar>
            <w:vAlign w:val="center"/>
          </w:tcPr>
          <w:p w:rsidR="00C73BCD" w:rsidRPr="003821FC" w:rsidRDefault="00C73BCD" w:rsidP="00CC6422">
            <w:pPr>
              <w:spacing w:before="40" w:after="40" w:line="240" w:lineRule="auto"/>
              <w:jc w:val="center"/>
              <w:rPr>
                <w:rFonts w:asciiTheme="majorHAnsi" w:hAnsiTheme="majorHAnsi" w:cstheme="majorHAnsi"/>
                <w:b/>
                <w:color w:val="FFFFFF" w:themeColor="background1"/>
                <w:sz w:val="18"/>
                <w:szCs w:val="18"/>
              </w:rPr>
            </w:pPr>
            <w:r w:rsidRPr="003821FC">
              <w:rPr>
                <w:rFonts w:asciiTheme="majorHAnsi" w:hAnsiTheme="majorHAnsi" w:cstheme="majorHAnsi"/>
                <w:b/>
                <w:color w:val="FFFFFF" w:themeColor="background1"/>
                <w:sz w:val="18"/>
                <w:szCs w:val="18"/>
              </w:rPr>
              <w:t>Oct</w:t>
            </w:r>
          </w:p>
        </w:tc>
        <w:tc>
          <w:tcPr>
            <w:tcW w:w="708" w:type="dxa"/>
            <w:shd w:val="clear" w:color="auto" w:fill="1795D2" w:themeFill="accent1"/>
            <w:tcMar>
              <w:left w:w="115" w:type="dxa"/>
              <w:right w:w="115" w:type="dxa"/>
            </w:tcMar>
            <w:vAlign w:val="center"/>
          </w:tcPr>
          <w:p w:rsidR="00C73BCD" w:rsidRPr="003821FC" w:rsidRDefault="00C73BCD" w:rsidP="00CC6422">
            <w:pPr>
              <w:spacing w:before="40" w:after="40" w:line="240" w:lineRule="auto"/>
              <w:jc w:val="center"/>
              <w:rPr>
                <w:rFonts w:asciiTheme="majorHAnsi" w:hAnsiTheme="majorHAnsi" w:cstheme="majorHAnsi"/>
                <w:b/>
                <w:color w:val="FFFFFF" w:themeColor="background1"/>
                <w:sz w:val="18"/>
                <w:szCs w:val="18"/>
              </w:rPr>
            </w:pPr>
            <w:r w:rsidRPr="003821FC">
              <w:rPr>
                <w:rFonts w:asciiTheme="majorHAnsi" w:hAnsiTheme="majorHAnsi" w:cstheme="majorHAnsi"/>
                <w:b/>
                <w:color w:val="FFFFFF" w:themeColor="background1"/>
                <w:sz w:val="18"/>
                <w:szCs w:val="18"/>
              </w:rPr>
              <w:t>Nov</w:t>
            </w:r>
          </w:p>
        </w:tc>
        <w:tc>
          <w:tcPr>
            <w:tcW w:w="707" w:type="dxa"/>
            <w:shd w:val="clear" w:color="auto" w:fill="1795D2" w:themeFill="accent1"/>
            <w:tcMar>
              <w:left w:w="115" w:type="dxa"/>
              <w:right w:w="115" w:type="dxa"/>
            </w:tcMar>
            <w:vAlign w:val="center"/>
          </w:tcPr>
          <w:p w:rsidR="00C73BCD" w:rsidRPr="003821FC" w:rsidRDefault="00C73BCD" w:rsidP="00CC6422">
            <w:pPr>
              <w:spacing w:before="40" w:after="40" w:line="240" w:lineRule="auto"/>
              <w:jc w:val="center"/>
              <w:rPr>
                <w:rFonts w:asciiTheme="majorHAnsi" w:hAnsiTheme="majorHAnsi" w:cstheme="majorHAnsi"/>
                <w:b/>
                <w:color w:val="FFFFFF" w:themeColor="background1"/>
                <w:sz w:val="18"/>
                <w:szCs w:val="18"/>
              </w:rPr>
            </w:pPr>
            <w:r w:rsidRPr="003821FC">
              <w:rPr>
                <w:rFonts w:asciiTheme="majorHAnsi" w:hAnsiTheme="majorHAnsi" w:cstheme="majorHAnsi"/>
                <w:b/>
                <w:color w:val="FFFFFF" w:themeColor="background1"/>
                <w:sz w:val="18"/>
                <w:szCs w:val="18"/>
              </w:rPr>
              <w:t>Dec</w:t>
            </w:r>
          </w:p>
        </w:tc>
      </w:tr>
      <w:tr w:rsidR="00F95DED" w:rsidRPr="003821FC" w:rsidTr="0083251A">
        <w:tc>
          <w:tcPr>
            <w:tcW w:w="872" w:type="dxa"/>
            <w:shd w:val="clear" w:color="auto" w:fill="auto"/>
            <w:tcMar>
              <w:left w:w="115" w:type="dxa"/>
              <w:right w:w="115" w:type="dxa"/>
            </w:tcMar>
            <w:vAlign w:val="center"/>
          </w:tcPr>
          <w:p w:rsidR="00F95DED" w:rsidRPr="003821FC" w:rsidRDefault="00F95DED" w:rsidP="00F95DED">
            <w:pPr>
              <w:spacing w:before="40" w:after="40" w:line="240" w:lineRule="auto"/>
              <w:rPr>
                <w:rFonts w:asciiTheme="majorHAnsi" w:hAnsiTheme="majorHAnsi" w:cstheme="majorHAnsi"/>
                <w:b/>
                <w:sz w:val="18"/>
                <w:szCs w:val="18"/>
              </w:rPr>
            </w:pPr>
            <w:r w:rsidRPr="003821FC">
              <w:rPr>
                <w:rFonts w:asciiTheme="majorHAnsi" w:hAnsiTheme="majorHAnsi" w:cstheme="majorHAnsi"/>
                <w:b/>
                <w:sz w:val="18"/>
                <w:szCs w:val="18"/>
              </w:rPr>
              <w:t>Base</w:t>
            </w:r>
          </w:p>
        </w:tc>
        <w:tc>
          <w:tcPr>
            <w:tcW w:w="705"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1,200</w:t>
            </w:r>
          </w:p>
        </w:tc>
        <w:tc>
          <w:tcPr>
            <w:tcW w:w="707"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1,275</w:t>
            </w:r>
          </w:p>
        </w:tc>
        <w:tc>
          <w:tcPr>
            <w:tcW w:w="709"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1,200</w:t>
            </w:r>
          </w:p>
        </w:tc>
        <w:tc>
          <w:tcPr>
            <w:tcW w:w="706"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700</w:t>
            </w:r>
          </w:p>
        </w:tc>
        <w:tc>
          <w:tcPr>
            <w:tcW w:w="710"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700</w:t>
            </w:r>
          </w:p>
        </w:tc>
        <w:tc>
          <w:tcPr>
            <w:tcW w:w="705"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1,200</w:t>
            </w:r>
          </w:p>
        </w:tc>
        <w:tc>
          <w:tcPr>
            <w:tcW w:w="702"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1,275</w:t>
            </w:r>
          </w:p>
        </w:tc>
        <w:tc>
          <w:tcPr>
            <w:tcW w:w="707"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1,200</w:t>
            </w:r>
          </w:p>
        </w:tc>
        <w:tc>
          <w:tcPr>
            <w:tcW w:w="706"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1,175</w:t>
            </w:r>
          </w:p>
        </w:tc>
        <w:tc>
          <w:tcPr>
            <w:tcW w:w="706"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375</w:t>
            </w:r>
          </w:p>
        </w:tc>
        <w:tc>
          <w:tcPr>
            <w:tcW w:w="708"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1,200</w:t>
            </w:r>
          </w:p>
        </w:tc>
        <w:tc>
          <w:tcPr>
            <w:tcW w:w="707"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1,075</w:t>
            </w:r>
          </w:p>
        </w:tc>
      </w:tr>
      <w:tr w:rsidR="00F95DED" w:rsidRPr="003821FC" w:rsidTr="0083251A">
        <w:tc>
          <w:tcPr>
            <w:tcW w:w="872" w:type="dxa"/>
            <w:shd w:val="clear" w:color="auto" w:fill="CCEAF9" w:themeFill="accent1" w:themeFillTint="33"/>
            <w:tcMar>
              <w:left w:w="115" w:type="dxa"/>
              <w:right w:w="115" w:type="dxa"/>
            </w:tcMar>
            <w:vAlign w:val="center"/>
          </w:tcPr>
          <w:p w:rsidR="00F95DED" w:rsidRPr="003821FC" w:rsidRDefault="00F95DED" w:rsidP="00F95DED">
            <w:pPr>
              <w:spacing w:before="40" w:after="40" w:line="240" w:lineRule="auto"/>
              <w:rPr>
                <w:rFonts w:asciiTheme="majorHAnsi" w:hAnsiTheme="majorHAnsi" w:cstheme="majorHAnsi"/>
                <w:b/>
                <w:sz w:val="18"/>
                <w:szCs w:val="18"/>
              </w:rPr>
            </w:pPr>
            <w:r w:rsidRPr="003821FC">
              <w:rPr>
                <w:rFonts w:asciiTheme="majorHAnsi" w:hAnsiTheme="majorHAnsi" w:cstheme="majorHAnsi"/>
                <w:b/>
                <w:sz w:val="18"/>
                <w:szCs w:val="18"/>
              </w:rPr>
              <w:t>S1</w:t>
            </w:r>
          </w:p>
        </w:tc>
        <w:tc>
          <w:tcPr>
            <w:tcW w:w="705"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1,275</w:t>
            </w:r>
          </w:p>
        </w:tc>
        <w:tc>
          <w:tcPr>
            <w:tcW w:w="707"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1,275</w:t>
            </w:r>
          </w:p>
        </w:tc>
        <w:tc>
          <w:tcPr>
            <w:tcW w:w="709"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1,275</w:t>
            </w:r>
          </w:p>
        </w:tc>
        <w:tc>
          <w:tcPr>
            <w:tcW w:w="706"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870</w:t>
            </w:r>
          </w:p>
        </w:tc>
        <w:tc>
          <w:tcPr>
            <w:tcW w:w="710"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870</w:t>
            </w:r>
          </w:p>
        </w:tc>
        <w:tc>
          <w:tcPr>
            <w:tcW w:w="705"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1,275</w:t>
            </w:r>
          </w:p>
        </w:tc>
        <w:tc>
          <w:tcPr>
            <w:tcW w:w="702"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1,275</w:t>
            </w:r>
          </w:p>
        </w:tc>
        <w:tc>
          <w:tcPr>
            <w:tcW w:w="707"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1,275</w:t>
            </w:r>
          </w:p>
        </w:tc>
        <w:tc>
          <w:tcPr>
            <w:tcW w:w="706"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1,275</w:t>
            </w:r>
          </w:p>
        </w:tc>
        <w:tc>
          <w:tcPr>
            <w:tcW w:w="706"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500</w:t>
            </w:r>
          </w:p>
        </w:tc>
        <w:tc>
          <w:tcPr>
            <w:tcW w:w="708"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1,275</w:t>
            </w:r>
          </w:p>
        </w:tc>
        <w:tc>
          <w:tcPr>
            <w:tcW w:w="707" w:type="dxa"/>
            <w:shd w:val="clear" w:color="auto" w:fill="CCEAF9" w:themeFill="accent1" w:themeFillTint="33"/>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1,215</w:t>
            </w:r>
          </w:p>
        </w:tc>
      </w:tr>
      <w:tr w:rsidR="00F95DED" w:rsidRPr="003821FC" w:rsidTr="0083251A">
        <w:tc>
          <w:tcPr>
            <w:tcW w:w="872" w:type="dxa"/>
            <w:shd w:val="clear" w:color="auto" w:fill="auto"/>
            <w:tcMar>
              <w:left w:w="115" w:type="dxa"/>
              <w:right w:w="115" w:type="dxa"/>
            </w:tcMar>
            <w:vAlign w:val="center"/>
          </w:tcPr>
          <w:p w:rsidR="00F95DED" w:rsidRPr="003821FC" w:rsidRDefault="00F95DED" w:rsidP="00F95DED">
            <w:pPr>
              <w:spacing w:before="40" w:after="40" w:line="240" w:lineRule="auto"/>
              <w:rPr>
                <w:rFonts w:asciiTheme="majorHAnsi" w:hAnsiTheme="majorHAnsi" w:cstheme="majorHAnsi"/>
                <w:b/>
                <w:sz w:val="18"/>
                <w:szCs w:val="18"/>
              </w:rPr>
            </w:pPr>
            <w:r w:rsidRPr="003821FC">
              <w:rPr>
                <w:rFonts w:asciiTheme="majorHAnsi" w:hAnsiTheme="majorHAnsi" w:cstheme="majorHAnsi"/>
                <w:b/>
                <w:sz w:val="18"/>
                <w:szCs w:val="18"/>
              </w:rPr>
              <w:t>S2</w:t>
            </w:r>
          </w:p>
        </w:tc>
        <w:tc>
          <w:tcPr>
            <w:tcW w:w="705"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1,300</w:t>
            </w:r>
          </w:p>
        </w:tc>
        <w:tc>
          <w:tcPr>
            <w:tcW w:w="707"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1,375</w:t>
            </w:r>
          </w:p>
        </w:tc>
        <w:tc>
          <w:tcPr>
            <w:tcW w:w="709"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1,300</w:t>
            </w:r>
          </w:p>
        </w:tc>
        <w:tc>
          <w:tcPr>
            <w:tcW w:w="706"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975</w:t>
            </w:r>
          </w:p>
        </w:tc>
        <w:tc>
          <w:tcPr>
            <w:tcW w:w="710"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975</w:t>
            </w:r>
          </w:p>
        </w:tc>
        <w:tc>
          <w:tcPr>
            <w:tcW w:w="705"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1,300</w:t>
            </w:r>
          </w:p>
        </w:tc>
        <w:tc>
          <w:tcPr>
            <w:tcW w:w="702"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1,375</w:t>
            </w:r>
          </w:p>
        </w:tc>
        <w:tc>
          <w:tcPr>
            <w:tcW w:w="707"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1,300</w:t>
            </w:r>
          </w:p>
        </w:tc>
        <w:tc>
          <w:tcPr>
            <w:tcW w:w="706"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1,300</w:t>
            </w:r>
          </w:p>
        </w:tc>
        <w:tc>
          <w:tcPr>
            <w:tcW w:w="706"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1,200</w:t>
            </w:r>
          </w:p>
        </w:tc>
        <w:tc>
          <w:tcPr>
            <w:tcW w:w="708"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1,300</w:t>
            </w:r>
          </w:p>
        </w:tc>
        <w:tc>
          <w:tcPr>
            <w:tcW w:w="707" w:type="dxa"/>
            <w:shd w:val="clear" w:color="auto" w:fill="auto"/>
            <w:tcMar>
              <w:left w:w="58" w:type="dxa"/>
              <w:right w:w="58" w:type="dxa"/>
            </w:tcMar>
            <w:vAlign w:val="bottom"/>
          </w:tcPr>
          <w:p w:rsidR="00F95DED" w:rsidRPr="003821FC" w:rsidRDefault="00F95DED" w:rsidP="0083251A">
            <w:pPr>
              <w:spacing w:before="40" w:after="40" w:line="240" w:lineRule="auto"/>
              <w:jc w:val="center"/>
              <w:rPr>
                <w:rFonts w:asciiTheme="majorHAnsi" w:hAnsiTheme="majorHAnsi" w:cstheme="majorHAnsi"/>
                <w:sz w:val="18"/>
                <w:szCs w:val="18"/>
              </w:rPr>
            </w:pPr>
            <w:r w:rsidRPr="00CC6422">
              <w:rPr>
                <w:rFonts w:ascii="Calibri" w:hAnsi="Calibri" w:cs="Calibri"/>
                <w:color w:val="313C3F"/>
                <w:sz w:val="18"/>
                <w:szCs w:val="18"/>
              </w:rPr>
              <w:t>1,275</w:t>
            </w:r>
          </w:p>
        </w:tc>
      </w:tr>
    </w:tbl>
    <w:p w:rsidR="006F57F3" w:rsidRPr="00C94F44" w:rsidRDefault="00C73BCD" w:rsidP="00C94F44">
      <w:pPr>
        <w:spacing w:before="120" w:line="240" w:lineRule="auto"/>
        <w:rPr>
          <w:rFonts w:asciiTheme="majorHAnsi" w:hAnsiTheme="majorHAnsi" w:cstheme="majorHAnsi"/>
          <w:sz w:val="18"/>
        </w:rPr>
      </w:pPr>
      <w:r w:rsidRPr="00C94F44">
        <w:rPr>
          <w:rFonts w:asciiTheme="majorHAnsi" w:hAnsiTheme="majorHAnsi" w:cstheme="majorHAnsi"/>
          <w:sz w:val="18"/>
        </w:rPr>
        <w:t>(a)</w:t>
      </w:r>
      <w:r w:rsidR="006F57F3" w:rsidRPr="00C94F44">
        <w:rPr>
          <w:rFonts w:asciiTheme="majorHAnsi" w:hAnsiTheme="majorHAnsi" w:cstheme="majorHAnsi"/>
          <w:sz w:val="18"/>
        </w:rPr>
        <w:t xml:space="preserve"> </w:t>
      </w:r>
      <w:r w:rsidR="00D622DB" w:rsidRPr="00C94F44">
        <w:rPr>
          <w:rFonts w:asciiTheme="majorHAnsi" w:hAnsiTheme="majorHAnsi" w:cstheme="majorHAnsi"/>
          <w:sz w:val="18"/>
        </w:rPr>
        <w:t>Dispatch l</w:t>
      </w:r>
      <w:r w:rsidR="006F57F3" w:rsidRPr="00C94F44">
        <w:rPr>
          <w:rFonts w:asciiTheme="majorHAnsi" w:hAnsiTheme="majorHAnsi" w:cstheme="majorHAnsi"/>
          <w:sz w:val="18"/>
        </w:rPr>
        <w:t>imits include a 50 MW buffer</w:t>
      </w:r>
      <w:r w:rsidR="00D622DB" w:rsidRPr="00C94F44">
        <w:rPr>
          <w:rFonts w:asciiTheme="majorHAnsi" w:hAnsiTheme="majorHAnsi" w:cstheme="majorHAnsi"/>
          <w:sz w:val="18"/>
        </w:rPr>
        <w:t>,</w:t>
      </w:r>
      <w:r w:rsidR="006F57F3" w:rsidRPr="00C94F44">
        <w:rPr>
          <w:rFonts w:asciiTheme="majorHAnsi" w:hAnsiTheme="majorHAnsi" w:cstheme="majorHAnsi"/>
          <w:sz w:val="18"/>
        </w:rPr>
        <w:t xml:space="preserve"> as requested by RENEW</w:t>
      </w:r>
      <w:r w:rsidR="00D622DB" w:rsidRPr="00C94F44">
        <w:rPr>
          <w:rFonts w:asciiTheme="majorHAnsi" w:hAnsiTheme="majorHAnsi" w:cstheme="majorHAnsi"/>
          <w:sz w:val="18"/>
        </w:rPr>
        <w:t>.</w:t>
      </w:r>
    </w:p>
    <w:p w:rsidR="009C02EB" w:rsidRDefault="009C02EB" w:rsidP="00C54A0C">
      <w:pPr>
        <w:pStyle w:val="Heading3"/>
      </w:pPr>
      <w:bookmarkStart w:id="36" w:name="_Toc51784662"/>
      <w:r>
        <w:t>Interchanges</w:t>
      </w:r>
      <w:r w:rsidR="00437DBC">
        <w:t xml:space="preserve"> with Neighboring Systems</w:t>
      </w:r>
      <w:bookmarkEnd w:id="36"/>
    </w:p>
    <w:p w:rsidR="00740FBD" w:rsidRPr="00513CC2" w:rsidRDefault="00D622DB" w:rsidP="00740FBD">
      <w:r w:rsidRPr="00DE1024">
        <w:fldChar w:fldCharType="begin"/>
      </w:r>
      <w:r w:rsidRPr="00DE1024">
        <w:instrText xml:space="preserve"> REF _Ref51680346 \h </w:instrText>
      </w:r>
      <w:r>
        <w:instrText xml:space="preserve"> \* MERGEFORMAT </w:instrText>
      </w:r>
      <w:r w:rsidRPr="00DE1024">
        <w:fldChar w:fldCharType="separate"/>
      </w:r>
      <w:r w:rsidRPr="00513CC2">
        <w:t xml:space="preserve">Table </w:t>
      </w:r>
      <w:r w:rsidRPr="00513CC2">
        <w:rPr>
          <w:noProof/>
        </w:rPr>
        <w:t>4</w:t>
      </w:r>
      <w:r w:rsidRPr="00513CC2">
        <w:noBreakHyphen/>
      </w:r>
      <w:r w:rsidRPr="00513CC2">
        <w:rPr>
          <w:noProof/>
        </w:rPr>
        <w:t>2</w:t>
      </w:r>
      <w:r w:rsidRPr="00DE1024">
        <w:fldChar w:fldCharType="end"/>
      </w:r>
      <w:r w:rsidR="00740FBD" w:rsidRPr="00513CC2">
        <w:t xml:space="preserve"> shows the assumed </w:t>
      </w:r>
      <w:r w:rsidR="00540889" w:rsidRPr="00513CC2">
        <w:t>2025</w:t>
      </w:r>
      <w:r w:rsidR="00740FBD" w:rsidRPr="00513CC2">
        <w:t xml:space="preserve"> external interchanges with neighboring systems, including t</w:t>
      </w:r>
      <w:r w:rsidR="00740FBD" w:rsidRPr="003821FC">
        <w:t>he NECEC</w:t>
      </w:r>
      <w:r w:rsidR="00BF1EA7" w:rsidRPr="003821FC">
        <w:t xml:space="preserve">. </w:t>
      </w:r>
      <w:r w:rsidR="00740FBD" w:rsidRPr="003821FC">
        <w:t>The same interface capabili</w:t>
      </w:r>
      <w:r w:rsidR="00740FBD" w:rsidRPr="00513CC2">
        <w:t>ties were assumed for all scenarios. Based on the historical profiles, the maximum energy</w:t>
      </w:r>
      <w:r w:rsidR="00F5108A" w:rsidRPr="00513CC2">
        <w:t>-</w:t>
      </w:r>
      <w:r w:rsidR="00740FBD" w:rsidRPr="00513CC2">
        <w:t xml:space="preserve">import values </w:t>
      </w:r>
      <w:r w:rsidR="00C837E8" w:rsidRPr="00513CC2">
        <w:t xml:space="preserve">reflected </w:t>
      </w:r>
      <w:r w:rsidR="003F25E9" w:rsidRPr="00513CC2">
        <w:t>F</w:t>
      </w:r>
      <w:r w:rsidRPr="00513CC2">
        <w:t xml:space="preserve">orward </w:t>
      </w:r>
      <w:r w:rsidR="00C837E8" w:rsidRPr="00513CC2">
        <w:t>C</w:t>
      </w:r>
      <w:r w:rsidRPr="00513CC2">
        <w:t xml:space="preserve">apacity </w:t>
      </w:r>
      <w:r w:rsidR="00C837E8" w:rsidRPr="00513CC2">
        <w:t>M</w:t>
      </w:r>
      <w:r w:rsidRPr="00513CC2">
        <w:t>arket (FCM)</w:t>
      </w:r>
      <w:r w:rsidR="00C837E8" w:rsidRPr="00513CC2">
        <w:t xml:space="preserve"> capacity imports and other noncapacity energy imports</w:t>
      </w:r>
      <w:r w:rsidR="00740FBD" w:rsidRPr="00513CC2">
        <w:t>, but they never exceeded the import-transfer capability of the ties.</w:t>
      </w:r>
    </w:p>
    <w:p w:rsidR="00740FBD" w:rsidRDefault="00D622DB">
      <w:pPr>
        <w:pStyle w:val="Caption"/>
        <w:jc w:val="center"/>
      </w:pPr>
      <w:bookmarkStart w:id="37" w:name="_Ref51680346"/>
      <w:bookmarkStart w:id="38" w:name="_Ref42591006"/>
      <w:bookmarkStart w:id="39" w:name="_Toc51784383"/>
      <w:r w:rsidRPr="00513CC2">
        <w:t xml:space="preserve">Table </w:t>
      </w:r>
      <w:fldSimple w:instr=" STYLEREF 1 \s ">
        <w:r w:rsidR="00206491">
          <w:rPr>
            <w:noProof/>
          </w:rPr>
          <w:t>4</w:t>
        </w:r>
      </w:fldSimple>
      <w:r w:rsidR="00206491">
        <w:noBreakHyphen/>
      </w:r>
      <w:fldSimple w:instr=" SEQ Table \* ARABIC \s 1 ">
        <w:r w:rsidR="00206491">
          <w:rPr>
            <w:noProof/>
          </w:rPr>
          <w:t>2</w:t>
        </w:r>
      </w:fldSimple>
      <w:bookmarkEnd w:id="37"/>
      <w:bookmarkEnd w:id="38"/>
      <w:r w:rsidR="004803CA" w:rsidRPr="00923778">
        <w:br/>
      </w:r>
      <w:r w:rsidR="00740FBD" w:rsidRPr="00923778">
        <w:t>Interchange with Neighboring Systems</w:t>
      </w:r>
      <w:r w:rsidR="009C02EB" w:rsidRPr="00923778">
        <w:t xml:space="preserve"> (MW)</w:t>
      </w:r>
      <w:bookmarkEnd w:id="39"/>
    </w:p>
    <w:tbl>
      <w:tblPr>
        <w:tblStyle w:val="TableGrid"/>
        <w:tblW w:w="0" w:type="auto"/>
        <w:jc w:val="center"/>
        <w:tblLook w:val="04A0" w:firstRow="1" w:lastRow="0" w:firstColumn="1" w:lastColumn="0" w:noHBand="0" w:noVBand="1"/>
      </w:tblPr>
      <w:tblGrid>
        <w:gridCol w:w="2337"/>
        <w:gridCol w:w="1800"/>
        <w:gridCol w:w="4770"/>
      </w:tblGrid>
      <w:tr w:rsidR="005C44FB" w:rsidRPr="00923778" w:rsidTr="00CC6422">
        <w:trPr>
          <w:jc w:val="center"/>
        </w:trPr>
        <w:tc>
          <w:tcPr>
            <w:tcW w:w="2337" w:type="dxa"/>
            <w:tcBorders>
              <w:top w:val="single" w:sz="2" w:space="0" w:color="auto"/>
              <w:left w:val="single" w:sz="2" w:space="0" w:color="auto"/>
              <w:bottom w:val="single" w:sz="2" w:space="0" w:color="auto"/>
              <w:right w:val="single" w:sz="2" w:space="0" w:color="auto"/>
            </w:tcBorders>
            <w:shd w:val="clear" w:color="auto" w:fill="1795D2" w:themeFill="accent1"/>
            <w:tcMar>
              <w:top w:w="29" w:type="dxa"/>
              <w:left w:w="115" w:type="dxa"/>
              <w:bottom w:w="29" w:type="dxa"/>
              <w:right w:w="115" w:type="dxa"/>
            </w:tcMar>
            <w:vAlign w:val="center"/>
          </w:tcPr>
          <w:p w:rsidR="00E86673" w:rsidRPr="00923778" w:rsidRDefault="005C44FB" w:rsidP="00E712DA">
            <w:pPr>
              <w:keepNext/>
              <w:keepLines/>
              <w:spacing w:before="40" w:after="40" w:line="240" w:lineRule="auto"/>
              <w:jc w:val="center"/>
              <w:rPr>
                <w:rFonts w:asciiTheme="majorHAnsi" w:hAnsiTheme="majorHAnsi" w:cstheme="majorHAnsi"/>
                <w:b/>
                <w:color w:val="FFFFFF" w:themeColor="background1"/>
                <w:sz w:val="18"/>
                <w:szCs w:val="18"/>
              </w:rPr>
            </w:pPr>
            <w:r w:rsidRPr="00923778">
              <w:rPr>
                <w:rFonts w:asciiTheme="majorHAnsi" w:hAnsiTheme="majorHAnsi" w:cstheme="majorHAnsi"/>
                <w:b/>
                <w:color w:val="FFFFFF" w:themeColor="background1"/>
                <w:sz w:val="18"/>
                <w:szCs w:val="18"/>
              </w:rPr>
              <w:t>Interconnection</w:t>
            </w:r>
          </w:p>
        </w:tc>
        <w:tc>
          <w:tcPr>
            <w:tcW w:w="1800" w:type="dxa"/>
            <w:tcBorders>
              <w:top w:val="single" w:sz="2" w:space="0" w:color="auto"/>
              <w:left w:val="single" w:sz="2" w:space="0" w:color="auto"/>
              <w:bottom w:val="single" w:sz="2" w:space="0" w:color="auto"/>
              <w:right w:val="single" w:sz="2" w:space="0" w:color="auto"/>
            </w:tcBorders>
            <w:shd w:val="clear" w:color="auto" w:fill="1795D2" w:themeFill="accent1"/>
            <w:tcMar>
              <w:top w:w="29" w:type="dxa"/>
              <w:left w:w="115" w:type="dxa"/>
              <w:bottom w:w="29" w:type="dxa"/>
              <w:right w:w="115" w:type="dxa"/>
            </w:tcMar>
            <w:vAlign w:val="center"/>
          </w:tcPr>
          <w:p w:rsidR="00E86673" w:rsidRPr="00923778" w:rsidRDefault="005C44FB" w:rsidP="00E712DA">
            <w:pPr>
              <w:keepNext/>
              <w:keepLines/>
              <w:spacing w:before="40" w:after="40" w:line="240" w:lineRule="auto"/>
              <w:jc w:val="center"/>
              <w:rPr>
                <w:rFonts w:asciiTheme="majorHAnsi" w:hAnsiTheme="majorHAnsi" w:cstheme="majorHAnsi"/>
                <w:b/>
                <w:color w:val="FFFFFF" w:themeColor="background1"/>
                <w:sz w:val="18"/>
                <w:szCs w:val="18"/>
              </w:rPr>
            </w:pPr>
            <w:r w:rsidRPr="00923778">
              <w:rPr>
                <w:rFonts w:asciiTheme="majorHAnsi" w:hAnsiTheme="majorHAnsi" w:cstheme="majorHAnsi"/>
                <w:b/>
                <w:color w:val="FFFFFF" w:themeColor="background1"/>
                <w:sz w:val="18"/>
                <w:szCs w:val="18"/>
              </w:rPr>
              <w:t>Import Capability (MW)</w:t>
            </w:r>
          </w:p>
        </w:tc>
        <w:tc>
          <w:tcPr>
            <w:tcW w:w="4770" w:type="dxa"/>
            <w:tcBorders>
              <w:top w:val="single" w:sz="2" w:space="0" w:color="auto"/>
              <w:left w:val="single" w:sz="2" w:space="0" w:color="auto"/>
              <w:bottom w:val="single" w:sz="2" w:space="0" w:color="auto"/>
              <w:right w:val="single" w:sz="2" w:space="0" w:color="auto"/>
            </w:tcBorders>
            <w:shd w:val="clear" w:color="auto" w:fill="1795D2" w:themeFill="accent1"/>
            <w:tcMar>
              <w:top w:w="29" w:type="dxa"/>
              <w:left w:w="115" w:type="dxa"/>
              <w:bottom w:w="29" w:type="dxa"/>
              <w:right w:w="115" w:type="dxa"/>
            </w:tcMar>
            <w:vAlign w:val="center"/>
          </w:tcPr>
          <w:p w:rsidR="00E86673" w:rsidRPr="00923778" w:rsidRDefault="005C44FB" w:rsidP="00E712DA">
            <w:pPr>
              <w:keepNext/>
              <w:keepLines/>
              <w:spacing w:before="40" w:after="40" w:line="240" w:lineRule="auto"/>
              <w:jc w:val="center"/>
              <w:rPr>
                <w:rFonts w:asciiTheme="majorHAnsi" w:hAnsiTheme="majorHAnsi" w:cstheme="majorHAnsi"/>
                <w:b/>
                <w:color w:val="FFFFFF" w:themeColor="background1"/>
                <w:sz w:val="18"/>
                <w:szCs w:val="18"/>
              </w:rPr>
            </w:pPr>
            <w:r w:rsidRPr="00923778">
              <w:rPr>
                <w:rFonts w:asciiTheme="majorHAnsi" w:hAnsiTheme="majorHAnsi" w:cstheme="majorHAnsi"/>
                <w:b/>
                <w:color w:val="FFFFFF" w:themeColor="background1"/>
                <w:sz w:val="18"/>
                <w:szCs w:val="18"/>
              </w:rPr>
              <w:t>Interchange Modeling</w:t>
            </w:r>
          </w:p>
        </w:tc>
      </w:tr>
      <w:tr w:rsidR="00E86673" w:rsidTr="00CC6422">
        <w:trPr>
          <w:jc w:val="center"/>
        </w:trPr>
        <w:tc>
          <w:tcPr>
            <w:tcW w:w="2337" w:type="dxa"/>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E86673" w:rsidRPr="00CC6422" w:rsidRDefault="005C44FB" w:rsidP="004826D9">
            <w:pPr>
              <w:keepNext/>
              <w:keepLines/>
              <w:spacing w:before="40" w:after="40" w:line="240" w:lineRule="auto"/>
              <w:rPr>
                <w:rFonts w:asciiTheme="majorHAnsi" w:hAnsiTheme="majorHAnsi" w:cstheme="majorHAnsi"/>
                <w:b/>
                <w:sz w:val="18"/>
                <w:szCs w:val="18"/>
              </w:rPr>
            </w:pPr>
            <w:r w:rsidRPr="00CC6422">
              <w:rPr>
                <w:rFonts w:asciiTheme="majorHAnsi" w:hAnsiTheme="majorHAnsi" w:cstheme="majorHAnsi"/>
                <w:b/>
                <w:sz w:val="18"/>
                <w:szCs w:val="18"/>
              </w:rPr>
              <w:t>HIghgate</w:t>
            </w:r>
          </w:p>
        </w:tc>
        <w:tc>
          <w:tcPr>
            <w:tcW w:w="1800" w:type="dxa"/>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E86673" w:rsidRPr="00923778" w:rsidRDefault="00923778" w:rsidP="004826D9">
            <w:pPr>
              <w:keepNext/>
              <w:keepLines/>
              <w:spacing w:before="40" w:after="40" w:line="240" w:lineRule="auto"/>
              <w:jc w:val="center"/>
              <w:rPr>
                <w:rFonts w:asciiTheme="majorHAnsi" w:hAnsiTheme="majorHAnsi" w:cstheme="majorHAnsi"/>
                <w:sz w:val="18"/>
                <w:szCs w:val="18"/>
              </w:rPr>
            </w:pPr>
            <w:r>
              <w:rPr>
                <w:rFonts w:asciiTheme="majorHAnsi" w:hAnsiTheme="majorHAnsi" w:cstheme="majorHAnsi"/>
                <w:sz w:val="18"/>
                <w:szCs w:val="18"/>
              </w:rPr>
              <w:t>217</w:t>
            </w:r>
            <w:r w:rsidRPr="00923778">
              <w:rPr>
                <w:rFonts w:asciiTheme="majorHAnsi" w:hAnsiTheme="majorHAnsi" w:cstheme="majorHAnsi"/>
                <w:sz w:val="18"/>
                <w:szCs w:val="18"/>
                <w:vertAlign w:val="superscript"/>
              </w:rPr>
              <w:t>(a)</w:t>
            </w:r>
          </w:p>
        </w:tc>
        <w:tc>
          <w:tcPr>
            <w:tcW w:w="4770" w:type="dxa"/>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E86673" w:rsidRPr="00923778" w:rsidRDefault="00923778" w:rsidP="004826D9">
            <w:pPr>
              <w:keepNext/>
              <w:keepLines/>
              <w:spacing w:before="40" w:after="40" w:line="240" w:lineRule="auto"/>
              <w:rPr>
                <w:rFonts w:asciiTheme="majorHAnsi" w:hAnsiTheme="majorHAnsi" w:cstheme="majorHAnsi"/>
                <w:sz w:val="18"/>
                <w:szCs w:val="18"/>
              </w:rPr>
            </w:pPr>
            <w:r>
              <w:rPr>
                <w:rFonts w:asciiTheme="majorHAnsi" w:hAnsiTheme="majorHAnsi" w:cstheme="majorHAnsi"/>
                <w:sz w:val="18"/>
                <w:szCs w:val="18"/>
              </w:rPr>
              <w:t>Historical diurnal profile averaged over 2016 through 2018</w:t>
            </w:r>
          </w:p>
        </w:tc>
      </w:tr>
      <w:tr w:rsidR="00923778" w:rsidTr="00CC6422">
        <w:trPr>
          <w:jc w:val="center"/>
        </w:trPr>
        <w:tc>
          <w:tcPr>
            <w:tcW w:w="233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29" w:type="dxa"/>
              <w:left w:w="115" w:type="dxa"/>
              <w:bottom w:w="29" w:type="dxa"/>
              <w:right w:w="115" w:type="dxa"/>
            </w:tcMar>
            <w:vAlign w:val="center"/>
          </w:tcPr>
          <w:p w:rsidR="00923778" w:rsidRPr="00CC6422" w:rsidRDefault="00923778" w:rsidP="004826D9">
            <w:pPr>
              <w:keepNext/>
              <w:keepLines/>
              <w:spacing w:before="40" w:after="40" w:line="240" w:lineRule="auto"/>
              <w:rPr>
                <w:rFonts w:asciiTheme="majorHAnsi" w:hAnsiTheme="majorHAnsi" w:cstheme="majorHAnsi"/>
                <w:b/>
                <w:sz w:val="18"/>
                <w:szCs w:val="18"/>
              </w:rPr>
            </w:pPr>
            <w:r w:rsidRPr="00CC6422">
              <w:rPr>
                <w:rFonts w:asciiTheme="majorHAnsi" w:hAnsiTheme="majorHAnsi" w:cstheme="majorHAnsi"/>
                <w:b/>
                <w:sz w:val="18"/>
                <w:szCs w:val="18"/>
              </w:rPr>
              <w:t>Hydro-Québec (HQ) Phase II</w:t>
            </w:r>
          </w:p>
        </w:tc>
        <w:tc>
          <w:tcPr>
            <w:tcW w:w="180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29" w:type="dxa"/>
              <w:left w:w="115" w:type="dxa"/>
              <w:bottom w:w="29" w:type="dxa"/>
              <w:right w:w="115" w:type="dxa"/>
            </w:tcMar>
            <w:vAlign w:val="center"/>
          </w:tcPr>
          <w:p w:rsidR="00923778" w:rsidRPr="00923778" w:rsidRDefault="00923778" w:rsidP="004826D9">
            <w:pPr>
              <w:keepNext/>
              <w:keepLines/>
              <w:spacing w:before="40" w:after="40" w:line="240" w:lineRule="auto"/>
              <w:jc w:val="center"/>
              <w:rPr>
                <w:rFonts w:asciiTheme="majorHAnsi" w:hAnsiTheme="majorHAnsi" w:cstheme="majorHAnsi"/>
                <w:sz w:val="18"/>
                <w:szCs w:val="18"/>
              </w:rPr>
            </w:pPr>
            <w:r>
              <w:rPr>
                <w:rFonts w:asciiTheme="majorHAnsi" w:hAnsiTheme="majorHAnsi" w:cstheme="majorHAnsi"/>
                <w:sz w:val="18"/>
                <w:szCs w:val="18"/>
              </w:rPr>
              <w:t>2,000</w:t>
            </w:r>
            <w:r w:rsidRPr="00923778">
              <w:rPr>
                <w:rFonts w:asciiTheme="majorHAnsi" w:hAnsiTheme="majorHAnsi" w:cstheme="majorHAnsi"/>
                <w:sz w:val="18"/>
                <w:szCs w:val="18"/>
                <w:vertAlign w:val="superscript"/>
              </w:rPr>
              <w:t>(a)</w:t>
            </w:r>
          </w:p>
        </w:tc>
        <w:tc>
          <w:tcPr>
            <w:tcW w:w="477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29" w:type="dxa"/>
              <w:left w:w="115" w:type="dxa"/>
              <w:bottom w:w="29" w:type="dxa"/>
              <w:right w:w="115" w:type="dxa"/>
            </w:tcMar>
            <w:vAlign w:val="center"/>
          </w:tcPr>
          <w:p w:rsidR="00923778" w:rsidRPr="00923778" w:rsidRDefault="00923778" w:rsidP="004826D9">
            <w:pPr>
              <w:keepNext/>
              <w:keepLines/>
              <w:spacing w:before="40" w:after="40" w:line="240" w:lineRule="auto"/>
              <w:rPr>
                <w:rFonts w:asciiTheme="majorHAnsi" w:hAnsiTheme="majorHAnsi" w:cstheme="majorHAnsi"/>
                <w:sz w:val="18"/>
                <w:szCs w:val="18"/>
              </w:rPr>
            </w:pPr>
            <w:r>
              <w:rPr>
                <w:rFonts w:asciiTheme="majorHAnsi" w:hAnsiTheme="majorHAnsi" w:cstheme="majorHAnsi"/>
                <w:sz w:val="18"/>
                <w:szCs w:val="18"/>
              </w:rPr>
              <w:t>Historical diurnal profile averaged over 2016 through 2018</w:t>
            </w:r>
          </w:p>
        </w:tc>
      </w:tr>
      <w:tr w:rsidR="00923778" w:rsidTr="00CC6422">
        <w:trPr>
          <w:jc w:val="center"/>
        </w:trPr>
        <w:tc>
          <w:tcPr>
            <w:tcW w:w="2337" w:type="dxa"/>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923778" w:rsidRPr="00CC6422" w:rsidRDefault="00923778" w:rsidP="00E712DA">
            <w:pPr>
              <w:keepNext/>
              <w:keepLines/>
              <w:spacing w:before="40" w:after="40" w:line="240" w:lineRule="auto"/>
              <w:rPr>
                <w:rFonts w:asciiTheme="majorHAnsi" w:hAnsiTheme="majorHAnsi" w:cstheme="majorHAnsi"/>
                <w:b/>
                <w:sz w:val="18"/>
                <w:szCs w:val="18"/>
              </w:rPr>
            </w:pPr>
            <w:r w:rsidRPr="00CC6422">
              <w:rPr>
                <w:rFonts w:asciiTheme="majorHAnsi" w:hAnsiTheme="majorHAnsi" w:cstheme="majorHAnsi"/>
                <w:b/>
                <w:sz w:val="18"/>
                <w:szCs w:val="18"/>
              </w:rPr>
              <w:t>HQ-NECEC</w:t>
            </w:r>
          </w:p>
        </w:tc>
        <w:tc>
          <w:tcPr>
            <w:tcW w:w="1800" w:type="dxa"/>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923778" w:rsidRPr="00923778" w:rsidRDefault="00923778" w:rsidP="00E712DA">
            <w:pPr>
              <w:keepNext/>
              <w:keepLines/>
              <w:spacing w:before="40" w:after="40" w:line="240" w:lineRule="auto"/>
              <w:jc w:val="center"/>
              <w:rPr>
                <w:rFonts w:asciiTheme="majorHAnsi" w:hAnsiTheme="majorHAnsi" w:cstheme="majorHAnsi"/>
                <w:sz w:val="18"/>
                <w:szCs w:val="18"/>
              </w:rPr>
            </w:pPr>
            <w:r>
              <w:rPr>
                <w:rFonts w:asciiTheme="majorHAnsi" w:hAnsiTheme="majorHAnsi" w:cstheme="majorHAnsi"/>
                <w:sz w:val="18"/>
                <w:szCs w:val="18"/>
              </w:rPr>
              <w:t>1,200</w:t>
            </w:r>
          </w:p>
        </w:tc>
        <w:tc>
          <w:tcPr>
            <w:tcW w:w="4770" w:type="dxa"/>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923778" w:rsidRPr="00923778" w:rsidRDefault="00923778" w:rsidP="00815C84">
            <w:pPr>
              <w:keepNext/>
              <w:keepLines/>
              <w:spacing w:before="40" w:after="40" w:line="240" w:lineRule="auto"/>
              <w:rPr>
                <w:rFonts w:asciiTheme="majorHAnsi" w:hAnsiTheme="majorHAnsi" w:cstheme="majorHAnsi"/>
                <w:sz w:val="18"/>
                <w:szCs w:val="18"/>
              </w:rPr>
            </w:pPr>
            <w:r>
              <w:rPr>
                <w:rFonts w:asciiTheme="majorHAnsi" w:hAnsiTheme="majorHAnsi" w:cstheme="majorHAnsi"/>
                <w:sz w:val="18"/>
                <w:szCs w:val="18"/>
              </w:rPr>
              <w:t>Assumed firm energy delivery of 1,</w:t>
            </w:r>
            <w:r w:rsidR="00815C84">
              <w:rPr>
                <w:rFonts w:asciiTheme="majorHAnsi" w:hAnsiTheme="majorHAnsi" w:cstheme="majorHAnsi"/>
                <w:sz w:val="18"/>
                <w:szCs w:val="18"/>
              </w:rPr>
              <w:t>090 </w:t>
            </w:r>
            <w:r>
              <w:rPr>
                <w:rFonts w:asciiTheme="majorHAnsi" w:hAnsiTheme="majorHAnsi" w:cstheme="majorHAnsi"/>
                <w:sz w:val="18"/>
                <w:szCs w:val="18"/>
              </w:rPr>
              <w:t>MW across all hours</w:t>
            </w:r>
          </w:p>
        </w:tc>
      </w:tr>
      <w:tr w:rsidR="00923778" w:rsidTr="00CC6422">
        <w:trPr>
          <w:jc w:val="center"/>
        </w:trPr>
        <w:tc>
          <w:tcPr>
            <w:tcW w:w="233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29" w:type="dxa"/>
              <w:left w:w="115" w:type="dxa"/>
              <w:bottom w:w="29" w:type="dxa"/>
              <w:right w:w="115" w:type="dxa"/>
            </w:tcMar>
            <w:vAlign w:val="center"/>
          </w:tcPr>
          <w:p w:rsidR="00923778" w:rsidRPr="00CC6422" w:rsidRDefault="00923778" w:rsidP="00E712DA">
            <w:pPr>
              <w:keepNext/>
              <w:keepLines/>
              <w:spacing w:before="40" w:after="40" w:line="240" w:lineRule="auto"/>
              <w:rPr>
                <w:rFonts w:asciiTheme="majorHAnsi" w:hAnsiTheme="majorHAnsi" w:cstheme="majorHAnsi"/>
                <w:b/>
                <w:sz w:val="18"/>
                <w:szCs w:val="18"/>
              </w:rPr>
            </w:pPr>
            <w:r w:rsidRPr="00CC6422">
              <w:rPr>
                <w:rFonts w:asciiTheme="majorHAnsi" w:hAnsiTheme="majorHAnsi" w:cstheme="majorHAnsi"/>
                <w:b/>
                <w:sz w:val="18"/>
                <w:szCs w:val="18"/>
              </w:rPr>
              <w:t>New Brunswick</w:t>
            </w:r>
          </w:p>
        </w:tc>
        <w:tc>
          <w:tcPr>
            <w:tcW w:w="180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29" w:type="dxa"/>
              <w:left w:w="115" w:type="dxa"/>
              <w:bottom w:w="29" w:type="dxa"/>
              <w:right w:w="115" w:type="dxa"/>
            </w:tcMar>
            <w:vAlign w:val="center"/>
          </w:tcPr>
          <w:p w:rsidR="00923778" w:rsidRPr="00923778" w:rsidRDefault="00923778" w:rsidP="00E712DA">
            <w:pPr>
              <w:keepNext/>
              <w:keepLines/>
              <w:spacing w:before="40" w:after="40" w:line="240" w:lineRule="auto"/>
              <w:jc w:val="center"/>
              <w:rPr>
                <w:rFonts w:asciiTheme="majorHAnsi" w:hAnsiTheme="majorHAnsi" w:cstheme="majorHAnsi"/>
                <w:sz w:val="18"/>
                <w:szCs w:val="18"/>
              </w:rPr>
            </w:pPr>
            <w:r>
              <w:rPr>
                <w:rFonts w:asciiTheme="majorHAnsi" w:hAnsiTheme="majorHAnsi" w:cstheme="majorHAnsi"/>
                <w:sz w:val="18"/>
                <w:szCs w:val="18"/>
              </w:rPr>
              <w:t>1,000</w:t>
            </w:r>
            <w:r w:rsidRPr="00923778">
              <w:rPr>
                <w:rFonts w:asciiTheme="majorHAnsi" w:hAnsiTheme="majorHAnsi" w:cstheme="majorHAnsi"/>
                <w:sz w:val="18"/>
                <w:szCs w:val="18"/>
                <w:vertAlign w:val="superscript"/>
              </w:rPr>
              <w:t>(a)</w:t>
            </w:r>
          </w:p>
        </w:tc>
        <w:tc>
          <w:tcPr>
            <w:tcW w:w="4770" w:type="dxa"/>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923778" w:rsidRPr="00923778" w:rsidRDefault="00923778" w:rsidP="00E712DA">
            <w:pPr>
              <w:keepNext/>
              <w:keepLines/>
              <w:spacing w:before="40" w:after="40" w:line="240" w:lineRule="auto"/>
              <w:rPr>
                <w:rFonts w:asciiTheme="majorHAnsi" w:hAnsiTheme="majorHAnsi" w:cstheme="majorHAnsi"/>
                <w:sz w:val="18"/>
                <w:szCs w:val="18"/>
              </w:rPr>
            </w:pPr>
            <w:r>
              <w:rPr>
                <w:rFonts w:asciiTheme="majorHAnsi" w:hAnsiTheme="majorHAnsi" w:cstheme="majorHAnsi"/>
                <w:sz w:val="18"/>
                <w:szCs w:val="18"/>
              </w:rPr>
              <w:t>Historical diurnal profile averaged over 2016 through 2018</w:t>
            </w:r>
          </w:p>
        </w:tc>
      </w:tr>
      <w:tr w:rsidR="00923778" w:rsidTr="00CC6422">
        <w:trPr>
          <w:jc w:val="center"/>
        </w:trPr>
        <w:tc>
          <w:tcPr>
            <w:tcW w:w="2337" w:type="dxa"/>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923778" w:rsidRPr="00CC6422" w:rsidRDefault="00923778" w:rsidP="00E712DA">
            <w:pPr>
              <w:keepNext/>
              <w:keepLines/>
              <w:spacing w:before="40" w:after="40" w:line="240" w:lineRule="auto"/>
              <w:rPr>
                <w:rFonts w:asciiTheme="majorHAnsi" w:hAnsiTheme="majorHAnsi" w:cstheme="majorHAnsi"/>
                <w:b/>
                <w:sz w:val="18"/>
                <w:szCs w:val="18"/>
              </w:rPr>
            </w:pPr>
            <w:r w:rsidRPr="00CC6422">
              <w:rPr>
                <w:rFonts w:asciiTheme="majorHAnsi" w:hAnsiTheme="majorHAnsi" w:cstheme="majorHAnsi"/>
                <w:b/>
                <w:sz w:val="18"/>
                <w:szCs w:val="18"/>
              </w:rPr>
              <w:t>New York AC</w:t>
            </w:r>
          </w:p>
        </w:tc>
        <w:tc>
          <w:tcPr>
            <w:tcW w:w="1800" w:type="dxa"/>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923778" w:rsidRPr="00923778" w:rsidRDefault="00923778" w:rsidP="00E712DA">
            <w:pPr>
              <w:keepNext/>
              <w:keepLines/>
              <w:spacing w:before="40" w:after="40" w:line="240" w:lineRule="auto"/>
              <w:jc w:val="center"/>
              <w:rPr>
                <w:rFonts w:asciiTheme="majorHAnsi" w:hAnsiTheme="majorHAnsi" w:cstheme="majorHAnsi"/>
                <w:sz w:val="18"/>
                <w:szCs w:val="18"/>
              </w:rPr>
            </w:pPr>
            <w:r>
              <w:rPr>
                <w:rFonts w:asciiTheme="majorHAnsi" w:hAnsiTheme="majorHAnsi" w:cstheme="majorHAnsi"/>
                <w:sz w:val="18"/>
                <w:szCs w:val="18"/>
              </w:rPr>
              <w:t>1,400</w:t>
            </w:r>
            <w:r w:rsidRPr="00923778">
              <w:rPr>
                <w:rFonts w:asciiTheme="majorHAnsi" w:hAnsiTheme="majorHAnsi" w:cstheme="majorHAnsi"/>
                <w:sz w:val="18"/>
                <w:szCs w:val="18"/>
                <w:vertAlign w:val="superscript"/>
              </w:rPr>
              <w:t>(a)</w:t>
            </w:r>
          </w:p>
        </w:tc>
        <w:tc>
          <w:tcPr>
            <w:tcW w:w="4770" w:type="dxa"/>
            <w:tcBorders>
              <w:top w:val="single" w:sz="2" w:space="0" w:color="auto"/>
              <w:left w:val="single" w:sz="2" w:space="0" w:color="auto"/>
              <w:bottom w:val="single" w:sz="2" w:space="0" w:color="auto"/>
              <w:right w:val="single" w:sz="2" w:space="0" w:color="auto"/>
            </w:tcBorders>
            <w:tcMar>
              <w:top w:w="29" w:type="dxa"/>
              <w:left w:w="115" w:type="dxa"/>
              <w:bottom w:w="29" w:type="dxa"/>
              <w:right w:w="115" w:type="dxa"/>
            </w:tcMar>
            <w:vAlign w:val="center"/>
          </w:tcPr>
          <w:p w:rsidR="00923778" w:rsidRPr="00923778" w:rsidRDefault="00923778" w:rsidP="00E712DA">
            <w:pPr>
              <w:keepNext/>
              <w:keepLines/>
              <w:spacing w:before="40" w:after="40" w:line="240" w:lineRule="auto"/>
              <w:rPr>
                <w:rFonts w:asciiTheme="majorHAnsi" w:hAnsiTheme="majorHAnsi" w:cstheme="majorHAnsi"/>
                <w:sz w:val="18"/>
                <w:szCs w:val="18"/>
              </w:rPr>
            </w:pPr>
            <w:r>
              <w:rPr>
                <w:rFonts w:asciiTheme="majorHAnsi" w:hAnsiTheme="majorHAnsi" w:cstheme="majorHAnsi"/>
                <w:sz w:val="18"/>
                <w:szCs w:val="18"/>
              </w:rPr>
              <w:t>Assume no interchange</w:t>
            </w:r>
            <w:r w:rsidRPr="008D612C">
              <w:rPr>
                <w:rFonts w:asciiTheme="majorHAnsi" w:hAnsiTheme="majorHAnsi" w:cstheme="majorHAnsi"/>
                <w:sz w:val="18"/>
                <w:szCs w:val="18"/>
                <w:vertAlign w:val="superscript"/>
              </w:rPr>
              <w:t>(b)</w:t>
            </w:r>
          </w:p>
        </w:tc>
      </w:tr>
      <w:tr w:rsidR="00923778" w:rsidRPr="00E712DA" w:rsidTr="00CC6422">
        <w:trPr>
          <w:jc w:val="center"/>
        </w:trPr>
        <w:tc>
          <w:tcPr>
            <w:tcW w:w="233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29" w:type="dxa"/>
              <w:left w:w="115" w:type="dxa"/>
              <w:bottom w:w="29" w:type="dxa"/>
              <w:right w:w="115" w:type="dxa"/>
            </w:tcMar>
            <w:vAlign w:val="center"/>
          </w:tcPr>
          <w:p w:rsidR="00923778" w:rsidRPr="00CC6422" w:rsidRDefault="00923778" w:rsidP="004826D9">
            <w:pPr>
              <w:keepNext/>
              <w:keepLines/>
              <w:spacing w:before="40" w:after="40" w:line="240" w:lineRule="auto"/>
              <w:rPr>
                <w:rFonts w:asciiTheme="majorHAnsi" w:hAnsiTheme="majorHAnsi" w:cstheme="majorHAnsi"/>
                <w:b/>
                <w:sz w:val="18"/>
                <w:szCs w:val="16"/>
              </w:rPr>
            </w:pPr>
            <w:r w:rsidRPr="00CC6422">
              <w:rPr>
                <w:rFonts w:asciiTheme="majorHAnsi" w:hAnsiTheme="majorHAnsi" w:cstheme="majorHAnsi"/>
                <w:b/>
                <w:sz w:val="18"/>
                <w:szCs w:val="16"/>
              </w:rPr>
              <w:t>CSC</w:t>
            </w:r>
          </w:p>
        </w:tc>
        <w:tc>
          <w:tcPr>
            <w:tcW w:w="180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29" w:type="dxa"/>
              <w:left w:w="115" w:type="dxa"/>
              <w:bottom w:w="29" w:type="dxa"/>
              <w:right w:w="115" w:type="dxa"/>
            </w:tcMar>
            <w:vAlign w:val="center"/>
          </w:tcPr>
          <w:p w:rsidR="00923778" w:rsidRPr="00BE2DF9" w:rsidRDefault="00923778" w:rsidP="004826D9">
            <w:pPr>
              <w:keepNext/>
              <w:keepLines/>
              <w:spacing w:before="40" w:after="40" w:line="240" w:lineRule="auto"/>
              <w:jc w:val="center"/>
              <w:rPr>
                <w:rFonts w:asciiTheme="majorHAnsi" w:hAnsiTheme="majorHAnsi" w:cstheme="majorHAnsi"/>
                <w:sz w:val="18"/>
                <w:szCs w:val="16"/>
              </w:rPr>
            </w:pPr>
            <w:r w:rsidRPr="00BE2DF9">
              <w:rPr>
                <w:rFonts w:asciiTheme="majorHAnsi" w:hAnsiTheme="majorHAnsi" w:cstheme="majorHAnsi"/>
                <w:sz w:val="18"/>
                <w:szCs w:val="16"/>
              </w:rPr>
              <w:t>330</w:t>
            </w:r>
            <w:r w:rsidRPr="00BE2DF9">
              <w:rPr>
                <w:rFonts w:asciiTheme="majorHAnsi" w:hAnsiTheme="majorHAnsi" w:cstheme="majorHAnsi"/>
                <w:sz w:val="18"/>
                <w:szCs w:val="16"/>
                <w:vertAlign w:val="superscript"/>
              </w:rPr>
              <w:t>(a)</w:t>
            </w:r>
          </w:p>
        </w:tc>
        <w:tc>
          <w:tcPr>
            <w:tcW w:w="477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29" w:type="dxa"/>
              <w:left w:w="115" w:type="dxa"/>
              <w:bottom w:w="29" w:type="dxa"/>
              <w:right w:w="115" w:type="dxa"/>
            </w:tcMar>
            <w:vAlign w:val="center"/>
          </w:tcPr>
          <w:p w:rsidR="00923778" w:rsidRPr="00BE2DF9" w:rsidRDefault="00923778" w:rsidP="004826D9">
            <w:pPr>
              <w:keepNext/>
              <w:keepLines/>
              <w:spacing w:before="40" w:after="40" w:line="240" w:lineRule="auto"/>
              <w:rPr>
                <w:rFonts w:asciiTheme="majorHAnsi" w:hAnsiTheme="majorHAnsi" w:cstheme="majorHAnsi"/>
                <w:sz w:val="18"/>
                <w:szCs w:val="16"/>
              </w:rPr>
            </w:pPr>
            <w:r w:rsidRPr="00BE2DF9">
              <w:rPr>
                <w:rFonts w:asciiTheme="majorHAnsi" w:hAnsiTheme="majorHAnsi" w:cstheme="majorHAnsi"/>
                <w:sz w:val="18"/>
                <w:szCs w:val="16"/>
              </w:rPr>
              <w:t>Assume no interchange</w:t>
            </w:r>
            <w:r w:rsidRPr="00BE2DF9">
              <w:rPr>
                <w:rFonts w:asciiTheme="majorHAnsi" w:hAnsiTheme="majorHAnsi" w:cstheme="majorHAnsi"/>
                <w:sz w:val="18"/>
                <w:szCs w:val="16"/>
                <w:vertAlign w:val="superscript"/>
              </w:rPr>
              <w:t>(b)</w:t>
            </w:r>
          </w:p>
        </w:tc>
      </w:tr>
    </w:tbl>
    <w:p w:rsidR="00740FBD" w:rsidRPr="00E712DA" w:rsidRDefault="00FF79C4" w:rsidP="00645F9F">
      <w:pPr>
        <w:keepNext/>
        <w:keepLines/>
        <w:widowControl w:val="0"/>
        <w:spacing w:before="120" w:after="80" w:line="240" w:lineRule="auto"/>
        <w:ind w:left="720" w:hanging="446"/>
        <w:rPr>
          <w:rFonts w:asciiTheme="majorHAnsi" w:hAnsiTheme="majorHAnsi" w:cstheme="majorHAnsi"/>
          <w:sz w:val="16"/>
          <w:szCs w:val="16"/>
        </w:rPr>
      </w:pPr>
      <w:r w:rsidRPr="00E712DA">
        <w:rPr>
          <w:rFonts w:asciiTheme="majorHAnsi" w:hAnsiTheme="majorHAnsi" w:cstheme="majorHAnsi"/>
          <w:sz w:val="16"/>
          <w:szCs w:val="16"/>
        </w:rPr>
        <w:t>(a) These values represent i</w:t>
      </w:r>
      <w:r w:rsidR="00740FBD" w:rsidRPr="00E712DA">
        <w:rPr>
          <w:rFonts w:asciiTheme="majorHAnsi" w:hAnsiTheme="majorHAnsi" w:cstheme="majorHAnsi"/>
          <w:sz w:val="16"/>
          <w:szCs w:val="16"/>
        </w:rPr>
        <w:t>mport capability for energy</w:t>
      </w:r>
      <w:r w:rsidR="00645F9F">
        <w:rPr>
          <w:rFonts w:asciiTheme="majorHAnsi" w:hAnsiTheme="majorHAnsi" w:cstheme="majorHAnsi"/>
          <w:sz w:val="16"/>
          <w:szCs w:val="16"/>
        </w:rPr>
        <w:t>.</w:t>
      </w:r>
    </w:p>
    <w:p w:rsidR="00740FBD" w:rsidRPr="00E712DA" w:rsidRDefault="00FF79C4" w:rsidP="00645F9F">
      <w:pPr>
        <w:spacing w:line="240" w:lineRule="auto"/>
        <w:ind w:left="720" w:hanging="446"/>
        <w:rPr>
          <w:rFonts w:asciiTheme="majorHAnsi" w:hAnsiTheme="majorHAnsi" w:cstheme="majorHAnsi"/>
          <w:sz w:val="16"/>
          <w:szCs w:val="16"/>
        </w:rPr>
      </w:pPr>
      <w:r w:rsidRPr="00E712DA">
        <w:rPr>
          <w:rFonts w:asciiTheme="majorHAnsi" w:hAnsiTheme="majorHAnsi" w:cstheme="majorHAnsi"/>
          <w:sz w:val="16"/>
          <w:szCs w:val="16"/>
        </w:rPr>
        <w:t xml:space="preserve">(b) </w:t>
      </w:r>
      <w:r w:rsidR="00740FBD" w:rsidRPr="00E712DA">
        <w:rPr>
          <w:rFonts w:asciiTheme="majorHAnsi" w:hAnsiTheme="majorHAnsi" w:cstheme="majorHAnsi"/>
          <w:sz w:val="16"/>
          <w:szCs w:val="16"/>
        </w:rPr>
        <w:t>Assuming no interchange allows a straight comparison of the region</w:t>
      </w:r>
      <w:r w:rsidRPr="00E712DA">
        <w:rPr>
          <w:rFonts w:asciiTheme="majorHAnsi" w:hAnsiTheme="majorHAnsi" w:cstheme="majorHAnsi"/>
          <w:sz w:val="16"/>
          <w:szCs w:val="16"/>
        </w:rPr>
        <w:t>al</w:t>
      </w:r>
      <w:r w:rsidR="00740FBD" w:rsidRPr="00E712DA">
        <w:rPr>
          <w:rFonts w:asciiTheme="majorHAnsi" w:hAnsiTheme="majorHAnsi" w:cstheme="majorHAnsi"/>
          <w:sz w:val="16"/>
          <w:szCs w:val="16"/>
        </w:rPr>
        <w:t xml:space="preserve"> production cost across all scenarios</w:t>
      </w:r>
      <w:r w:rsidRPr="00E712DA">
        <w:rPr>
          <w:rFonts w:asciiTheme="majorHAnsi" w:hAnsiTheme="majorHAnsi" w:cstheme="majorHAnsi"/>
          <w:sz w:val="16"/>
          <w:szCs w:val="16"/>
        </w:rPr>
        <w:t>.</w:t>
      </w:r>
    </w:p>
    <w:p w:rsidR="006D4C1A" w:rsidRDefault="006D4C1A" w:rsidP="006D4C1A">
      <w:pPr>
        <w:pStyle w:val="Heading3"/>
      </w:pPr>
      <w:bookmarkStart w:id="40" w:name="_Toc51784663"/>
      <w:bookmarkStart w:id="41" w:name="_Ref43123389"/>
      <w:r>
        <w:t>Assumptions</w:t>
      </w:r>
      <w:r w:rsidR="00437DBC">
        <w:t xml:space="preserve"> </w:t>
      </w:r>
      <w:r w:rsidR="001D318B">
        <w:t>about</w:t>
      </w:r>
      <w:r w:rsidR="00437DBC">
        <w:t xml:space="preserve"> Load Levels</w:t>
      </w:r>
      <w:bookmarkEnd w:id="40"/>
    </w:p>
    <w:p w:rsidR="006D4C1A" w:rsidRPr="00314955" w:rsidRDefault="006D4C1A" w:rsidP="006D4C1A">
      <w:r w:rsidRPr="00DB10D1">
        <w:t xml:space="preserve">For all scenarios, the ISO’s </w:t>
      </w:r>
      <w:r w:rsidRPr="00DE1024">
        <w:rPr>
          <w:i/>
        </w:rPr>
        <w:t>2019 Forecast Report of Capacity, Energy, Loads, and Transmission</w:t>
      </w:r>
      <w:r w:rsidRPr="00DB10D1">
        <w:t xml:space="preserve"> (CELT Report) </w:t>
      </w:r>
      <w:r>
        <w:t xml:space="preserve">for year 2025 </w:t>
      </w:r>
      <w:r w:rsidRPr="00DB10D1">
        <w:t xml:space="preserve">was the source </w:t>
      </w:r>
      <w:r>
        <w:t>for</w:t>
      </w:r>
      <w:r w:rsidRPr="00DB10D1">
        <w:t xml:space="preserve"> data on gross demand, energy efficiency (EE), and behind-the-meter photovoltaics (BTM PV)</w:t>
      </w:r>
      <w:r>
        <w:t>.</w:t>
      </w:r>
      <w:r>
        <w:rPr>
          <w:rStyle w:val="FootnoteReference"/>
        </w:rPr>
        <w:footnoteReference w:id="19"/>
      </w:r>
      <w:r>
        <w:t xml:space="preserve"> </w:t>
      </w:r>
      <w:r w:rsidR="00C61706">
        <w:t>The study did not consider d</w:t>
      </w:r>
      <w:r>
        <w:t>emand fro</w:t>
      </w:r>
      <w:r w:rsidRPr="00513CC2">
        <w:t xml:space="preserve">m </w:t>
      </w:r>
      <w:r w:rsidRPr="001D318B">
        <w:t>additional policy</w:t>
      </w:r>
      <w:r w:rsidR="00C61706">
        <w:t>-</w:t>
      </w:r>
      <w:r w:rsidRPr="001D318B">
        <w:t xml:space="preserve">driven electrification of </w:t>
      </w:r>
      <w:r w:rsidRPr="00314955">
        <w:t>heat pumps and electric vehicles.</w:t>
      </w:r>
    </w:p>
    <w:p w:rsidR="00740FBD" w:rsidRPr="00314955" w:rsidRDefault="009C02EB" w:rsidP="004826D9">
      <w:pPr>
        <w:pStyle w:val="Heading3"/>
      </w:pPr>
      <w:bookmarkStart w:id="42" w:name="_Toc51784664"/>
      <w:r w:rsidRPr="00314955">
        <w:t>Weather</w:t>
      </w:r>
      <w:r w:rsidR="00434E1D" w:rsidRPr="00314955">
        <w:t>-Year</w:t>
      </w:r>
      <w:r w:rsidRPr="00314955">
        <w:t xml:space="preserve"> Assumptions</w:t>
      </w:r>
      <w:bookmarkEnd w:id="41"/>
      <w:bookmarkEnd w:id="42"/>
    </w:p>
    <w:p w:rsidR="00BD299D" w:rsidRDefault="00BD299D" w:rsidP="00BD299D">
      <w:r w:rsidRPr="00314955">
        <w:t xml:space="preserve">The </w:t>
      </w:r>
      <w:r w:rsidR="00C61706" w:rsidRPr="00314955">
        <w:t xml:space="preserve">Base </w:t>
      </w:r>
      <w:r w:rsidRPr="00314955">
        <w:t xml:space="preserve">and </w:t>
      </w:r>
      <w:r w:rsidR="00C61706" w:rsidRPr="00314955">
        <w:t xml:space="preserve">S1 and S2 </w:t>
      </w:r>
      <w:r w:rsidRPr="00314955">
        <w:t>production cost scenarios</w:t>
      </w:r>
      <w:r w:rsidR="00C47592" w:rsidRPr="00314955">
        <w:t xml:space="preserve"> </w:t>
      </w:r>
      <w:r w:rsidR="00B371F4" w:rsidRPr="00314955">
        <w:t xml:space="preserve">used </w:t>
      </w:r>
      <w:r w:rsidR="00540889" w:rsidRPr="00314955">
        <w:t>2015</w:t>
      </w:r>
      <w:r w:rsidRPr="00314955">
        <w:t xml:space="preserve"> </w:t>
      </w:r>
      <w:r w:rsidR="000A1009" w:rsidRPr="00314955">
        <w:t xml:space="preserve">weather to align </w:t>
      </w:r>
      <w:r w:rsidR="000A0CD8" w:rsidRPr="00314955">
        <w:t>wind,</w:t>
      </w:r>
      <w:r w:rsidR="000A0CD8">
        <w:t xml:space="preserve"> solar, and load </w:t>
      </w:r>
      <w:r>
        <w:t xml:space="preserve">profiles </w:t>
      </w:r>
      <w:r w:rsidR="00540889">
        <w:t>(scaled to 2025</w:t>
      </w:r>
      <w:r w:rsidRPr="000F2E7D">
        <w:t>)</w:t>
      </w:r>
      <w:r w:rsidR="000A0CD8">
        <w:t xml:space="preserve">. </w:t>
      </w:r>
      <w:r w:rsidR="001612FA">
        <w:t>The use of d</w:t>
      </w:r>
      <w:r w:rsidRPr="00BD299D">
        <w:t>ifferent weather</w:t>
      </w:r>
      <w:r w:rsidR="00C47592">
        <w:t>-</w:t>
      </w:r>
      <w:r w:rsidRPr="00BD299D">
        <w:t>year</w:t>
      </w:r>
      <w:r w:rsidR="000A0CD8">
        <w:t xml:space="preserve"> profiles </w:t>
      </w:r>
      <w:r w:rsidR="001612FA">
        <w:t>can result in different magnitudes for the study metrics, but broad results would be similar.</w:t>
      </w:r>
    </w:p>
    <w:p w:rsidR="00063CA6" w:rsidRDefault="00063CA6" w:rsidP="00E07AB1">
      <w:pPr>
        <w:pStyle w:val="Heading3"/>
      </w:pPr>
      <w:bookmarkStart w:id="43" w:name="_Toc51784665"/>
      <w:r>
        <w:t>Supply</w:t>
      </w:r>
      <w:r w:rsidR="00C61706">
        <w:t>-</w:t>
      </w:r>
      <w:r>
        <w:t>Side Resources</w:t>
      </w:r>
      <w:bookmarkEnd w:id="43"/>
    </w:p>
    <w:p w:rsidR="00063CA6" w:rsidRPr="00063CA6" w:rsidRDefault="004E1C7B" w:rsidP="00063CA6">
      <w:r w:rsidRPr="004E1C7B">
        <w:t>Supply-side resource capacity (for new and existing generation and demand</w:t>
      </w:r>
      <w:r w:rsidR="00480DBD">
        <w:t>-</w:t>
      </w:r>
      <w:r>
        <w:t>response resources</w:t>
      </w:r>
      <w:r w:rsidRPr="004E1C7B">
        <w:t xml:space="preserve">) was based on the </w:t>
      </w:r>
      <w:r w:rsidR="001C5607">
        <w:t xml:space="preserve">2019 CELT report and </w:t>
      </w:r>
      <w:r w:rsidRPr="004E1C7B">
        <w:t xml:space="preserve">results of the thirteenth Forward Capacity Auction (FCA 13) for </w:t>
      </w:r>
      <w:r w:rsidR="00480DBD">
        <w:t>the 2022-2023 c</w:t>
      </w:r>
      <w:r w:rsidRPr="004E1C7B">
        <w:t xml:space="preserve">apacity </w:t>
      </w:r>
      <w:r w:rsidR="00480DBD">
        <w:t>c</w:t>
      </w:r>
      <w:r w:rsidRPr="004E1C7B">
        <w:t xml:space="preserve">ommitment </w:t>
      </w:r>
      <w:r w:rsidR="00480DBD">
        <w:t>p</w:t>
      </w:r>
      <w:r w:rsidRPr="004E1C7B">
        <w:t>eriod</w:t>
      </w:r>
      <w:r>
        <w:t>.</w:t>
      </w:r>
      <w:r>
        <w:rPr>
          <w:rStyle w:val="FootnoteReference"/>
        </w:rPr>
        <w:footnoteReference w:id="20"/>
      </w:r>
      <w:r>
        <w:t xml:space="preserve"> </w:t>
      </w:r>
      <w:r w:rsidR="00C75A41">
        <w:t>Resources that retired in FCA 13 were removed as well a</w:t>
      </w:r>
      <w:r w:rsidR="00C75A41" w:rsidRPr="003821FC">
        <w:t xml:space="preserve">s Mystic </w:t>
      </w:r>
      <w:r w:rsidR="007F3850" w:rsidRPr="00314955">
        <w:t xml:space="preserve">substation units </w:t>
      </w:r>
      <w:r w:rsidR="00C75A41" w:rsidRPr="003821FC">
        <w:t xml:space="preserve">8 </w:t>
      </w:r>
      <w:r w:rsidR="00480DBD" w:rsidRPr="003821FC">
        <w:t>and</w:t>
      </w:r>
      <w:r w:rsidR="00C75A41" w:rsidRPr="003821FC">
        <w:t xml:space="preserve"> 9</w:t>
      </w:r>
      <w:r w:rsidR="007F3850" w:rsidRPr="00314955">
        <w:t xml:space="preserve"> in </w:t>
      </w:r>
      <w:r w:rsidR="007F3850" w:rsidRPr="003821FC">
        <w:t xml:space="preserve">Boston, Massachusetts. </w:t>
      </w:r>
      <w:r w:rsidR="00C75A41" w:rsidRPr="003821FC">
        <w:t>Resources committed through a</w:t>
      </w:r>
      <w:r w:rsidR="006D4C1A" w:rsidRPr="003821FC">
        <w:t xml:space="preserve"> state</w:t>
      </w:r>
      <w:r w:rsidR="00480DBD" w:rsidRPr="003821FC">
        <w:t>-</w:t>
      </w:r>
      <w:r w:rsidR="006D4C1A" w:rsidRPr="003821FC">
        <w:t>sponso</w:t>
      </w:r>
      <w:r w:rsidR="006D4C1A" w:rsidRPr="00513CC2">
        <w:t>red</w:t>
      </w:r>
      <w:r w:rsidR="00C75A41" w:rsidRPr="00513CC2">
        <w:t xml:space="preserve"> </w:t>
      </w:r>
      <w:r w:rsidR="00480DBD" w:rsidRPr="00DE1024">
        <w:t>r</w:t>
      </w:r>
      <w:r w:rsidR="00C75A41" w:rsidRPr="00513CC2">
        <w:t>equest-for-</w:t>
      </w:r>
      <w:r w:rsidR="00480DBD" w:rsidRPr="00DE1024">
        <w:t>p</w:t>
      </w:r>
      <w:r w:rsidR="00C75A41" w:rsidRPr="00513CC2">
        <w:t>roposal</w:t>
      </w:r>
      <w:r w:rsidR="00480DBD" w:rsidRPr="00DE1024">
        <w:t>s</w:t>
      </w:r>
      <w:r w:rsidR="00C75A41" w:rsidRPr="00513CC2">
        <w:t xml:space="preserve"> (RFP) </w:t>
      </w:r>
      <w:r w:rsidR="006D4C1A" w:rsidRPr="00513CC2">
        <w:t xml:space="preserve">for renewable energy </w:t>
      </w:r>
      <w:r w:rsidR="00C75A41" w:rsidRPr="00513CC2">
        <w:t>were included.</w:t>
      </w:r>
      <w:r w:rsidR="00C75A41" w:rsidRPr="00513CC2">
        <w:rPr>
          <w:rStyle w:val="FootnoteReference"/>
        </w:rPr>
        <w:footnoteReference w:id="21"/>
      </w:r>
    </w:p>
    <w:p w:rsidR="00AB6D7B" w:rsidRDefault="009C02EB" w:rsidP="00E07AB1">
      <w:pPr>
        <w:pStyle w:val="Heading3"/>
      </w:pPr>
      <w:bookmarkStart w:id="44" w:name="_Toc51784666"/>
      <w:r>
        <w:t>Fuel</w:t>
      </w:r>
      <w:r w:rsidR="001D318B">
        <w:t>-</w:t>
      </w:r>
      <w:r>
        <w:t>Price Assum</w:t>
      </w:r>
      <w:r w:rsidR="00B64CF6">
        <w:t>p</w:t>
      </w:r>
      <w:r>
        <w:t>tions</w:t>
      </w:r>
      <w:bookmarkEnd w:id="44"/>
    </w:p>
    <w:p w:rsidR="006819A8" w:rsidRDefault="006819A8" w:rsidP="006819A8">
      <w:r>
        <w:t xml:space="preserve">The assumed fuel prices for coal, oil, and natural gas were based on forecasts from the US Department of Energy (DOE), Energy </w:t>
      </w:r>
      <w:r w:rsidRPr="00632AC8">
        <w:t>Information Administration (EIA)</w:t>
      </w:r>
      <w:r w:rsidR="00857A79">
        <w:t xml:space="preserve"> </w:t>
      </w:r>
      <w:r w:rsidR="00857A79" w:rsidRPr="00E810E3">
        <w:rPr>
          <w:i/>
        </w:rPr>
        <w:t>2019 Annual Energy Outlook</w:t>
      </w:r>
      <w:r w:rsidR="00857A79" w:rsidRPr="00E810E3">
        <w:t xml:space="preserve"> (AEO) for New England.</w:t>
      </w:r>
      <w:r w:rsidR="00857A79" w:rsidRPr="00E810E3">
        <w:rPr>
          <w:rStyle w:val="FootnoteReference"/>
        </w:rPr>
        <w:footnoteReference w:id="22"/>
      </w:r>
    </w:p>
    <w:p w:rsidR="009C02EB" w:rsidRDefault="009C02EB" w:rsidP="00E07AB1">
      <w:pPr>
        <w:pStyle w:val="Heading3"/>
      </w:pPr>
      <w:bookmarkStart w:id="45" w:name="_Toc51784667"/>
      <w:r>
        <w:t xml:space="preserve">Air </w:t>
      </w:r>
      <w:r w:rsidR="007C06FF">
        <w:t>E</w:t>
      </w:r>
      <w:r>
        <w:t xml:space="preserve">mission </w:t>
      </w:r>
      <w:r w:rsidR="007C06FF">
        <w:t>A</w:t>
      </w:r>
      <w:r>
        <w:t xml:space="preserve">llowance </w:t>
      </w:r>
      <w:r w:rsidR="007C06FF">
        <w:t>P</w:t>
      </w:r>
      <w:r>
        <w:t>rices</w:t>
      </w:r>
      <w:bookmarkEnd w:id="45"/>
    </w:p>
    <w:p w:rsidR="007C06FF" w:rsidRDefault="00510D31" w:rsidP="00510D31">
      <w:r>
        <w:t xml:space="preserve">The study used </w:t>
      </w:r>
      <w:r w:rsidR="007C06FF">
        <w:t xml:space="preserve">the following </w:t>
      </w:r>
      <w:r>
        <w:t>allowance</w:t>
      </w:r>
      <w:r w:rsidR="00596B6B">
        <w:t>-</w:t>
      </w:r>
      <w:r>
        <w:t>price</w:t>
      </w:r>
      <w:r w:rsidR="00596B6B">
        <w:t xml:space="preserve"> assumption</w:t>
      </w:r>
      <w:r>
        <w:t>s</w:t>
      </w:r>
      <w:r w:rsidR="00596B6B">
        <w:t xml:space="preserve"> for </w:t>
      </w:r>
      <w:r w:rsidR="00552D8A">
        <w:t xml:space="preserve">2025 </w:t>
      </w:r>
      <w:r>
        <w:t>for nitrogen oxide</w:t>
      </w:r>
      <w:r w:rsidR="00D831AD">
        <w:t xml:space="preserve"> (NO</w:t>
      </w:r>
      <w:r w:rsidR="00D831AD" w:rsidRPr="00E07AB1">
        <w:rPr>
          <w:vertAlign w:val="subscript"/>
        </w:rPr>
        <w:t>X</w:t>
      </w:r>
      <w:r w:rsidR="00D831AD">
        <w:t>)</w:t>
      </w:r>
      <w:r>
        <w:t>, sulfur dioxide</w:t>
      </w:r>
      <w:r w:rsidR="00D831AD">
        <w:t xml:space="preserve"> (SO</w:t>
      </w:r>
      <w:r w:rsidR="00D831AD" w:rsidRPr="00E07AB1">
        <w:rPr>
          <w:vertAlign w:val="subscript"/>
        </w:rPr>
        <w:t>2</w:t>
      </w:r>
      <w:r w:rsidR="00D831AD">
        <w:t>)</w:t>
      </w:r>
      <w:r>
        <w:t>, and carbon dioxide</w:t>
      </w:r>
      <w:r w:rsidR="007C06FF">
        <w:t xml:space="preserve"> </w:t>
      </w:r>
      <w:r w:rsidR="00D831AD">
        <w:t>(CO</w:t>
      </w:r>
      <w:r w:rsidR="00D831AD" w:rsidRPr="00E07AB1">
        <w:rPr>
          <w:vertAlign w:val="subscript"/>
        </w:rPr>
        <w:t>2</w:t>
      </w:r>
      <w:r w:rsidR="00D831AD">
        <w:t xml:space="preserve">) </w:t>
      </w:r>
      <w:r w:rsidR="00596B6B">
        <w:t xml:space="preserve">air </w:t>
      </w:r>
      <w:r w:rsidR="007C06FF">
        <w:t>emission</w:t>
      </w:r>
      <w:r w:rsidR="00596B6B">
        <w:t>s</w:t>
      </w:r>
      <w:r>
        <w:t>, which affect the economic dispatch price for fossil-burning generation units</w:t>
      </w:r>
      <w:r w:rsidR="007C06FF">
        <w:t>:</w:t>
      </w:r>
    </w:p>
    <w:p w:rsidR="007C06FF" w:rsidRPr="00513CC2" w:rsidRDefault="007C06FF" w:rsidP="0018404F">
      <w:pPr>
        <w:pStyle w:val="ListParagraph"/>
        <w:numPr>
          <w:ilvl w:val="0"/>
          <w:numId w:val="33"/>
        </w:numPr>
      </w:pPr>
      <w:r w:rsidRPr="00CA5746">
        <w:t>Nitrogen oxides</w:t>
      </w:r>
      <w:r w:rsidR="00D831AD" w:rsidRPr="00513CC2">
        <w:t xml:space="preserve">: </w:t>
      </w:r>
      <w:r w:rsidRPr="00513CC2">
        <w:t>$</w:t>
      </w:r>
      <w:r w:rsidR="00552D8A" w:rsidRPr="00513CC2">
        <w:t>18.87</w:t>
      </w:r>
      <w:r w:rsidRPr="00513CC2">
        <w:t>/short ton</w:t>
      </w:r>
    </w:p>
    <w:p w:rsidR="007C06FF" w:rsidRPr="00513CC2" w:rsidRDefault="007C06FF" w:rsidP="0018404F">
      <w:pPr>
        <w:pStyle w:val="ListParagraph"/>
        <w:numPr>
          <w:ilvl w:val="0"/>
          <w:numId w:val="33"/>
        </w:numPr>
      </w:pPr>
      <w:r w:rsidRPr="00513CC2">
        <w:t>Sulfur dioxide</w:t>
      </w:r>
      <w:r w:rsidR="00D831AD" w:rsidRPr="00513CC2">
        <w:t xml:space="preserve">: </w:t>
      </w:r>
      <w:r w:rsidRPr="00513CC2">
        <w:t>$</w:t>
      </w:r>
      <w:r w:rsidR="00552D8A" w:rsidRPr="00513CC2">
        <w:t>18.87</w:t>
      </w:r>
      <w:r w:rsidRPr="00513CC2">
        <w:t>/short ton</w:t>
      </w:r>
    </w:p>
    <w:p w:rsidR="00552D8A" w:rsidRPr="00513CC2" w:rsidRDefault="007C06FF" w:rsidP="00552D8A">
      <w:pPr>
        <w:pStyle w:val="ListParagraph"/>
        <w:numPr>
          <w:ilvl w:val="0"/>
          <w:numId w:val="33"/>
        </w:numPr>
        <w:spacing w:after="240"/>
      </w:pPr>
      <w:r w:rsidRPr="00513CC2">
        <w:t>Carbon dioxide</w:t>
      </w:r>
      <w:r w:rsidR="00D831AD" w:rsidRPr="00513CC2">
        <w:t>: $</w:t>
      </w:r>
      <w:r w:rsidR="00552D8A" w:rsidRPr="00513CC2">
        <w:t>8</w:t>
      </w:r>
      <w:r w:rsidRPr="00513CC2">
        <w:t>.00/short ton</w:t>
      </w:r>
    </w:p>
    <w:p w:rsidR="00510D31" w:rsidRDefault="00510D31" w:rsidP="00510D31">
      <w:r>
        <w:t>These price</w:t>
      </w:r>
      <w:r w:rsidRPr="00DA6728">
        <w:t xml:space="preserve">s </w:t>
      </w:r>
      <w:r w:rsidRPr="00CC6422">
        <w:t xml:space="preserve">are </w:t>
      </w:r>
      <w:r w:rsidR="00FB1D2A" w:rsidRPr="00CC6422">
        <w:t>similar to</w:t>
      </w:r>
      <w:r w:rsidRPr="00CC6422">
        <w:t xml:space="preserve"> </w:t>
      </w:r>
      <w:r w:rsidR="00596B6B" w:rsidRPr="00CC6422">
        <w:t>those</w:t>
      </w:r>
      <w:r w:rsidR="00596B6B" w:rsidRPr="00DA6728">
        <w:t xml:space="preserve"> </w:t>
      </w:r>
      <w:r w:rsidRPr="00DA6728">
        <w:t xml:space="preserve">used for the </w:t>
      </w:r>
      <w:r w:rsidR="00A53EBE" w:rsidRPr="00CC6422">
        <w:t>2</w:t>
      </w:r>
      <w:r w:rsidR="00A53EBE" w:rsidRPr="00C63513">
        <w:t xml:space="preserve">016 </w:t>
      </w:r>
      <w:r w:rsidRPr="00C63513">
        <w:t>Economic Study</w:t>
      </w:r>
      <w:r w:rsidR="00E97DE5" w:rsidRPr="00C63513">
        <w:t xml:space="preserve"> with exception of the CO</w:t>
      </w:r>
      <w:r w:rsidR="00E97DE5" w:rsidRPr="00C63513">
        <w:rPr>
          <w:vertAlign w:val="subscript"/>
        </w:rPr>
        <w:t>2</w:t>
      </w:r>
      <w:r w:rsidR="00E97DE5" w:rsidRPr="00C63513">
        <w:t xml:space="preserve"> prices</w:t>
      </w:r>
      <w:r w:rsidRPr="00C63513">
        <w:t>.</w:t>
      </w:r>
      <w:bookmarkStart w:id="46" w:name="_Ref52289220"/>
      <w:r w:rsidR="00A836E1" w:rsidRPr="00C63513">
        <w:rPr>
          <w:rStyle w:val="FootnoteReference"/>
        </w:rPr>
        <w:footnoteReference w:id="23"/>
      </w:r>
      <w:bookmarkEnd w:id="46"/>
      <w:r w:rsidRPr="00C63513">
        <w:t xml:space="preserve"> To </w:t>
      </w:r>
      <w:r w:rsidR="00EC7AF8" w:rsidRPr="00C63513">
        <w:t xml:space="preserve">check compliance with </w:t>
      </w:r>
      <w:r w:rsidRPr="00C63513">
        <w:t xml:space="preserve">the Massachusetts </w:t>
      </w:r>
      <w:r w:rsidRPr="00C63513">
        <w:rPr>
          <w:i/>
        </w:rPr>
        <w:t>Global Warming</w:t>
      </w:r>
      <w:r w:rsidRPr="0018404F">
        <w:rPr>
          <w:i/>
        </w:rPr>
        <w:t xml:space="preserve"> Solutions Act</w:t>
      </w:r>
      <w:r w:rsidRPr="00510D31">
        <w:t xml:space="preserve"> (GWSA)</w:t>
      </w:r>
      <w:r w:rsidR="00D831AD">
        <w:t>,</w:t>
      </w:r>
      <w:r w:rsidRPr="00510D31">
        <w:t xml:space="preserve"> CO</w:t>
      </w:r>
      <w:r w:rsidRPr="00510D31">
        <w:rPr>
          <w:vertAlign w:val="subscript"/>
        </w:rPr>
        <w:t>2</w:t>
      </w:r>
      <w:r w:rsidRPr="00510D31">
        <w:t xml:space="preserve"> emission</w:t>
      </w:r>
      <w:r w:rsidR="00EC7AF8">
        <w:t>s</w:t>
      </w:r>
      <w:r w:rsidRPr="00510D31">
        <w:t xml:space="preserve"> </w:t>
      </w:r>
      <w:r w:rsidR="0070721B">
        <w:t>from</w:t>
      </w:r>
      <w:r w:rsidR="0070721B" w:rsidRPr="00510D31">
        <w:t xml:space="preserve"> </w:t>
      </w:r>
      <w:r w:rsidRPr="00510D31">
        <w:t>affected fossil fuel generators located in Massachusetts</w:t>
      </w:r>
      <w:r w:rsidR="0070721B">
        <w:t xml:space="preserve"> were compared </w:t>
      </w:r>
      <w:r w:rsidR="00C63513">
        <w:t>with</w:t>
      </w:r>
      <w:r w:rsidR="0070721B">
        <w:t xml:space="preserve"> allowable limits</w:t>
      </w:r>
      <w:r>
        <w:t>.</w:t>
      </w:r>
      <w:r w:rsidR="00D831AD">
        <w:rPr>
          <w:rStyle w:val="FootnoteReference"/>
        </w:rPr>
        <w:footnoteReference w:id="24"/>
      </w:r>
    </w:p>
    <w:p w:rsidR="009C02EB" w:rsidRDefault="00437DBC" w:rsidP="0018404F">
      <w:pPr>
        <w:pStyle w:val="Heading3"/>
      </w:pPr>
      <w:bookmarkStart w:id="47" w:name="_Toc51784668"/>
      <w:r>
        <w:t xml:space="preserve">Resource </w:t>
      </w:r>
      <w:r w:rsidR="009C02EB">
        <w:t xml:space="preserve">Threshold </w:t>
      </w:r>
      <w:r w:rsidR="00D831AD">
        <w:t>P</w:t>
      </w:r>
      <w:r w:rsidR="009C02EB">
        <w:t>rices</w:t>
      </w:r>
      <w:bookmarkEnd w:id="47"/>
    </w:p>
    <w:p w:rsidR="00002A07" w:rsidRDefault="00846966" w:rsidP="00942EE7">
      <w:r>
        <w:t>Threshold prices were</w:t>
      </w:r>
      <w:r w:rsidR="00B26639">
        <w:t xml:space="preserve"> assigned to certain reso</w:t>
      </w:r>
      <w:r w:rsidR="00B26639" w:rsidRPr="00E914E5">
        <w:t>urce types</w:t>
      </w:r>
      <w:r w:rsidR="00E914E5" w:rsidRPr="00E810E3">
        <w:t xml:space="preserve"> in this study,</w:t>
      </w:r>
      <w:r w:rsidR="00B26639" w:rsidRPr="00E810E3">
        <w:t xml:space="preserve"> </w:t>
      </w:r>
      <w:r w:rsidR="00E914E5" w:rsidRPr="0018404F">
        <w:t>includi</w:t>
      </w:r>
      <w:r w:rsidR="00E914E5" w:rsidRPr="00513CC2">
        <w:t>ng</w:t>
      </w:r>
      <w:r w:rsidR="00E914E5" w:rsidRPr="00CA5746">
        <w:t xml:space="preserve"> </w:t>
      </w:r>
      <w:r w:rsidR="006D4C1A" w:rsidRPr="00513CC2">
        <w:t xml:space="preserve">imports, </w:t>
      </w:r>
      <w:r w:rsidR="00552D8A" w:rsidRPr="00513CC2">
        <w:t>hydroelectric,</w:t>
      </w:r>
      <w:r w:rsidR="00552D8A">
        <w:t xml:space="preserve"> </w:t>
      </w:r>
      <w:r w:rsidR="00E914E5" w:rsidRPr="0018404F">
        <w:t>photovo</w:t>
      </w:r>
      <w:r w:rsidR="00E914E5" w:rsidRPr="008525CC">
        <w:t xml:space="preserve">ltaics, </w:t>
      </w:r>
      <w:r w:rsidR="008525CC">
        <w:t xml:space="preserve">and </w:t>
      </w:r>
      <w:r w:rsidR="00E914E5" w:rsidRPr="008525CC">
        <w:t xml:space="preserve">onshore and offshore wind, </w:t>
      </w:r>
      <w:r w:rsidR="00B26639" w:rsidRPr="003D1984">
        <w:t xml:space="preserve">to facilitate the analysis of load levels where the amount of </w:t>
      </w:r>
      <w:r w:rsidR="00B26639" w:rsidRPr="008525CC">
        <w:t>$0/MWh re</w:t>
      </w:r>
      <w:r w:rsidR="00B26639" w:rsidRPr="003D1984">
        <w:t>sou</w:t>
      </w:r>
      <w:r w:rsidR="00B26639" w:rsidRPr="00E810E3">
        <w:t>rces exceed</w:t>
      </w:r>
      <w:r w:rsidR="00D831AD" w:rsidRPr="00E810E3">
        <w:t>ed</w:t>
      </w:r>
      <w:r w:rsidR="00B26639" w:rsidRPr="00E810E3">
        <w:t xml:space="preserve"> the system </w:t>
      </w:r>
      <w:r w:rsidR="00703947" w:rsidRPr="00E810E3">
        <w:t>load</w:t>
      </w:r>
      <w:r w:rsidR="00AD6466">
        <w:t>, which leads to oversupply</w:t>
      </w:r>
      <w:r w:rsidR="00B04ED8">
        <w:t>.</w:t>
      </w:r>
      <w:r w:rsidR="0052653B">
        <w:rPr>
          <w:rStyle w:val="FootnoteReference"/>
        </w:rPr>
        <w:footnoteReference w:id="25"/>
      </w:r>
      <w:r w:rsidR="00B04ED8">
        <w:t xml:space="preserve"> </w:t>
      </w:r>
      <w:r w:rsidRPr="00B04ED8">
        <w:t>Threshold prices were</w:t>
      </w:r>
      <w:r w:rsidR="00942EE7" w:rsidRPr="00E810E3">
        <w:t xml:space="preserve"> used to determine which type of resources to back</w:t>
      </w:r>
      <w:r w:rsidR="00E914E5">
        <w:t xml:space="preserve"> </w:t>
      </w:r>
      <w:r w:rsidR="00942EE7" w:rsidRPr="00E914E5">
        <w:t>d</w:t>
      </w:r>
      <w:r w:rsidR="00942EE7" w:rsidRPr="00E810E3">
        <w:t>own fi</w:t>
      </w:r>
      <w:r w:rsidR="00942EE7" w:rsidRPr="00E914E5">
        <w:t>rst</w:t>
      </w:r>
      <w:r w:rsidR="00BF1EA7" w:rsidRPr="00E914E5">
        <w:t xml:space="preserve">. </w:t>
      </w:r>
      <w:r w:rsidR="00942EE7" w:rsidRPr="00E914E5">
        <w:t>They are not indica</w:t>
      </w:r>
      <w:r w:rsidR="00942EE7">
        <w:t xml:space="preserve">tive of “true” cost, expected bidding behavior, or the preference for one type of resource over </w:t>
      </w:r>
      <w:r w:rsidR="00703947">
        <w:t>anot</w:t>
      </w:r>
      <w:r w:rsidR="00703947" w:rsidRPr="00513CC2">
        <w:t>her</w:t>
      </w:r>
      <w:r w:rsidR="00942EE7" w:rsidRPr="00CA5746">
        <w:t xml:space="preserve">. </w:t>
      </w:r>
    </w:p>
    <w:p w:rsidR="001C20B1" w:rsidRDefault="006D4C1A" w:rsidP="00942EE7">
      <w:r w:rsidRPr="00513CC2">
        <w:t>All three</w:t>
      </w:r>
      <w:r w:rsidR="00942EE7" w:rsidRPr="00513CC2">
        <w:t xml:space="preserve"> 2019 </w:t>
      </w:r>
      <w:r w:rsidRPr="00513CC2">
        <w:t>economic studies</w:t>
      </w:r>
      <w:r w:rsidR="00942EE7" w:rsidRPr="00513CC2">
        <w:t xml:space="preserve"> used similar threshold prices as </w:t>
      </w:r>
      <w:r w:rsidR="001C20B1" w:rsidRPr="00513CC2">
        <w:t xml:space="preserve">in </w:t>
      </w:r>
      <w:r w:rsidR="00942EE7" w:rsidRPr="00513CC2">
        <w:t>p</w:t>
      </w:r>
      <w:r w:rsidR="00942EE7">
        <w:t xml:space="preserve">rior </w:t>
      </w:r>
      <w:r w:rsidR="001C20B1">
        <w:t>e</w:t>
      </w:r>
      <w:r w:rsidR="00942EE7">
        <w:t xml:space="preserve">conomic </w:t>
      </w:r>
      <w:r w:rsidR="001C20B1">
        <w:t>s</w:t>
      </w:r>
      <w:r w:rsidR="00942EE7">
        <w:t>tudies (2016</w:t>
      </w:r>
      <w:r w:rsidR="0050799C">
        <w:t xml:space="preserve"> </w:t>
      </w:r>
      <w:r w:rsidR="00942EE7">
        <w:t>and 2017), with two adjustments:</w:t>
      </w:r>
      <w:r w:rsidR="008525CC">
        <w:rPr>
          <w:rStyle w:val="FootnoteReference"/>
        </w:rPr>
        <w:footnoteReference w:id="26"/>
      </w:r>
    </w:p>
    <w:p w:rsidR="001C20B1" w:rsidRDefault="00942EE7" w:rsidP="0018404F">
      <w:pPr>
        <w:pStyle w:val="ListParagraph"/>
        <w:numPr>
          <w:ilvl w:val="0"/>
          <w:numId w:val="34"/>
        </w:numPr>
      </w:pPr>
      <w:r>
        <w:t>The behind</w:t>
      </w:r>
      <w:r w:rsidR="00E914E5">
        <w:t>-</w:t>
      </w:r>
      <w:r>
        <w:t>the</w:t>
      </w:r>
      <w:r w:rsidR="00E914E5">
        <w:t>-</w:t>
      </w:r>
      <w:r>
        <w:t>meter PV and utility</w:t>
      </w:r>
      <w:r w:rsidR="00E914E5">
        <w:t>-</w:t>
      </w:r>
      <w:r>
        <w:t>scale PV (F</w:t>
      </w:r>
      <w:r w:rsidR="001C20B1">
        <w:t>CM</w:t>
      </w:r>
      <w:r>
        <w:t xml:space="preserve"> </w:t>
      </w:r>
      <w:r w:rsidR="001C20B1">
        <w:t>and</w:t>
      </w:r>
      <w:r>
        <w:t xml:space="preserve"> energy only) </w:t>
      </w:r>
      <w:r w:rsidR="001C20B1">
        <w:t>we</w:t>
      </w:r>
      <w:r>
        <w:t>re differentiated</w:t>
      </w:r>
      <w:r w:rsidR="001C20B1">
        <w:t>.</w:t>
      </w:r>
    </w:p>
    <w:p w:rsidR="001C20B1" w:rsidRDefault="001C20B1" w:rsidP="0018404F">
      <w:pPr>
        <w:pStyle w:val="ListParagraph"/>
        <w:numPr>
          <w:ilvl w:val="0"/>
          <w:numId w:val="34"/>
        </w:numPr>
        <w:spacing w:after="240"/>
      </w:pPr>
      <w:r>
        <w:t>A</w:t>
      </w:r>
      <w:r w:rsidR="00942EE7">
        <w:t xml:space="preserve"> </w:t>
      </w:r>
      <w:r w:rsidR="00962511">
        <w:t xml:space="preserve">preferential </w:t>
      </w:r>
      <w:r w:rsidR="00942EE7">
        <w:t xml:space="preserve">threshold price </w:t>
      </w:r>
      <w:r w:rsidR="00961E13">
        <w:t xml:space="preserve">(i.e., the $2/MWh price) </w:t>
      </w:r>
      <w:r w:rsidR="00942EE7">
        <w:t xml:space="preserve">was </w:t>
      </w:r>
      <w:r w:rsidR="00962511">
        <w:t xml:space="preserve">applied to energy from the </w:t>
      </w:r>
      <w:r w:rsidR="0050799C">
        <w:t xml:space="preserve">newly proposed </w:t>
      </w:r>
      <w:r w:rsidR="00942EE7">
        <w:t>NECEC tie</w:t>
      </w:r>
      <w:r w:rsidR="00962511">
        <w:t xml:space="preserve"> because</w:t>
      </w:r>
      <w:r w:rsidR="00B23DB3">
        <w:t xml:space="preserve"> contract terms are </w:t>
      </w:r>
      <w:r w:rsidR="00962511">
        <w:t>publicly available</w:t>
      </w:r>
      <w:r w:rsidR="0050799C">
        <w:t>.</w:t>
      </w:r>
      <w:r w:rsidR="00837709">
        <w:rPr>
          <w:rStyle w:val="FootnoteReference"/>
        </w:rPr>
        <w:footnoteReference w:id="27"/>
      </w:r>
    </w:p>
    <w:p w:rsidR="00942EE7" w:rsidRPr="00513CC2" w:rsidRDefault="001C20B1" w:rsidP="00942EE7">
      <w:r>
        <w:t>The u</w:t>
      </w:r>
      <w:r w:rsidR="00942EE7">
        <w:t xml:space="preserve">se of different threshold prices </w:t>
      </w:r>
      <w:r w:rsidR="00901753">
        <w:t xml:space="preserve">other </w:t>
      </w:r>
      <w:r w:rsidR="00942EE7">
        <w:t xml:space="preserve">than indicated </w:t>
      </w:r>
      <w:r w:rsidR="0050799C">
        <w:t xml:space="preserve">in </w:t>
      </w:r>
      <w:r w:rsidR="00B23DB3" w:rsidRPr="00B23DB3">
        <w:fldChar w:fldCharType="begin"/>
      </w:r>
      <w:r w:rsidR="00B23DB3" w:rsidRPr="00B23DB3">
        <w:instrText xml:space="preserve"> REF _Ref51684213 \h </w:instrText>
      </w:r>
      <w:r w:rsidR="00B23DB3">
        <w:instrText xml:space="preserve"> \* MERGEFORMAT </w:instrText>
      </w:r>
      <w:r w:rsidR="00B23DB3" w:rsidRPr="00B23DB3">
        <w:fldChar w:fldCharType="separate"/>
      </w:r>
      <w:r w:rsidR="00B23DB3" w:rsidRPr="00B23DB3">
        <w:t xml:space="preserve">Table </w:t>
      </w:r>
      <w:r w:rsidR="00B23DB3" w:rsidRPr="00B23DB3">
        <w:rPr>
          <w:noProof/>
        </w:rPr>
        <w:t>4</w:t>
      </w:r>
      <w:r w:rsidR="00B23DB3" w:rsidRPr="00B23DB3">
        <w:noBreakHyphen/>
      </w:r>
      <w:r w:rsidR="00B23DB3" w:rsidRPr="00B23DB3">
        <w:rPr>
          <w:noProof/>
        </w:rPr>
        <w:t>3</w:t>
      </w:r>
      <w:r w:rsidR="00B23DB3" w:rsidRPr="00B23DB3">
        <w:fldChar w:fldCharType="end"/>
      </w:r>
      <w:r w:rsidR="0050799C" w:rsidRPr="00B23DB3">
        <w:t xml:space="preserve"> </w:t>
      </w:r>
      <w:r w:rsidR="00942EE7" w:rsidRPr="00B23DB3">
        <w:t>m</w:t>
      </w:r>
      <w:r w:rsidR="00942EE7" w:rsidRPr="00513CC2">
        <w:t>ay produce different outcomes</w:t>
      </w:r>
      <w:r w:rsidR="0050799C" w:rsidRPr="00513CC2">
        <w:t>.</w:t>
      </w:r>
      <w:r w:rsidR="00510D31" w:rsidRPr="00513CC2">
        <w:t xml:space="preserve"> </w:t>
      </w:r>
    </w:p>
    <w:p w:rsidR="0050799C" w:rsidRDefault="00B23DB3" w:rsidP="00B23DB3">
      <w:pPr>
        <w:pStyle w:val="Caption"/>
        <w:jc w:val="center"/>
      </w:pPr>
      <w:bookmarkStart w:id="48" w:name="_Ref51684213"/>
      <w:bookmarkStart w:id="49" w:name="_Ref42603671"/>
      <w:bookmarkStart w:id="50" w:name="_Toc51784384"/>
      <w:r w:rsidRPr="00B23DB3">
        <w:t xml:space="preserve">Table </w:t>
      </w:r>
      <w:fldSimple w:instr=" STYLEREF 1 \s ">
        <w:r w:rsidR="00206491">
          <w:rPr>
            <w:noProof/>
          </w:rPr>
          <w:t>4</w:t>
        </w:r>
      </w:fldSimple>
      <w:r w:rsidR="00206491">
        <w:noBreakHyphen/>
      </w:r>
      <w:fldSimple w:instr=" SEQ Table \* ARABIC \s 1 ">
        <w:r w:rsidR="00206491">
          <w:rPr>
            <w:noProof/>
          </w:rPr>
          <w:t>3</w:t>
        </w:r>
      </w:fldSimple>
      <w:bookmarkEnd w:id="48"/>
      <w:bookmarkEnd w:id="49"/>
      <w:r w:rsidR="001C20B1" w:rsidRPr="00B23DB3">
        <w:br/>
      </w:r>
      <w:r w:rsidR="00AD6466">
        <w:t xml:space="preserve">Resource </w:t>
      </w:r>
      <w:r w:rsidR="0050799C" w:rsidRPr="00B23DB3">
        <w:t xml:space="preserve">Threshold Prices </w:t>
      </w:r>
      <w:r w:rsidR="001C20B1" w:rsidRPr="00B23DB3">
        <w:t>($/MWh)</w:t>
      </w:r>
      <w:bookmarkEnd w:id="50"/>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23"/>
        <w:gridCol w:w="2155"/>
      </w:tblGrid>
      <w:tr w:rsidR="002A1E8B" w:rsidRPr="009F6AAD" w:rsidTr="00CC6422">
        <w:trPr>
          <w:jc w:val="center"/>
        </w:trPr>
        <w:tc>
          <w:tcPr>
            <w:tcW w:w="3423" w:type="dxa"/>
            <w:shd w:val="clear" w:color="auto" w:fill="1795D2" w:themeFill="accent1"/>
            <w:vAlign w:val="center"/>
          </w:tcPr>
          <w:p w:rsidR="002A1E8B" w:rsidRPr="00E712DA" w:rsidRDefault="002A1E8B" w:rsidP="00E712DA">
            <w:pPr>
              <w:keepNext/>
              <w:keepLines/>
              <w:spacing w:before="40" w:after="40" w:line="240" w:lineRule="auto"/>
              <w:jc w:val="center"/>
              <w:rPr>
                <w:rFonts w:asciiTheme="minorHAnsi" w:hAnsiTheme="minorHAnsi" w:cstheme="minorHAnsi"/>
                <w:b/>
                <w:color w:val="FFFFFF" w:themeColor="background1"/>
                <w:sz w:val="18"/>
                <w:szCs w:val="18"/>
              </w:rPr>
            </w:pPr>
            <w:r w:rsidRPr="00E712DA">
              <w:rPr>
                <w:rFonts w:asciiTheme="minorHAnsi" w:hAnsiTheme="minorHAnsi" w:cstheme="minorHAnsi"/>
                <w:b/>
                <w:color w:val="FFFFFF" w:themeColor="background1"/>
                <w:sz w:val="18"/>
                <w:szCs w:val="18"/>
              </w:rPr>
              <w:t>Price-Taking Resource</w:t>
            </w:r>
          </w:p>
        </w:tc>
        <w:tc>
          <w:tcPr>
            <w:tcW w:w="2155" w:type="dxa"/>
            <w:shd w:val="clear" w:color="auto" w:fill="1795D2" w:themeFill="accent1"/>
            <w:vAlign w:val="center"/>
          </w:tcPr>
          <w:p w:rsidR="002A1E8B" w:rsidRPr="00E712DA" w:rsidRDefault="002A1E8B" w:rsidP="00E712DA">
            <w:pPr>
              <w:keepNext/>
              <w:keepLines/>
              <w:spacing w:before="40" w:after="40" w:line="240" w:lineRule="auto"/>
              <w:jc w:val="center"/>
              <w:rPr>
                <w:rFonts w:asciiTheme="minorHAnsi" w:hAnsiTheme="minorHAnsi" w:cstheme="minorHAnsi"/>
                <w:b/>
                <w:color w:val="FFFFFF" w:themeColor="background1"/>
                <w:sz w:val="18"/>
                <w:szCs w:val="18"/>
              </w:rPr>
            </w:pPr>
            <w:r w:rsidRPr="00E712DA">
              <w:rPr>
                <w:rFonts w:asciiTheme="minorHAnsi" w:hAnsiTheme="minorHAnsi" w:cstheme="minorHAnsi"/>
                <w:b/>
                <w:color w:val="FFFFFF" w:themeColor="background1"/>
                <w:sz w:val="18"/>
                <w:szCs w:val="18"/>
              </w:rPr>
              <w:t>Threshold Price ($/MWh)</w:t>
            </w:r>
          </w:p>
        </w:tc>
      </w:tr>
      <w:tr w:rsidR="002A1E8B" w:rsidRPr="009F6AAD" w:rsidTr="00CC6422">
        <w:trPr>
          <w:jc w:val="center"/>
        </w:trPr>
        <w:tc>
          <w:tcPr>
            <w:tcW w:w="3423" w:type="dxa"/>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Behind-the-meter PV</w:t>
            </w:r>
          </w:p>
        </w:tc>
        <w:tc>
          <w:tcPr>
            <w:tcW w:w="2155" w:type="dxa"/>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1</w:t>
            </w:r>
          </w:p>
        </w:tc>
      </w:tr>
      <w:tr w:rsidR="002A1E8B" w:rsidRPr="009F6AAD" w:rsidTr="00CC6422">
        <w:trPr>
          <w:jc w:val="center"/>
        </w:trPr>
        <w:tc>
          <w:tcPr>
            <w:tcW w:w="3423" w:type="dxa"/>
            <w:shd w:val="clear" w:color="auto" w:fill="CCEAF9" w:themeFill="accent1" w:themeFillTint="33"/>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NECEC (1,090 MW)</w:t>
            </w:r>
          </w:p>
        </w:tc>
        <w:tc>
          <w:tcPr>
            <w:tcW w:w="2155" w:type="dxa"/>
            <w:shd w:val="clear" w:color="auto" w:fill="CCEAF9" w:themeFill="accent1" w:themeFillTint="33"/>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2</w:t>
            </w:r>
            <w:r w:rsidR="00DA747A">
              <w:rPr>
                <w:rFonts w:asciiTheme="minorHAnsi" w:hAnsiTheme="minorHAnsi" w:cstheme="minorHAnsi"/>
                <w:sz w:val="18"/>
                <w:szCs w:val="18"/>
              </w:rPr>
              <w:t xml:space="preserve"> / 11 (sensitivity)</w:t>
            </w:r>
          </w:p>
        </w:tc>
      </w:tr>
      <w:tr w:rsidR="002A1E8B" w:rsidRPr="009F6AAD" w:rsidTr="00CC6422">
        <w:trPr>
          <w:jc w:val="center"/>
        </w:trPr>
        <w:tc>
          <w:tcPr>
            <w:tcW w:w="3423" w:type="dxa"/>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Utility-scale PV</w:t>
            </w:r>
          </w:p>
        </w:tc>
        <w:tc>
          <w:tcPr>
            <w:tcW w:w="2155" w:type="dxa"/>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3</w:t>
            </w:r>
          </w:p>
        </w:tc>
      </w:tr>
      <w:tr w:rsidR="002A1E8B" w:rsidRPr="009F6AAD" w:rsidTr="00CC6422">
        <w:trPr>
          <w:jc w:val="center"/>
        </w:trPr>
        <w:tc>
          <w:tcPr>
            <w:tcW w:w="3423" w:type="dxa"/>
            <w:shd w:val="clear" w:color="auto" w:fill="CCEAF9" w:themeFill="accent1" w:themeFillTint="33"/>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Onshore/offshore wind</w:t>
            </w:r>
          </w:p>
        </w:tc>
        <w:tc>
          <w:tcPr>
            <w:tcW w:w="2155" w:type="dxa"/>
            <w:shd w:val="clear" w:color="auto" w:fill="CCEAF9" w:themeFill="accent1" w:themeFillTint="33"/>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4</w:t>
            </w:r>
          </w:p>
        </w:tc>
      </w:tr>
      <w:tr w:rsidR="002A1E8B" w:rsidRPr="009F6AAD" w:rsidTr="00CC6422">
        <w:trPr>
          <w:jc w:val="center"/>
        </w:trPr>
        <w:tc>
          <w:tcPr>
            <w:tcW w:w="3423" w:type="dxa"/>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New England hydro</w:t>
            </w:r>
          </w:p>
        </w:tc>
        <w:tc>
          <w:tcPr>
            <w:tcW w:w="2155" w:type="dxa"/>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4.5</w:t>
            </w:r>
          </w:p>
        </w:tc>
      </w:tr>
      <w:tr w:rsidR="002A1E8B" w:rsidRPr="009F6AAD" w:rsidTr="00CC6422">
        <w:trPr>
          <w:jc w:val="center"/>
        </w:trPr>
        <w:tc>
          <w:tcPr>
            <w:tcW w:w="3423" w:type="dxa"/>
            <w:shd w:val="clear" w:color="auto" w:fill="CCEAF9" w:themeFill="accent1" w:themeFillTint="33"/>
            <w:vAlign w:val="center"/>
          </w:tcPr>
          <w:p w:rsidR="002A1E8B" w:rsidRPr="00E712DA" w:rsidRDefault="002A1E8B" w:rsidP="00296F3D">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 xml:space="preserve">Imports from </w:t>
            </w:r>
            <w:r w:rsidRPr="00B5295E">
              <w:rPr>
                <w:rFonts w:asciiTheme="minorHAnsi" w:hAnsiTheme="minorHAnsi" w:cstheme="minorHAnsi"/>
                <w:sz w:val="18"/>
                <w:szCs w:val="18"/>
              </w:rPr>
              <w:t>HQ (</w:t>
            </w:r>
            <w:r w:rsidRPr="00E712DA">
              <w:rPr>
                <w:rFonts w:asciiTheme="minorHAnsi" w:hAnsiTheme="minorHAnsi" w:cstheme="minorHAnsi"/>
                <w:sz w:val="18"/>
                <w:szCs w:val="18"/>
              </w:rPr>
              <w:t>Highgate and Phase II)</w:t>
            </w:r>
          </w:p>
        </w:tc>
        <w:tc>
          <w:tcPr>
            <w:tcW w:w="2155" w:type="dxa"/>
            <w:shd w:val="clear" w:color="auto" w:fill="CCEAF9" w:themeFill="accent1" w:themeFillTint="33"/>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5</w:t>
            </w:r>
          </w:p>
        </w:tc>
      </w:tr>
      <w:tr w:rsidR="002A1E8B" w:rsidRPr="009F6AAD" w:rsidTr="00CC6422">
        <w:trPr>
          <w:jc w:val="center"/>
        </w:trPr>
        <w:tc>
          <w:tcPr>
            <w:tcW w:w="3423" w:type="dxa"/>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Imports from NB</w:t>
            </w:r>
          </w:p>
        </w:tc>
        <w:tc>
          <w:tcPr>
            <w:tcW w:w="2155" w:type="dxa"/>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10</w:t>
            </w:r>
          </w:p>
        </w:tc>
      </w:tr>
    </w:tbl>
    <w:p w:rsidR="00B21B7D" w:rsidRPr="00FF76B8" w:rsidRDefault="00421343" w:rsidP="00623F88">
      <w:pPr>
        <w:pStyle w:val="Heading1"/>
      </w:pPr>
      <w:r>
        <w:br/>
      </w:r>
      <w:bookmarkStart w:id="51" w:name="_Toc51784669"/>
      <w:r w:rsidR="00913518" w:rsidRPr="00FF76B8">
        <w:t xml:space="preserve">Key </w:t>
      </w:r>
      <w:r w:rsidR="002177A3" w:rsidRPr="00FF76B8">
        <w:t>Observat</w:t>
      </w:r>
      <w:r w:rsidR="00D400DB" w:rsidRPr="00FF76B8">
        <w:t>i</w:t>
      </w:r>
      <w:r w:rsidR="002177A3" w:rsidRPr="00FF76B8">
        <w:t>ons</w:t>
      </w:r>
      <w:bookmarkEnd w:id="51"/>
    </w:p>
    <w:p w:rsidR="001572F2" w:rsidRPr="00C54A0C" w:rsidRDefault="004B3F19" w:rsidP="002C5F41">
      <w:r>
        <w:t xml:space="preserve">The </w:t>
      </w:r>
      <w:r w:rsidR="006A5FAF">
        <w:t xml:space="preserve">analysis of </w:t>
      </w:r>
      <w:r>
        <w:t>congestion</w:t>
      </w:r>
      <w:r w:rsidR="00B23DB3">
        <w:t>;</w:t>
      </w:r>
      <w:r>
        <w:t xml:space="preserve"> production costs</w:t>
      </w:r>
      <w:r w:rsidR="00B23DB3">
        <w:t>;</w:t>
      </w:r>
      <w:r>
        <w:t xml:space="preserve"> l</w:t>
      </w:r>
      <w:r w:rsidRPr="00E33156">
        <w:t>oad</w:t>
      </w:r>
      <w:r w:rsidR="00B23DB3">
        <w:t>-</w:t>
      </w:r>
      <w:r w:rsidRPr="00E33156">
        <w:t>serving</w:t>
      </w:r>
      <w:r>
        <w:t xml:space="preserve"> entity energy expense</w:t>
      </w:r>
      <w:r w:rsidR="00B23DB3">
        <w:t>s,</w:t>
      </w:r>
      <w:r>
        <w:t xml:space="preserve"> including</w:t>
      </w:r>
      <w:r w:rsidRPr="00E33156">
        <w:t xml:space="preserve"> </w:t>
      </w:r>
      <w:r w:rsidR="004235B2">
        <w:t>“</w:t>
      </w:r>
      <w:r w:rsidRPr="00E33156">
        <w:t>uplift</w:t>
      </w:r>
      <w:r w:rsidR="004235B2">
        <w:t>”</w:t>
      </w:r>
      <w:r w:rsidR="00002A07">
        <w:t xml:space="preserve"> </w:t>
      </w:r>
      <w:r w:rsidR="004235B2">
        <w:t xml:space="preserve">(i.e., make-whole) </w:t>
      </w:r>
      <w:r w:rsidR="00002A07">
        <w:t>costs</w:t>
      </w:r>
      <w:r w:rsidR="00B23DB3">
        <w:t>;</w:t>
      </w:r>
      <w:r>
        <w:t xml:space="preserve"> and </w:t>
      </w:r>
      <w:r w:rsidRPr="002E28D2">
        <w:t>CO</w:t>
      </w:r>
      <w:r w:rsidRPr="002E28D2">
        <w:rPr>
          <w:vertAlign w:val="subscript"/>
        </w:rPr>
        <w:t>2</w:t>
      </w:r>
      <w:r>
        <w:t xml:space="preserve"> e</w:t>
      </w:r>
      <w:r w:rsidRPr="002E28D2">
        <w:t>missio</w:t>
      </w:r>
      <w:r>
        <w:t>ns</w:t>
      </w:r>
      <w:r w:rsidR="006A5FAF">
        <w:t xml:space="preserve"> produced the most relevant results of this study</w:t>
      </w:r>
      <w:r>
        <w:t>.</w:t>
      </w:r>
      <w:r>
        <w:rPr>
          <w:rStyle w:val="FootnoteReference"/>
        </w:rPr>
        <w:footnoteReference w:id="28"/>
      </w:r>
      <w:r>
        <w:t xml:space="preserve"> All s</w:t>
      </w:r>
      <w:r w:rsidRPr="00D65EB4">
        <w:t xml:space="preserve">cenarios </w:t>
      </w:r>
      <w:r>
        <w:t xml:space="preserve">produced </w:t>
      </w:r>
      <w:r w:rsidR="00A10992">
        <w:t xml:space="preserve">directionally </w:t>
      </w:r>
      <w:r>
        <w:t>similar results. The study concluded that none of the transmission buildout scenarios result</w:t>
      </w:r>
      <w:r w:rsidR="00EF73BA">
        <w:t>ed</w:t>
      </w:r>
      <w:r>
        <w:t xml:space="preserve"> in production cost saving</w:t>
      </w:r>
      <w:r w:rsidR="00B23DB3">
        <w:t>s</w:t>
      </w:r>
      <w:r>
        <w:t xml:space="preserve"> that would prompt</w:t>
      </w:r>
      <w:r w:rsidR="00B23DB3">
        <w:t xml:space="preserve"> </w:t>
      </w:r>
      <w:r>
        <w:t xml:space="preserve">a </w:t>
      </w:r>
      <w:r w:rsidR="00A2775D">
        <w:t xml:space="preserve">Market Efficiency Transmission Upgrade </w:t>
      </w:r>
      <w:r>
        <w:t xml:space="preserve">study pursuant to Attachment N of the OATT. </w:t>
      </w:r>
      <w:r w:rsidR="009F48AB">
        <w:t xml:space="preserve"> </w:t>
      </w:r>
    </w:p>
    <w:p w:rsidR="00D439B9" w:rsidRDefault="00D439B9" w:rsidP="007F639B">
      <w:pPr>
        <w:pStyle w:val="Heading2"/>
      </w:pPr>
      <w:bookmarkStart w:id="52" w:name="_Toc51784670"/>
      <w:r>
        <w:t>Congestion</w:t>
      </w:r>
      <w:bookmarkEnd w:id="52"/>
      <w:r>
        <w:t xml:space="preserve"> </w:t>
      </w:r>
    </w:p>
    <w:p w:rsidR="00D63A78" w:rsidRDefault="00C61181" w:rsidP="00D63A78">
      <w:r>
        <w:t xml:space="preserve">Past </w:t>
      </w:r>
      <w:r w:rsidR="003821FC">
        <w:t>e</w:t>
      </w:r>
      <w:r>
        <w:t xml:space="preserve">conomic </w:t>
      </w:r>
      <w:r w:rsidR="003821FC">
        <w:t>s</w:t>
      </w:r>
      <w:r>
        <w:t xml:space="preserve">tudies have </w:t>
      </w:r>
      <w:r w:rsidR="00594459">
        <w:t xml:space="preserve">shown </w:t>
      </w:r>
      <w:r>
        <w:t>that l</w:t>
      </w:r>
      <w:r w:rsidR="005A5615">
        <w:t>ocating r</w:t>
      </w:r>
      <w:r w:rsidR="005A5615" w:rsidRPr="00D11633">
        <w:t>esource</w:t>
      </w:r>
      <w:r w:rsidR="005A5615">
        <w:t>s</w:t>
      </w:r>
      <w:r w:rsidR="005A5615" w:rsidRPr="00D11633">
        <w:t xml:space="preserve"> near load</w:t>
      </w:r>
      <w:r w:rsidR="005A5615">
        <w:t xml:space="preserve"> centers reduce</w:t>
      </w:r>
      <w:r w:rsidR="00344006">
        <w:t>s</w:t>
      </w:r>
      <w:r w:rsidR="005A5615" w:rsidRPr="00FD4059">
        <w:t xml:space="preserve"> systemwide congestion and the need for transmission expansion</w:t>
      </w:r>
      <w:r w:rsidR="005A5615">
        <w:t>. Transmission improvements are often</w:t>
      </w:r>
      <w:r w:rsidR="00B23DB3">
        <w:t xml:space="preserve"> sought</w:t>
      </w:r>
      <w:r w:rsidR="005A5615">
        <w:t xml:space="preserve"> to interconnect renewable resources and imports in northern New England. </w:t>
      </w:r>
      <w:r w:rsidR="00B4438E">
        <w:t xml:space="preserve">Study results for adding </w:t>
      </w:r>
      <w:r w:rsidR="005A5615">
        <w:t>transmission improvements in Maine</w:t>
      </w:r>
      <w:r w:rsidR="00B4438E">
        <w:t xml:space="preserve"> </w:t>
      </w:r>
      <w:r w:rsidR="005A5615">
        <w:t>confirmed that transmission bu</w:t>
      </w:r>
      <w:r w:rsidR="005A5615" w:rsidRPr="00513CC2">
        <w:t>ildou</w:t>
      </w:r>
      <w:r w:rsidR="005A5615" w:rsidRPr="00B23DB3">
        <w:t>t</w:t>
      </w:r>
      <w:r w:rsidR="00B23DB3">
        <w:t xml:space="preserve"> </w:t>
      </w:r>
      <w:r w:rsidR="000D3187" w:rsidRPr="00513CC2">
        <w:t>could reduce</w:t>
      </w:r>
      <w:r w:rsidR="005A5615" w:rsidRPr="00513CC2">
        <w:t xml:space="preserve"> conge</w:t>
      </w:r>
      <w:r w:rsidR="005A5615">
        <w:t xml:space="preserve">stion. </w:t>
      </w:r>
      <w:r w:rsidR="009F6CA4">
        <w:t xml:space="preserve">The </w:t>
      </w:r>
      <w:r w:rsidR="009F6CA4" w:rsidRPr="003821FC">
        <w:t xml:space="preserve">constrained Base scenario </w:t>
      </w:r>
      <w:r w:rsidR="009F6CA4" w:rsidRPr="003D1984">
        <w:t>ha</w:t>
      </w:r>
      <w:r w:rsidR="006A5FAF">
        <w:t>s</w:t>
      </w:r>
      <w:r w:rsidR="009F6CA4" w:rsidRPr="003D1984">
        <w:t xml:space="preserve"> the highest congestion costs for t</w:t>
      </w:r>
      <w:r w:rsidR="005A5615" w:rsidRPr="003D1984">
        <w:t xml:space="preserve">he Orrington-South </w:t>
      </w:r>
      <w:r w:rsidR="009F6CA4" w:rsidRPr="003D1984">
        <w:t>i</w:t>
      </w:r>
      <w:r w:rsidR="005A5615" w:rsidRPr="003D1984">
        <w:t>nterface</w:t>
      </w:r>
      <w:r w:rsidR="009F6CA4" w:rsidRPr="003D1984">
        <w:t>, while</w:t>
      </w:r>
      <w:r w:rsidRPr="003D1984">
        <w:t xml:space="preserve"> </w:t>
      </w:r>
      <w:r w:rsidR="005A5615" w:rsidRPr="003D1984">
        <w:t xml:space="preserve">the </w:t>
      </w:r>
      <w:r w:rsidR="009F6CA4" w:rsidRPr="003D1984">
        <w:t xml:space="preserve">constrained </w:t>
      </w:r>
      <w:r w:rsidR="005A5615" w:rsidRPr="003D1984">
        <w:t>S2 scenario</w:t>
      </w:r>
      <w:r w:rsidR="009F6CA4" w:rsidRPr="003D1984">
        <w:t xml:space="preserve"> ha</w:t>
      </w:r>
      <w:r w:rsidR="006A5FAF">
        <w:t>s</w:t>
      </w:r>
      <w:r w:rsidR="009F6CA4" w:rsidRPr="003D1984">
        <w:t xml:space="preserve"> the lowest congestion costs; </w:t>
      </w:r>
      <w:r w:rsidR="00D63A78" w:rsidRPr="003D1984">
        <w:t xml:space="preserve">the interface congestion cost in the </w:t>
      </w:r>
      <w:r w:rsidR="009F6CA4" w:rsidRPr="003D1984">
        <w:t xml:space="preserve">constrained </w:t>
      </w:r>
      <w:r w:rsidR="00D63A78" w:rsidRPr="003D1984">
        <w:t xml:space="preserve">S2 scenario is 11% of the </w:t>
      </w:r>
      <w:r w:rsidR="009F6CA4" w:rsidRPr="003D1984">
        <w:t>constrained B</w:t>
      </w:r>
      <w:r w:rsidR="00D63A78" w:rsidRPr="003D1984">
        <w:t>ase scenario’s cost. Congestion cost</w:t>
      </w:r>
      <w:r w:rsidR="00EF73BA" w:rsidRPr="003D1984">
        <w:t>s</w:t>
      </w:r>
      <w:r w:rsidR="00D63A78" w:rsidRPr="003D1984">
        <w:t xml:space="preserve"> at the Orrington-South interface </w:t>
      </w:r>
      <w:r w:rsidR="007F639B" w:rsidRPr="003D1984">
        <w:t>are</w:t>
      </w:r>
      <w:r w:rsidR="00D63A78" w:rsidRPr="003D1984">
        <w:t xml:space="preserve"> </w:t>
      </w:r>
      <w:r w:rsidR="00D63A78" w:rsidRPr="00D439B9">
        <w:t>higher when interfaces south of Orrington-South are relaxed</w:t>
      </w:r>
      <w:r w:rsidR="0075172C" w:rsidRPr="003F05D7">
        <w:t xml:space="preserve"> </w:t>
      </w:r>
      <w:r w:rsidR="00E42A19" w:rsidRPr="003F05D7">
        <w:t xml:space="preserve">and result in </w:t>
      </w:r>
      <w:r w:rsidR="0075172C" w:rsidRPr="003F05D7">
        <w:t>congestion concentrated on this interface</w:t>
      </w:r>
      <w:r w:rsidR="00D63A78" w:rsidRPr="003F05D7">
        <w:t xml:space="preserve">. </w:t>
      </w:r>
      <w:r w:rsidR="00491A21" w:rsidRPr="003F05D7">
        <w:fldChar w:fldCharType="begin"/>
      </w:r>
      <w:r w:rsidR="00491A21" w:rsidRPr="003F05D7">
        <w:instrText xml:space="preserve"> REF _Ref51688481 \h  \* MERGEFORMAT </w:instrText>
      </w:r>
      <w:r w:rsidR="00491A21" w:rsidRPr="003F05D7">
        <w:fldChar w:fldCharType="separate"/>
      </w:r>
      <w:r w:rsidR="00491A21" w:rsidRPr="003F05D7">
        <w:t xml:space="preserve">Figure </w:t>
      </w:r>
      <w:r w:rsidR="00491A21" w:rsidRPr="003F05D7">
        <w:rPr>
          <w:noProof/>
        </w:rPr>
        <w:t>5</w:t>
      </w:r>
      <w:r w:rsidR="00491A21" w:rsidRPr="003F05D7">
        <w:noBreakHyphen/>
      </w:r>
      <w:r w:rsidR="00491A21" w:rsidRPr="003F05D7">
        <w:rPr>
          <w:noProof/>
        </w:rPr>
        <w:t>1</w:t>
      </w:r>
      <w:r w:rsidR="00491A21" w:rsidRPr="003F05D7">
        <w:fldChar w:fldCharType="end"/>
      </w:r>
      <w:r w:rsidR="007F639B" w:rsidRPr="003F05D7">
        <w:t xml:space="preserve"> </w:t>
      </w:r>
      <w:r w:rsidR="00D63A78" w:rsidRPr="003F05D7">
        <w:t xml:space="preserve">compares transmission </w:t>
      </w:r>
      <w:r w:rsidR="00333090">
        <w:t xml:space="preserve">congestion </w:t>
      </w:r>
      <w:r w:rsidR="00D63A78" w:rsidRPr="003F05D7">
        <w:t>c</w:t>
      </w:r>
      <w:r w:rsidR="00D63A78">
        <w:t>osts for all scenarios studied.</w:t>
      </w:r>
    </w:p>
    <w:p w:rsidR="005A5615" w:rsidRDefault="005A5615" w:rsidP="003F05D7">
      <w:pPr>
        <w:spacing w:after="0" w:line="240" w:lineRule="auto"/>
        <w:jc w:val="center"/>
      </w:pPr>
      <w:r>
        <w:rPr>
          <w:noProof/>
        </w:rPr>
        <w:drawing>
          <wp:inline distT="0" distB="0" distL="0" distR="0" wp14:anchorId="65006F59" wp14:editId="5CBC8DE2">
            <wp:extent cx="5943600" cy="2764155"/>
            <wp:effectExtent l="19050" t="19050" r="1905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64155"/>
                    </a:xfrm>
                    <a:prstGeom prst="rect">
                      <a:avLst/>
                    </a:prstGeom>
                    <a:ln w="3175">
                      <a:solidFill>
                        <a:srgbClr val="000000"/>
                      </a:solidFill>
                    </a:ln>
                  </pic:spPr>
                </pic:pic>
              </a:graphicData>
            </a:graphic>
          </wp:inline>
        </w:drawing>
      </w:r>
    </w:p>
    <w:p w:rsidR="0075172C" w:rsidRDefault="0075172C" w:rsidP="003F05D7">
      <w:pPr>
        <w:spacing w:before="120" w:line="240" w:lineRule="auto"/>
        <w:rPr>
          <w:rFonts w:asciiTheme="minorHAnsi" w:hAnsiTheme="minorHAnsi" w:cstheme="minorHAnsi"/>
          <w:b/>
          <w:szCs w:val="20"/>
        </w:rPr>
      </w:pPr>
      <w:bookmarkStart w:id="53" w:name="_Ref51688481"/>
      <w:bookmarkStart w:id="54" w:name="_Toc51784373"/>
      <w:r w:rsidRPr="007F639B">
        <w:rPr>
          <w:rFonts w:asciiTheme="minorHAnsi" w:hAnsiTheme="minorHAnsi" w:cstheme="minorHAnsi"/>
          <w:b/>
          <w:szCs w:val="20"/>
        </w:rPr>
        <w:t xml:space="preserve">Figure </w:t>
      </w:r>
      <w:r w:rsidR="00AB0D3B">
        <w:rPr>
          <w:rFonts w:asciiTheme="minorHAnsi" w:hAnsiTheme="minorHAnsi" w:cstheme="minorHAnsi"/>
          <w:b/>
          <w:szCs w:val="20"/>
        </w:rPr>
        <w:fldChar w:fldCharType="begin"/>
      </w:r>
      <w:r w:rsidR="00AB0D3B">
        <w:rPr>
          <w:rFonts w:asciiTheme="minorHAnsi" w:hAnsiTheme="minorHAnsi" w:cstheme="minorHAnsi"/>
          <w:b/>
          <w:szCs w:val="20"/>
        </w:rPr>
        <w:instrText xml:space="preserve"> STYLEREF 1 \s </w:instrText>
      </w:r>
      <w:r w:rsidR="00AB0D3B">
        <w:rPr>
          <w:rFonts w:asciiTheme="minorHAnsi" w:hAnsiTheme="minorHAnsi" w:cstheme="minorHAnsi"/>
          <w:b/>
          <w:szCs w:val="20"/>
        </w:rPr>
        <w:fldChar w:fldCharType="separate"/>
      </w:r>
      <w:r w:rsidR="00AB0D3B">
        <w:rPr>
          <w:rFonts w:asciiTheme="minorHAnsi" w:hAnsiTheme="minorHAnsi" w:cstheme="minorHAnsi"/>
          <w:b/>
          <w:noProof/>
          <w:szCs w:val="20"/>
        </w:rPr>
        <w:t>5</w:t>
      </w:r>
      <w:r w:rsidR="00AB0D3B">
        <w:rPr>
          <w:rFonts w:asciiTheme="minorHAnsi" w:hAnsiTheme="minorHAnsi" w:cstheme="minorHAnsi"/>
          <w:b/>
          <w:szCs w:val="20"/>
        </w:rPr>
        <w:fldChar w:fldCharType="end"/>
      </w:r>
      <w:r w:rsidR="00AB0D3B">
        <w:rPr>
          <w:rFonts w:asciiTheme="minorHAnsi" w:hAnsiTheme="minorHAnsi" w:cstheme="minorHAnsi"/>
          <w:b/>
          <w:szCs w:val="20"/>
        </w:rPr>
        <w:noBreakHyphen/>
      </w:r>
      <w:r w:rsidR="00AB0D3B">
        <w:rPr>
          <w:rFonts w:asciiTheme="minorHAnsi" w:hAnsiTheme="minorHAnsi" w:cstheme="minorHAnsi"/>
          <w:b/>
          <w:szCs w:val="20"/>
        </w:rPr>
        <w:fldChar w:fldCharType="begin"/>
      </w:r>
      <w:r w:rsidR="00AB0D3B">
        <w:rPr>
          <w:rFonts w:asciiTheme="minorHAnsi" w:hAnsiTheme="minorHAnsi" w:cstheme="minorHAnsi"/>
          <w:b/>
          <w:szCs w:val="20"/>
        </w:rPr>
        <w:instrText xml:space="preserve"> SEQ Figure \* ARABIC \s 1 </w:instrText>
      </w:r>
      <w:r w:rsidR="00AB0D3B">
        <w:rPr>
          <w:rFonts w:asciiTheme="minorHAnsi" w:hAnsiTheme="minorHAnsi" w:cstheme="minorHAnsi"/>
          <w:b/>
          <w:szCs w:val="20"/>
        </w:rPr>
        <w:fldChar w:fldCharType="separate"/>
      </w:r>
      <w:r w:rsidR="00AB0D3B">
        <w:rPr>
          <w:rFonts w:asciiTheme="minorHAnsi" w:hAnsiTheme="minorHAnsi" w:cstheme="minorHAnsi"/>
          <w:b/>
          <w:noProof/>
          <w:szCs w:val="20"/>
        </w:rPr>
        <w:t>1</w:t>
      </w:r>
      <w:r w:rsidR="00AB0D3B">
        <w:rPr>
          <w:rFonts w:asciiTheme="minorHAnsi" w:hAnsiTheme="minorHAnsi" w:cstheme="minorHAnsi"/>
          <w:b/>
          <w:szCs w:val="20"/>
        </w:rPr>
        <w:fldChar w:fldCharType="end"/>
      </w:r>
      <w:bookmarkEnd w:id="53"/>
      <w:r w:rsidRPr="007F639B">
        <w:rPr>
          <w:rFonts w:asciiTheme="minorHAnsi" w:hAnsiTheme="minorHAnsi" w:cstheme="minorHAnsi"/>
          <w:b/>
          <w:szCs w:val="20"/>
        </w:rPr>
        <w:t>: Con</w:t>
      </w:r>
      <w:r w:rsidRPr="00B4438E">
        <w:rPr>
          <w:rFonts w:asciiTheme="minorHAnsi" w:hAnsiTheme="minorHAnsi" w:cstheme="minorHAnsi"/>
          <w:b/>
          <w:szCs w:val="20"/>
        </w:rPr>
        <w:t>gestion cost by interface ($ mill</w:t>
      </w:r>
      <w:r w:rsidRPr="00C61181">
        <w:rPr>
          <w:rFonts w:asciiTheme="minorHAnsi" w:hAnsiTheme="minorHAnsi" w:cstheme="minorHAnsi"/>
          <w:b/>
          <w:szCs w:val="20"/>
        </w:rPr>
        <w:t xml:space="preserve">ion). </w:t>
      </w:r>
      <w:bookmarkEnd w:id="54"/>
    </w:p>
    <w:p w:rsidR="00EF1E5B" w:rsidRDefault="008E5BBA" w:rsidP="00B0423E">
      <w:pPr>
        <w:spacing w:after="0"/>
      </w:pPr>
      <w:r>
        <w:t>Monthly congestion</w:t>
      </w:r>
      <w:r w:rsidR="00D63A78">
        <w:t xml:space="preserve"> of the Orrington-South interface is fairly consistent across all three scenarios, even </w:t>
      </w:r>
      <w:r w:rsidR="00B4438E">
        <w:t xml:space="preserve">with the month-to-month variations in </w:t>
      </w:r>
      <w:r w:rsidR="00D63A78">
        <w:t>the amount of congestion. Flow</w:t>
      </w:r>
      <w:r w:rsidR="00491A21">
        <w:t>-</w:t>
      </w:r>
      <w:r w:rsidR="00D63A78">
        <w:t xml:space="preserve">duration curves were developed to exhibit monthly congestion. </w:t>
      </w:r>
      <w:r w:rsidR="00E51A45">
        <w:fldChar w:fldCharType="begin"/>
      </w:r>
      <w:r w:rsidR="00E51A45">
        <w:instrText xml:space="preserve"> REF _Ref51689838 \h </w:instrText>
      </w:r>
      <w:r w:rsidR="00E51A45">
        <w:fldChar w:fldCharType="separate"/>
      </w:r>
      <w:r w:rsidR="00E51A45">
        <w:t xml:space="preserve">Figure </w:t>
      </w:r>
      <w:r w:rsidR="00E51A45">
        <w:rPr>
          <w:noProof/>
        </w:rPr>
        <w:t>5</w:t>
      </w:r>
      <w:r w:rsidR="00E51A45">
        <w:noBreakHyphen/>
      </w:r>
      <w:r w:rsidR="00E51A45">
        <w:rPr>
          <w:noProof/>
        </w:rPr>
        <w:t>2</w:t>
      </w:r>
      <w:r w:rsidR="00E51A45">
        <w:fldChar w:fldCharType="end"/>
      </w:r>
      <w:r w:rsidR="00E51A45">
        <w:t xml:space="preserve"> to </w:t>
      </w:r>
      <w:r w:rsidR="00E51A45">
        <w:fldChar w:fldCharType="begin"/>
      </w:r>
      <w:r w:rsidR="00E51A45">
        <w:instrText xml:space="preserve"> REF _Ref51689841 \h </w:instrText>
      </w:r>
      <w:r w:rsidR="00E51A45">
        <w:fldChar w:fldCharType="separate"/>
      </w:r>
      <w:r w:rsidR="00E51A45">
        <w:t xml:space="preserve">Figure </w:t>
      </w:r>
      <w:r w:rsidR="00E51A45">
        <w:rPr>
          <w:noProof/>
        </w:rPr>
        <w:t>5</w:t>
      </w:r>
      <w:r w:rsidR="00E51A45">
        <w:noBreakHyphen/>
      </w:r>
      <w:r w:rsidR="00E51A45">
        <w:rPr>
          <w:noProof/>
        </w:rPr>
        <w:t>4</w:t>
      </w:r>
      <w:r w:rsidR="00E51A45">
        <w:fldChar w:fldCharType="end"/>
      </w:r>
      <w:r w:rsidR="00A24A3F">
        <w:t xml:space="preserve"> </w:t>
      </w:r>
      <w:r w:rsidR="00D63A78">
        <w:t>illustrate periods of congestion for the Base, S1</w:t>
      </w:r>
      <w:r w:rsidR="00491A21">
        <w:t>,</w:t>
      </w:r>
      <w:r w:rsidR="00D63A78">
        <w:t xml:space="preserve"> and S2 scenarios</w:t>
      </w:r>
      <w:r w:rsidR="00344006">
        <w:t>,</w:t>
      </w:r>
      <w:r w:rsidR="00D63A78">
        <w:t xml:space="preserve"> respecti</w:t>
      </w:r>
      <w:r w:rsidR="00D63A78" w:rsidRPr="004318BF">
        <w:t>v</w:t>
      </w:r>
      <w:r w:rsidR="00D63A78" w:rsidRPr="00B24D70">
        <w:t>ely</w:t>
      </w:r>
      <w:r w:rsidR="00CD6692" w:rsidRPr="00B24D70">
        <w:t>, under constrained conditions and the $2/MWh NECEC threshold price</w:t>
      </w:r>
      <w:r w:rsidR="00D63A78" w:rsidRPr="00B24D70">
        <w:t>. In eac</w:t>
      </w:r>
      <w:r w:rsidR="00D63A78" w:rsidRPr="004318BF">
        <w:t>h fig</w:t>
      </w:r>
      <w:r w:rsidR="00D63A78">
        <w:t>ure, t</w:t>
      </w:r>
      <w:r w:rsidR="00D63A78" w:rsidRPr="00D63A78">
        <w:t>he red line represents the monthly interface limit (Monthly Limit)</w:t>
      </w:r>
      <w:r w:rsidR="00D63A78">
        <w:t xml:space="preserve"> and the</w:t>
      </w:r>
      <w:r w:rsidR="00D63A78" w:rsidRPr="00D63A78">
        <w:t xml:space="preserve"> blue line represents </w:t>
      </w:r>
      <w:r w:rsidR="00B0423E">
        <w:t xml:space="preserve">the </w:t>
      </w:r>
      <w:r w:rsidR="00E51A45">
        <w:t xml:space="preserve">simulated </w:t>
      </w:r>
      <w:r w:rsidR="00D63A78" w:rsidRPr="00D63A78">
        <w:t>power flow during the month (Monthly Power Flow)</w:t>
      </w:r>
      <w:r w:rsidR="00B0423E">
        <w:t xml:space="preserve">. </w:t>
      </w:r>
      <w:r w:rsidR="00B0423E" w:rsidRPr="008E5BBA">
        <w:t>Overlap of the red line and blue line indicates times of congestion</w:t>
      </w:r>
      <w:r w:rsidR="00B0423E">
        <w:t xml:space="preserve">. For the </w:t>
      </w:r>
      <w:r>
        <w:t xml:space="preserve">Base </w:t>
      </w:r>
      <w:r w:rsidR="00491A21">
        <w:t>s</w:t>
      </w:r>
      <w:r>
        <w:t>cenario</w:t>
      </w:r>
      <w:r w:rsidR="00B0423E">
        <w:t>, the Orrington-South</w:t>
      </w:r>
      <w:r w:rsidR="00B0423E" w:rsidRPr="008E5BBA">
        <w:t xml:space="preserve"> interface is congested 22% of the year </w:t>
      </w:r>
      <w:r w:rsidR="00B0423E">
        <w:t>and 98% o</w:t>
      </w:r>
      <w:r w:rsidR="00B0423E" w:rsidRPr="00D35AA9">
        <w:t xml:space="preserve">f the time </w:t>
      </w:r>
      <w:r w:rsidR="00B0423E" w:rsidRPr="003821FC">
        <w:t>during the month of October. Fo</w:t>
      </w:r>
      <w:r w:rsidR="00B0423E">
        <w:t>r the S1 scenario, the Orrington-South</w:t>
      </w:r>
      <w:r w:rsidR="00B0423E" w:rsidRPr="008E5BBA">
        <w:t xml:space="preserve"> interface is congested 13% of the year</w:t>
      </w:r>
      <w:r w:rsidR="00B0423E">
        <w:t xml:space="preserve"> and 82% of the time during</w:t>
      </w:r>
      <w:r w:rsidR="00B0423E" w:rsidRPr="008E5BBA">
        <w:t xml:space="preserve"> October</w:t>
      </w:r>
      <w:r w:rsidR="00B0423E">
        <w:t xml:space="preserve">. For the S2 </w:t>
      </w:r>
      <w:r w:rsidR="00E51A45">
        <w:t>s</w:t>
      </w:r>
      <w:r w:rsidR="00B0423E">
        <w:t>cenario</w:t>
      </w:r>
      <w:r w:rsidR="00E51A45">
        <w:t>,</w:t>
      </w:r>
      <w:r w:rsidR="00B0423E">
        <w:t xml:space="preserve"> th</w:t>
      </w:r>
      <w:r w:rsidR="00B0423E" w:rsidRPr="008E5BBA">
        <w:t xml:space="preserve">e </w:t>
      </w:r>
      <w:r w:rsidR="00B0423E">
        <w:t>Orrington-South</w:t>
      </w:r>
      <w:r w:rsidR="00B0423E" w:rsidRPr="008E5BBA">
        <w:t xml:space="preserve"> interface is congested 3% of the year</w:t>
      </w:r>
      <w:r w:rsidR="00B0423E">
        <w:t xml:space="preserve"> but is congested less than 1% during October</w:t>
      </w:r>
      <w:r w:rsidR="00E51A45">
        <w:t>,</w:t>
      </w:r>
      <w:r w:rsidR="00B0423E">
        <w:t xml:space="preserve"> supporting the premise that transmission buildout </w:t>
      </w:r>
      <w:r w:rsidR="00E51A45">
        <w:t>would be</w:t>
      </w:r>
      <w:r w:rsidR="00B0423E">
        <w:t xml:space="preserve"> </w:t>
      </w:r>
      <w:r w:rsidR="00C6560D">
        <w:t>necessary to reduce</w:t>
      </w:r>
      <w:r w:rsidR="00B0423E">
        <w:t xml:space="preserve"> transmission congestion when resources (and imports) are located in northern New England. </w:t>
      </w:r>
      <w:r w:rsidR="00825B6A" w:rsidRPr="00513CC2">
        <w:t>Comparing congestion in the month of October among all three scenarios illustrates a decrease in congestion from the Base scenario to the S1 scenario, and from the S1 scenarios to the S2 scenario, meaning the proposed transmission buildout by RENEW would allow energy from the north to serve New England load south of the Orrington-South interface.</w:t>
      </w:r>
    </w:p>
    <w:p w:rsidR="00EF1E5B" w:rsidRDefault="00EF1E5B" w:rsidP="00B0423E">
      <w:pPr>
        <w:spacing w:after="0"/>
      </w:pPr>
    </w:p>
    <w:p w:rsidR="00B0423E" w:rsidRPr="00FA272B" w:rsidRDefault="008E5BBA" w:rsidP="00D35AA9">
      <w:pPr>
        <w:spacing w:after="0" w:line="240" w:lineRule="auto"/>
        <w:jc w:val="center"/>
        <w:rPr>
          <w:b/>
        </w:rPr>
      </w:pPr>
      <w:r w:rsidRPr="008E5BBA">
        <w:rPr>
          <w:noProof/>
        </w:rPr>
        <w:drawing>
          <wp:inline distT="0" distB="0" distL="0" distR="0" wp14:anchorId="489C0E2A" wp14:editId="25D82CCA">
            <wp:extent cx="4907280" cy="2638187"/>
            <wp:effectExtent l="19050" t="19050" r="26670" b="1016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a:stretch>
                      <a:fillRect/>
                    </a:stretch>
                  </pic:blipFill>
                  <pic:spPr>
                    <a:xfrm>
                      <a:off x="0" y="0"/>
                      <a:ext cx="4914416" cy="2642024"/>
                    </a:xfrm>
                    <a:prstGeom prst="rect">
                      <a:avLst/>
                    </a:prstGeom>
                    <a:ln w="3175">
                      <a:solidFill>
                        <a:srgbClr val="000000"/>
                      </a:solidFill>
                    </a:ln>
                  </pic:spPr>
                </pic:pic>
              </a:graphicData>
            </a:graphic>
          </wp:inline>
        </w:drawing>
      </w:r>
    </w:p>
    <w:p w:rsidR="00491A21" w:rsidRPr="00AA5FD3" w:rsidRDefault="00E51A45" w:rsidP="008C5C66">
      <w:pPr>
        <w:pStyle w:val="Caption"/>
        <w:spacing w:before="120" w:after="240"/>
        <w:ind w:left="810" w:right="810"/>
      </w:pPr>
      <w:bookmarkStart w:id="55" w:name="_Ref51689838"/>
      <w:bookmarkStart w:id="56" w:name="_Toc51784374"/>
      <w:r w:rsidRPr="00AA5FD3">
        <w:t xml:space="preserve">Figure </w:t>
      </w:r>
      <w:fldSimple w:instr=" STYLEREF 1 \s ">
        <w:r w:rsidR="00AB0D3B">
          <w:rPr>
            <w:noProof/>
          </w:rPr>
          <w:t>5</w:t>
        </w:r>
      </w:fldSimple>
      <w:r w:rsidR="00AB0D3B">
        <w:noBreakHyphen/>
      </w:r>
      <w:fldSimple w:instr=" SEQ Figure \* ARABIC \s 1 ">
        <w:r w:rsidR="00AB0D3B">
          <w:rPr>
            <w:noProof/>
          </w:rPr>
          <w:t>2</w:t>
        </w:r>
      </w:fldSimple>
      <w:bookmarkEnd w:id="55"/>
      <w:r w:rsidR="00A24A3F" w:rsidRPr="00AA5FD3">
        <w:t xml:space="preserve">: </w:t>
      </w:r>
      <w:r w:rsidR="00491A21" w:rsidRPr="00AA5FD3">
        <w:rPr>
          <w:bCs w:val="0"/>
        </w:rPr>
        <w:t>Monthly Orrington-Sou</w:t>
      </w:r>
      <w:r w:rsidR="00491A21" w:rsidRPr="001250FD">
        <w:rPr>
          <w:bCs w:val="0"/>
        </w:rPr>
        <w:t xml:space="preserve">th </w:t>
      </w:r>
      <w:r w:rsidR="00A24A3F" w:rsidRPr="00113D64">
        <w:rPr>
          <w:bCs w:val="0"/>
        </w:rPr>
        <w:t>interface f</w:t>
      </w:r>
      <w:r w:rsidR="00491A21" w:rsidRPr="00113D64">
        <w:rPr>
          <w:bCs w:val="0"/>
        </w:rPr>
        <w:t>low</w:t>
      </w:r>
      <w:r w:rsidR="00A24A3F" w:rsidRPr="00113D64">
        <w:rPr>
          <w:bCs w:val="0"/>
        </w:rPr>
        <w:t>-duration</w:t>
      </w:r>
      <w:r w:rsidR="00A24A3F" w:rsidRPr="001250FD">
        <w:rPr>
          <w:bCs w:val="0"/>
        </w:rPr>
        <w:t xml:space="preserve"> c</w:t>
      </w:r>
      <w:r w:rsidR="00491A21" w:rsidRPr="001250FD">
        <w:rPr>
          <w:bCs w:val="0"/>
        </w:rPr>
        <w:t>urve</w:t>
      </w:r>
      <w:r w:rsidR="00A24A3F" w:rsidRPr="001250FD">
        <w:rPr>
          <w:bCs w:val="0"/>
        </w:rPr>
        <w:t xml:space="preserve"> and l</w:t>
      </w:r>
      <w:r w:rsidR="00491A21" w:rsidRPr="001250FD">
        <w:rPr>
          <w:bCs w:val="0"/>
        </w:rPr>
        <w:t xml:space="preserve">imit for the </w:t>
      </w:r>
      <w:r w:rsidR="007E76C4" w:rsidRPr="008C5C66">
        <w:rPr>
          <w:bCs w:val="0"/>
        </w:rPr>
        <w:t>constrained</w:t>
      </w:r>
      <w:r w:rsidR="007E76C4" w:rsidRPr="001250FD">
        <w:rPr>
          <w:bCs w:val="0"/>
        </w:rPr>
        <w:t xml:space="preserve"> </w:t>
      </w:r>
      <w:r w:rsidR="00491A21" w:rsidRPr="001250FD">
        <w:rPr>
          <w:bCs w:val="0"/>
        </w:rPr>
        <w:t xml:space="preserve">Base </w:t>
      </w:r>
      <w:r w:rsidR="00A24A3F" w:rsidRPr="001250FD">
        <w:rPr>
          <w:bCs w:val="0"/>
        </w:rPr>
        <w:t>s</w:t>
      </w:r>
      <w:r w:rsidR="00491A21" w:rsidRPr="001250FD">
        <w:rPr>
          <w:bCs w:val="0"/>
        </w:rPr>
        <w:t>cenario</w:t>
      </w:r>
      <w:r w:rsidR="00D35AA9" w:rsidRPr="001250FD">
        <w:rPr>
          <w:bCs w:val="0"/>
        </w:rPr>
        <w:t xml:space="preserve"> (MW).</w:t>
      </w:r>
      <w:bookmarkEnd w:id="56"/>
    </w:p>
    <w:p w:rsidR="008E5BBA" w:rsidRDefault="008E5BBA" w:rsidP="008C5C66">
      <w:pPr>
        <w:spacing w:after="0" w:line="240" w:lineRule="auto"/>
        <w:jc w:val="center"/>
      </w:pPr>
      <w:r w:rsidRPr="008E5BBA">
        <w:rPr>
          <w:noProof/>
        </w:rPr>
        <w:drawing>
          <wp:inline distT="0" distB="0" distL="0" distR="0" wp14:anchorId="713AF874" wp14:editId="7E5A6762">
            <wp:extent cx="4840942" cy="2601489"/>
            <wp:effectExtent l="19050" t="19050" r="17145" b="2794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4853185" cy="2608068"/>
                    </a:xfrm>
                    <a:prstGeom prst="rect">
                      <a:avLst/>
                    </a:prstGeom>
                    <a:ln w="3175">
                      <a:solidFill>
                        <a:srgbClr val="000000"/>
                      </a:solidFill>
                    </a:ln>
                  </pic:spPr>
                </pic:pic>
              </a:graphicData>
            </a:graphic>
          </wp:inline>
        </w:drawing>
      </w:r>
    </w:p>
    <w:p w:rsidR="00E51A45" w:rsidRPr="007E76C4" w:rsidRDefault="00E51A45" w:rsidP="004002F6">
      <w:pPr>
        <w:pStyle w:val="Caption"/>
        <w:keepNext w:val="0"/>
        <w:keepLines w:val="0"/>
        <w:spacing w:before="120" w:after="0"/>
        <w:ind w:left="907" w:right="907"/>
      </w:pPr>
      <w:bookmarkStart w:id="57" w:name="_Ref51689839"/>
      <w:bookmarkStart w:id="58" w:name="_Toc51784375"/>
      <w:r w:rsidRPr="00A828C7">
        <w:t xml:space="preserve">Figure </w:t>
      </w:r>
      <w:fldSimple w:instr=" STYLEREF 1 \s ">
        <w:r w:rsidR="00AB0D3B" w:rsidRPr="008C5C66">
          <w:rPr>
            <w:noProof/>
          </w:rPr>
          <w:t>5</w:t>
        </w:r>
      </w:fldSimple>
      <w:r w:rsidR="00AB0D3B" w:rsidRPr="008C5C66">
        <w:noBreakHyphen/>
      </w:r>
      <w:fldSimple w:instr=" SEQ Figure \* ARABIC \s 1 ">
        <w:r w:rsidR="00AB0D3B" w:rsidRPr="008C5C66">
          <w:rPr>
            <w:noProof/>
          </w:rPr>
          <w:t>3</w:t>
        </w:r>
      </w:fldSimple>
      <w:bookmarkEnd w:id="57"/>
      <w:r w:rsidR="00A24A3F" w:rsidRPr="008C5C66">
        <w:t xml:space="preserve">: </w:t>
      </w:r>
      <w:r w:rsidRPr="008C5C66">
        <w:rPr>
          <w:bCs w:val="0"/>
        </w:rPr>
        <w:t xml:space="preserve">Monthly Orrington-South </w:t>
      </w:r>
      <w:r w:rsidR="00A24A3F" w:rsidRPr="008C5C66">
        <w:rPr>
          <w:bCs w:val="0"/>
        </w:rPr>
        <w:t>i</w:t>
      </w:r>
      <w:r w:rsidRPr="008C5C66">
        <w:rPr>
          <w:bCs w:val="0"/>
        </w:rPr>
        <w:t>nterface</w:t>
      </w:r>
      <w:r w:rsidR="00A24A3F" w:rsidRPr="008C5C66">
        <w:rPr>
          <w:bCs w:val="0"/>
        </w:rPr>
        <w:t>-f</w:t>
      </w:r>
      <w:r w:rsidRPr="008C5C66">
        <w:rPr>
          <w:bCs w:val="0"/>
        </w:rPr>
        <w:t xml:space="preserve">low </w:t>
      </w:r>
      <w:r w:rsidR="00A24A3F" w:rsidRPr="008C5C66">
        <w:rPr>
          <w:bCs w:val="0"/>
        </w:rPr>
        <w:t>d</w:t>
      </w:r>
      <w:r w:rsidRPr="008C5C66">
        <w:rPr>
          <w:bCs w:val="0"/>
        </w:rPr>
        <w:t xml:space="preserve">uration </w:t>
      </w:r>
      <w:r w:rsidR="00A24A3F" w:rsidRPr="008C5C66">
        <w:rPr>
          <w:bCs w:val="0"/>
        </w:rPr>
        <w:t>c</w:t>
      </w:r>
      <w:r w:rsidRPr="008C5C66">
        <w:rPr>
          <w:bCs w:val="0"/>
        </w:rPr>
        <w:t>urve</w:t>
      </w:r>
      <w:r w:rsidR="00A24A3F" w:rsidRPr="008C5C66">
        <w:rPr>
          <w:bCs w:val="0"/>
        </w:rPr>
        <w:t xml:space="preserve"> and l</w:t>
      </w:r>
      <w:r w:rsidRPr="008C5C66">
        <w:rPr>
          <w:bCs w:val="0"/>
        </w:rPr>
        <w:t>imit for</w:t>
      </w:r>
      <w:r w:rsidR="00A24A3F" w:rsidRPr="008C5C66">
        <w:rPr>
          <w:bCs w:val="0"/>
        </w:rPr>
        <w:t xml:space="preserve"> the </w:t>
      </w:r>
      <w:r w:rsidR="007E76C4" w:rsidRPr="008C5C66">
        <w:rPr>
          <w:bCs w:val="0"/>
        </w:rPr>
        <w:t xml:space="preserve">constrained </w:t>
      </w:r>
      <w:r w:rsidR="00A24A3F" w:rsidRPr="008C5C66">
        <w:rPr>
          <w:bCs w:val="0"/>
        </w:rPr>
        <w:t>S</w:t>
      </w:r>
      <w:r w:rsidR="00A24A3F" w:rsidRPr="003821FC">
        <w:rPr>
          <w:bCs w:val="0"/>
        </w:rPr>
        <w:t>1</w:t>
      </w:r>
      <w:r w:rsidR="00A24A3F" w:rsidRPr="007E76C4">
        <w:rPr>
          <w:bCs w:val="0"/>
        </w:rPr>
        <w:t xml:space="preserve"> s</w:t>
      </w:r>
      <w:r w:rsidRPr="007E76C4">
        <w:rPr>
          <w:bCs w:val="0"/>
        </w:rPr>
        <w:t>cenario</w:t>
      </w:r>
      <w:r w:rsidR="007E76C4">
        <w:rPr>
          <w:bCs w:val="0"/>
        </w:rPr>
        <w:t xml:space="preserve"> (MW).</w:t>
      </w:r>
      <w:bookmarkEnd w:id="58"/>
    </w:p>
    <w:p w:rsidR="008E5BBA" w:rsidRDefault="008E5BBA" w:rsidP="004002F6">
      <w:pPr>
        <w:spacing w:after="0" w:line="240" w:lineRule="auto"/>
        <w:ind w:left="360"/>
        <w:jc w:val="center"/>
      </w:pPr>
      <w:r w:rsidRPr="008E5BBA">
        <w:rPr>
          <w:noProof/>
        </w:rPr>
        <w:drawing>
          <wp:inline distT="0" distB="0" distL="0" distR="0" wp14:anchorId="6D3D1482" wp14:editId="5B48AD72">
            <wp:extent cx="5010112" cy="2692400"/>
            <wp:effectExtent l="19050" t="19050" r="19685" b="1270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a:stretch>
                      <a:fillRect/>
                    </a:stretch>
                  </pic:blipFill>
                  <pic:spPr>
                    <a:xfrm>
                      <a:off x="0" y="0"/>
                      <a:ext cx="5011368" cy="2693075"/>
                    </a:xfrm>
                    <a:prstGeom prst="rect">
                      <a:avLst/>
                    </a:prstGeom>
                    <a:ln w="3175">
                      <a:solidFill>
                        <a:srgbClr val="000000"/>
                      </a:solidFill>
                    </a:ln>
                  </pic:spPr>
                </pic:pic>
              </a:graphicData>
            </a:graphic>
          </wp:inline>
        </w:drawing>
      </w:r>
    </w:p>
    <w:p w:rsidR="00E51A45" w:rsidRPr="00513CC2" w:rsidRDefault="00E51A45" w:rsidP="004002F6">
      <w:pPr>
        <w:pStyle w:val="Caption"/>
        <w:keepNext w:val="0"/>
        <w:keepLines w:val="0"/>
        <w:spacing w:before="120" w:after="240"/>
        <w:ind w:left="900" w:right="540"/>
      </w:pPr>
      <w:bookmarkStart w:id="59" w:name="_Ref51689841"/>
      <w:bookmarkStart w:id="60" w:name="_Toc51784376"/>
      <w:r w:rsidRPr="00A828C7">
        <w:t xml:space="preserve">Figure </w:t>
      </w:r>
      <w:fldSimple w:instr=" STYLEREF 1 \s ">
        <w:r w:rsidR="00AB0D3B" w:rsidRPr="008C5C66">
          <w:rPr>
            <w:noProof/>
          </w:rPr>
          <w:t>5</w:t>
        </w:r>
      </w:fldSimple>
      <w:r w:rsidR="00AB0D3B" w:rsidRPr="008C5C66">
        <w:noBreakHyphen/>
      </w:r>
      <w:fldSimple w:instr=" SEQ Figure \* ARABIC \s 1 ">
        <w:r w:rsidR="00AB0D3B" w:rsidRPr="008C5C66">
          <w:rPr>
            <w:noProof/>
          </w:rPr>
          <w:t>4</w:t>
        </w:r>
      </w:fldSimple>
      <w:bookmarkEnd w:id="59"/>
      <w:r w:rsidR="00A24A3F" w:rsidRPr="008C5C66">
        <w:t xml:space="preserve">: </w:t>
      </w:r>
      <w:r w:rsidRPr="008C5C66">
        <w:rPr>
          <w:bCs w:val="0"/>
        </w:rPr>
        <w:t xml:space="preserve">Monthly Orrington-South </w:t>
      </w:r>
      <w:r w:rsidR="00A24A3F" w:rsidRPr="008C5C66">
        <w:rPr>
          <w:bCs w:val="0"/>
        </w:rPr>
        <w:t>i</w:t>
      </w:r>
      <w:r w:rsidRPr="008C5C66">
        <w:rPr>
          <w:bCs w:val="0"/>
        </w:rPr>
        <w:t xml:space="preserve">nterface </w:t>
      </w:r>
      <w:r w:rsidR="00A24A3F" w:rsidRPr="008C5C66">
        <w:rPr>
          <w:bCs w:val="0"/>
        </w:rPr>
        <w:t>flow-d</w:t>
      </w:r>
      <w:r w:rsidRPr="008C5C66">
        <w:rPr>
          <w:bCs w:val="0"/>
        </w:rPr>
        <w:t xml:space="preserve">uration </w:t>
      </w:r>
      <w:r w:rsidR="00A24A3F" w:rsidRPr="008C5C66">
        <w:rPr>
          <w:bCs w:val="0"/>
        </w:rPr>
        <w:t>c</w:t>
      </w:r>
      <w:r w:rsidRPr="008C5C66">
        <w:rPr>
          <w:bCs w:val="0"/>
        </w:rPr>
        <w:t>urve</w:t>
      </w:r>
      <w:r w:rsidR="00A24A3F" w:rsidRPr="008C5C66">
        <w:rPr>
          <w:bCs w:val="0"/>
        </w:rPr>
        <w:t xml:space="preserve"> </w:t>
      </w:r>
      <w:r w:rsidRPr="008C5C66">
        <w:rPr>
          <w:bCs w:val="0"/>
        </w:rPr>
        <w:t xml:space="preserve">and </w:t>
      </w:r>
      <w:r w:rsidR="00A24A3F" w:rsidRPr="008C5C66">
        <w:rPr>
          <w:bCs w:val="0"/>
        </w:rPr>
        <w:t>l</w:t>
      </w:r>
      <w:r w:rsidRPr="008C5C66">
        <w:rPr>
          <w:bCs w:val="0"/>
        </w:rPr>
        <w:t xml:space="preserve">imit for the </w:t>
      </w:r>
      <w:r w:rsidR="007E76C4" w:rsidRPr="008C5C66">
        <w:rPr>
          <w:bCs w:val="0"/>
        </w:rPr>
        <w:t>constrained</w:t>
      </w:r>
      <w:r w:rsidR="007E76C4">
        <w:rPr>
          <w:bCs w:val="0"/>
        </w:rPr>
        <w:t xml:space="preserve"> </w:t>
      </w:r>
      <w:r w:rsidRPr="007E76C4">
        <w:rPr>
          <w:bCs w:val="0"/>
        </w:rPr>
        <w:t xml:space="preserve">S2 </w:t>
      </w:r>
      <w:r w:rsidR="00A24A3F" w:rsidRPr="007E76C4">
        <w:rPr>
          <w:bCs w:val="0"/>
        </w:rPr>
        <w:t>s</w:t>
      </w:r>
      <w:r w:rsidRPr="007E76C4">
        <w:rPr>
          <w:bCs w:val="0"/>
        </w:rPr>
        <w:t>cenario</w:t>
      </w:r>
      <w:r w:rsidR="007E76C4">
        <w:rPr>
          <w:bCs w:val="0"/>
        </w:rPr>
        <w:t xml:space="preserve"> (MW)</w:t>
      </w:r>
      <w:r w:rsidR="00A24A3F" w:rsidRPr="007E76C4">
        <w:rPr>
          <w:bCs w:val="0"/>
        </w:rPr>
        <w:t>.</w:t>
      </w:r>
      <w:bookmarkEnd w:id="60"/>
    </w:p>
    <w:p w:rsidR="00EF1E5B" w:rsidRDefault="009555A4" w:rsidP="005D1D87">
      <w:r>
        <w:t>Results for the threshold-price</w:t>
      </w:r>
      <w:r w:rsidR="005D1D87">
        <w:t>-sensitivity scenarios</w:t>
      </w:r>
      <w:r>
        <w:t xml:space="preserve"> show that m</w:t>
      </w:r>
      <w:r w:rsidR="00EF1E5B" w:rsidRPr="00EF1E5B">
        <w:t xml:space="preserve">ost months have the same amount of congestion at the Orrington-South </w:t>
      </w:r>
      <w:r w:rsidR="00A24A3F">
        <w:t>i</w:t>
      </w:r>
      <w:r w:rsidR="00EF1E5B" w:rsidRPr="00EF1E5B">
        <w:t>nterface between the $2/MWh an</w:t>
      </w:r>
      <w:r w:rsidR="00EF1E5B">
        <w:t xml:space="preserve">d $11/MWh NECEC </w:t>
      </w:r>
      <w:r w:rsidR="00A24A3F" w:rsidRPr="003821FC">
        <w:t>t</w:t>
      </w:r>
      <w:r w:rsidR="00EF1E5B" w:rsidRPr="003821FC">
        <w:t xml:space="preserve">hreshold </w:t>
      </w:r>
      <w:r w:rsidR="00A24A3F" w:rsidRPr="003821FC">
        <w:t>p</w:t>
      </w:r>
      <w:r w:rsidR="00EF1E5B" w:rsidRPr="003821FC">
        <w:t>rice</w:t>
      </w:r>
      <w:r>
        <w:t>s</w:t>
      </w:r>
      <w:r w:rsidR="00EF1E5B" w:rsidRPr="003821FC">
        <w:t>.</w:t>
      </w:r>
      <w:r w:rsidR="00EF1E5B">
        <w:t xml:space="preserve"> </w:t>
      </w:r>
      <w:r w:rsidR="00EF1E5B" w:rsidRPr="00EF1E5B">
        <w:t>Months in w</w:t>
      </w:r>
      <w:r w:rsidR="00EF1E5B">
        <w:t xml:space="preserve">hich </w:t>
      </w:r>
      <w:r w:rsidR="00EF1E5B" w:rsidRPr="00EF1E5B">
        <w:t xml:space="preserve">the </w:t>
      </w:r>
      <w:r w:rsidR="00B52878">
        <w:t>Orrington-</w:t>
      </w:r>
      <w:r w:rsidR="002640B3">
        <w:t>South</w:t>
      </w:r>
      <w:r w:rsidR="00B52878">
        <w:t xml:space="preserve"> </w:t>
      </w:r>
      <w:r w:rsidR="00EF1E5B" w:rsidRPr="00EF1E5B">
        <w:t xml:space="preserve">interface </w:t>
      </w:r>
      <w:r w:rsidR="00A24A3F">
        <w:t>is</w:t>
      </w:r>
      <w:r w:rsidR="00984BF7">
        <w:t xml:space="preserve"> more congested </w:t>
      </w:r>
      <w:r w:rsidR="00B52878">
        <w:t xml:space="preserve">tend to </w:t>
      </w:r>
      <w:r w:rsidR="00EF1E5B" w:rsidRPr="00EF1E5B">
        <w:t xml:space="preserve">see </w:t>
      </w:r>
      <w:r>
        <w:t>higher</w:t>
      </w:r>
      <w:r w:rsidR="00EF1E5B" w:rsidRPr="00EF1E5B">
        <w:t xml:space="preserve"> congestion in the $11/MW</w:t>
      </w:r>
      <w:r w:rsidR="00EF1E5B" w:rsidRPr="007F6909">
        <w:t xml:space="preserve">h </w:t>
      </w:r>
      <w:r w:rsidR="00522139" w:rsidRPr="007F6909">
        <w:t>t</w:t>
      </w:r>
      <w:r w:rsidR="00B52878" w:rsidRPr="007F6909">
        <w:t>hreshold</w:t>
      </w:r>
      <w:r w:rsidR="00522139">
        <w:t>-</w:t>
      </w:r>
      <w:r w:rsidR="00522139" w:rsidRPr="007F6909">
        <w:t>p</w:t>
      </w:r>
      <w:r w:rsidR="00B52878" w:rsidRPr="007F6909">
        <w:t>rice</w:t>
      </w:r>
      <w:r w:rsidR="005D1D87">
        <w:t>-sensitivity</w:t>
      </w:r>
      <w:r w:rsidR="00B52878" w:rsidRPr="007F6909">
        <w:t xml:space="preserve"> </w:t>
      </w:r>
      <w:r w:rsidR="00984BF7" w:rsidRPr="008E2050">
        <w:t>s</w:t>
      </w:r>
      <w:r w:rsidR="00B52878" w:rsidRPr="008E2050">
        <w:t>cen</w:t>
      </w:r>
      <w:r w:rsidR="00B52878" w:rsidRPr="007F6909">
        <w:t>arios</w:t>
      </w:r>
      <w:r w:rsidR="00EF1E5B" w:rsidRPr="007F6909">
        <w:t xml:space="preserve"> due to</w:t>
      </w:r>
      <w:r w:rsidR="00EF1E5B" w:rsidRPr="00EF1E5B">
        <w:t xml:space="preserve"> N</w:t>
      </w:r>
      <w:r w:rsidR="00EF1E5B">
        <w:t xml:space="preserve">ew Brunswick </w:t>
      </w:r>
      <w:r w:rsidR="00EF1E5B" w:rsidRPr="00EF1E5B">
        <w:t>imports being spilled less</w:t>
      </w:r>
      <w:r w:rsidR="00EF1E5B">
        <w:t>.</w:t>
      </w:r>
      <w:r w:rsidR="00EF1E5B">
        <w:rPr>
          <w:rStyle w:val="FootnoteReference"/>
        </w:rPr>
        <w:footnoteReference w:id="29"/>
      </w:r>
      <w:r w:rsidR="00EF1E5B">
        <w:t xml:space="preserve"> </w:t>
      </w:r>
      <w:r w:rsidR="00984BF7">
        <w:fldChar w:fldCharType="begin"/>
      </w:r>
      <w:r w:rsidR="00984BF7">
        <w:instrText xml:space="preserve"> REF _Ref51690830 \h </w:instrText>
      </w:r>
      <w:r w:rsidR="00984BF7">
        <w:fldChar w:fldCharType="separate"/>
      </w:r>
      <w:r w:rsidR="00984BF7">
        <w:t xml:space="preserve">Table </w:t>
      </w:r>
      <w:r w:rsidR="00984BF7">
        <w:rPr>
          <w:noProof/>
        </w:rPr>
        <w:t>5</w:t>
      </w:r>
      <w:r w:rsidR="00984BF7">
        <w:noBreakHyphen/>
      </w:r>
      <w:r w:rsidR="00984BF7">
        <w:rPr>
          <w:noProof/>
        </w:rPr>
        <w:t>1</w:t>
      </w:r>
      <w:r w:rsidR="00984BF7">
        <w:fldChar w:fldCharType="end"/>
      </w:r>
      <w:r w:rsidR="00B52878">
        <w:t xml:space="preserve"> summarizes monthly </w:t>
      </w:r>
      <w:r w:rsidR="00B52878" w:rsidRPr="00EF1E5B">
        <w:t xml:space="preserve">congestion at the Orrington-South </w:t>
      </w:r>
      <w:r w:rsidR="00984BF7">
        <w:t>i</w:t>
      </w:r>
      <w:r w:rsidR="00B52878" w:rsidRPr="00EF1E5B">
        <w:t>nterface</w:t>
      </w:r>
      <w:r w:rsidR="006605AC">
        <w:t>, which</w:t>
      </w:r>
      <w:r w:rsidR="00B52878">
        <w:t xml:space="preserve"> is similar for the constrained and</w:t>
      </w:r>
      <w:r w:rsidR="00D144D0">
        <w:t xml:space="preserve"> relaxed</w:t>
      </w:r>
      <w:r w:rsidR="006605AC">
        <w:t>-</w:t>
      </w:r>
      <w:r w:rsidR="00B52878">
        <w:t>constrain</w:t>
      </w:r>
      <w:r w:rsidR="006605AC">
        <w:t>t</w:t>
      </w:r>
      <w:r w:rsidR="00B52878">
        <w:t xml:space="preserve"> transmission scenarios as well as the </w:t>
      </w:r>
      <w:r w:rsidR="008E2050" w:rsidRPr="008E2050">
        <w:t>t</w:t>
      </w:r>
      <w:r w:rsidR="00B52878" w:rsidRPr="008E2050">
        <w:t>hreshold</w:t>
      </w:r>
      <w:r w:rsidR="005D1D87">
        <w:t>-</w:t>
      </w:r>
      <w:r w:rsidR="008E2050" w:rsidRPr="008E2050">
        <w:t>p</w:t>
      </w:r>
      <w:r w:rsidR="00B52878" w:rsidRPr="008E2050">
        <w:t>rice</w:t>
      </w:r>
      <w:r w:rsidR="005D1D87">
        <w:t>-</w:t>
      </w:r>
      <w:r w:rsidR="008E2050" w:rsidRPr="008E2050">
        <w:t>s</w:t>
      </w:r>
      <w:r w:rsidR="00B52878" w:rsidRPr="008E2050">
        <w:t xml:space="preserve">ensitivity </w:t>
      </w:r>
      <w:r w:rsidR="008E2050" w:rsidRPr="008E2050">
        <w:t>s</w:t>
      </w:r>
      <w:r w:rsidR="00B52878" w:rsidRPr="008E2050">
        <w:t>cenarios.</w:t>
      </w:r>
      <w:r w:rsidR="00B52878">
        <w:t xml:space="preserve">  </w:t>
      </w:r>
      <w:r w:rsidR="000D0C6A">
        <w:t>D</w:t>
      </w:r>
      <w:r w:rsidR="00B52878">
        <w:t xml:space="preserve">ifferences in </w:t>
      </w:r>
      <w:r w:rsidR="000D0C6A">
        <w:t>c</w:t>
      </w:r>
      <w:r w:rsidR="00B52878">
        <w:t xml:space="preserve">ongestion between the constrained and </w:t>
      </w:r>
      <w:r w:rsidR="006605AC">
        <w:t>relaxed-constraint</w:t>
      </w:r>
      <w:r w:rsidR="008E2050">
        <w:t xml:space="preserve"> </w:t>
      </w:r>
      <w:r w:rsidR="00B52878">
        <w:t>transmission scenario</w:t>
      </w:r>
      <w:r w:rsidR="00B52878" w:rsidRPr="003F05D7">
        <w:t>s</w:t>
      </w:r>
      <w:r w:rsidR="00984BF7" w:rsidRPr="003F05D7">
        <w:t xml:space="preserve"> </w:t>
      </w:r>
      <w:r w:rsidR="000D0C6A">
        <w:t xml:space="preserve">is not noticeable </w:t>
      </w:r>
      <w:r w:rsidR="00091A4D" w:rsidRPr="003F05D7">
        <w:t xml:space="preserve">when the NECEC threshold price varies </w:t>
      </w:r>
      <w:r w:rsidR="00984BF7" w:rsidRPr="003F05D7">
        <w:t>(refe</w:t>
      </w:r>
      <w:r w:rsidR="00984BF7">
        <w:t xml:space="preserve">r to Section </w:t>
      </w:r>
      <w:r w:rsidR="00984BF7">
        <w:fldChar w:fldCharType="begin"/>
      </w:r>
      <w:r w:rsidR="00984BF7">
        <w:instrText xml:space="preserve"> REF _Ref42679720 \w \h </w:instrText>
      </w:r>
      <w:r w:rsidR="00984BF7">
        <w:fldChar w:fldCharType="separate"/>
      </w:r>
      <w:r w:rsidR="00984BF7">
        <w:t>4.2.1</w:t>
      </w:r>
      <w:r w:rsidR="00984BF7">
        <w:fldChar w:fldCharType="end"/>
      </w:r>
      <w:r w:rsidR="00984BF7">
        <w:t>)</w:t>
      </w:r>
      <w:r w:rsidR="00B52878">
        <w:t>.</w:t>
      </w:r>
    </w:p>
    <w:p w:rsidR="009555A4" w:rsidRDefault="00984BF7" w:rsidP="004002F6">
      <w:pPr>
        <w:pStyle w:val="Caption"/>
        <w:jc w:val="center"/>
      </w:pPr>
      <w:bookmarkStart w:id="61" w:name="_Ref51690830"/>
      <w:bookmarkStart w:id="62" w:name="_Toc51784385"/>
      <w:r>
        <w:t xml:space="preserve">Table </w:t>
      </w:r>
      <w:fldSimple w:instr=" STYLEREF 1 \s ">
        <w:r w:rsidR="00206491">
          <w:rPr>
            <w:noProof/>
          </w:rPr>
          <w:t>5</w:t>
        </w:r>
      </w:fldSimple>
      <w:r w:rsidR="00206491">
        <w:noBreakHyphen/>
      </w:r>
      <w:fldSimple w:instr=" SEQ Table \* ARABIC \s 1 ">
        <w:r w:rsidR="00206491">
          <w:rPr>
            <w:noProof/>
          </w:rPr>
          <w:t>1</w:t>
        </w:r>
      </w:fldSimple>
      <w:bookmarkEnd w:id="61"/>
      <w:r>
        <w:br/>
      </w:r>
      <w:r w:rsidR="00350BA8" w:rsidRPr="008E2050">
        <w:t xml:space="preserve">Percentage of Time </w:t>
      </w:r>
      <w:r w:rsidRPr="008E2050">
        <w:t xml:space="preserve">the </w:t>
      </w:r>
      <w:r w:rsidR="00350BA8" w:rsidRPr="008E2050">
        <w:t xml:space="preserve">Orrington-South Interface </w:t>
      </w:r>
      <w:r w:rsidRPr="008E2050">
        <w:t xml:space="preserve">Is </w:t>
      </w:r>
      <w:r w:rsidR="00350BA8" w:rsidRPr="008E2050">
        <w:t>Congested by Month</w:t>
      </w:r>
    </w:p>
    <w:tbl>
      <w:tblPr>
        <w:tblStyle w:val="TableGrid"/>
        <w:tblW w:w="98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57"/>
        <w:gridCol w:w="720"/>
        <w:gridCol w:w="720"/>
        <w:gridCol w:w="720"/>
        <w:gridCol w:w="720"/>
        <w:gridCol w:w="720"/>
        <w:gridCol w:w="720"/>
        <w:gridCol w:w="720"/>
        <w:gridCol w:w="720"/>
        <w:gridCol w:w="720"/>
        <w:gridCol w:w="720"/>
        <w:gridCol w:w="720"/>
        <w:gridCol w:w="720"/>
      </w:tblGrid>
      <w:tr w:rsidR="009555A4" w:rsidRPr="00A61351" w:rsidTr="004059E0">
        <w:trPr>
          <w:trHeight w:val="300"/>
        </w:trPr>
        <w:tc>
          <w:tcPr>
            <w:tcW w:w="1257"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ind w:left="360"/>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Scenario</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Jan</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Fe</w:t>
            </w:r>
            <w:r>
              <w:rPr>
                <w:rFonts w:ascii="Calibri" w:hAnsi="Calibri" w:cstheme="majorHAnsi"/>
                <w:b/>
                <w:bCs/>
                <w:color w:val="FFFFFF" w:themeColor="background1"/>
                <w:sz w:val="18"/>
                <w:szCs w:val="20"/>
              </w:rPr>
              <w:t>b</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Mar</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Apr</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May</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Jun</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Jul</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Aug</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Sep</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Oct</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Nov</w:t>
            </w:r>
          </w:p>
        </w:tc>
        <w:tc>
          <w:tcPr>
            <w:tcW w:w="720" w:type="dxa"/>
            <w:shd w:val="clear" w:color="auto" w:fill="1795D2" w:themeFill="accent1"/>
            <w:tcMar>
              <w:left w:w="29" w:type="dxa"/>
              <w:right w:w="29" w:type="dxa"/>
            </w:tcMar>
            <w:vAlign w:val="center"/>
            <w:hideMark/>
          </w:tcPr>
          <w:p w:rsidR="009555A4" w:rsidRPr="00A61351" w:rsidRDefault="009555A4" w:rsidP="004002F6">
            <w:pPr>
              <w:keepNext/>
              <w:keepLines/>
              <w:widowControl/>
              <w:spacing w:before="40" w:after="40" w:line="240" w:lineRule="auto"/>
              <w:jc w:val="center"/>
              <w:rPr>
                <w:rFonts w:ascii="Calibri" w:hAnsi="Calibri" w:cstheme="majorHAnsi"/>
                <w:b/>
                <w:bCs/>
                <w:color w:val="FFFFFF" w:themeColor="background1"/>
                <w:sz w:val="18"/>
                <w:szCs w:val="20"/>
              </w:rPr>
            </w:pPr>
            <w:r w:rsidRPr="00A61351">
              <w:rPr>
                <w:rFonts w:ascii="Calibri" w:hAnsi="Calibri" w:cstheme="majorHAnsi"/>
                <w:b/>
                <w:bCs/>
                <w:color w:val="FFFFFF" w:themeColor="background1"/>
                <w:sz w:val="18"/>
                <w:szCs w:val="20"/>
              </w:rPr>
              <w:t>Dec</w:t>
            </w:r>
          </w:p>
        </w:tc>
      </w:tr>
      <w:tr w:rsidR="009555A4" w:rsidRPr="001F7470" w:rsidTr="004059E0">
        <w:trPr>
          <w:trHeight w:val="310"/>
        </w:trPr>
        <w:tc>
          <w:tcPr>
            <w:tcW w:w="1257" w:type="dxa"/>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Calibri" w:hAnsi="Calibri" w:cstheme="majorHAnsi"/>
                <w:b/>
                <w:bCs/>
                <w:sz w:val="18"/>
                <w:szCs w:val="20"/>
              </w:rPr>
            </w:pPr>
            <w:r w:rsidRPr="001F7470">
              <w:rPr>
                <w:rFonts w:ascii="Calibri" w:hAnsi="Calibri" w:cstheme="majorHAnsi"/>
                <w:b/>
                <w:bCs/>
                <w:sz w:val="18"/>
                <w:szCs w:val="20"/>
              </w:rPr>
              <w:t>Base</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19%</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17%</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30%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36%</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7%</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24%</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6%</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98%</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9%</w:t>
            </w:r>
          </w:p>
        </w:tc>
      </w:tr>
      <w:tr w:rsidR="009555A4" w:rsidRPr="001F7470" w:rsidTr="004059E0">
        <w:trPr>
          <w:trHeight w:val="300"/>
        </w:trPr>
        <w:tc>
          <w:tcPr>
            <w:tcW w:w="1257" w:type="dxa"/>
            <w:shd w:val="clear" w:color="auto" w:fill="CCEAF9" w:themeFill="accent1" w:themeFillTint="33"/>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Calibri" w:hAnsi="Calibri" w:cstheme="majorHAnsi"/>
                <w:b/>
                <w:bCs/>
                <w:sz w:val="18"/>
                <w:szCs w:val="20"/>
              </w:rPr>
            </w:pPr>
            <w:r w:rsidRPr="001F7470">
              <w:rPr>
                <w:rFonts w:ascii="Calibri" w:hAnsi="Calibri" w:cstheme="majorHAnsi"/>
                <w:b/>
                <w:bCs/>
                <w:sz w:val="18"/>
                <w:szCs w:val="20"/>
              </w:rPr>
              <w:t>S1</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13%</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17%</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2%</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11%</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13%</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82%</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2%</w:t>
            </w:r>
          </w:p>
        </w:tc>
      </w:tr>
      <w:tr w:rsidR="009555A4" w:rsidRPr="001F7470" w:rsidTr="004059E0">
        <w:trPr>
          <w:trHeight w:val="300"/>
        </w:trPr>
        <w:tc>
          <w:tcPr>
            <w:tcW w:w="1257" w:type="dxa"/>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Calibri" w:hAnsi="Calibri" w:cstheme="majorHAnsi"/>
                <w:b/>
                <w:bCs/>
                <w:sz w:val="18"/>
                <w:szCs w:val="20"/>
              </w:rPr>
            </w:pPr>
            <w:r w:rsidRPr="001F7470">
              <w:rPr>
                <w:rFonts w:ascii="Calibri" w:hAnsi="Calibri" w:cstheme="majorHAnsi"/>
                <w:b/>
                <w:bCs/>
                <w:sz w:val="18"/>
                <w:szCs w:val="20"/>
              </w:rPr>
              <w:t>S2</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4%</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r>
      <w:tr w:rsidR="009555A4" w:rsidRPr="001F7470" w:rsidTr="004059E0">
        <w:trPr>
          <w:trHeight w:val="310"/>
        </w:trPr>
        <w:tc>
          <w:tcPr>
            <w:tcW w:w="1257" w:type="dxa"/>
            <w:shd w:val="clear" w:color="auto" w:fill="CCEAF9" w:themeFill="accent1" w:themeFillTint="33"/>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Calibri" w:hAnsi="Calibri" w:cstheme="majorHAnsi"/>
                <w:b/>
                <w:bCs/>
                <w:sz w:val="18"/>
                <w:szCs w:val="20"/>
              </w:rPr>
            </w:pPr>
            <w:r w:rsidRPr="001F7470">
              <w:rPr>
                <w:rFonts w:ascii="Calibri" w:hAnsi="Calibri" w:cstheme="majorHAnsi"/>
                <w:b/>
                <w:bCs/>
                <w:sz w:val="18"/>
                <w:szCs w:val="20"/>
              </w:rPr>
              <w:t>Base_RC</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55%</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32%</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11%</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46%</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46%</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26%</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33%</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43%</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15%</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98%</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11%</w:t>
            </w:r>
          </w:p>
        </w:tc>
      </w:tr>
      <w:tr w:rsidR="009555A4" w:rsidRPr="001F7470" w:rsidTr="004059E0">
        <w:trPr>
          <w:trHeight w:val="300"/>
        </w:trPr>
        <w:tc>
          <w:tcPr>
            <w:tcW w:w="1257" w:type="dxa"/>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Calibri" w:hAnsi="Calibri" w:cstheme="majorHAnsi"/>
                <w:b/>
                <w:bCs/>
                <w:sz w:val="18"/>
                <w:szCs w:val="20"/>
              </w:rPr>
            </w:pPr>
            <w:r w:rsidRPr="001F7470">
              <w:rPr>
                <w:rFonts w:ascii="Calibri" w:hAnsi="Calibri" w:cstheme="majorHAnsi"/>
                <w:b/>
                <w:bCs/>
                <w:sz w:val="18"/>
                <w:szCs w:val="20"/>
              </w:rPr>
              <w:t>S1_RC</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42%</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32%</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4%</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6%</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14%</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13%</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33%</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36%</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9%</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82%</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4%</w:t>
            </w:r>
          </w:p>
        </w:tc>
      </w:tr>
      <w:tr w:rsidR="009555A4" w:rsidRPr="001F7470" w:rsidTr="004059E0">
        <w:trPr>
          <w:trHeight w:val="300"/>
        </w:trPr>
        <w:tc>
          <w:tcPr>
            <w:tcW w:w="1257" w:type="dxa"/>
            <w:shd w:val="clear" w:color="auto" w:fill="CCEAF9" w:themeFill="accent1" w:themeFillTint="33"/>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Calibri" w:hAnsi="Calibri" w:cstheme="majorHAnsi"/>
                <w:b/>
                <w:bCs/>
                <w:sz w:val="18"/>
                <w:szCs w:val="20"/>
              </w:rPr>
            </w:pPr>
            <w:r w:rsidRPr="001F7470">
              <w:rPr>
                <w:rFonts w:ascii="Calibri" w:hAnsi="Calibri" w:cstheme="majorHAnsi"/>
                <w:b/>
                <w:bCs/>
                <w:sz w:val="18"/>
                <w:szCs w:val="20"/>
              </w:rPr>
              <w:t>S2_RC</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39%</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15%</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3%</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15%</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19%</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35%</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8%</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2%</w:t>
            </w:r>
          </w:p>
        </w:tc>
      </w:tr>
      <w:tr w:rsidR="009555A4" w:rsidRPr="001F7470" w:rsidTr="004059E0">
        <w:trPr>
          <w:trHeight w:val="310"/>
        </w:trPr>
        <w:tc>
          <w:tcPr>
            <w:tcW w:w="1257" w:type="dxa"/>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Calibri" w:hAnsi="Calibri" w:cstheme="majorHAnsi"/>
                <w:b/>
                <w:bCs/>
                <w:sz w:val="18"/>
                <w:szCs w:val="20"/>
              </w:rPr>
            </w:pPr>
            <w:r w:rsidRPr="001F7470">
              <w:rPr>
                <w:rFonts w:ascii="Calibri" w:hAnsi="Calibri" w:cstheme="majorHAnsi"/>
                <w:b/>
                <w:bCs/>
                <w:sz w:val="18"/>
                <w:szCs w:val="20"/>
              </w:rPr>
              <w:t>Base_Sen</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39%</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17%</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53%</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50%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7%</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24%</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6%</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100%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9%</w:t>
            </w:r>
          </w:p>
        </w:tc>
      </w:tr>
      <w:tr w:rsidR="009555A4" w:rsidRPr="001F7470" w:rsidTr="004059E0">
        <w:trPr>
          <w:trHeight w:val="300"/>
        </w:trPr>
        <w:tc>
          <w:tcPr>
            <w:tcW w:w="1257" w:type="dxa"/>
            <w:shd w:val="clear" w:color="auto" w:fill="CCEAF9" w:themeFill="accent1" w:themeFillTint="33"/>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Calibri" w:hAnsi="Calibri" w:cstheme="majorHAnsi"/>
                <w:b/>
                <w:bCs/>
                <w:sz w:val="18"/>
                <w:szCs w:val="20"/>
              </w:rPr>
            </w:pPr>
            <w:r w:rsidRPr="001F7470">
              <w:rPr>
                <w:rFonts w:ascii="Calibri" w:hAnsi="Calibri" w:cstheme="majorHAnsi"/>
                <w:b/>
                <w:bCs/>
                <w:sz w:val="18"/>
                <w:szCs w:val="20"/>
              </w:rPr>
              <w:t>S1_Sen</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23%</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17%</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2%</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9%</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11%</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13%</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84%</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2%</w:t>
            </w:r>
          </w:p>
        </w:tc>
      </w:tr>
      <w:tr w:rsidR="009555A4" w:rsidRPr="001F7470" w:rsidTr="004059E0">
        <w:trPr>
          <w:trHeight w:val="300"/>
        </w:trPr>
        <w:tc>
          <w:tcPr>
            <w:tcW w:w="1257" w:type="dxa"/>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Calibri" w:hAnsi="Calibri" w:cstheme="majorHAnsi"/>
                <w:b/>
                <w:bCs/>
                <w:sz w:val="18"/>
                <w:szCs w:val="20"/>
              </w:rPr>
            </w:pPr>
            <w:r w:rsidRPr="001F7470">
              <w:rPr>
                <w:rFonts w:ascii="Calibri" w:hAnsi="Calibri" w:cstheme="majorHAnsi"/>
                <w:b/>
                <w:bCs/>
                <w:sz w:val="18"/>
                <w:szCs w:val="20"/>
              </w:rPr>
              <w:t>S2_Sen</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18%</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4%</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0%</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Calibri" w:hAnsi="Calibri" w:cstheme="majorHAnsi"/>
                <w:sz w:val="18"/>
                <w:szCs w:val="20"/>
              </w:rPr>
            </w:pPr>
            <w:r w:rsidRPr="001F7470">
              <w:rPr>
                <w:rFonts w:ascii="Calibri" w:hAnsi="Calibri" w:cstheme="majorHAnsi"/>
                <w:sz w:val="18"/>
                <w:szCs w:val="20"/>
              </w:rPr>
              <w:t>1%</w:t>
            </w:r>
          </w:p>
        </w:tc>
      </w:tr>
      <w:tr w:rsidR="009555A4" w:rsidRPr="001F7470" w:rsidTr="004059E0">
        <w:trPr>
          <w:trHeight w:val="310"/>
        </w:trPr>
        <w:tc>
          <w:tcPr>
            <w:tcW w:w="1257" w:type="dxa"/>
            <w:shd w:val="clear" w:color="auto" w:fill="CCEAF9" w:themeFill="accent1" w:themeFillTint="33"/>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Theme="minorHAnsi" w:hAnsiTheme="minorHAnsi" w:cstheme="minorHAnsi"/>
                <w:b/>
                <w:bCs/>
                <w:sz w:val="18"/>
                <w:szCs w:val="18"/>
              </w:rPr>
            </w:pPr>
            <w:r w:rsidRPr="001F7470">
              <w:rPr>
                <w:rFonts w:asciiTheme="minorHAnsi" w:hAnsiTheme="minorHAnsi" w:cstheme="minorHAnsi"/>
                <w:b/>
                <w:bCs/>
                <w:sz w:val="18"/>
                <w:szCs w:val="18"/>
              </w:rPr>
              <w:t>Base_Sen_RC</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55%</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32%</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13%</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55%</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50%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26%</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33%</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43%</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15%</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100%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11%</w:t>
            </w:r>
          </w:p>
        </w:tc>
      </w:tr>
      <w:tr w:rsidR="009555A4" w:rsidRPr="001F7470" w:rsidTr="004059E0">
        <w:trPr>
          <w:trHeight w:val="300"/>
        </w:trPr>
        <w:tc>
          <w:tcPr>
            <w:tcW w:w="1257" w:type="dxa"/>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Theme="minorHAnsi" w:hAnsiTheme="minorHAnsi" w:cstheme="minorHAnsi"/>
                <w:b/>
                <w:bCs/>
                <w:sz w:val="18"/>
                <w:szCs w:val="18"/>
              </w:rPr>
            </w:pPr>
            <w:r w:rsidRPr="001F7470">
              <w:rPr>
                <w:rFonts w:asciiTheme="minorHAnsi" w:hAnsiTheme="minorHAnsi" w:cstheme="minorHAnsi"/>
                <w:b/>
                <w:bCs/>
                <w:sz w:val="18"/>
                <w:szCs w:val="18"/>
              </w:rPr>
              <w:t>S1_Sen_RC</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42%</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32%</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4%</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9%</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15%</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13%</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33%</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36%</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9%</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84%</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w:t>
            </w:r>
          </w:p>
        </w:tc>
        <w:tc>
          <w:tcPr>
            <w:tcW w:w="720" w:type="dxa"/>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4%</w:t>
            </w:r>
          </w:p>
        </w:tc>
      </w:tr>
      <w:tr w:rsidR="009555A4" w:rsidRPr="001F7470" w:rsidTr="004059E0">
        <w:trPr>
          <w:trHeight w:val="300"/>
        </w:trPr>
        <w:tc>
          <w:tcPr>
            <w:tcW w:w="1257" w:type="dxa"/>
            <w:shd w:val="clear" w:color="auto" w:fill="CCEAF9" w:themeFill="accent1" w:themeFillTint="33"/>
            <w:tcMar>
              <w:left w:w="58" w:type="dxa"/>
              <w:right w:w="43" w:type="dxa"/>
            </w:tcMar>
            <w:vAlign w:val="center"/>
            <w:hideMark/>
          </w:tcPr>
          <w:p w:rsidR="009555A4" w:rsidRPr="001F7470" w:rsidRDefault="009555A4" w:rsidP="004002F6">
            <w:pPr>
              <w:keepNext/>
              <w:keepLines/>
              <w:widowControl/>
              <w:spacing w:before="40" w:after="40" w:line="240" w:lineRule="auto"/>
              <w:jc w:val="both"/>
              <w:rPr>
                <w:rFonts w:asciiTheme="minorHAnsi" w:hAnsiTheme="minorHAnsi" w:cstheme="minorHAnsi"/>
                <w:b/>
                <w:bCs/>
                <w:sz w:val="18"/>
                <w:szCs w:val="18"/>
              </w:rPr>
            </w:pPr>
            <w:r w:rsidRPr="001F7470">
              <w:rPr>
                <w:rFonts w:asciiTheme="minorHAnsi" w:hAnsiTheme="minorHAnsi" w:cstheme="minorHAnsi"/>
                <w:b/>
                <w:bCs/>
                <w:sz w:val="18"/>
                <w:szCs w:val="18"/>
              </w:rPr>
              <w:t>S2_Sen_RC</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39%</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15%</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3%</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15%</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19%</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35%</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8%</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0%</w:t>
            </w:r>
          </w:p>
        </w:tc>
        <w:tc>
          <w:tcPr>
            <w:tcW w:w="720" w:type="dxa"/>
            <w:shd w:val="clear" w:color="auto" w:fill="CCEAF9" w:themeFill="accent1" w:themeFillTint="33"/>
            <w:tcMar>
              <w:left w:w="115" w:type="dxa"/>
              <w:right w:w="115" w:type="dxa"/>
            </w:tcMar>
            <w:vAlign w:val="center"/>
            <w:hideMark/>
          </w:tcPr>
          <w:p w:rsidR="009555A4" w:rsidRPr="001F7470" w:rsidRDefault="009555A4" w:rsidP="004002F6">
            <w:pPr>
              <w:keepNext/>
              <w:keepLines/>
              <w:widowControl/>
              <w:spacing w:before="40" w:after="40" w:line="240" w:lineRule="auto"/>
              <w:jc w:val="right"/>
              <w:rPr>
                <w:rFonts w:asciiTheme="minorHAnsi" w:hAnsiTheme="minorHAnsi" w:cstheme="minorHAnsi"/>
                <w:sz w:val="18"/>
                <w:szCs w:val="18"/>
              </w:rPr>
            </w:pPr>
            <w:r w:rsidRPr="001F7470">
              <w:rPr>
                <w:rFonts w:asciiTheme="minorHAnsi" w:hAnsiTheme="minorHAnsi" w:cstheme="minorHAnsi"/>
                <w:sz w:val="18"/>
                <w:szCs w:val="18"/>
              </w:rPr>
              <w:t>2%</w:t>
            </w:r>
          </w:p>
        </w:tc>
      </w:tr>
      <w:bookmarkEnd w:id="62"/>
    </w:tbl>
    <w:p w:rsidR="00D439B9" w:rsidRPr="00FA272B" w:rsidRDefault="00D439B9" w:rsidP="00CC6422">
      <w:pPr>
        <w:pStyle w:val="Caption"/>
        <w:spacing w:after="240"/>
        <w:rPr>
          <w:b w:val="0"/>
        </w:rPr>
      </w:pPr>
    </w:p>
    <w:p w:rsidR="008577FF" w:rsidRPr="008C5C66" w:rsidRDefault="008577FF" w:rsidP="008E2050">
      <w:pPr>
        <w:pStyle w:val="Heading2"/>
      </w:pPr>
      <w:bookmarkStart w:id="63" w:name="_Toc51784671"/>
      <w:r w:rsidRPr="008C5C66">
        <w:t xml:space="preserve">Production </w:t>
      </w:r>
      <w:r w:rsidR="00482BAC" w:rsidRPr="008C5C66">
        <w:t>Costs</w:t>
      </w:r>
      <w:r w:rsidR="00206491" w:rsidRPr="008C5C66">
        <w:t xml:space="preserve"> </w:t>
      </w:r>
      <w:bookmarkEnd w:id="63"/>
    </w:p>
    <w:p w:rsidR="00482BAC" w:rsidRDefault="008577FF" w:rsidP="008577FF">
      <w:r w:rsidRPr="00EF409C">
        <w:t xml:space="preserve">Production costs reflect operating costs (which account for fuel-related costs), dispatch and unit commitment, and emission allowances. </w:t>
      </w:r>
      <w:r>
        <w:t xml:space="preserve">The amount of resources assumed for each scenario is adequate to meet the systemwide energy requirements. Natural gas consumption, and to a lesser extent other fossil fuels, drive production costs. </w:t>
      </w:r>
    </w:p>
    <w:p w:rsidR="004160FE" w:rsidRDefault="00E956C6" w:rsidP="00047AD3">
      <w:r>
        <w:t>Study results indicate that s</w:t>
      </w:r>
      <w:r w:rsidR="002B72FC" w:rsidRPr="00F545A1">
        <w:t xml:space="preserve">ystemwide production cost drops </w:t>
      </w:r>
      <w:r w:rsidR="00CF4714">
        <w:t xml:space="preserve">slightly </w:t>
      </w:r>
      <w:r w:rsidR="00984BF7">
        <w:t>because</w:t>
      </w:r>
      <w:r w:rsidR="002B72FC" w:rsidRPr="00F545A1">
        <w:t xml:space="preserve"> no</w:t>
      </w:r>
      <w:r w:rsidR="00984BF7">
        <w:t>-</w:t>
      </w:r>
      <w:r w:rsidR="002B72FC" w:rsidRPr="00F545A1">
        <w:t>cost N</w:t>
      </w:r>
      <w:r w:rsidR="00F545A1">
        <w:t xml:space="preserve">ew Brunswick </w:t>
      </w:r>
      <w:r w:rsidR="002B72FC" w:rsidRPr="00F545A1">
        <w:t>imports</w:t>
      </w:r>
      <w:r w:rsidR="00F545A1">
        <w:t xml:space="preserve"> ($0/MWh </w:t>
      </w:r>
      <w:r w:rsidR="00984BF7">
        <w:t>t</w:t>
      </w:r>
      <w:r w:rsidR="00F545A1">
        <w:t xml:space="preserve">hreshold </w:t>
      </w:r>
      <w:r w:rsidR="00984BF7">
        <w:t>p</w:t>
      </w:r>
      <w:r w:rsidR="00F545A1">
        <w:t>rice)</w:t>
      </w:r>
      <w:r w:rsidR="00F545A1" w:rsidRPr="00F545A1">
        <w:t xml:space="preserve"> </w:t>
      </w:r>
      <w:r w:rsidR="002B72FC" w:rsidRPr="00F545A1">
        <w:t>replace price</w:t>
      </w:r>
      <w:r w:rsidR="00984BF7">
        <w:t>-</w:t>
      </w:r>
      <w:r w:rsidR="002B72FC" w:rsidRPr="00F545A1">
        <w:t>taking natural gas when the Orrington-South inte</w:t>
      </w:r>
      <w:r>
        <w:t>rface limit increases from the B</w:t>
      </w:r>
      <w:r w:rsidR="002B72FC" w:rsidRPr="00F545A1">
        <w:t>ase to S1 scenario and from S1 to S2 scenario</w:t>
      </w:r>
      <w:r w:rsidR="00F545A1">
        <w:t xml:space="preserve">. </w:t>
      </w:r>
      <w:r>
        <w:t xml:space="preserve">As illustrated in </w:t>
      </w:r>
      <w:r w:rsidR="00047AD3" w:rsidRPr="008C5C66">
        <w:fldChar w:fldCharType="begin"/>
      </w:r>
      <w:r w:rsidR="00047AD3" w:rsidRPr="008C5C66">
        <w:instrText xml:space="preserve"> REF _Ref51691492 \h  \* MERGEFORMAT </w:instrText>
      </w:r>
      <w:r w:rsidR="00047AD3" w:rsidRPr="008C5C66">
        <w:fldChar w:fldCharType="separate"/>
      </w:r>
      <w:r w:rsidR="00047AD3" w:rsidRPr="008C5C66">
        <w:t xml:space="preserve">Figure </w:t>
      </w:r>
      <w:r w:rsidR="00047AD3" w:rsidRPr="008C5C66">
        <w:rPr>
          <w:noProof/>
        </w:rPr>
        <w:t>5</w:t>
      </w:r>
      <w:r w:rsidR="00047AD3" w:rsidRPr="008C5C66">
        <w:noBreakHyphen/>
      </w:r>
      <w:r w:rsidR="00047AD3" w:rsidRPr="008C5C66">
        <w:rPr>
          <w:noProof/>
        </w:rPr>
        <w:t>5</w:t>
      </w:r>
      <w:r w:rsidR="00047AD3" w:rsidRPr="008C5C66">
        <w:fldChar w:fldCharType="end"/>
      </w:r>
      <w:r w:rsidRPr="008C5C66">
        <w:t>,</w:t>
      </w:r>
      <w:r w:rsidR="00CF4714" w:rsidRPr="008C5C66">
        <w:t xml:space="preserve"> systemwide </w:t>
      </w:r>
      <w:r w:rsidR="00047AD3" w:rsidRPr="008C5C66">
        <w:t>production cost savings are</w:t>
      </w:r>
      <w:r w:rsidR="00CF4714" w:rsidRPr="008C5C66">
        <w:t xml:space="preserve"> </w:t>
      </w:r>
      <w:r w:rsidR="00EE6A12" w:rsidRPr="008C5C66">
        <w:t>similar</w:t>
      </w:r>
      <w:r w:rsidR="00CF4714" w:rsidRPr="008C5C66">
        <w:t xml:space="preserve"> </w:t>
      </w:r>
      <w:r w:rsidR="00EE6A12" w:rsidRPr="008C5C66">
        <w:t>between the constrained and relaxed transmission</w:t>
      </w:r>
      <w:r w:rsidR="00CF4714" w:rsidRPr="008C5C66">
        <w:t xml:space="preserve"> scenarios</w:t>
      </w:r>
      <w:r w:rsidR="00047AD3" w:rsidRPr="00FF5A6F">
        <w:t>.</w:t>
      </w:r>
      <w:r w:rsidR="00EE6A12" w:rsidRPr="003F05D7">
        <w:t xml:space="preserve"> </w:t>
      </w:r>
      <w:r w:rsidR="00EE6A12" w:rsidRPr="008C5C66">
        <w:t xml:space="preserve">Varying the NECEC threshold price has no impact on production cost savings. </w:t>
      </w:r>
      <w:r w:rsidR="00EF6FA3" w:rsidRPr="008C5C66">
        <w:t>Production cost savings are on the order of $4 and $8 m</w:t>
      </w:r>
      <w:r w:rsidR="00EF6FA3">
        <w:t>illion per year in the constrained case and $5 and $9 million in the relaxed-constraint cases</w:t>
      </w:r>
      <w:r w:rsidR="00EF6FA3" w:rsidRPr="00A32307">
        <w:t xml:space="preserve">. </w:t>
      </w:r>
      <w:r w:rsidR="00047AD3" w:rsidRPr="00A32307">
        <w:t xml:space="preserve">In all these results, approximately 75% of these apparent savings arise from a simplifying assumption that energy imported from New Brunswick had a zero production cost charge to New </w:t>
      </w:r>
      <w:r w:rsidR="00047AD3" w:rsidRPr="008869B1">
        <w:t xml:space="preserve">England. </w:t>
      </w:r>
      <w:r w:rsidR="00047AD3" w:rsidRPr="00A32307">
        <w:t>Assigning a cost to the energy imported from New Brunswick at a New England LMP would reduce the adjusted savings to approximately $1 and $2 million per year for the constrained and relaxed-constraint cases.</w:t>
      </w:r>
    </w:p>
    <w:p w:rsidR="003F7873" w:rsidRPr="00047AD3" w:rsidRDefault="003F7873" w:rsidP="002844DF">
      <w:pPr>
        <w:spacing w:after="0" w:line="240" w:lineRule="auto"/>
        <w:jc w:val="center"/>
      </w:pPr>
      <w:r w:rsidRPr="003F7873">
        <w:rPr>
          <w:noProof/>
        </w:rPr>
        <w:drawing>
          <wp:inline distT="0" distB="0" distL="0" distR="0" wp14:anchorId="0E32CFC0" wp14:editId="4E58AA5A">
            <wp:extent cx="5208227" cy="2505660"/>
            <wp:effectExtent l="19050" t="19050" r="1206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5662" cy="2509237"/>
                    </a:xfrm>
                    <a:prstGeom prst="rect">
                      <a:avLst/>
                    </a:prstGeom>
                    <a:noFill/>
                    <a:ln w="3175">
                      <a:solidFill>
                        <a:srgbClr val="000000"/>
                      </a:solidFill>
                    </a:ln>
                  </pic:spPr>
                </pic:pic>
              </a:graphicData>
            </a:graphic>
          </wp:inline>
        </w:drawing>
      </w:r>
    </w:p>
    <w:p w:rsidR="00047AD3" w:rsidRPr="002844DF" w:rsidRDefault="00047AD3" w:rsidP="001250FD">
      <w:pPr>
        <w:pStyle w:val="Caption"/>
        <w:spacing w:before="120" w:after="240"/>
        <w:ind w:firstLine="630"/>
      </w:pPr>
      <w:bookmarkStart w:id="64" w:name="_Ref51691492"/>
      <w:bookmarkStart w:id="65" w:name="_Toc51784377"/>
      <w:r w:rsidRPr="00AA5FD3">
        <w:t xml:space="preserve">Figure </w:t>
      </w:r>
      <w:fldSimple w:instr=" STYLEREF 1 \s ">
        <w:r w:rsidR="00AB0D3B">
          <w:rPr>
            <w:noProof/>
          </w:rPr>
          <w:t>5</w:t>
        </w:r>
      </w:fldSimple>
      <w:r w:rsidR="00AB0D3B">
        <w:noBreakHyphen/>
      </w:r>
      <w:fldSimple w:instr=" SEQ Figure \* ARABIC \s 1 ">
        <w:r w:rsidR="00AB0D3B">
          <w:rPr>
            <w:noProof/>
          </w:rPr>
          <w:t>5</w:t>
        </w:r>
      </w:fldSimple>
      <w:bookmarkEnd w:id="64"/>
      <w:r w:rsidRPr="00AA5FD3">
        <w:t xml:space="preserve">: </w:t>
      </w:r>
      <w:r w:rsidRPr="002844DF">
        <w:rPr>
          <w:szCs w:val="22"/>
        </w:rPr>
        <w:t>Systemwide production cost</w:t>
      </w:r>
      <w:r w:rsidR="00206491">
        <w:rPr>
          <w:szCs w:val="22"/>
        </w:rPr>
        <w:t>s</w:t>
      </w:r>
      <w:r w:rsidRPr="00AA5FD3">
        <w:rPr>
          <w:szCs w:val="22"/>
        </w:rPr>
        <w:t xml:space="preserve"> ($ million).</w:t>
      </w:r>
      <w:bookmarkEnd w:id="65"/>
    </w:p>
    <w:p w:rsidR="008577FF" w:rsidRPr="00047AD3" w:rsidRDefault="00F71FDB" w:rsidP="00047AD3">
      <w:r>
        <w:t>Imports from New Brunswick displace n</w:t>
      </w:r>
      <w:r w:rsidR="00482BAC" w:rsidRPr="00047AD3">
        <w:t xml:space="preserve">atural gas production as the Orrington-South </w:t>
      </w:r>
      <w:r>
        <w:t>i</w:t>
      </w:r>
      <w:r w:rsidR="00482BAC" w:rsidRPr="00047AD3">
        <w:t xml:space="preserve">nterface limit is increased from the Base to S1 scenario and from S1 to S2 scenario. See </w:t>
      </w:r>
      <w:r w:rsidR="00206491">
        <w:fldChar w:fldCharType="begin"/>
      </w:r>
      <w:r w:rsidR="00206491">
        <w:instrText xml:space="preserve"> REF _Ref51693209 \h </w:instrText>
      </w:r>
      <w:r w:rsidR="00206491">
        <w:fldChar w:fldCharType="separate"/>
      </w:r>
      <w:r w:rsidR="00206491">
        <w:t xml:space="preserve">Table </w:t>
      </w:r>
      <w:r w:rsidR="00206491">
        <w:rPr>
          <w:noProof/>
        </w:rPr>
        <w:t>5</w:t>
      </w:r>
      <w:r w:rsidR="00206491">
        <w:noBreakHyphen/>
      </w:r>
      <w:r w:rsidR="00206491">
        <w:rPr>
          <w:noProof/>
        </w:rPr>
        <w:t>2</w:t>
      </w:r>
      <w:r w:rsidR="00206491">
        <w:fldChar w:fldCharType="end"/>
      </w:r>
      <w:r w:rsidR="00482BAC" w:rsidRPr="00047AD3">
        <w:t>.</w:t>
      </w:r>
    </w:p>
    <w:p w:rsidR="00482BAC" w:rsidRPr="00047AD3" w:rsidRDefault="00047AD3" w:rsidP="00047AD3">
      <w:pPr>
        <w:pStyle w:val="Caption"/>
        <w:jc w:val="center"/>
        <w:rPr>
          <w:szCs w:val="22"/>
        </w:rPr>
      </w:pPr>
      <w:bookmarkStart w:id="66" w:name="_Ref51693209"/>
      <w:bookmarkStart w:id="67" w:name="_Toc51784386"/>
      <w:r w:rsidRPr="00192438">
        <w:t xml:space="preserve">Table </w:t>
      </w:r>
      <w:r w:rsidR="00206491" w:rsidRPr="004059E0">
        <w:fldChar w:fldCharType="begin"/>
      </w:r>
      <w:r w:rsidR="00206491" w:rsidRPr="00192438">
        <w:instrText xml:space="preserve"> STYLEREF 1 \s </w:instrText>
      </w:r>
      <w:r w:rsidR="00206491" w:rsidRPr="004059E0">
        <w:fldChar w:fldCharType="separate"/>
      </w:r>
      <w:r w:rsidR="00206491" w:rsidRPr="00192438">
        <w:rPr>
          <w:noProof/>
        </w:rPr>
        <w:t>5</w:t>
      </w:r>
      <w:r w:rsidR="00206491" w:rsidRPr="004059E0">
        <w:fldChar w:fldCharType="end"/>
      </w:r>
      <w:r w:rsidR="00206491" w:rsidRPr="00192438">
        <w:noBreakHyphen/>
      </w:r>
      <w:r w:rsidR="00206491" w:rsidRPr="004059E0">
        <w:fldChar w:fldCharType="begin"/>
      </w:r>
      <w:r w:rsidR="00206491" w:rsidRPr="00192438">
        <w:instrText xml:space="preserve"> SEQ Table \* ARABIC \s 1 </w:instrText>
      </w:r>
      <w:r w:rsidR="00206491" w:rsidRPr="004059E0">
        <w:fldChar w:fldCharType="separate"/>
      </w:r>
      <w:r w:rsidR="00206491" w:rsidRPr="00192438">
        <w:rPr>
          <w:noProof/>
        </w:rPr>
        <w:t>2</w:t>
      </w:r>
      <w:r w:rsidR="00206491" w:rsidRPr="004059E0">
        <w:fldChar w:fldCharType="end"/>
      </w:r>
      <w:bookmarkEnd w:id="66"/>
      <w:r w:rsidRPr="00192438">
        <w:rPr>
          <w:szCs w:val="22"/>
        </w:rPr>
        <w:br/>
      </w:r>
      <w:r w:rsidR="00482BAC" w:rsidRPr="00192438">
        <w:rPr>
          <w:szCs w:val="22"/>
        </w:rPr>
        <w:t>Systemwide Energy Production (TWh)</w:t>
      </w:r>
      <w:r w:rsidRPr="00192438">
        <w:rPr>
          <w:szCs w:val="22"/>
        </w:rPr>
        <w:t xml:space="preserve"> f</w:t>
      </w:r>
      <w:r w:rsidR="00482BAC" w:rsidRPr="00192438">
        <w:rPr>
          <w:szCs w:val="22"/>
        </w:rPr>
        <w:t>or Constrained (C) and Relaxed Constraints (RC) Transmission</w:t>
      </w:r>
      <w:bookmarkEnd w:id="67"/>
    </w:p>
    <w:tbl>
      <w:tblPr>
        <w:tblW w:w="87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38"/>
        <w:gridCol w:w="1152"/>
        <w:gridCol w:w="1152"/>
        <w:gridCol w:w="1152"/>
        <w:gridCol w:w="1152"/>
        <w:gridCol w:w="1152"/>
        <w:gridCol w:w="1152"/>
      </w:tblGrid>
      <w:tr w:rsidR="00123404" w:rsidRPr="00123404" w:rsidTr="00A113CA">
        <w:trPr>
          <w:trHeight w:val="310"/>
          <w:jc w:val="center"/>
        </w:trPr>
        <w:tc>
          <w:tcPr>
            <w:tcW w:w="1838" w:type="dxa"/>
            <w:vMerge w:val="restart"/>
            <w:shd w:val="clear" w:color="auto" w:fill="1795D2" w:themeFill="accent1"/>
            <w:vAlign w:val="center"/>
          </w:tcPr>
          <w:p w:rsidR="00123404" w:rsidRPr="00123404" w:rsidRDefault="00123404" w:rsidP="007F6909">
            <w:pPr>
              <w:keepNext/>
              <w:keepLines/>
              <w:spacing w:before="40" w:after="40" w:line="240" w:lineRule="auto"/>
              <w:jc w:val="center"/>
              <w:rPr>
                <w:rFonts w:asciiTheme="minorHAnsi" w:hAnsiTheme="minorHAnsi"/>
                <w:b/>
                <w:bCs/>
                <w:color w:val="FFFFFF" w:themeColor="background1"/>
                <w:sz w:val="18"/>
                <w:szCs w:val="18"/>
              </w:rPr>
            </w:pPr>
            <w:r w:rsidRPr="00123404">
              <w:rPr>
                <w:rFonts w:asciiTheme="minorHAnsi" w:hAnsiTheme="minorHAnsi"/>
                <w:b/>
                <w:bCs/>
                <w:color w:val="FFFFFF" w:themeColor="background1"/>
                <w:sz w:val="18"/>
                <w:szCs w:val="18"/>
              </w:rPr>
              <w:t>Fuel Type</w:t>
            </w:r>
          </w:p>
        </w:tc>
        <w:tc>
          <w:tcPr>
            <w:tcW w:w="6912" w:type="dxa"/>
            <w:gridSpan w:val="6"/>
            <w:shd w:val="clear" w:color="auto" w:fill="1795D2" w:themeFill="accent1"/>
            <w:vAlign w:val="center"/>
          </w:tcPr>
          <w:p w:rsidR="00123404" w:rsidRPr="00A113CA" w:rsidRDefault="00123404" w:rsidP="00A113CA">
            <w:pPr>
              <w:keepNext/>
              <w:keepLines/>
              <w:adjustRightInd/>
              <w:spacing w:before="40" w:after="40" w:line="240" w:lineRule="auto"/>
              <w:jc w:val="center"/>
              <w:textAlignment w:val="auto"/>
              <w:rPr>
                <w:rFonts w:asciiTheme="minorHAnsi" w:hAnsiTheme="minorHAnsi"/>
                <w:b/>
                <w:bCs/>
                <w:color w:val="FFFFFF" w:themeColor="background1"/>
                <w:sz w:val="18"/>
                <w:szCs w:val="18"/>
              </w:rPr>
            </w:pPr>
            <w:r w:rsidRPr="00123404">
              <w:rPr>
                <w:rFonts w:asciiTheme="minorHAnsi" w:hAnsiTheme="minorHAnsi"/>
                <w:b/>
                <w:bCs/>
                <w:color w:val="FFFFFF" w:themeColor="background1"/>
                <w:sz w:val="18"/>
                <w:szCs w:val="18"/>
              </w:rPr>
              <w:t>Scenario</w:t>
            </w:r>
            <w:r w:rsidR="009B32F8">
              <w:rPr>
                <w:rFonts w:asciiTheme="minorHAnsi" w:hAnsiTheme="minorHAnsi"/>
                <w:b/>
                <w:bCs/>
                <w:color w:val="FFFFFF" w:themeColor="background1"/>
                <w:sz w:val="18"/>
                <w:szCs w:val="18"/>
              </w:rPr>
              <w:t>s</w:t>
            </w:r>
            <w:r w:rsidR="00A113CA">
              <w:rPr>
                <w:rFonts w:asciiTheme="minorHAnsi" w:hAnsiTheme="minorHAnsi"/>
                <w:b/>
                <w:bCs/>
                <w:color w:val="FFFFFF" w:themeColor="background1"/>
                <w:sz w:val="18"/>
                <w:szCs w:val="18"/>
              </w:rPr>
              <w:t>, Constrained and with Relaxed Constraints</w:t>
            </w:r>
          </w:p>
        </w:tc>
      </w:tr>
      <w:tr w:rsidR="00123404" w:rsidRPr="00123404" w:rsidTr="00CC6422">
        <w:trPr>
          <w:trHeight w:val="130"/>
          <w:jc w:val="center"/>
        </w:trPr>
        <w:tc>
          <w:tcPr>
            <w:tcW w:w="1838" w:type="dxa"/>
            <w:vMerge/>
            <w:shd w:val="clear" w:color="auto" w:fill="1795D2" w:themeFill="accent1"/>
            <w:vAlign w:val="center"/>
          </w:tcPr>
          <w:p w:rsidR="00123404" w:rsidRPr="00123404" w:rsidRDefault="00123404" w:rsidP="007F6909">
            <w:pPr>
              <w:keepNext/>
              <w:keepLines/>
              <w:spacing w:before="40" w:after="40" w:line="240" w:lineRule="auto"/>
              <w:jc w:val="center"/>
              <w:rPr>
                <w:rFonts w:asciiTheme="minorHAnsi" w:hAnsiTheme="minorHAnsi"/>
                <w:b/>
                <w:bCs/>
                <w:color w:val="FFFFFF" w:themeColor="background1"/>
                <w:sz w:val="18"/>
                <w:szCs w:val="18"/>
              </w:rPr>
            </w:pPr>
          </w:p>
        </w:tc>
        <w:tc>
          <w:tcPr>
            <w:tcW w:w="2304" w:type="dxa"/>
            <w:gridSpan w:val="2"/>
            <w:shd w:val="clear" w:color="auto" w:fill="1795D2" w:themeFill="accent1"/>
            <w:vAlign w:val="center"/>
          </w:tcPr>
          <w:p w:rsidR="00123404" w:rsidRPr="00123404" w:rsidRDefault="00123404" w:rsidP="007F6909">
            <w:pPr>
              <w:keepNext/>
              <w:keepLines/>
              <w:spacing w:before="40" w:after="40" w:line="240" w:lineRule="auto"/>
              <w:jc w:val="center"/>
              <w:rPr>
                <w:rFonts w:asciiTheme="minorHAnsi" w:hAnsiTheme="minorHAnsi"/>
                <w:b/>
                <w:bCs/>
                <w:color w:val="FFFFFF" w:themeColor="background1"/>
                <w:sz w:val="18"/>
                <w:szCs w:val="18"/>
              </w:rPr>
            </w:pPr>
            <w:r w:rsidRPr="00123404">
              <w:rPr>
                <w:rFonts w:asciiTheme="minorHAnsi" w:hAnsiTheme="minorHAnsi"/>
                <w:b/>
                <w:bCs/>
                <w:color w:val="FFFFFF" w:themeColor="background1"/>
                <w:sz w:val="18"/>
                <w:szCs w:val="18"/>
              </w:rPr>
              <w:t>Base</w:t>
            </w:r>
          </w:p>
        </w:tc>
        <w:tc>
          <w:tcPr>
            <w:tcW w:w="2304" w:type="dxa"/>
            <w:gridSpan w:val="2"/>
            <w:shd w:val="clear" w:color="auto" w:fill="1795D2" w:themeFill="accent1"/>
            <w:vAlign w:val="center"/>
          </w:tcPr>
          <w:p w:rsidR="00123404" w:rsidRPr="00123404" w:rsidRDefault="00123404" w:rsidP="007F6909">
            <w:pPr>
              <w:keepNext/>
              <w:keepLines/>
              <w:spacing w:before="40" w:after="40" w:line="240" w:lineRule="auto"/>
              <w:jc w:val="center"/>
              <w:rPr>
                <w:rFonts w:asciiTheme="minorHAnsi" w:hAnsiTheme="minorHAnsi"/>
                <w:b/>
                <w:bCs/>
                <w:color w:val="FFFFFF" w:themeColor="background1"/>
                <w:sz w:val="18"/>
                <w:szCs w:val="18"/>
              </w:rPr>
            </w:pPr>
            <w:r w:rsidRPr="00123404">
              <w:rPr>
                <w:rFonts w:asciiTheme="minorHAnsi" w:hAnsiTheme="minorHAnsi"/>
                <w:b/>
                <w:bCs/>
                <w:color w:val="FFFFFF" w:themeColor="background1"/>
                <w:sz w:val="18"/>
                <w:szCs w:val="18"/>
              </w:rPr>
              <w:t>S1</w:t>
            </w:r>
          </w:p>
        </w:tc>
        <w:tc>
          <w:tcPr>
            <w:tcW w:w="2304" w:type="dxa"/>
            <w:gridSpan w:val="2"/>
            <w:shd w:val="clear" w:color="auto" w:fill="1795D2" w:themeFill="accent1"/>
            <w:vAlign w:val="center"/>
          </w:tcPr>
          <w:p w:rsidR="00123404" w:rsidRPr="00123404" w:rsidRDefault="00123404" w:rsidP="007F6909">
            <w:pPr>
              <w:keepNext/>
              <w:keepLines/>
              <w:spacing w:before="40" w:after="40" w:line="240" w:lineRule="auto"/>
              <w:jc w:val="center"/>
              <w:rPr>
                <w:rFonts w:asciiTheme="minorHAnsi" w:hAnsiTheme="minorHAnsi"/>
                <w:b/>
                <w:bCs/>
                <w:color w:val="FFFFFF" w:themeColor="background1"/>
                <w:sz w:val="18"/>
                <w:szCs w:val="18"/>
              </w:rPr>
            </w:pPr>
            <w:r w:rsidRPr="00123404">
              <w:rPr>
                <w:rFonts w:asciiTheme="minorHAnsi" w:hAnsiTheme="minorHAnsi"/>
                <w:b/>
                <w:bCs/>
                <w:color w:val="FFFFFF" w:themeColor="background1"/>
                <w:sz w:val="18"/>
                <w:szCs w:val="18"/>
              </w:rPr>
              <w:t>S2</w:t>
            </w:r>
          </w:p>
        </w:tc>
      </w:tr>
      <w:tr w:rsidR="00123404" w:rsidRPr="007F6909" w:rsidTr="00CC6422">
        <w:trPr>
          <w:trHeight w:val="310"/>
          <w:jc w:val="center"/>
        </w:trPr>
        <w:tc>
          <w:tcPr>
            <w:tcW w:w="1838" w:type="dxa"/>
            <w:vMerge/>
            <w:shd w:val="clear" w:color="auto" w:fill="1795D2" w:themeFill="accent1"/>
            <w:vAlign w:val="center"/>
            <w:hideMark/>
          </w:tcPr>
          <w:p w:rsidR="00123404" w:rsidRPr="00123404" w:rsidRDefault="00123404" w:rsidP="007F6909">
            <w:pPr>
              <w:keepNext/>
              <w:keepLines/>
              <w:adjustRightInd/>
              <w:spacing w:before="40" w:after="40" w:line="240" w:lineRule="auto"/>
              <w:jc w:val="center"/>
              <w:textAlignment w:val="auto"/>
              <w:rPr>
                <w:rFonts w:asciiTheme="minorHAnsi" w:hAnsiTheme="minorHAnsi"/>
                <w:b/>
                <w:bCs/>
                <w:color w:val="FFFFFF" w:themeColor="background1"/>
                <w:sz w:val="18"/>
                <w:szCs w:val="18"/>
              </w:rPr>
            </w:pPr>
          </w:p>
        </w:tc>
        <w:tc>
          <w:tcPr>
            <w:tcW w:w="1152" w:type="dxa"/>
            <w:shd w:val="clear" w:color="auto" w:fill="1795D2" w:themeFill="accent1"/>
            <w:vAlign w:val="center"/>
            <w:hideMark/>
          </w:tcPr>
          <w:p w:rsidR="00123404" w:rsidRPr="00123404" w:rsidRDefault="00123404" w:rsidP="007F6909">
            <w:pPr>
              <w:keepNext/>
              <w:keepLines/>
              <w:adjustRightInd/>
              <w:spacing w:before="40" w:after="40" w:line="240" w:lineRule="auto"/>
              <w:jc w:val="center"/>
              <w:textAlignment w:val="auto"/>
              <w:rPr>
                <w:rFonts w:asciiTheme="minorHAnsi" w:hAnsiTheme="minorHAnsi"/>
                <w:b/>
                <w:bCs/>
                <w:color w:val="FFFFFF" w:themeColor="background1"/>
                <w:sz w:val="18"/>
                <w:szCs w:val="18"/>
              </w:rPr>
            </w:pPr>
            <w:r w:rsidRPr="00123404">
              <w:rPr>
                <w:rFonts w:asciiTheme="minorHAnsi" w:hAnsiTheme="minorHAnsi"/>
                <w:b/>
                <w:bCs/>
                <w:color w:val="FFFFFF" w:themeColor="background1"/>
                <w:sz w:val="18"/>
                <w:szCs w:val="18"/>
              </w:rPr>
              <w:t>C</w:t>
            </w:r>
          </w:p>
        </w:tc>
        <w:tc>
          <w:tcPr>
            <w:tcW w:w="1152" w:type="dxa"/>
            <w:shd w:val="clear" w:color="auto" w:fill="1795D2" w:themeFill="accent1"/>
            <w:vAlign w:val="center"/>
            <w:hideMark/>
          </w:tcPr>
          <w:p w:rsidR="00123404" w:rsidRPr="00123404" w:rsidRDefault="00123404" w:rsidP="007F6909">
            <w:pPr>
              <w:keepNext/>
              <w:keepLines/>
              <w:adjustRightInd/>
              <w:spacing w:before="40" w:after="40" w:line="240" w:lineRule="auto"/>
              <w:jc w:val="center"/>
              <w:textAlignment w:val="auto"/>
              <w:rPr>
                <w:rFonts w:asciiTheme="minorHAnsi" w:hAnsiTheme="minorHAnsi"/>
                <w:b/>
                <w:bCs/>
                <w:color w:val="FFFFFF" w:themeColor="background1"/>
                <w:sz w:val="18"/>
                <w:szCs w:val="18"/>
              </w:rPr>
            </w:pPr>
            <w:r w:rsidRPr="00123404">
              <w:rPr>
                <w:rFonts w:asciiTheme="minorHAnsi" w:hAnsiTheme="minorHAnsi"/>
                <w:b/>
                <w:bCs/>
                <w:color w:val="FFFFFF" w:themeColor="background1"/>
                <w:sz w:val="18"/>
                <w:szCs w:val="18"/>
              </w:rPr>
              <w:t>RC</w:t>
            </w:r>
          </w:p>
        </w:tc>
        <w:tc>
          <w:tcPr>
            <w:tcW w:w="1152" w:type="dxa"/>
            <w:shd w:val="clear" w:color="auto" w:fill="1795D2" w:themeFill="accent1"/>
            <w:vAlign w:val="center"/>
            <w:hideMark/>
          </w:tcPr>
          <w:p w:rsidR="00123404" w:rsidRPr="00123404" w:rsidRDefault="00123404" w:rsidP="007F6909">
            <w:pPr>
              <w:keepNext/>
              <w:keepLines/>
              <w:adjustRightInd/>
              <w:spacing w:before="40" w:after="40" w:line="240" w:lineRule="auto"/>
              <w:jc w:val="center"/>
              <w:textAlignment w:val="auto"/>
              <w:rPr>
                <w:rFonts w:asciiTheme="minorHAnsi" w:hAnsiTheme="minorHAnsi"/>
                <w:b/>
                <w:bCs/>
                <w:color w:val="FFFFFF" w:themeColor="background1"/>
                <w:sz w:val="18"/>
                <w:szCs w:val="18"/>
              </w:rPr>
            </w:pPr>
            <w:r w:rsidRPr="00123404">
              <w:rPr>
                <w:rFonts w:asciiTheme="minorHAnsi" w:hAnsiTheme="minorHAnsi"/>
                <w:b/>
                <w:bCs/>
                <w:color w:val="FFFFFF" w:themeColor="background1"/>
                <w:sz w:val="18"/>
                <w:szCs w:val="18"/>
              </w:rPr>
              <w:t>C</w:t>
            </w:r>
          </w:p>
        </w:tc>
        <w:tc>
          <w:tcPr>
            <w:tcW w:w="1152" w:type="dxa"/>
            <w:shd w:val="clear" w:color="auto" w:fill="1795D2" w:themeFill="accent1"/>
            <w:vAlign w:val="center"/>
            <w:hideMark/>
          </w:tcPr>
          <w:p w:rsidR="00123404" w:rsidRPr="00123404" w:rsidRDefault="00123404" w:rsidP="007F6909">
            <w:pPr>
              <w:keepNext/>
              <w:keepLines/>
              <w:adjustRightInd/>
              <w:spacing w:before="40" w:after="40" w:line="240" w:lineRule="auto"/>
              <w:jc w:val="center"/>
              <w:textAlignment w:val="auto"/>
              <w:rPr>
                <w:rFonts w:asciiTheme="minorHAnsi" w:hAnsiTheme="minorHAnsi"/>
                <w:b/>
                <w:bCs/>
                <w:color w:val="FFFFFF" w:themeColor="background1"/>
                <w:sz w:val="18"/>
                <w:szCs w:val="18"/>
              </w:rPr>
            </w:pPr>
            <w:r w:rsidRPr="00123404">
              <w:rPr>
                <w:rFonts w:asciiTheme="minorHAnsi" w:hAnsiTheme="minorHAnsi"/>
                <w:b/>
                <w:bCs/>
                <w:color w:val="FFFFFF" w:themeColor="background1"/>
                <w:sz w:val="18"/>
                <w:szCs w:val="18"/>
              </w:rPr>
              <w:t>RC</w:t>
            </w:r>
          </w:p>
        </w:tc>
        <w:tc>
          <w:tcPr>
            <w:tcW w:w="1152" w:type="dxa"/>
            <w:shd w:val="clear" w:color="auto" w:fill="1795D2" w:themeFill="accent1"/>
            <w:vAlign w:val="center"/>
            <w:hideMark/>
          </w:tcPr>
          <w:p w:rsidR="00123404" w:rsidRPr="00123404" w:rsidRDefault="00123404" w:rsidP="007F6909">
            <w:pPr>
              <w:keepNext/>
              <w:keepLines/>
              <w:adjustRightInd/>
              <w:spacing w:before="40" w:after="40" w:line="240" w:lineRule="auto"/>
              <w:jc w:val="center"/>
              <w:textAlignment w:val="auto"/>
              <w:rPr>
                <w:rFonts w:asciiTheme="minorHAnsi" w:hAnsiTheme="minorHAnsi"/>
                <w:b/>
                <w:bCs/>
                <w:color w:val="FFFFFF" w:themeColor="background1"/>
                <w:sz w:val="18"/>
                <w:szCs w:val="18"/>
              </w:rPr>
            </w:pPr>
            <w:r w:rsidRPr="00123404">
              <w:rPr>
                <w:rFonts w:asciiTheme="minorHAnsi" w:hAnsiTheme="minorHAnsi"/>
                <w:b/>
                <w:bCs/>
                <w:color w:val="FFFFFF" w:themeColor="background1"/>
                <w:sz w:val="18"/>
                <w:szCs w:val="18"/>
              </w:rPr>
              <w:t>C</w:t>
            </w:r>
          </w:p>
        </w:tc>
        <w:tc>
          <w:tcPr>
            <w:tcW w:w="1152" w:type="dxa"/>
            <w:shd w:val="clear" w:color="auto" w:fill="1795D2" w:themeFill="accent1"/>
            <w:vAlign w:val="center"/>
            <w:hideMark/>
          </w:tcPr>
          <w:p w:rsidR="00123404" w:rsidRPr="00123404" w:rsidRDefault="00123404" w:rsidP="007F6909">
            <w:pPr>
              <w:keepNext/>
              <w:keepLines/>
              <w:adjustRightInd/>
              <w:spacing w:before="40" w:after="40" w:line="240" w:lineRule="auto"/>
              <w:jc w:val="center"/>
              <w:textAlignment w:val="auto"/>
              <w:rPr>
                <w:rFonts w:asciiTheme="minorHAnsi" w:hAnsiTheme="minorHAnsi"/>
                <w:b/>
                <w:bCs/>
                <w:color w:val="FFFFFF" w:themeColor="background1"/>
                <w:sz w:val="18"/>
                <w:szCs w:val="18"/>
              </w:rPr>
            </w:pPr>
            <w:r w:rsidRPr="00123404">
              <w:rPr>
                <w:rFonts w:asciiTheme="minorHAnsi" w:hAnsiTheme="minorHAnsi"/>
                <w:b/>
                <w:bCs/>
                <w:color w:val="FFFFFF" w:themeColor="background1"/>
                <w:sz w:val="18"/>
                <w:szCs w:val="18"/>
              </w:rPr>
              <w:t>RC</w:t>
            </w:r>
          </w:p>
        </w:tc>
      </w:tr>
      <w:tr w:rsidR="00123404" w:rsidRPr="007F6909" w:rsidTr="00CC6422">
        <w:trPr>
          <w:trHeight w:val="20"/>
          <w:jc w:val="center"/>
        </w:trPr>
        <w:tc>
          <w:tcPr>
            <w:tcW w:w="1838" w:type="dxa"/>
            <w:shd w:val="clear" w:color="auto" w:fill="CCEAF9" w:themeFill="accent1" w:themeFillTint="33"/>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 xml:space="preserve">Offshore </w:t>
            </w:r>
            <w:r w:rsidR="00123404">
              <w:rPr>
                <w:rFonts w:asciiTheme="minorHAnsi" w:hAnsiTheme="minorHAnsi"/>
                <w:b/>
                <w:bCs/>
                <w:color w:val="313C3F"/>
                <w:sz w:val="18"/>
                <w:szCs w:val="18"/>
              </w:rPr>
              <w:t>w</w:t>
            </w:r>
            <w:r w:rsidRPr="007F6909">
              <w:rPr>
                <w:rFonts w:asciiTheme="minorHAnsi" w:hAnsiTheme="minorHAnsi"/>
                <w:b/>
                <w:bCs/>
                <w:color w:val="313C3F"/>
                <w:sz w:val="18"/>
                <w:szCs w:val="18"/>
              </w:rPr>
              <w:t>ind</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3.96</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3.96</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3.96</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3.96</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3.96</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3.96</w:t>
            </w:r>
          </w:p>
        </w:tc>
      </w:tr>
      <w:tr w:rsidR="00123404" w:rsidRPr="007F6909" w:rsidTr="00CC6422">
        <w:trPr>
          <w:trHeight w:val="20"/>
          <w:jc w:val="center"/>
        </w:trPr>
        <w:tc>
          <w:tcPr>
            <w:tcW w:w="1838" w:type="dxa"/>
            <w:shd w:val="clear" w:color="auto" w:fill="auto"/>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 xml:space="preserve">Onshore </w:t>
            </w:r>
            <w:r w:rsidR="00123404">
              <w:rPr>
                <w:rFonts w:asciiTheme="minorHAnsi" w:hAnsiTheme="minorHAnsi"/>
                <w:b/>
                <w:bCs/>
                <w:color w:val="313C3F"/>
                <w:sz w:val="18"/>
                <w:szCs w:val="18"/>
              </w:rPr>
              <w:t>w</w:t>
            </w:r>
            <w:r w:rsidRPr="007F6909">
              <w:rPr>
                <w:rFonts w:asciiTheme="minorHAnsi" w:hAnsiTheme="minorHAnsi"/>
                <w:b/>
                <w:bCs/>
                <w:color w:val="313C3F"/>
                <w:sz w:val="18"/>
                <w:szCs w:val="18"/>
              </w:rPr>
              <w:t>ind</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3.87</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3.87</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3.87</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3.87</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3.87</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3.87</w:t>
            </w:r>
          </w:p>
        </w:tc>
      </w:tr>
      <w:tr w:rsidR="007F6909" w:rsidRPr="007F6909" w:rsidTr="00CC6422">
        <w:trPr>
          <w:trHeight w:val="20"/>
          <w:jc w:val="center"/>
        </w:trPr>
        <w:tc>
          <w:tcPr>
            <w:tcW w:w="1838" w:type="dxa"/>
            <w:shd w:val="clear" w:color="auto" w:fill="CCEAF9" w:themeFill="accent1" w:themeFillTint="33"/>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N</w:t>
            </w:r>
            <w:r w:rsidR="00123404">
              <w:rPr>
                <w:rFonts w:asciiTheme="minorHAnsi" w:hAnsiTheme="minorHAnsi"/>
                <w:b/>
                <w:bCs/>
                <w:color w:val="313C3F"/>
                <w:sz w:val="18"/>
                <w:szCs w:val="18"/>
              </w:rPr>
              <w:t>atural gas</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25.21</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24.95</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25.11</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24.83</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25.02</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24.73</w:t>
            </w:r>
          </w:p>
        </w:tc>
      </w:tr>
      <w:tr w:rsidR="007F6909" w:rsidRPr="007F6909" w:rsidTr="00CC6422">
        <w:trPr>
          <w:trHeight w:val="20"/>
          <w:jc w:val="center"/>
        </w:trPr>
        <w:tc>
          <w:tcPr>
            <w:tcW w:w="1838" w:type="dxa"/>
            <w:shd w:val="clear" w:color="auto" w:fill="auto"/>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Oil</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0</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0</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0</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0</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0</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0</w:t>
            </w:r>
          </w:p>
        </w:tc>
      </w:tr>
      <w:tr w:rsidR="007F6909" w:rsidRPr="007F6909" w:rsidTr="00CC6422">
        <w:trPr>
          <w:trHeight w:val="20"/>
          <w:jc w:val="center"/>
        </w:trPr>
        <w:tc>
          <w:tcPr>
            <w:tcW w:w="1838" w:type="dxa"/>
            <w:shd w:val="clear" w:color="auto" w:fill="CCEAF9" w:themeFill="accent1" w:themeFillTint="33"/>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Imports</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26.3</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26.52</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26.41</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26.65</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26.52</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26.76</w:t>
            </w:r>
          </w:p>
        </w:tc>
      </w:tr>
      <w:tr w:rsidR="007F6909" w:rsidRPr="007F6909" w:rsidTr="00CC6422">
        <w:trPr>
          <w:trHeight w:val="20"/>
          <w:jc w:val="center"/>
        </w:trPr>
        <w:tc>
          <w:tcPr>
            <w:tcW w:w="1838" w:type="dxa"/>
            <w:shd w:val="clear" w:color="auto" w:fill="FFFFFF" w:themeFill="background1"/>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Coal</w:t>
            </w:r>
          </w:p>
        </w:tc>
        <w:tc>
          <w:tcPr>
            <w:tcW w:w="1152" w:type="dxa"/>
            <w:shd w:val="clear" w:color="auto" w:fill="FFFFFF" w:themeFill="background1"/>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1.19</w:t>
            </w:r>
          </w:p>
        </w:tc>
        <w:tc>
          <w:tcPr>
            <w:tcW w:w="1152" w:type="dxa"/>
            <w:shd w:val="clear" w:color="auto" w:fill="FFFFFF" w:themeFill="background1"/>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1.27</w:t>
            </w:r>
          </w:p>
        </w:tc>
        <w:tc>
          <w:tcPr>
            <w:tcW w:w="1152" w:type="dxa"/>
            <w:shd w:val="clear" w:color="auto" w:fill="FFFFFF" w:themeFill="background1"/>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1.18</w:t>
            </w:r>
          </w:p>
        </w:tc>
        <w:tc>
          <w:tcPr>
            <w:tcW w:w="1152" w:type="dxa"/>
            <w:shd w:val="clear" w:color="auto" w:fill="FFFFFF" w:themeFill="background1"/>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1.26</w:t>
            </w:r>
          </w:p>
        </w:tc>
        <w:tc>
          <w:tcPr>
            <w:tcW w:w="1152" w:type="dxa"/>
            <w:shd w:val="clear" w:color="auto" w:fill="FFFFFF" w:themeFill="background1"/>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1.18</w:t>
            </w:r>
          </w:p>
        </w:tc>
        <w:tc>
          <w:tcPr>
            <w:tcW w:w="1152" w:type="dxa"/>
            <w:shd w:val="clear" w:color="auto" w:fill="FFFFFF" w:themeFill="background1"/>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1.26</w:t>
            </w:r>
          </w:p>
        </w:tc>
      </w:tr>
      <w:tr w:rsidR="007F6909" w:rsidRPr="007F6909" w:rsidTr="00CC6422">
        <w:trPr>
          <w:trHeight w:val="20"/>
          <w:jc w:val="center"/>
        </w:trPr>
        <w:tc>
          <w:tcPr>
            <w:tcW w:w="1838" w:type="dxa"/>
            <w:shd w:val="clear" w:color="auto" w:fill="CCEAF9" w:themeFill="accent1" w:themeFillTint="33"/>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L</w:t>
            </w:r>
            <w:r w:rsidR="00123404">
              <w:rPr>
                <w:rFonts w:asciiTheme="minorHAnsi" w:hAnsiTheme="minorHAnsi"/>
                <w:b/>
                <w:bCs/>
                <w:color w:val="313C3F"/>
                <w:sz w:val="18"/>
                <w:szCs w:val="18"/>
              </w:rPr>
              <w:t>andfill gas</w:t>
            </w:r>
            <w:r w:rsidRPr="007F6909">
              <w:rPr>
                <w:rFonts w:asciiTheme="minorHAnsi" w:hAnsiTheme="minorHAnsi"/>
                <w:b/>
                <w:bCs/>
                <w:color w:val="313C3F"/>
                <w:sz w:val="18"/>
                <w:szCs w:val="18"/>
              </w:rPr>
              <w:t>/</w:t>
            </w:r>
            <w:r w:rsidR="00123404">
              <w:rPr>
                <w:rFonts w:asciiTheme="minorHAnsi" w:hAnsiTheme="minorHAnsi"/>
                <w:b/>
                <w:bCs/>
                <w:color w:val="313C3F"/>
                <w:sz w:val="18"/>
                <w:szCs w:val="18"/>
              </w:rPr>
              <w:br/>
              <w:t>municipal solid waste</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2.92</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2.93</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2.92</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2.92</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2.91</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2.91</w:t>
            </w:r>
          </w:p>
        </w:tc>
      </w:tr>
      <w:tr w:rsidR="007F6909" w:rsidRPr="007F6909" w:rsidTr="00CC6422">
        <w:trPr>
          <w:trHeight w:val="20"/>
          <w:jc w:val="center"/>
        </w:trPr>
        <w:tc>
          <w:tcPr>
            <w:tcW w:w="1838" w:type="dxa"/>
            <w:shd w:val="clear" w:color="auto" w:fill="auto"/>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P</w:t>
            </w:r>
            <w:r w:rsidR="00123404">
              <w:rPr>
                <w:rFonts w:asciiTheme="minorHAnsi" w:hAnsiTheme="minorHAnsi"/>
                <w:b/>
                <w:bCs/>
                <w:color w:val="313C3F"/>
                <w:sz w:val="18"/>
                <w:szCs w:val="18"/>
              </w:rPr>
              <w:t>hotovoltaics</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7.6</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7.6</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7.6</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7.6</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7.6</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7.6</w:t>
            </w:r>
          </w:p>
        </w:tc>
      </w:tr>
      <w:tr w:rsidR="007F6909" w:rsidRPr="007F6909" w:rsidTr="00CC6422">
        <w:trPr>
          <w:trHeight w:val="20"/>
          <w:jc w:val="center"/>
        </w:trPr>
        <w:tc>
          <w:tcPr>
            <w:tcW w:w="1838" w:type="dxa"/>
            <w:shd w:val="clear" w:color="auto" w:fill="CCEAF9" w:themeFill="accent1" w:themeFillTint="33"/>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Wood</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4.72</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4.72</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4.72</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4.72</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4.72</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4.72</w:t>
            </w:r>
          </w:p>
        </w:tc>
      </w:tr>
      <w:tr w:rsidR="007F6909" w:rsidRPr="007F6909" w:rsidTr="00CC6422">
        <w:trPr>
          <w:trHeight w:val="20"/>
          <w:jc w:val="center"/>
        </w:trPr>
        <w:tc>
          <w:tcPr>
            <w:tcW w:w="1838" w:type="dxa"/>
            <w:shd w:val="clear" w:color="auto" w:fill="auto"/>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Nuc</w:t>
            </w:r>
            <w:r w:rsidR="00F71FDB">
              <w:rPr>
                <w:rFonts w:asciiTheme="minorHAnsi" w:hAnsiTheme="minorHAnsi"/>
                <w:b/>
                <w:bCs/>
                <w:color w:val="313C3F"/>
                <w:sz w:val="18"/>
                <w:szCs w:val="18"/>
              </w:rPr>
              <w:t>lear</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29.85</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29.85</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29.85</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29.85</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29.85</w:t>
            </w:r>
          </w:p>
        </w:tc>
        <w:tc>
          <w:tcPr>
            <w:tcW w:w="1152" w:type="dxa"/>
            <w:tcBorders>
              <w:bottom w:val="single" w:sz="2" w:space="0" w:color="auto"/>
            </w:tcBorders>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29.85</w:t>
            </w:r>
          </w:p>
        </w:tc>
      </w:tr>
      <w:tr w:rsidR="007F6909" w:rsidRPr="007F6909" w:rsidTr="00CC6422">
        <w:trPr>
          <w:trHeight w:val="20"/>
          <w:jc w:val="center"/>
        </w:trPr>
        <w:tc>
          <w:tcPr>
            <w:tcW w:w="1838" w:type="dxa"/>
            <w:shd w:val="clear" w:color="auto" w:fill="CCEAF9" w:themeFill="accent1" w:themeFillTint="33"/>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E</w:t>
            </w:r>
            <w:r w:rsidR="00F71FDB">
              <w:rPr>
                <w:rFonts w:asciiTheme="minorHAnsi" w:hAnsiTheme="minorHAnsi"/>
                <w:b/>
                <w:bCs/>
                <w:color w:val="313C3F"/>
                <w:sz w:val="18"/>
                <w:szCs w:val="18"/>
              </w:rPr>
              <w:t>nergy efficiency</w:t>
            </w:r>
            <w:r w:rsidRPr="007F6909">
              <w:rPr>
                <w:rFonts w:asciiTheme="minorHAnsi" w:hAnsiTheme="minorHAnsi"/>
                <w:b/>
                <w:bCs/>
                <w:color w:val="313C3F"/>
                <w:sz w:val="18"/>
                <w:szCs w:val="18"/>
              </w:rPr>
              <w:t>/</w:t>
            </w:r>
            <w:r w:rsidR="00F71FDB">
              <w:rPr>
                <w:rFonts w:asciiTheme="minorHAnsi" w:hAnsiTheme="minorHAnsi"/>
                <w:b/>
                <w:bCs/>
                <w:color w:val="313C3F"/>
                <w:sz w:val="18"/>
                <w:szCs w:val="18"/>
              </w:rPr>
              <w:br/>
              <w:t>demand response</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31.61</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31.61</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31.61</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31.61</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31.61</w:t>
            </w:r>
          </w:p>
        </w:tc>
        <w:tc>
          <w:tcPr>
            <w:tcW w:w="1152" w:type="dxa"/>
            <w:shd w:val="clear" w:color="auto" w:fill="CCEAF9" w:themeFill="accent1" w:themeFillTint="33"/>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31.61</w:t>
            </w:r>
          </w:p>
        </w:tc>
      </w:tr>
      <w:tr w:rsidR="007F6909" w:rsidRPr="007F6909" w:rsidTr="00CC6422">
        <w:trPr>
          <w:trHeight w:val="20"/>
          <w:jc w:val="center"/>
        </w:trPr>
        <w:tc>
          <w:tcPr>
            <w:tcW w:w="1838" w:type="dxa"/>
            <w:shd w:val="clear" w:color="auto" w:fill="auto"/>
            <w:tcMar>
              <w:left w:w="58" w:type="dxa"/>
              <w:right w:w="115" w:type="dxa"/>
            </w:tcMar>
            <w:vAlign w:val="center"/>
            <w:hideMark/>
          </w:tcPr>
          <w:p w:rsidR="007F6909" w:rsidRPr="007F6909" w:rsidRDefault="007F6909" w:rsidP="00CC6422">
            <w:pPr>
              <w:keepNext/>
              <w:keepLines/>
              <w:adjustRightInd/>
              <w:spacing w:before="40" w:after="40" w:line="240" w:lineRule="auto"/>
              <w:textAlignment w:val="auto"/>
              <w:rPr>
                <w:rFonts w:asciiTheme="minorHAnsi" w:hAnsiTheme="minorHAnsi"/>
                <w:b/>
                <w:bCs/>
                <w:color w:val="313C3F"/>
                <w:sz w:val="18"/>
                <w:szCs w:val="18"/>
              </w:rPr>
            </w:pPr>
            <w:r w:rsidRPr="007F6909">
              <w:rPr>
                <w:rFonts w:asciiTheme="minorHAnsi" w:hAnsiTheme="minorHAnsi"/>
                <w:b/>
                <w:bCs/>
                <w:color w:val="313C3F"/>
                <w:sz w:val="18"/>
                <w:szCs w:val="18"/>
              </w:rPr>
              <w:t>Hydro</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9.25</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9.25</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9.25</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9.25</w:t>
            </w:r>
          </w:p>
        </w:tc>
        <w:tc>
          <w:tcPr>
            <w:tcW w:w="1152" w:type="dxa"/>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9.25</w:t>
            </w:r>
          </w:p>
        </w:tc>
        <w:tc>
          <w:tcPr>
            <w:tcW w:w="1152" w:type="dxa"/>
            <w:tcBorders>
              <w:bottom w:val="single" w:sz="4" w:space="0" w:color="auto"/>
            </w:tcBorders>
            <w:shd w:val="clear" w:color="auto" w:fill="auto"/>
            <w:tcMar>
              <w:left w:w="58" w:type="dxa"/>
              <w:right w:w="288" w:type="dxa"/>
            </w:tcMar>
            <w:vAlign w:val="center"/>
            <w:hideMark/>
          </w:tcPr>
          <w:p w:rsidR="007F6909" w:rsidRPr="007F6909" w:rsidRDefault="007F6909" w:rsidP="00123404">
            <w:pPr>
              <w:keepNext/>
              <w:keepLines/>
              <w:adjustRightInd/>
              <w:spacing w:before="40" w:after="40" w:line="240" w:lineRule="auto"/>
              <w:jc w:val="right"/>
              <w:textAlignment w:val="auto"/>
              <w:rPr>
                <w:rFonts w:asciiTheme="minorHAnsi" w:hAnsiTheme="minorHAnsi"/>
                <w:color w:val="313C3F"/>
                <w:sz w:val="18"/>
                <w:szCs w:val="18"/>
              </w:rPr>
            </w:pPr>
            <w:r w:rsidRPr="007F6909">
              <w:rPr>
                <w:rFonts w:asciiTheme="minorHAnsi" w:hAnsiTheme="minorHAnsi"/>
                <w:color w:val="313C3F"/>
                <w:sz w:val="18"/>
                <w:szCs w:val="18"/>
              </w:rPr>
              <w:t>9.25</w:t>
            </w:r>
          </w:p>
        </w:tc>
      </w:tr>
    </w:tbl>
    <w:p w:rsidR="00A10992" w:rsidRPr="00FA272B" w:rsidRDefault="00A10992" w:rsidP="00CC6422">
      <w:pPr>
        <w:spacing w:line="240" w:lineRule="auto"/>
        <w:rPr>
          <w:rFonts w:asciiTheme="minorHAnsi" w:hAnsiTheme="minorHAnsi"/>
          <w:sz w:val="16"/>
          <w:szCs w:val="16"/>
        </w:rPr>
      </w:pPr>
    </w:p>
    <w:p w:rsidR="00602736" w:rsidRPr="001250FD" w:rsidRDefault="00602736" w:rsidP="00F71FDB">
      <w:pPr>
        <w:pStyle w:val="Heading2"/>
      </w:pPr>
      <w:bookmarkStart w:id="68" w:name="_Toc51784672"/>
      <w:r w:rsidRPr="003F05D7">
        <w:t>Loa</w:t>
      </w:r>
      <w:r w:rsidRPr="00CC6422">
        <w:t>d-Serving Entity Energy Expense and Uplift Costs</w:t>
      </w:r>
      <w:bookmarkEnd w:id="68"/>
    </w:p>
    <w:p w:rsidR="00C029A2" w:rsidRPr="00C029A2" w:rsidRDefault="00602736" w:rsidP="00047AD3">
      <w:r w:rsidRPr="004F2C0B">
        <w:t>Load-serving entities represent organizations that directly serve retail electricity customers. Risk management is particularity important to LSEs beca</w:t>
      </w:r>
      <w:r w:rsidRPr="00192438">
        <w:t xml:space="preserve">use they are sensitive to and may not be able to hedge </w:t>
      </w:r>
      <w:r w:rsidRPr="004F2C0B">
        <w:t xml:space="preserve">against sudden or unexpected price variations, which could affect their customers. </w:t>
      </w:r>
      <w:r w:rsidR="00AB0D3B">
        <w:fldChar w:fldCharType="begin"/>
      </w:r>
      <w:r w:rsidR="00AB0D3B">
        <w:instrText xml:space="preserve"> REF _Ref51782593 \h </w:instrText>
      </w:r>
      <w:r w:rsidR="00AB0D3B">
        <w:fldChar w:fldCharType="separate"/>
      </w:r>
      <w:r w:rsidR="00AB0D3B">
        <w:t xml:space="preserve">Figure </w:t>
      </w:r>
      <w:r w:rsidR="00AB0D3B">
        <w:rPr>
          <w:noProof/>
        </w:rPr>
        <w:t>5</w:t>
      </w:r>
      <w:r w:rsidR="00AB0D3B">
        <w:noBreakHyphen/>
      </w:r>
      <w:r w:rsidR="00AB0D3B">
        <w:rPr>
          <w:noProof/>
        </w:rPr>
        <w:t>6</w:t>
      </w:r>
      <w:r w:rsidR="00AB0D3B">
        <w:fldChar w:fldCharType="end"/>
      </w:r>
      <w:r w:rsidR="00AB0D3B">
        <w:t xml:space="preserve"> </w:t>
      </w:r>
      <w:r w:rsidRPr="00206491">
        <w:t>sho</w:t>
      </w:r>
      <w:r w:rsidRPr="00E810E3">
        <w:t xml:space="preserve">ws load-serving entity energy expenses and </w:t>
      </w:r>
      <w:r w:rsidRPr="004F2C0B">
        <w:t>uplift costs for</w:t>
      </w:r>
      <w:r w:rsidRPr="00E810E3">
        <w:t xml:space="preserve"> all constrained and</w:t>
      </w:r>
      <w:r w:rsidR="00D144D0">
        <w:t xml:space="preserve"> </w:t>
      </w:r>
      <w:r w:rsidR="00D144D0" w:rsidRPr="00513CC2">
        <w:t>relaxed</w:t>
      </w:r>
      <w:r w:rsidR="004F2C0B">
        <w:t>-</w:t>
      </w:r>
      <w:r w:rsidR="00D144D0" w:rsidRPr="00513CC2">
        <w:t>constraint</w:t>
      </w:r>
      <w:r w:rsidRPr="00E810E3">
        <w:t xml:space="preserve"> case</w:t>
      </w:r>
      <w:r w:rsidRPr="00D846E6">
        <w:t>s.</w:t>
      </w:r>
      <w:r>
        <w:t xml:space="preserve"> </w:t>
      </w:r>
      <w:r w:rsidR="00C029A2" w:rsidRPr="00C029A2">
        <w:t>LSEEE</w:t>
      </w:r>
      <w:r w:rsidR="004F2C0B">
        <w:t>s</w:t>
      </w:r>
      <w:r w:rsidR="00C029A2" w:rsidRPr="00C029A2">
        <w:t xml:space="preserve"> and uplift is very similar between scenarios</w:t>
      </w:r>
      <w:r w:rsidR="00D144D0">
        <w:t xml:space="preserve"> </w:t>
      </w:r>
      <w:r w:rsidR="00D144D0" w:rsidRPr="00513CC2">
        <w:t>and show the instability of this m</w:t>
      </w:r>
      <w:r w:rsidR="00206491" w:rsidRPr="00FF5A6F">
        <w:t>e</w:t>
      </w:r>
      <w:r w:rsidR="00D144D0" w:rsidRPr="00513CC2">
        <w:t>tric</w:t>
      </w:r>
      <w:r w:rsidR="00BB388B" w:rsidRPr="00FF5A6F">
        <w:t xml:space="preserve"> </w:t>
      </w:r>
      <w:r w:rsidR="00D144D0" w:rsidRPr="00513CC2">
        <w:t>for making economic evaluations. For example</w:t>
      </w:r>
      <w:r w:rsidR="00BB388B" w:rsidRPr="004F2C0B">
        <w:t>,</w:t>
      </w:r>
      <w:r w:rsidR="00D144D0" w:rsidRPr="00513CC2">
        <w:t xml:space="preserve"> note that the LSEEE actually increases as the interface limit is raised from the Base values to the S2 values.</w:t>
      </w:r>
      <w:r w:rsidR="00D144D0" w:rsidDel="00D144D0">
        <w:t xml:space="preserve"> </w:t>
      </w:r>
      <w:r w:rsidR="00C029A2" w:rsidRPr="00C029A2">
        <w:t>Generally</w:t>
      </w:r>
      <w:r w:rsidR="00817992">
        <w:t>,</w:t>
      </w:r>
      <w:r w:rsidR="00C029A2" w:rsidRPr="00C029A2">
        <w:t xml:space="preserve"> LSEEE and uplift decrease as no</w:t>
      </w:r>
      <w:r w:rsidR="00BB388B">
        <w:t>-</w:t>
      </w:r>
      <w:r w:rsidR="00C029A2" w:rsidRPr="00C029A2">
        <w:t>cost N</w:t>
      </w:r>
      <w:r w:rsidR="008A2F42">
        <w:t xml:space="preserve">ew </w:t>
      </w:r>
      <w:r w:rsidR="00C029A2" w:rsidRPr="00C029A2">
        <w:t>B</w:t>
      </w:r>
      <w:r w:rsidR="008A2F42">
        <w:t>runswick</w:t>
      </w:r>
      <w:r w:rsidR="00C029A2" w:rsidRPr="00C029A2">
        <w:t xml:space="preserve"> imports repl</w:t>
      </w:r>
      <w:r w:rsidR="00C029A2" w:rsidRPr="004F2C0B">
        <w:t xml:space="preserve">ace </w:t>
      </w:r>
      <w:r w:rsidR="00BB388B" w:rsidRPr="004F2C0B">
        <w:t>price-</w:t>
      </w:r>
      <w:r w:rsidR="00C029A2" w:rsidRPr="004F2C0B">
        <w:t>taking n</w:t>
      </w:r>
      <w:r w:rsidR="00C029A2" w:rsidRPr="00C029A2">
        <w:t xml:space="preserve">atural gas when the Orrington-South interface limit increases from the </w:t>
      </w:r>
      <w:r w:rsidR="004F2C0B">
        <w:t>B</w:t>
      </w:r>
      <w:r w:rsidR="00C029A2" w:rsidRPr="00C029A2">
        <w:t xml:space="preserve">ase </w:t>
      </w:r>
      <w:r w:rsidR="00817992">
        <w:t xml:space="preserve">scenario </w:t>
      </w:r>
      <w:r w:rsidR="00C029A2" w:rsidRPr="00C029A2">
        <w:t xml:space="preserve">to </w:t>
      </w:r>
      <w:r w:rsidR="00817992">
        <w:t xml:space="preserve">the </w:t>
      </w:r>
      <w:r w:rsidR="00C029A2" w:rsidRPr="00C029A2">
        <w:t xml:space="preserve">S1 scenario and from S1 </w:t>
      </w:r>
      <w:r w:rsidR="00817992">
        <w:t xml:space="preserve">scenario </w:t>
      </w:r>
      <w:r w:rsidR="00C029A2" w:rsidRPr="00C029A2">
        <w:t>to S2 scenario</w:t>
      </w:r>
      <w:r w:rsidR="00C029A2">
        <w:t xml:space="preserve">. </w:t>
      </w:r>
      <w:r w:rsidR="00C029A2" w:rsidRPr="00C029A2">
        <w:t xml:space="preserve">LSEEE and uplift </w:t>
      </w:r>
      <w:r w:rsidR="00BB388B">
        <w:t>costs are</w:t>
      </w:r>
      <w:r w:rsidR="00C029A2" w:rsidRPr="00C029A2">
        <w:t xml:space="preserve"> higher in </w:t>
      </w:r>
      <w:r w:rsidR="00BB388B">
        <w:t xml:space="preserve">the </w:t>
      </w:r>
      <w:r w:rsidR="00C029A2" w:rsidRPr="00C029A2">
        <w:t xml:space="preserve">S2 constrained </w:t>
      </w:r>
      <w:r w:rsidR="00C029A2">
        <w:t xml:space="preserve">scenario </w:t>
      </w:r>
      <w:r w:rsidR="00C029A2" w:rsidRPr="00C029A2">
        <w:t>than in</w:t>
      </w:r>
      <w:r w:rsidR="004F2C0B">
        <w:t xml:space="preserve"> the</w:t>
      </w:r>
      <w:r w:rsidR="00C029A2" w:rsidRPr="00C029A2">
        <w:t xml:space="preserve"> S1 constrained </w:t>
      </w:r>
      <w:r w:rsidR="00C029A2">
        <w:t xml:space="preserve">scenario </w:t>
      </w:r>
      <w:r w:rsidR="00BB388B">
        <w:t xml:space="preserve">because </w:t>
      </w:r>
      <w:r w:rsidR="00C029A2" w:rsidRPr="00C029A2">
        <w:t>the Grid</w:t>
      </w:r>
      <w:r w:rsidR="0002063E">
        <w:t>V</w:t>
      </w:r>
      <w:r w:rsidR="00C029A2" w:rsidRPr="00C029A2">
        <w:t>iew model optimiz</w:t>
      </w:r>
      <w:r w:rsidR="00BB388B">
        <w:t>ed</w:t>
      </w:r>
      <w:r w:rsidR="00C029A2" w:rsidRPr="00C029A2">
        <w:t xml:space="preserve"> production cost rather than LSEEE</w:t>
      </w:r>
      <w:r w:rsidR="00C029A2">
        <w:t>.</w:t>
      </w:r>
      <w:r w:rsidR="00817992">
        <w:rPr>
          <w:rStyle w:val="FootnoteReference"/>
        </w:rPr>
        <w:footnoteReference w:id="30"/>
      </w:r>
      <w:r w:rsidR="00C029A2">
        <w:t xml:space="preserve"> </w:t>
      </w:r>
    </w:p>
    <w:p w:rsidR="00602736" w:rsidRDefault="00C029A2" w:rsidP="00AB0D3B">
      <w:pPr>
        <w:spacing w:after="0" w:line="240" w:lineRule="auto"/>
        <w:jc w:val="center"/>
      </w:pPr>
      <w:r w:rsidRPr="00C029A2">
        <w:rPr>
          <w:noProof/>
        </w:rPr>
        <w:drawing>
          <wp:inline distT="0" distB="0" distL="0" distR="0" wp14:anchorId="3A8C21FA" wp14:editId="2D004126">
            <wp:extent cx="5943600" cy="2935914"/>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935914"/>
                    </a:xfrm>
                    <a:prstGeom prst="rect">
                      <a:avLst/>
                    </a:prstGeom>
                    <a:noFill/>
                    <a:ln w="3175">
                      <a:solidFill>
                        <a:srgbClr val="000000"/>
                      </a:solidFill>
                    </a:ln>
                  </pic:spPr>
                </pic:pic>
              </a:graphicData>
            </a:graphic>
          </wp:inline>
        </w:drawing>
      </w:r>
    </w:p>
    <w:p w:rsidR="00AB0D3B" w:rsidRDefault="00AB0D3B" w:rsidP="00AB0D3B">
      <w:pPr>
        <w:pStyle w:val="Caption"/>
        <w:spacing w:before="120" w:after="240"/>
      </w:pPr>
      <w:bookmarkStart w:id="69" w:name="_Ref51782593"/>
      <w:bookmarkStart w:id="70" w:name="_Toc51784378"/>
      <w:r>
        <w:t xml:space="preserve">Figure </w:t>
      </w:r>
      <w:fldSimple w:instr=" STYLEREF 1 \s ">
        <w:r>
          <w:rPr>
            <w:noProof/>
          </w:rPr>
          <w:t>5</w:t>
        </w:r>
      </w:fldSimple>
      <w:r>
        <w:noBreakHyphen/>
      </w:r>
      <w:fldSimple w:instr=" SEQ Figure \* ARABIC \s 1 ">
        <w:r>
          <w:rPr>
            <w:noProof/>
          </w:rPr>
          <w:t>6</w:t>
        </w:r>
      </w:fldSimple>
      <w:bookmarkEnd w:id="69"/>
      <w:r>
        <w:t xml:space="preserve">: </w:t>
      </w:r>
      <w:r w:rsidRPr="00F41B5F">
        <w:rPr>
          <w:bCs w:val="0"/>
        </w:rPr>
        <w:t>Load-</w:t>
      </w:r>
      <w:r>
        <w:rPr>
          <w:bCs w:val="0"/>
        </w:rPr>
        <w:t>s</w:t>
      </w:r>
      <w:r w:rsidRPr="00F41B5F">
        <w:rPr>
          <w:bCs w:val="0"/>
        </w:rPr>
        <w:t xml:space="preserve">erving </w:t>
      </w:r>
      <w:r>
        <w:rPr>
          <w:bCs w:val="0"/>
        </w:rPr>
        <w:t>e</w:t>
      </w:r>
      <w:r w:rsidRPr="00F41B5F">
        <w:rPr>
          <w:bCs w:val="0"/>
        </w:rPr>
        <w:t xml:space="preserve">ntity </w:t>
      </w:r>
      <w:r>
        <w:rPr>
          <w:bCs w:val="0"/>
        </w:rPr>
        <w:t>e</w:t>
      </w:r>
      <w:r w:rsidRPr="00F41B5F">
        <w:rPr>
          <w:bCs w:val="0"/>
        </w:rPr>
        <w:t xml:space="preserve">nergy </w:t>
      </w:r>
      <w:r>
        <w:rPr>
          <w:bCs w:val="0"/>
        </w:rPr>
        <w:t>expenses and u</w:t>
      </w:r>
      <w:r w:rsidRPr="00F41B5F">
        <w:rPr>
          <w:bCs w:val="0"/>
        </w:rPr>
        <w:t xml:space="preserve">plift </w:t>
      </w:r>
      <w:r>
        <w:rPr>
          <w:bCs w:val="0"/>
        </w:rPr>
        <w:t>c</w:t>
      </w:r>
      <w:r w:rsidRPr="00F41B5F">
        <w:rPr>
          <w:bCs w:val="0"/>
        </w:rPr>
        <w:t xml:space="preserve">osts ($ </w:t>
      </w:r>
      <w:r>
        <w:rPr>
          <w:bCs w:val="0"/>
        </w:rPr>
        <w:t>m</w:t>
      </w:r>
      <w:r w:rsidRPr="00F41B5F">
        <w:rPr>
          <w:bCs w:val="0"/>
        </w:rPr>
        <w:t>illion)</w:t>
      </w:r>
      <w:r>
        <w:rPr>
          <w:bCs w:val="0"/>
        </w:rPr>
        <w:t>.</w:t>
      </w:r>
      <w:bookmarkEnd w:id="70"/>
    </w:p>
    <w:p w:rsidR="00602736" w:rsidRDefault="00602736" w:rsidP="004F2C0B">
      <w:pPr>
        <w:pStyle w:val="Heading2"/>
      </w:pPr>
      <w:bookmarkStart w:id="71" w:name="_Toc51784673"/>
      <w:r>
        <w:t>Native New England Resource CO</w:t>
      </w:r>
      <w:r w:rsidRPr="00E83C82">
        <w:rPr>
          <w:vertAlign w:val="subscript"/>
        </w:rPr>
        <w:t>2</w:t>
      </w:r>
      <w:r>
        <w:t xml:space="preserve"> E</w:t>
      </w:r>
      <w:r w:rsidRPr="00B46E4F">
        <w:t>missions</w:t>
      </w:r>
      <w:bookmarkEnd w:id="71"/>
    </w:p>
    <w:p w:rsidR="00BB388B" w:rsidRDefault="00DB323E" w:rsidP="00BE322B">
      <w:r w:rsidRPr="00BB388B">
        <w:t>The results for the metrics that assessed the environmental impacts associated with the different scenarios provide some insight on future emission trends. The total CO</w:t>
      </w:r>
      <w:r w:rsidRPr="00BB388B">
        <w:rPr>
          <w:vertAlign w:val="subscript"/>
        </w:rPr>
        <w:t>2</w:t>
      </w:r>
      <w:r w:rsidRPr="00BB388B">
        <w:t xml:space="preserve"> emissions associated with the different scenarios are directly associated with the type and amount of fossil fuels the different scenarios use to generate electricity. For the</w:t>
      </w:r>
      <w:r w:rsidR="001E343B" w:rsidRPr="00BB388B">
        <w:t xml:space="preserve"> </w:t>
      </w:r>
      <w:r w:rsidR="003821FC">
        <w:t xml:space="preserve">2019 </w:t>
      </w:r>
      <w:r w:rsidR="001E343B" w:rsidRPr="00BB388B">
        <w:t>RENEW</w:t>
      </w:r>
      <w:r w:rsidRPr="00BB388B">
        <w:t xml:space="preserve"> Economic Study, carbon emissions are similar across </w:t>
      </w:r>
      <w:r w:rsidR="005D76BA" w:rsidRPr="00BB388B">
        <w:t xml:space="preserve">all scenarios for native New England resources in the 2025 study year. As shown in </w:t>
      </w:r>
      <w:r w:rsidR="00513CC2">
        <w:fldChar w:fldCharType="begin"/>
      </w:r>
      <w:r w:rsidR="00513CC2">
        <w:instrText xml:space="preserve"> REF _Ref51694476 \h </w:instrText>
      </w:r>
      <w:r w:rsidR="00BE322B">
        <w:instrText xml:space="preserve"> \* MERGEFORMAT </w:instrText>
      </w:r>
      <w:r w:rsidR="00513CC2">
        <w:fldChar w:fldCharType="separate"/>
      </w:r>
      <w:r w:rsidR="00AB0D3B" w:rsidRPr="00442D2C">
        <w:t xml:space="preserve">Figure </w:t>
      </w:r>
      <w:r w:rsidR="00AB0D3B">
        <w:rPr>
          <w:noProof/>
        </w:rPr>
        <w:t>5</w:t>
      </w:r>
      <w:r w:rsidR="00AB0D3B">
        <w:noBreakHyphen/>
      </w:r>
      <w:r w:rsidR="00AB0D3B">
        <w:rPr>
          <w:noProof/>
        </w:rPr>
        <w:t>7</w:t>
      </w:r>
      <w:r w:rsidR="00513CC2">
        <w:fldChar w:fldCharType="end"/>
      </w:r>
      <w:r w:rsidR="005D76BA" w:rsidRPr="00BB388B">
        <w:t xml:space="preserve">, </w:t>
      </w:r>
      <w:r w:rsidR="001E343B" w:rsidRPr="00BB388B">
        <w:t>CO</w:t>
      </w:r>
      <w:r w:rsidR="001E343B" w:rsidRPr="00BB388B">
        <w:rPr>
          <w:vertAlign w:val="subscript"/>
        </w:rPr>
        <w:t>2</w:t>
      </w:r>
      <w:r w:rsidR="001E343B" w:rsidRPr="00BB388B">
        <w:t xml:space="preserve"> emissions </w:t>
      </w:r>
      <w:r w:rsidR="00513CC2">
        <w:t xml:space="preserve">decrease slightly </w:t>
      </w:r>
      <w:r w:rsidR="001E343B" w:rsidRPr="00BB388B">
        <w:t>as New Brunswick imports replace natural gas when the Orrington-South interface limit increases from the Base scenario to the S1 scenario and from S1 scenario to the S2 scenario</w:t>
      </w:r>
      <w:r w:rsidR="005D76BA" w:rsidRPr="00BB388B">
        <w:t xml:space="preserve">. </w:t>
      </w:r>
      <w:r w:rsidR="00B50F17" w:rsidRPr="00BB388B">
        <w:t>For the NECEC threshold</w:t>
      </w:r>
      <w:r w:rsidR="00AB0D3B">
        <w:t>-</w:t>
      </w:r>
      <w:r w:rsidR="00B50F17" w:rsidRPr="00BB388B">
        <w:t>price</w:t>
      </w:r>
      <w:r w:rsidR="00AB0D3B">
        <w:t>-</w:t>
      </w:r>
      <w:r w:rsidR="00B50F17" w:rsidRPr="00BB388B">
        <w:t xml:space="preserve">sensitivity scenario, </w:t>
      </w:r>
      <w:r w:rsidR="00C952FD" w:rsidRPr="00BB388B">
        <w:t>CO</w:t>
      </w:r>
      <w:r w:rsidR="00C952FD" w:rsidRPr="00BB388B">
        <w:rPr>
          <w:vertAlign w:val="subscript"/>
        </w:rPr>
        <w:t>2</w:t>
      </w:r>
      <w:r w:rsidR="00C952FD" w:rsidRPr="00BB388B">
        <w:t xml:space="preserve"> emissions</w:t>
      </w:r>
      <w:r w:rsidR="00513CC2">
        <w:t xml:space="preserve"> do not differ significantly</w:t>
      </w:r>
      <w:r w:rsidR="00C952FD" w:rsidRPr="00BB388B">
        <w:t>.</w:t>
      </w:r>
    </w:p>
    <w:p w:rsidR="00AB0D3B" w:rsidRDefault="00BE322B" w:rsidP="00E71B02">
      <w:pPr>
        <w:spacing w:after="0" w:line="240" w:lineRule="auto"/>
        <w:jc w:val="center"/>
      </w:pPr>
      <w:r w:rsidRPr="00BE322B">
        <w:rPr>
          <w:noProof/>
        </w:rPr>
        <w:drawing>
          <wp:inline distT="0" distB="0" distL="0" distR="0" wp14:anchorId="7DD013A9" wp14:editId="328F37D3">
            <wp:extent cx="4754124" cy="2486476"/>
            <wp:effectExtent l="19050" t="19050" r="2794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288" cy="2490746"/>
                    </a:xfrm>
                    <a:prstGeom prst="rect">
                      <a:avLst/>
                    </a:prstGeom>
                    <a:noFill/>
                    <a:ln w="3175">
                      <a:solidFill>
                        <a:srgbClr val="000000"/>
                      </a:solidFill>
                    </a:ln>
                  </pic:spPr>
                </pic:pic>
              </a:graphicData>
            </a:graphic>
          </wp:inline>
        </w:drawing>
      </w:r>
    </w:p>
    <w:p w:rsidR="00BB388B" w:rsidRPr="00442D2C" w:rsidRDefault="00BB388B" w:rsidP="00CC6422">
      <w:pPr>
        <w:pStyle w:val="Caption"/>
        <w:spacing w:before="120" w:after="240"/>
        <w:ind w:left="907"/>
      </w:pPr>
      <w:bookmarkStart w:id="72" w:name="_Ref51694476"/>
      <w:bookmarkStart w:id="73" w:name="_Toc51784379"/>
      <w:r w:rsidRPr="00442D2C">
        <w:t xml:space="preserve">Figure </w:t>
      </w:r>
      <w:fldSimple w:instr=" STYLEREF 1 \s ">
        <w:r w:rsidR="00AB0D3B">
          <w:rPr>
            <w:noProof/>
          </w:rPr>
          <w:t>5</w:t>
        </w:r>
      </w:fldSimple>
      <w:r w:rsidR="00AB0D3B">
        <w:noBreakHyphen/>
      </w:r>
      <w:fldSimple w:instr=" SEQ Figure \* ARABIC \s 1 ">
        <w:r w:rsidR="00AB0D3B">
          <w:rPr>
            <w:noProof/>
          </w:rPr>
          <w:t>7</w:t>
        </w:r>
      </w:fldSimple>
      <w:bookmarkEnd w:id="72"/>
      <w:r w:rsidRPr="00442D2C">
        <w:t xml:space="preserve">: </w:t>
      </w:r>
      <w:r w:rsidRPr="00442D2C">
        <w:rPr>
          <w:bCs w:val="0"/>
        </w:rPr>
        <w:t>Native New England resource CO</w:t>
      </w:r>
      <w:r w:rsidRPr="00442D2C">
        <w:rPr>
          <w:bCs w:val="0"/>
          <w:vertAlign w:val="subscript"/>
        </w:rPr>
        <w:t>2</w:t>
      </w:r>
      <w:r w:rsidRPr="00442D2C">
        <w:rPr>
          <w:bCs w:val="0"/>
        </w:rPr>
        <w:t xml:space="preserve"> emissions (millions of short tons).</w:t>
      </w:r>
      <w:bookmarkEnd w:id="73"/>
    </w:p>
    <w:p w:rsidR="00B46E4F" w:rsidRPr="00BE322B" w:rsidRDefault="00F45227" w:rsidP="00BE322B">
      <w:pPr>
        <w:pStyle w:val="Heading2"/>
      </w:pPr>
      <w:bookmarkStart w:id="74" w:name="_Toc51784674"/>
      <w:r w:rsidRPr="00BE322B">
        <w:t>Annual Average Locational Marginal P</w:t>
      </w:r>
      <w:r w:rsidR="00B46E4F" w:rsidRPr="00BE322B">
        <w:t>rices</w:t>
      </w:r>
      <w:bookmarkEnd w:id="74"/>
    </w:p>
    <w:p w:rsidR="00174C8C" w:rsidRDefault="007162A7" w:rsidP="00174C8C">
      <w:r>
        <w:t>I</w:t>
      </w:r>
      <w:r w:rsidR="004B3F19" w:rsidRPr="0002063E">
        <w:t>ncreasing the Orrington</w:t>
      </w:r>
      <w:r w:rsidR="009F7D0E">
        <w:t>-</w:t>
      </w:r>
      <w:r w:rsidR="004B3F19" w:rsidRPr="0002063E">
        <w:t>South interface limits</w:t>
      </w:r>
      <w:r w:rsidR="00A123BE" w:rsidRPr="0002063E">
        <w:t xml:space="preserve"> </w:t>
      </w:r>
      <w:r>
        <w:t xml:space="preserve">revealed the impacts to </w:t>
      </w:r>
      <w:r w:rsidR="00A123BE" w:rsidRPr="0002063E">
        <w:t xml:space="preserve">average </w:t>
      </w:r>
      <w:r w:rsidR="00623BCA" w:rsidRPr="0002063E">
        <w:t>locational marginal pri</w:t>
      </w:r>
      <w:r w:rsidR="00623BCA" w:rsidRPr="00BE322B">
        <w:t xml:space="preserve">ces </w:t>
      </w:r>
      <w:r w:rsidR="00FD2A57" w:rsidRPr="00BE322B">
        <w:t>f</w:t>
      </w:r>
      <w:r w:rsidR="00FD2A57" w:rsidRPr="0002063E">
        <w:t>or</w:t>
      </w:r>
      <w:r w:rsidR="00A123BE" w:rsidRPr="0002063E">
        <w:t xml:space="preserve"> selected RSP subareas</w:t>
      </w:r>
      <w:r>
        <w:t xml:space="preserve"> for the </w:t>
      </w:r>
      <w:r w:rsidR="00A123BE" w:rsidRPr="004F298C">
        <w:t xml:space="preserve">constrained and </w:t>
      </w:r>
      <w:r w:rsidR="006605AC">
        <w:t>relaxed</w:t>
      </w:r>
      <w:r w:rsidR="00513CC2">
        <w:t>-</w:t>
      </w:r>
      <w:r w:rsidR="00A123BE" w:rsidRPr="004F298C">
        <w:t>constrain</w:t>
      </w:r>
      <w:r w:rsidR="006605AC">
        <w:t>t</w:t>
      </w:r>
      <w:r w:rsidR="00A123BE" w:rsidRPr="004F298C">
        <w:t xml:space="preserve"> </w:t>
      </w:r>
      <w:r w:rsidR="00FD2A57">
        <w:t>scenarios</w:t>
      </w:r>
      <w:r w:rsidR="00A123BE" w:rsidRPr="004F298C">
        <w:t xml:space="preserve"> </w:t>
      </w:r>
      <w:r w:rsidR="00174C8C">
        <w:t>for</w:t>
      </w:r>
      <w:r w:rsidR="00A123BE" w:rsidRPr="004F298C">
        <w:t xml:space="preserve"> </w:t>
      </w:r>
      <w:r w:rsidR="00A123BE">
        <w:t xml:space="preserve">the </w:t>
      </w:r>
      <w:r w:rsidR="00174C8C">
        <w:t>2025</w:t>
      </w:r>
      <w:r w:rsidR="00A123BE">
        <w:t xml:space="preserve"> study year</w:t>
      </w:r>
      <w:r w:rsidR="00174C8C">
        <w:t xml:space="preserve">. </w:t>
      </w:r>
      <w:r w:rsidR="00BE322B">
        <w:t xml:space="preserve">The results showed that </w:t>
      </w:r>
      <w:r w:rsidR="00174C8C" w:rsidRPr="00192438">
        <w:t xml:space="preserve">price separation between the BHE RSP </w:t>
      </w:r>
      <w:r w:rsidR="00BE322B" w:rsidRPr="00FF5A6F">
        <w:t>subarea</w:t>
      </w:r>
      <w:r w:rsidR="00174C8C" w:rsidRPr="00192438">
        <w:t xml:space="preserve"> and th</w:t>
      </w:r>
      <w:r w:rsidR="00174C8C" w:rsidRPr="00BE322B">
        <w:t xml:space="preserve">e </w:t>
      </w:r>
      <w:r w:rsidR="00BE322B" w:rsidRPr="00BE322B">
        <w:t>R</w:t>
      </w:r>
      <w:r w:rsidR="00174C8C" w:rsidRPr="00BE322B">
        <w:t xml:space="preserve">est of </w:t>
      </w:r>
      <w:r w:rsidR="00BE322B" w:rsidRPr="00BE322B">
        <w:t>S</w:t>
      </w:r>
      <w:r w:rsidR="00174C8C" w:rsidRPr="00BE322B">
        <w:t>ystem i</w:t>
      </w:r>
      <w:r w:rsidR="00174C8C" w:rsidRPr="00192438">
        <w:t>s largest in the Base scenario and smallest in S2 scenario for both the constrained and rela</w:t>
      </w:r>
      <w:r w:rsidR="00174C8C" w:rsidRPr="00BE322B">
        <w:t>xed</w:t>
      </w:r>
      <w:r w:rsidR="006605AC" w:rsidRPr="00BE322B">
        <w:t>-</w:t>
      </w:r>
      <w:r w:rsidR="00174C8C" w:rsidRPr="00192438">
        <w:t>constrai</w:t>
      </w:r>
      <w:r w:rsidR="00174C8C" w:rsidRPr="00BE322B">
        <w:t>nt scenarios</w:t>
      </w:r>
      <w:r w:rsidR="00174C8C">
        <w:t xml:space="preserve">. </w:t>
      </w:r>
      <w:r w:rsidR="00174C8C" w:rsidRPr="00174C8C">
        <w:t>The annual BHE</w:t>
      </w:r>
      <w:r w:rsidR="00174C8C">
        <w:t xml:space="preserve"> RSP </w:t>
      </w:r>
      <w:r w:rsidR="00BE322B">
        <w:t>subarea</w:t>
      </w:r>
      <w:r w:rsidR="00174C8C" w:rsidRPr="00174C8C">
        <w:t xml:space="preserve"> LMP increases as congestion at the Orrington-South </w:t>
      </w:r>
      <w:r w:rsidR="00BE322B">
        <w:t>i</w:t>
      </w:r>
      <w:r w:rsidR="00174C8C" w:rsidRPr="00174C8C">
        <w:t xml:space="preserve">nterface decreases </w:t>
      </w:r>
      <w:r w:rsidR="00174C8C">
        <w:t xml:space="preserve">because </w:t>
      </w:r>
      <w:r w:rsidR="00513CC2">
        <w:t xml:space="preserve">energy from New Brunswick imports is setting </w:t>
      </w:r>
      <w:r w:rsidR="00174C8C" w:rsidRPr="00174C8C">
        <w:t>the subarea’s LMP less frequently</w:t>
      </w:r>
      <w:r w:rsidR="00174C8C">
        <w:t xml:space="preserve">. In fact, </w:t>
      </w:r>
      <w:r w:rsidR="00513CC2">
        <w:t xml:space="preserve">the </w:t>
      </w:r>
      <w:r w:rsidR="00174C8C" w:rsidRPr="00174C8C">
        <w:t>LMP</w:t>
      </w:r>
      <w:r w:rsidR="00174C8C">
        <w:t>s</w:t>
      </w:r>
      <w:r w:rsidR="00174C8C" w:rsidRPr="00174C8C">
        <w:t xml:space="preserve"> change very little for</w:t>
      </w:r>
      <w:r w:rsidR="00174C8C">
        <w:t xml:space="preserve"> other RSP</w:t>
      </w:r>
      <w:r w:rsidR="00174C8C" w:rsidRPr="00174C8C">
        <w:t xml:space="preserve"> subareas</w:t>
      </w:r>
      <w:r w:rsidR="00174C8C">
        <w:t xml:space="preserve">. See </w:t>
      </w:r>
      <w:r w:rsidR="00513CC2">
        <w:fldChar w:fldCharType="begin"/>
      </w:r>
      <w:r w:rsidR="00513CC2">
        <w:instrText xml:space="preserve"> REF _Ref42675768 \h </w:instrText>
      </w:r>
      <w:r w:rsidR="00513CC2">
        <w:fldChar w:fldCharType="separate"/>
      </w:r>
      <w:r w:rsidR="00BE322B">
        <w:t xml:space="preserve">Figure </w:t>
      </w:r>
      <w:r w:rsidR="00BE322B">
        <w:rPr>
          <w:noProof/>
        </w:rPr>
        <w:t>5</w:t>
      </w:r>
      <w:r w:rsidR="00BE322B">
        <w:noBreakHyphen/>
      </w:r>
      <w:r w:rsidR="00BE322B">
        <w:rPr>
          <w:noProof/>
        </w:rPr>
        <w:t>8</w:t>
      </w:r>
      <w:r w:rsidR="00513CC2">
        <w:fldChar w:fldCharType="end"/>
      </w:r>
      <w:r w:rsidR="00174C8C">
        <w:t>.</w:t>
      </w:r>
      <w:r w:rsidR="00FA4459">
        <w:t xml:space="preserve"> </w:t>
      </w:r>
      <w:r>
        <w:t>T</w:t>
      </w:r>
      <w:r w:rsidR="00513CC2" w:rsidRPr="00BE322B">
        <w:t xml:space="preserve">he </w:t>
      </w:r>
      <w:r w:rsidR="00FA4459" w:rsidRPr="00BE322B">
        <w:t>LMP</w:t>
      </w:r>
      <w:r w:rsidR="007847B9" w:rsidRPr="00BE322B">
        <w:t>s</w:t>
      </w:r>
      <w:r>
        <w:t xml:space="preserve"> do not differ</w:t>
      </w:r>
      <w:r w:rsidR="00BE322B" w:rsidRPr="00BE322B">
        <w:t>,</w:t>
      </w:r>
      <w:r w:rsidR="007847B9" w:rsidRPr="00BE322B">
        <w:t xml:space="preserve"> re</w:t>
      </w:r>
      <w:r w:rsidR="007847B9">
        <w:t xml:space="preserve">gardless of the NECEC </w:t>
      </w:r>
      <w:r w:rsidR="00513CC2">
        <w:t>t</w:t>
      </w:r>
      <w:r w:rsidR="007847B9">
        <w:t xml:space="preserve">hreshold </w:t>
      </w:r>
      <w:r w:rsidR="00513CC2">
        <w:t>p</w:t>
      </w:r>
      <w:r w:rsidR="007847B9">
        <w:t xml:space="preserve">rice. </w:t>
      </w:r>
    </w:p>
    <w:p w:rsidR="00BE322B" w:rsidRDefault="00BE322B" w:rsidP="00192438">
      <w:pPr>
        <w:spacing w:after="0" w:line="240" w:lineRule="auto"/>
        <w:jc w:val="center"/>
      </w:pPr>
      <w:r w:rsidRPr="00BE322B">
        <w:rPr>
          <w:noProof/>
        </w:rPr>
        <w:drawing>
          <wp:inline distT="0" distB="0" distL="0" distR="0" wp14:anchorId="3B5D7630" wp14:editId="0B8BF5CB">
            <wp:extent cx="4887111" cy="2432350"/>
            <wp:effectExtent l="19050" t="19050" r="2794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4940" cy="2436246"/>
                    </a:xfrm>
                    <a:prstGeom prst="rect">
                      <a:avLst/>
                    </a:prstGeom>
                    <a:noFill/>
                    <a:ln w="3175">
                      <a:solidFill>
                        <a:srgbClr val="000000"/>
                      </a:solidFill>
                    </a:ln>
                  </pic:spPr>
                </pic:pic>
              </a:graphicData>
            </a:graphic>
          </wp:inline>
        </w:drawing>
      </w:r>
    </w:p>
    <w:p w:rsidR="00B13496" w:rsidRDefault="00513CC2" w:rsidP="00CC6422">
      <w:pPr>
        <w:pStyle w:val="Caption"/>
        <w:spacing w:before="120" w:after="240"/>
        <w:ind w:firstLine="907"/>
      </w:pPr>
      <w:bookmarkStart w:id="75" w:name="_Ref42675768"/>
      <w:bookmarkStart w:id="76" w:name="_Toc51784380"/>
      <w:r>
        <w:t xml:space="preserve">Figure </w:t>
      </w:r>
      <w:fldSimple w:instr=" STYLEREF 1 \s ">
        <w:r w:rsidR="00AB0D3B">
          <w:rPr>
            <w:noProof/>
          </w:rPr>
          <w:t>5</w:t>
        </w:r>
      </w:fldSimple>
      <w:r w:rsidR="00AB0D3B">
        <w:noBreakHyphen/>
      </w:r>
      <w:fldSimple w:instr=" SEQ Figure \* ARABIC \s 1 ">
        <w:r w:rsidR="00AB0D3B">
          <w:rPr>
            <w:noProof/>
          </w:rPr>
          <w:t>8</w:t>
        </w:r>
      </w:fldSimple>
      <w:bookmarkEnd w:id="75"/>
      <w:r w:rsidR="00913683">
        <w:t xml:space="preserve">: </w:t>
      </w:r>
      <w:r w:rsidR="00913683" w:rsidRPr="001C4363">
        <w:rPr>
          <w:bCs w:val="0"/>
        </w:rPr>
        <w:t xml:space="preserve">Annual </w:t>
      </w:r>
      <w:r w:rsidR="00913683">
        <w:rPr>
          <w:bCs w:val="0"/>
        </w:rPr>
        <w:t>a</w:t>
      </w:r>
      <w:r w:rsidR="00913683" w:rsidRPr="001C4363">
        <w:rPr>
          <w:bCs w:val="0"/>
        </w:rPr>
        <w:t xml:space="preserve">verage LMPs by RSP </w:t>
      </w:r>
      <w:r w:rsidR="00913683">
        <w:rPr>
          <w:bCs w:val="0"/>
        </w:rPr>
        <w:t>s</w:t>
      </w:r>
      <w:r w:rsidR="00913683" w:rsidRPr="001C4363">
        <w:rPr>
          <w:bCs w:val="0"/>
        </w:rPr>
        <w:t>ubarea ($/MWh)</w:t>
      </w:r>
      <w:r w:rsidR="00913683">
        <w:rPr>
          <w:bCs w:val="0"/>
        </w:rPr>
        <w:t>.</w:t>
      </w:r>
      <w:bookmarkEnd w:id="76"/>
    </w:p>
    <w:p w:rsidR="00803F1A" w:rsidRPr="00414C91" w:rsidRDefault="00977DD4" w:rsidP="00623F88">
      <w:pPr>
        <w:pStyle w:val="Heading1"/>
        <w:rPr>
          <w:rFonts w:ascii="Cambria" w:hAnsi="Cambria"/>
          <w:color w:val="auto"/>
          <w:sz w:val="20"/>
          <w:szCs w:val="22"/>
        </w:rPr>
      </w:pPr>
      <w:bookmarkStart w:id="77" w:name="_Ref166224595"/>
      <w:bookmarkStart w:id="78" w:name="_Toc173682315"/>
      <w:bookmarkStart w:id="79" w:name="_Ref462056355"/>
      <w:bookmarkStart w:id="80" w:name="_Ref476319046"/>
      <w:r>
        <w:br/>
      </w:r>
      <w:bookmarkStart w:id="81" w:name="_Toc51784675"/>
      <w:bookmarkEnd w:id="77"/>
      <w:bookmarkEnd w:id="78"/>
      <w:bookmarkEnd w:id="79"/>
      <w:bookmarkEnd w:id="80"/>
      <w:r w:rsidR="001E44EB">
        <w:t>Summary</w:t>
      </w:r>
      <w:bookmarkEnd w:id="81"/>
      <w:r w:rsidR="00803F1A" w:rsidRPr="00414C91">
        <w:rPr>
          <w:rFonts w:ascii="Cambria" w:hAnsi="Cambria"/>
          <w:color w:val="auto"/>
          <w:sz w:val="20"/>
          <w:szCs w:val="22"/>
        </w:rPr>
        <w:t xml:space="preserve"> </w:t>
      </w:r>
    </w:p>
    <w:p w:rsidR="0004111D" w:rsidRDefault="001E44EB" w:rsidP="001E44EB">
      <w:r w:rsidRPr="009A0A73">
        <w:t>Th</w:t>
      </w:r>
      <w:r w:rsidR="00DF6765">
        <w:t xml:space="preserve">e </w:t>
      </w:r>
      <w:r w:rsidR="003821FC">
        <w:t xml:space="preserve">2019 </w:t>
      </w:r>
      <w:r w:rsidR="00753C6C">
        <w:t>RENEW</w:t>
      </w:r>
      <w:r>
        <w:t xml:space="preserve"> Economic Study </w:t>
      </w:r>
      <w:r w:rsidRPr="007175D2">
        <w:t>assess</w:t>
      </w:r>
      <w:r>
        <w:t>ed</w:t>
      </w:r>
      <w:r w:rsidRPr="007175D2">
        <w:t xml:space="preserve"> </w:t>
      </w:r>
      <w:r w:rsidRPr="001E1293">
        <w:t>the</w:t>
      </w:r>
      <w:r w:rsidR="00414C91">
        <w:t xml:space="preserve"> economic impacts of increases in operating l</w:t>
      </w:r>
      <w:r w:rsidR="00414C91" w:rsidRPr="00414C91">
        <w:t xml:space="preserve">imits of the Orrington-South </w:t>
      </w:r>
      <w:r w:rsidR="0040772F">
        <w:t>i</w:t>
      </w:r>
      <w:r w:rsidR="00414C91" w:rsidRPr="00414C91">
        <w:t>nterface</w:t>
      </w:r>
      <w:r w:rsidR="00414C91">
        <w:t xml:space="preserve"> in Maine</w:t>
      </w:r>
      <w:r w:rsidR="00414C91" w:rsidRPr="00414C91">
        <w:t xml:space="preserve">. Three distinct </w:t>
      </w:r>
      <w:r w:rsidR="00414C91">
        <w:t>s</w:t>
      </w:r>
      <w:r w:rsidR="00414C91" w:rsidRPr="009C2D9C">
        <w:t xml:space="preserve">cenarios </w:t>
      </w:r>
      <w:r w:rsidR="00414C91">
        <w:t xml:space="preserve">of transmission buildout were examined. As expected, congestion of the Orrington-South interface was reduced </w:t>
      </w:r>
      <w:r w:rsidR="00DF6765">
        <w:t xml:space="preserve">with the conceptual </w:t>
      </w:r>
      <w:r w:rsidR="00414C91">
        <w:t xml:space="preserve">additional transmission buildout, specifically </w:t>
      </w:r>
      <w:r w:rsidR="00DF6765">
        <w:t xml:space="preserve">the </w:t>
      </w:r>
      <w:r w:rsidR="00414C91">
        <w:t>addi</w:t>
      </w:r>
      <w:r w:rsidR="00DF6765">
        <w:t>tion of</w:t>
      </w:r>
      <w:r w:rsidR="00414C91">
        <w:t xml:space="preserve"> the Cooper Mills </w:t>
      </w:r>
      <w:r w:rsidR="00377EDE">
        <w:t xml:space="preserve">STATCOM </w:t>
      </w:r>
      <w:r w:rsidR="00414C91">
        <w:t>and a new 345 KV transmission path from the Orrington substation to the Maine Yankee st</w:t>
      </w:r>
      <w:r w:rsidR="00414C91" w:rsidRPr="00F10054">
        <w:t xml:space="preserve">ation. </w:t>
      </w:r>
      <w:r w:rsidR="0004111D" w:rsidRPr="00F10054">
        <w:t xml:space="preserve">Congestion </w:t>
      </w:r>
      <w:r w:rsidR="00AD5AB3" w:rsidRPr="00F10054">
        <w:t xml:space="preserve">varied </w:t>
      </w:r>
      <w:r w:rsidR="0004111D" w:rsidRPr="00F10054">
        <w:t>monthly</w:t>
      </w:r>
      <w:r w:rsidR="00AD5AB3" w:rsidRPr="00F10054">
        <w:t>.</w:t>
      </w:r>
      <w:r w:rsidR="0004111D" w:rsidRPr="00F10054">
        <w:t xml:space="preserve"> </w:t>
      </w:r>
      <w:r w:rsidR="00AD5AB3" w:rsidRPr="00F10054">
        <w:t xml:space="preserve">Generally, times of low load and high </w:t>
      </w:r>
      <w:r w:rsidR="0040772F">
        <w:t xml:space="preserve">production by </w:t>
      </w:r>
      <w:r w:rsidR="00AD5AB3" w:rsidRPr="00F10054">
        <w:t xml:space="preserve">renewable </w:t>
      </w:r>
      <w:r w:rsidR="0040772F">
        <w:t>resources</w:t>
      </w:r>
      <w:r w:rsidR="00AD5AB3" w:rsidRPr="00F10054">
        <w:t xml:space="preserve"> resulted in the greatest amount of congestion</w:t>
      </w:r>
      <w:r w:rsidR="00DF6765" w:rsidRPr="00F10054">
        <w:t>, w</w:t>
      </w:r>
      <w:r w:rsidR="00AD5AB3" w:rsidRPr="00F10054">
        <w:t xml:space="preserve">hile times of </w:t>
      </w:r>
      <w:r w:rsidR="00DF6765" w:rsidRPr="00F10054">
        <w:t xml:space="preserve">high loads and </w:t>
      </w:r>
      <w:r w:rsidR="00AD5AB3" w:rsidRPr="00F10054">
        <w:t xml:space="preserve">low </w:t>
      </w:r>
      <w:r w:rsidR="006E726E">
        <w:t xml:space="preserve">production by </w:t>
      </w:r>
      <w:r w:rsidR="00AD5AB3" w:rsidRPr="00F10054">
        <w:t>renewable</w:t>
      </w:r>
      <w:r w:rsidR="006E726E">
        <w:t>s</w:t>
      </w:r>
      <w:r w:rsidR="00AD5AB3" w:rsidRPr="00F10054">
        <w:t xml:space="preserve"> resulted in the least amount of congestion.</w:t>
      </w:r>
      <w:r w:rsidR="0004111D" w:rsidRPr="00F10054">
        <w:t xml:space="preserve">  </w:t>
      </w:r>
    </w:p>
    <w:p w:rsidR="004B3F19" w:rsidRDefault="004B3F19" w:rsidP="004B3F19">
      <w:pPr>
        <w:pStyle w:val="CommentText"/>
      </w:pPr>
      <w:r>
        <w:t xml:space="preserve">Production cost savings were shown to be approximately $4 and $8 million per year with about 75% of the saving arising from a simplifying assumption that energy imported from New Brunswick had a zero production cost charge to New England. Assigning a cost to the energy imported from New Brunswick at a New England LMP would reduce the adjusted savings to $1 and $2 million per year. </w:t>
      </w:r>
      <w:r w:rsidR="00A2775D">
        <w:t>The limited reduction in production cost savings based on the assumptions in this study is not significant enough to merit investigation of a Market Efficiency Transmission Upgrade.</w:t>
      </w:r>
    </w:p>
    <w:p w:rsidR="00635C26" w:rsidRPr="00675A2D" w:rsidRDefault="00635C26" w:rsidP="00E712DA"/>
    <w:sectPr w:rsidR="00635C26" w:rsidRPr="00675A2D" w:rsidSect="00222C81">
      <w:footerReference w:type="default" r:id="rId3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E1B" w:rsidRDefault="00BD6E1B">
      <w:r>
        <w:separator/>
      </w:r>
    </w:p>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endnote>
  <w:endnote w:type="continuationSeparator" w:id="0">
    <w:p w:rsidR="00BD6E1B" w:rsidRDefault="00BD6E1B">
      <w:r>
        <w:continuationSeparator/>
      </w:r>
    </w:p>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p w:rsidR="00BD6E1B" w:rsidRDefault="00BD6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hitney-Book">
    <w:altName w:val="Whitney Book"/>
    <w:panose1 w:val="00000000000000000000"/>
    <w:charset w:val="4D"/>
    <w:family w:val="auto"/>
    <w:notTrueType/>
    <w:pitch w:val="default"/>
    <w:sig w:usb0="00000003" w:usb1="00000000" w:usb2="00000000" w:usb3="00000000" w:csb0="00000001" w:csb1="00000000"/>
  </w:font>
  <w:font w:name="OpenSans-Bold">
    <w:altName w:val="Open Sans"/>
    <w:charset w:val="00"/>
    <w:family w:val="auto"/>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Default="00BD6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Default="00BD6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Default="00BD6E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Pr="00E1050A" w:rsidRDefault="00BD6E1B" w:rsidP="00D85494">
    <w:pPr>
      <w:tabs>
        <w:tab w:val="left" w:pos="1480"/>
      </w:tabs>
      <w:adjustRightInd/>
      <w:spacing w:after="0" w:line="240" w:lineRule="auto"/>
      <w:textAlignment w:val="auto"/>
      <w:rPr>
        <w:rFonts w:eastAsia="Calibr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Default="00BD6E1B" w:rsidP="00A7198B">
    <w:pPr>
      <w:tabs>
        <w:tab w:val="center" w:pos="7200"/>
        <w:tab w:val="right" w:pos="9000"/>
      </w:tabs>
      <w:adjustRightInd/>
      <w:spacing w:after="0" w:line="240" w:lineRule="auto"/>
      <w:textAlignment w:val="auto"/>
      <w:rPr>
        <w:rFonts w:eastAsia="Calibri"/>
        <w:sz w:val="16"/>
        <w:szCs w:val="16"/>
      </w:rPr>
    </w:pPr>
    <w:r w:rsidRPr="00A7198B">
      <w:rPr>
        <w:rFonts w:eastAsia="Calibri"/>
        <w:i/>
        <w:sz w:val="16"/>
        <w:szCs w:val="16"/>
      </w:rPr>
      <w:t>2019 Economic Study:</w:t>
    </w:r>
    <w:r>
      <w:rPr>
        <w:rFonts w:eastAsia="Calibri"/>
        <w:i/>
        <w:sz w:val="16"/>
        <w:szCs w:val="16"/>
      </w:rPr>
      <w:t xml:space="preserve"> Increasing Orrington-South Operating Limits</w:t>
    </w:r>
    <w:r w:rsidDel="00381209">
      <w:rPr>
        <w:rFonts w:eastAsia="Calibri"/>
        <w:i/>
        <w:sz w:val="16"/>
        <w:szCs w:val="16"/>
      </w:rPr>
      <w:t xml:space="preserve"> </w:t>
    </w:r>
    <w:r>
      <w:rPr>
        <w:rFonts w:eastAsia="Calibri"/>
        <w:i/>
        <w:sz w:val="16"/>
        <w:szCs w:val="16"/>
      </w:rPr>
      <w:t xml:space="preserve"> </w:t>
    </w:r>
    <w:r>
      <w:rPr>
        <w:rFonts w:eastAsia="Calibri"/>
        <w:i/>
        <w:sz w:val="16"/>
        <w:szCs w:val="16"/>
      </w:rPr>
      <w:tab/>
      <w:t xml:space="preserve">                                                                                      </w:t>
    </w:r>
    <w:r w:rsidRPr="00AB7EAC">
      <w:rPr>
        <w:rFonts w:eastAsia="Calibri"/>
        <w:sz w:val="16"/>
        <w:szCs w:val="16"/>
      </w:rPr>
      <w:t>pag</w:t>
    </w:r>
    <w:r>
      <w:rPr>
        <w:rFonts w:eastAsia="Calibri"/>
        <w:sz w:val="16"/>
        <w:szCs w:val="16"/>
      </w:rPr>
      <w:t>e</w:t>
    </w:r>
    <w:r w:rsidRPr="00AB7EAC">
      <w:rPr>
        <w:rFonts w:eastAsia="Calibri"/>
        <w:sz w:val="16"/>
        <w:szCs w:val="16"/>
      </w:rPr>
      <w:t xml:space="preserv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89055C">
      <w:rPr>
        <w:rFonts w:eastAsia="Calibri"/>
        <w:noProof/>
        <w:sz w:val="16"/>
        <w:szCs w:val="16"/>
      </w:rPr>
      <w:t>iv</w:t>
    </w:r>
    <w:r w:rsidRPr="00AB7EAC">
      <w:rPr>
        <w:rFonts w:eastAsia="Calibri"/>
        <w:noProof/>
        <w:sz w:val="16"/>
        <w:szCs w:val="16"/>
      </w:rPr>
      <w:fldChar w:fldCharType="end"/>
    </w:r>
    <w:r w:rsidRPr="00AB7EAC">
      <w:rPr>
        <w:rFonts w:eastAsia="Calibri"/>
        <w:sz w:val="16"/>
        <w:szCs w:val="16"/>
      </w:rPr>
      <w:tab/>
    </w:r>
  </w:p>
  <w:p w:rsidR="00BD6E1B" w:rsidRDefault="00BD6E1B" w:rsidP="009E2582">
    <w:pPr>
      <w:tabs>
        <w:tab w:val="left" w:pos="1480"/>
        <w:tab w:val="center" w:pos="4680"/>
        <w:tab w:val="left" w:pos="5640"/>
      </w:tabs>
      <w:adjustRightInd/>
      <w:spacing w:after="0" w:line="240" w:lineRule="auto"/>
      <w:textAlignment w:val="auto"/>
      <w:rPr>
        <w:rFonts w:eastAsia="Calibri"/>
        <w:sz w:val="16"/>
        <w:szCs w:val="16"/>
      </w:rPr>
    </w:pPr>
    <w:r>
      <w:rPr>
        <w:rFonts w:eastAsia="Calibri"/>
        <w:sz w:val="16"/>
        <w:szCs w:val="16"/>
      </w:rPr>
      <w:tab/>
    </w:r>
    <w:r>
      <w:rPr>
        <w:rFonts w:eastAsia="Calibri"/>
        <w:sz w:val="16"/>
        <w:szCs w:val="16"/>
      </w:rPr>
      <w:tab/>
    </w:r>
    <w:r>
      <w:rPr>
        <w:rFonts w:eastAsia="Calibri"/>
        <w:sz w:val="16"/>
        <w:szCs w:val="16"/>
      </w:rPr>
      <w:tab/>
    </w:r>
  </w:p>
  <w:p w:rsidR="00BD6E1B" w:rsidRPr="00E1050A" w:rsidRDefault="00BD6E1B" w:rsidP="00D85494">
    <w:pPr>
      <w:tabs>
        <w:tab w:val="center" w:pos="4680"/>
        <w:tab w:val="right" w:pos="9360"/>
      </w:tabs>
      <w:adjustRightInd/>
      <w:spacing w:after="0" w:line="240" w:lineRule="auto"/>
      <w:jc w:val="center"/>
      <w:textAlignment w:val="auto"/>
      <w:rPr>
        <w:rFonts w:eastAsia="Calibri"/>
        <w:sz w:val="16"/>
        <w:szCs w:val="16"/>
      </w:rPr>
    </w:pPr>
    <w:r w:rsidRPr="00AB7EAC">
      <w:rPr>
        <w:rFonts w:eastAsia="Calibri"/>
        <w:sz w:val="16"/>
        <w:szCs w:val="16"/>
      </w:rPr>
      <w:t xml:space="preserve">ISO-NE </w:t>
    </w:r>
    <w:r>
      <w:rPr>
        <w:rFonts w:eastAsia="Calibri"/>
        <w:sz w:val="16"/>
        <w:szCs w:val="16"/>
      </w:rPr>
      <w:t>PUBLIC</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Default="00BD6E1B" w:rsidP="00D431AB">
    <w:pPr>
      <w:tabs>
        <w:tab w:val="center" w:pos="7200"/>
        <w:tab w:val="right" w:pos="9000"/>
      </w:tabs>
      <w:adjustRightInd/>
      <w:spacing w:after="0" w:line="240" w:lineRule="auto"/>
      <w:textAlignment w:val="auto"/>
      <w:rPr>
        <w:rFonts w:eastAsia="Calibri"/>
        <w:sz w:val="16"/>
        <w:szCs w:val="16"/>
      </w:rPr>
    </w:pPr>
    <w:r>
      <w:cr/>
    </w:r>
    <w:r w:rsidRPr="00A7198B">
      <w:rPr>
        <w:rFonts w:eastAsia="Calibri"/>
        <w:i/>
        <w:sz w:val="16"/>
        <w:szCs w:val="16"/>
      </w:rPr>
      <w:t>2019 Economic Study:</w:t>
    </w:r>
    <w:r>
      <w:rPr>
        <w:rFonts w:eastAsia="Calibri"/>
        <w:i/>
        <w:sz w:val="16"/>
        <w:szCs w:val="16"/>
      </w:rPr>
      <w:t xml:space="preserve"> Increasing Orrington-South Operating Limits</w:t>
    </w:r>
    <w:r w:rsidDel="00381209">
      <w:rPr>
        <w:rFonts w:eastAsia="Calibri"/>
        <w:i/>
        <w:sz w:val="16"/>
        <w:szCs w:val="16"/>
      </w:rPr>
      <w:t xml:space="preserve"> </w:t>
    </w:r>
    <w:r>
      <w:rPr>
        <w:rFonts w:eastAsia="Calibri"/>
        <w:i/>
        <w:sz w:val="16"/>
        <w:szCs w:val="16"/>
      </w:rPr>
      <w:t xml:space="preserve"> </w:t>
    </w:r>
    <w:r>
      <w:rPr>
        <w:rFonts w:eastAsia="Calibri"/>
        <w:i/>
        <w:sz w:val="16"/>
        <w:szCs w:val="16"/>
      </w:rPr>
      <w:tab/>
      <w:t xml:space="preserve">                                                                                      </w:t>
    </w:r>
    <w:r w:rsidRPr="00AB7EAC">
      <w:rPr>
        <w:rFonts w:eastAsia="Calibri"/>
        <w:sz w:val="16"/>
        <w:szCs w:val="16"/>
      </w:rPr>
      <w:t>pag</w:t>
    </w:r>
    <w:r>
      <w:rPr>
        <w:rFonts w:eastAsia="Calibri"/>
        <w:sz w:val="16"/>
        <w:szCs w:val="16"/>
      </w:rPr>
      <w:t>e</w:t>
    </w:r>
    <w:r w:rsidRPr="00AB7EAC">
      <w:rPr>
        <w:rFonts w:eastAsia="Calibri"/>
        <w:sz w:val="16"/>
        <w:szCs w:val="16"/>
      </w:rPr>
      <w:t xml:space="preserv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89055C">
      <w:rPr>
        <w:rFonts w:eastAsia="Calibri"/>
        <w:noProof/>
        <w:sz w:val="16"/>
        <w:szCs w:val="16"/>
      </w:rPr>
      <w:t>v</w:t>
    </w:r>
    <w:r w:rsidRPr="00AB7EAC">
      <w:rPr>
        <w:rFonts w:eastAsia="Calibri"/>
        <w:noProof/>
        <w:sz w:val="16"/>
        <w:szCs w:val="16"/>
      </w:rPr>
      <w:fldChar w:fldCharType="end"/>
    </w:r>
    <w:r w:rsidRPr="00AB7EAC">
      <w:rPr>
        <w:rFonts w:eastAsia="Calibri"/>
        <w:sz w:val="16"/>
        <w:szCs w:val="16"/>
      </w:rPr>
      <w:tab/>
    </w:r>
  </w:p>
  <w:p w:rsidR="00BD6E1B" w:rsidRDefault="00BD6E1B" w:rsidP="00D431AB">
    <w:pPr>
      <w:tabs>
        <w:tab w:val="left" w:pos="1480"/>
      </w:tabs>
      <w:adjustRightInd/>
      <w:spacing w:after="0" w:line="240" w:lineRule="auto"/>
      <w:textAlignment w:val="auto"/>
      <w:rPr>
        <w:rFonts w:eastAsia="Calibri"/>
        <w:sz w:val="16"/>
        <w:szCs w:val="16"/>
      </w:rPr>
    </w:pPr>
    <w:r>
      <w:rPr>
        <w:rFonts w:eastAsia="Calibri"/>
        <w:sz w:val="16"/>
        <w:szCs w:val="16"/>
      </w:rPr>
      <w:tab/>
    </w:r>
  </w:p>
  <w:p w:rsidR="00BD6E1B" w:rsidRDefault="00BD6E1B" w:rsidP="00D431AB">
    <w:pPr>
      <w:tabs>
        <w:tab w:val="center" w:pos="4680"/>
        <w:tab w:val="right" w:pos="9360"/>
      </w:tabs>
      <w:adjustRightInd/>
      <w:spacing w:after="0" w:line="240" w:lineRule="auto"/>
      <w:jc w:val="center"/>
      <w:textAlignment w:val="auto"/>
    </w:pPr>
    <w:r w:rsidRPr="00AB7EAC">
      <w:rPr>
        <w:rFonts w:eastAsia="Calibri"/>
        <w:sz w:val="16"/>
        <w:szCs w:val="16"/>
      </w:rPr>
      <w:t xml:space="preserve">ISO-NE </w:t>
    </w:r>
    <w:r>
      <w:rPr>
        <w:rFonts w:eastAsia="Calibri"/>
        <w:sz w:val="16"/>
        <w:szCs w:val="16"/>
      </w:rPr>
      <w:t>PUBLIC</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Default="00BD6E1B" w:rsidP="00D431AB">
    <w:pPr>
      <w:tabs>
        <w:tab w:val="center" w:pos="7200"/>
        <w:tab w:val="right" w:pos="9000"/>
      </w:tabs>
      <w:adjustRightInd/>
      <w:spacing w:after="0" w:line="240" w:lineRule="auto"/>
      <w:textAlignment w:val="auto"/>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Default="00BD6E1B" w:rsidP="00D431AB">
    <w:pPr>
      <w:tabs>
        <w:tab w:val="center" w:pos="7200"/>
        <w:tab w:val="right" w:pos="9000"/>
      </w:tabs>
      <w:adjustRightInd/>
      <w:spacing w:after="0" w:line="240" w:lineRule="auto"/>
      <w:textAlignment w:val="auto"/>
      <w:rPr>
        <w:rFonts w:eastAsia="Calibri"/>
        <w:sz w:val="16"/>
        <w:szCs w:val="16"/>
      </w:rPr>
    </w:pPr>
    <w:r w:rsidRPr="00A7198B">
      <w:rPr>
        <w:rFonts w:eastAsia="Calibri"/>
        <w:i/>
        <w:sz w:val="16"/>
        <w:szCs w:val="16"/>
      </w:rPr>
      <w:t>2019 Economic Study:</w:t>
    </w:r>
    <w:r>
      <w:rPr>
        <w:rFonts w:eastAsia="Calibri"/>
        <w:i/>
        <w:sz w:val="16"/>
        <w:szCs w:val="16"/>
      </w:rPr>
      <w:t xml:space="preserve"> Increasing Orrington-South Operating Limits</w:t>
    </w:r>
    <w:r w:rsidDel="00381209">
      <w:rPr>
        <w:rFonts w:eastAsia="Calibri"/>
        <w:i/>
        <w:sz w:val="16"/>
        <w:szCs w:val="16"/>
      </w:rPr>
      <w:t xml:space="preserve"> </w:t>
    </w:r>
    <w:r>
      <w:rPr>
        <w:rFonts w:eastAsia="Calibri"/>
        <w:i/>
        <w:sz w:val="16"/>
        <w:szCs w:val="16"/>
      </w:rPr>
      <w:t xml:space="preserve"> </w:t>
    </w:r>
    <w:r>
      <w:rPr>
        <w:rFonts w:eastAsia="Calibri"/>
        <w:i/>
        <w:sz w:val="16"/>
        <w:szCs w:val="16"/>
      </w:rPr>
      <w:tab/>
      <w:t xml:space="preserve">                                                                                      </w:t>
    </w:r>
    <w:r w:rsidRPr="00AB7EAC">
      <w:rPr>
        <w:rFonts w:eastAsia="Calibri"/>
        <w:sz w:val="16"/>
        <w:szCs w:val="16"/>
      </w:rPr>
      <w:t>pag</w:t>
    </w:r>
    <w:r>
      <w:rPr>
        <w:rFonts w:eastAsia="Calibri"/>
        <w:sz w:val="16"/>
        <w:szCs w:val="16"/>
      </w:rPr>
      <w:t>e</w:t>
    </w:r>
    <w:r w:rsidRPr="00AB7EAC">
      <w:rPr>
        <w:rFonts w:eastAsia="Calibri"/>
        <w:sz w:val="16"/>
        <w:szCs w:val="16"/>
      </w:rPr>
      <w:t xml:space="preserv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89055C">
      <w:rPr>
        <w:rFonts w:eastAsia="Calibri"/>
        <w:noProof/>
        <w:sz w:val="16"/>
        <w:szCs w:val="16"/>
      </w:rPr>
      <w:t>16</w:t>
    </w:r>
    <w:r w:rsidRPr="00AB7EAC">
      <w:rPr>
        <w:rFonts w:eastAsia="Calibri"/>
        <w:noProof/>
        <w:sz w:val="16"/>
        <w:szCs w:val="16"/>
      </w:rPr>
      <w:fldChar w:fldCharType="end"/>
    </w:r>
    <w:r w:rsidRPr="00AB7EAC">
      <w:rPr>
        <w:rFonts w:eastAsia="Calibri"/>
        <w:sz w:val="16"/>
        <w:szCs w:val="16"/>
      </w:rPr>
      <w:tab/>
    </w:r>
  </w:p>
  <w:p w:rsidR="00BD6E1B" w:rsidRDefault="00BD6E1B" w:rsidP="00D431AB">
    <w:pPr>
      <w:tabs>
        <w:tab w:val="left" w:pos="1480"/>
      </w:tabs>
      <w:adjustRightInd/>
      <w:spacing w:after="0" w:line="240" w:lineRule="auto"/>
      <w:textAlignment w:val="auto"/>
      <w:rPr>
        <w:rFonts w:eastAsia="Calibri"/>
        <w:sz w:val="16"/>
        <w:szCs w:val="16"/>
      </w:rPr>
    </w:pPr>
    <w:r>
      <w:rPr>
        <w:rFonts w:eastAsia="Calibri"/>
        <w:sz w:val="16"/>
        <w:szCs w:val="16"/>
      </w:rPr>
      <w:tab/>
    </w:r>
  </w:p>
  <w:p w:rsidR="00BD6E1B" w:rsidRPr="00D654E3" w:rsidRDefault="00BD6E1B" w:rsidP="00D431AB">
    <w:pPr>
      <w:tabs>
        <w:tab w:val="center" w:pos="4680"/>
        <w:tab w:val="right" w:pos="9360"/>
      </w:tabs>
      <w:adjustRightInd/>
      <w:spacing w:after="0" w:line="240" w:lineRule="auto"/>
      <w:jc w:val="center"/>
      <w:textAlignment w:val="auto"/>
      <w:rPr>
        <w:rFonts w:eastAsia="Calibri"/>
        <w:b/>
        <w:sz w:val="16"/>
        <w:szCs w:val="16"/>
      </w:rPr>
    </w:pPr>
    <w:r w:rsidRPr="00AB7EAC">
      <w:rPr>
        <w:rFonts w:eastAsia="Calibri"/>
        <w:sz w:val="16"/>
        <w:szCs w:val="16"/>
      </w:rPr>
      <w:t xml:space="preserve">ISO-NE </w:t>
    </w:r>
    <w:r>
      <w:rPr>
        <w:rFonts w:eastAsia="Calibri"/>
        <w:sz w:val="16"/>
        <w:szCs w:val="16"/>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E1B" w:rsidRDefault="00BD6E1B">
      <w:r>
        <w:separator/>
      </w:r>
    </w:p>
  </w:footnote>
  <w:footnote w:type="continuationSeparator" w:id="0">
    <w:p w:rsidR="00BD6E1B" w:rsidRDefault="00BD6E1B">
      <w:r>
        <w:continuationSeparator/>
      </w:r>
    </w:p>
  </w:footnote>
  <w:footnote w:type="continuationNotice" w:id="1">
    <w:p w:rsidR="00BD6E1B" w:rsidRDefault="00BD6E1B">
      <w:pPr>
        <w:pStyle w:val="Footer"/>
      </w:pPr>
    </w:p>
  </w:footnote>
  <w:footnote w:id="2">
    <w:p w:rsidR="00BD6E1B" w:rsidRPr="00DE22C8" w:rsidRDefault="00BD6E1B" w:rsidP="005064B5">
      <w:pPr>
        <w:pStyle w:val="FootnoteText"/>
      </w:pPr>
      <w:r w:rsidRPr="00DE22C8">
        <w:rPr>
          <w:rStyle w:val="FootnoteReference"/>
          <w:sz w:val="18"/>
          <w:szCs w:val="18"/>
        </w:rPr>
        <w:footnoteRef/>
      </w:r>
      <w:r w:rsidR="00DE22C8">
        <w:t xml:space="preserve"> </w:t>
      </w:r>
      <w:r w:rsidRPr="00DE22C8">
        <w:t xml:space="preserve">“Transmission Service Agreement Unitil—12.317 MW) by and between Central Maine Power Company, as Owner, And H.Q. Energy Services (U.S.) INC., as Purchaser,” (June 13, 2018), </w:t>
      </w:r>
      <w:hyperlink r:id="rId1" w:history="1">
        <w:r w:rsidRPr="00DE22C8">
          <w:rPr>
            <w:rStyle w:val="Hyperlink"/>
          </w:rPr>
          <w:t>https://www.sec.gov/Archives/edgar/data/1634997/000156459018018891/agr-ex106_142.htm</w:t>
        </w:r>
      </w:hyperlink>
      <w:r w:rsidRPr="00DE22C8">
        <w:t>.</w:t>
      </w:r>
    </w:p>
  </w:footnote>
  <w:footnote w:id="3">
    <w:p w:rsidR="00BD6E1B" w:rsidRPr="00DE22C8" w:rsidRDefault="00BD6E1B">
      <w:pPr>
        <w:pStyle w:val="FootnoteText"/>
      </w:pPr>
      <w:r w:rsidRPr="00DE22C8">
        <w:rPr>
          <w:rStyle w:val="FootnoteReference"/>
          <w:sz w:val="18"/>
          <w:szCs w:val="18"/>
        </w:rPr>
        <w:footnoteRef/>
      </w:r>
      <w:r w:rsidRPr="00DE22C8">
        <w:t xml:space="preserve"> ISO New England, “Market Efficiency Technology Upgrade,” webpage (2020), </w:t>
      </w:r>
      <w:hyperlink r:id="rId2" w:history="1">
        <w:r w:rsidRPr="00DE22C8">
          <w:rPr>
            <w:color w:val="0000FF"/>
            <w:u w:val="single"/>
          </w:rPr>
          <w:t>https://www.iso-ne.com/system-planning/system-plans-studies/metu</w:t>
        </w:r>
      </w:hyperlink>
      <w:r w:rsidRPr="00DE22C8">
        <w:t>.</w:t>
      </w:r>
    </w:p>
  </w:footnote>
  <w:footnote w:id="4">
    <w:p w:rsidR="00BD6E1B" w:rsidRPr="00DE22C8" w:rsidRDefault="00BD6E1B" w:rsidP="005F66CD">
      <w:pPr>
        <w:pStyle w:val="FootnoteText"/>
      </w:pPr>
      <w:r w:rsidRPr="00DE22C8">
        <w:rPr>
          <w:rStyle w:val="FootnoteReference"/>
          <w:sz w:val="18"/>
          <w:szCs w:val="18"/>
        </w:rPr>
        <w:footnoteRef/>
      </w:r>
      <w:r w:rsidRPr="00DE22C8">
        <w:t xml:space="preserve"> ISO New England, </w:t>
      </w:r>
      <w:r w:rsidRPr="00DE22C8">
        <w:rPr>
          <w:i/>
        </w:rPr>
        <w:t>ISO New England Inc. Transmission, Markets, and Services Tariff</w:t>
      </w:r>
      <w:r w:rsidRPr="00DE22C8">
        <w:t xml:space="preserve"> (ISO tariff), Section II, </w:t>
      </w:r>
      <w:r w:rsidRPr="00DE22C8">
        <w:rPr>
          <w:i/>
        </w:rPr>
        <w:t>Open Access Transmission Tariff</w:t>
      </w:r>
      <w:r w:rsidRPr="00DE22C8">
        <w:t xml:space="preserve">, Attachment N, “Procedures for Regional System Plan Upgrades” (2020), https://www.iso-ne.com/static-assets/documents/regulatory/tariff/sect_2/oatt/sect_ii.pdf. </w:t>
      </w:r>
    </w:p>
  </w:footnote>
  <w:footnote w:id="5">
    <w:p w:rsidR="00BD6E1B" w:rsidRDefault="00BD6E1B" w:rsidP="001D5DB5">
      <w:pPr>
        <w:pStyle w:val="FootnoteText"/>
      </w:pPr>
      <w:r w:rsidRPr="00566F24">
        <w:rPr>
          <w:rStyle w:val="FootnoteReference"/>
        </w:rPr>
        <w:footnoteRef/>
      </w:r>
      <w:r w:rsidRPr="00566F24">
        <w:t xml:space="preserve"> </w:t>
      </w:r>
      <w:r>
        <w:t xml:space="preserve">See PAC presentation (April 25, 2019), </w:t>
      </w:r>
      <w:hyperlink r:id="rId3" w:history="1">
        <w:r w:rsidRPr="00566F24">
          <w:rPr>
            <w:rStyle w:val="Hyperlink"/>
          </w:rPr>
          <w:t>https://www.iso-ne.com/static-assets/documents/2019/04/a2_renew_2019_economic_study_request_presentation.pdf</w:t>
        </w:r>
      </w:hyperlink>
      <w:r>
        <w:t xml:space="preserve">.  </w:t>
      </w:r>
    </w:p>
  </w:footnote>
  <w:footnote w:id="6">
    <w:p w:rsidR="00BD6E1B" w:rsidRDefault="00BD6E1B" w:rsidP="00F029CE">
      <w:pPr>
        <w:pStyle w:val="FootnoteText"/>
      </w:pPr>
      <w:r>
        <w:rPr>
          <w:rStyle w:val="FootnoteReference"/>
        </w:rPr>
        <w:footnoteRef/>
      </w:r>
      <w:r>
        <w:t xml:space="preserve"> </w:t>
      </w:r>
      <w:r w:rsidRPr="00CC32DA">
        <w:t xml:space="preserve">The NESCOE 2019 Economic Study examined transmission system and wholesale market impacts associated with the increasing penetration of </w:t>
      </w:r>
      <w:r>
        <w:t>incremental offshore wind resources</w:t>
      </w:r>
      <w:r w:rsidRPr="00CC32DA">
        <w:t xml:space="preserve"> strategically</w:t>
      </w:r>
      <w:r>
        <w:t xml:space="preserve"> placed in southern New England. NESCOE, </w:t>
      </w:r>
      <w:r w:rsidRPr="00CC32DA">
        <w:rPr>
          <w:i/>
        </w:rPr>
        <w:t>Offshore Wind Integration</w:t>
      </w:r>
      <w:r>
        <w:t xml:space="preserve">, PAC presentation (April 25, 2019), </w:t>
      </w:r>
      <w:hyperlink r:id="rId4" w:history="1">
        <w:r w:rsidRPr="00677B50">
          <w:rPr>
            <w:rStyle w:val="Hyperlink"/>
          </w:rPr>
          <w:t>https://www.iso-ne.com/static-assets/documents/2019/04/a2_nescoe_2019_economic_study_request_presentation.pptx</w:t>
        </w:r>
      </w:hyperlink>
      <w:r w:rsidRPr="003650D6">
        <w:t xml:space="preserve">. Also see, ISO New England, </w:t>
      </w:r>
      <w:r w:rsidRPr="003650D6">
        <w:rPr>
          <w:i/>
        </w:rPr>
        <w:t>2019 Economic Study: Offshore Wind Integration</w:t>
      </w:r>
      <w:r w:rsidRPr="00677B50">
        <w:t>, final report</w:t>
      </w:r>
      <w:r w:rsidRPr="003650D6">
        <w:t xml:space="preserve"> (June 30, </w:t>
      </w:r>
      <w:r w:rsidRPr="00705625">
        <w:t xml:space="preserve">2020), </w:t>
      </w:r>
      <w:hyperlink r:id="rId5" w:history="1">
        <w:r w:rsidRPr="00705625">
          <w:rPr>
            <w:rStyle w:val="Hyperlink"/>
          </w:rPr>
          <w:t>https://www.iso-ne.com/static-assets/documents/2020/06/2019_nescoe_economic_study_final.docx</w:t>
        </w:r>
      </w:hyperlink>
      <w:r w:rsidRPr="00705625">
        <w:rPr>
          <w:rStyle w:val="Hyperlink"/>
        </w:rPr>
        <w:t>.</w:t>
      </w:r>
      <w:r w:rsidRPr="00705625">
        <w:t xml:space="preserve"> The Anbaric 2019 Economic Study assessed the impacts on energy market prices, air emissions, and regional fuel security when the system conceptually experienced large penetrations of offshore wind resources. Theodore Paradise (senio</w:t>
      </w:r>
      <w:r>
        <w:t>r vice president, Transmission Strategy and counsel, Anbaric Development Partners, LLC), “</w:t>
      </w:r>
      <w:r w:rsidRPr="00566F24">
        <w:t>2019 ISO New England Economic Study Request for Offshore Wind Impacts</w:t>
      </w:r>
      <w:r>
        <w:t>,” letter to Peter Bernard</w:t>
      </w:r>
      <w:r w:rsidRPr="00566F24">
        <w:t xml:space="preserve"> </w:t>
      </w:r>
      <w:r>
        <w:t xml:space="preserve">(chair, </w:t>
      </w:r>
      <w:r w:rsidRPr="00566F24">
        <w:t>ISO New England Inc. Planning Advisory Committee</w:t>
      </w:r>
      <w:r>
        <w:t xml:space="preserve">) (April 1, 2019), </w:t>
      </w:r>
      <w:hyperlink r:id="rId6" w:history="1">
        <w:r w:rsidRPr="00566F24">
          <w:rPr>
            <w:rStyle w:val="Hyperlink"/>
          </w:rPr>
          <w:t>https://www.iso-ne.com/static-assets/documents/2019/04/anbaric_2019_economic_study_request.pdf</w:t>
        </w:r>
      </w:hyperlink>
      <w:r>
        <w:t xml:space="preserve">. Also  see, ISO New England, </w:t>
      </w:r>
      <w:r w:rsidRPr="00F029CE">
        <w:rPr>
          <w:i/>
        </w:rPr>
        <w:t>2019 Economic Study: Significant Offshore Wind Integration</w:t>
      </w:r>
      <w:r>
        <w:t xml:space="preserve"> (October 5, 2020), </w:t>
      </w:r>
      <w:hyperlink r:id="rId7" w:history="1">
        <w:r w:rsidRPr="00F029CE">
          <w:rPr>
            <w:rStyle w:val="Hyperlink"/>
          </w:rPr>
          <w:t>https://www.iso-ne.com/static-assets/documents/2020/10/2019-anbaric-economic-study-final.docx</w:t>
        </w:r>
      </w:hyperlink>
      <w:r>
        <w:t>.</w:t>
      </w:r>
    </w:p>
  </w:footnote>
  <w:footnote w:id="7">
    <w:p w:rsidR="00BD6E1B" w:rsidRPr="005E1548" w:rsidRDefault="00BD6E1B" w:rsidP="00053241">
      <w:pPr>
        <w:pStyle w:val="FootnoteText"/>
      </w:pPr>
      <w:r w:rsidRPr="00513625">
        <w:rPr>
          <w:rStyle w:val="FootnoteReference"/>
        </w:rPr>
        <w:footnoteRef/>
      </w:r>
      <w:r w:rsidRPr="00513625">
        <w:t xml:space="preserve"> </w:t>
      </w:r>
      <w:r>
        <w:t xml:space="preserve">ISO New England , </w:t>
      </w:r>
      <w:r w:rsidRPr="009C2B5B">
        <w:rPr>
          <w:i/>
        </w:rPr>
        <w:t>ISO New England Inc. Transmission, Markets, and Services Tariff</w:t>
      </w:r>
      <w:r w:rsidRPr="009C2B5B">
        <w:t xml:space="preserve"> (ISO tariff), Section II, </w:t>
      </w:r>
      <w:r w:rsidRPr="009C2B5B">
        <w:rPr>
          <w:i/>
        </w:rPr>
        <w:t>Open Access Transmission Tariff</w:t>
      </w:r>
      <w:r w:rsidRPr="00002E84">
        <w:t>,</w:t>
      </w:r>
      <w:r w:rsidRPr="009C2B5B">
        <w:t xml:space="preserve"> Attachment K, “Regional System Planning Pro</w:t>
      </w:r>
      <w:r w:rsidRPr="00BE03A8">
        <w:t xml:space="preserve">cess” </w:t>
      </w:r>
      <w:r>
        <w:t>(January 22, 2020</w:t>
      </w:r>
      <w:r w:rsidRPr="00FA2D54">
        <w:t>),</w:t>
      </w:r>
      <w:r w:rsidRPr="00BE03A8">
        <w:t xml:space="preserve"> </w:t>
      </w:r>
      <w:hyperlink r:id="rId8" w:history="1">
        <w:r w:rsidRPr="005E1548">
          <w:rPr>
            <w:rStyle w:val="Hyperlink"/>
          </w:rPr>
          <w:t>https://www.iso-ne.com/static-assets/documents/regulatory/tariff/sect_2/oatt/sect_ii.pdf</w:t>
        </w:r>
      </w:hyperlink>
      <w:r w:rsidRPr="005E1548">
        <w:t xml:space="preserve">. </w:t>
      </w:r>
    </w:p>
  </w:footnote>
  <w:footnote w:id="8">
    <w:p w:rsidR="00BD6E1B" w:rsidRPr="004318BF" w:rsidRDefault="00BD6E1B" w:rsidP="00053241">
      <w:pPr>
        <w:pStyle w:val="FootnoteText"/>
      </w:pPr>
      <w:r w:rsidRPr="004318BF">
        <w:rPr>
          <w:rStyle w:val="FootnoteReference"/>
        </w:rPr>
        <w:footnoteRef/>
      </w:r>
      <w:r w:rsidRPr="004318BF">
        <w:t xml:space="preserve"> </w:t>
      </w:r>
      <w:r w:rsidRPr="004318BF">
        <w:rPr>
          <w:i/>
        </w:rPr>
        <w:t>Load-serving entity energy expenses</w:t>
      </w:r>
      <w:r w:rsidRPr="004318BF">
        <w:t xml:space="preserve"> </w:t>
      </w:r>
      <w:r w:rsidRPr="00CC6422">
        <w:t>are the costs the LSEs pay for the energy at the receipt point’s calculated locational marginal price (LMP)</w:t>
      </w:r>
      <w:r w:rsidRPr="004318BF">
        <w:t>. This is equivalent to the total electric energy revenues that resources and imports from neighboring systems would receive for supplying electric energy to the wholesale market plus the cost of congestion.</w:t>
      </w:r>
    </w:p>
  </w:footnote>
  <w:footnote w:id="9">
    <w:p w:rsidR="00BD6E1B" w:rsidRPr="00E4172A" w:rsidRDefault="00BD6E1B" w:rsidP="00053241">
      <w:pPr>
        <w:pStyle w:val="FootnoteText"/>
      </w:pPr>
      <w:r w:rsidRPr="004318BF">
        <w:rPr>
          <w:rStyle w:val="FootnoteReference"/>
          <w:sz w:val="18"/>
          <w:szCs w:val="18"/>
        </w:rPr>
        <w:footnoteRef/>
      </w:r>
      <w:r w:rsidRPr="004318BF">
        <w:t xml:space="preserve"> OATT, Attachment K, Section 4.1b.</w:t>
      </w:r>
    </w:p>
  </w:footnote>
  <w:footnote w:id="10">
    <w:p w:rsidR="00BD6E1B" w:rsidRDefault="00BD6E1B" w:rsidP="00E3647C">
      <w:pPr>
        <w:pStyle w:val="FootnoteText"/>
      </w:pPr>
      <w:r w:rsidRPr="009C02EB">
        <w:rPr>
          <w:rStyle w:val="FootnoteReference"/>
        </w:rPr>
        <w:footnoteRef/>
      </w:r>
      <w:r w:rsidRPr="009C02EB">
        <w:t xml:space="preserve"> ISO</w:t>
      </w:r>
      <w:r>
        <w:t xml:space="preserve"> New England</w:t>
      </w:r>
      <w:r w:rsidRPr="009C02EB">
        <w:t xml:space="preserve">, </w:t>
      </w:r>
      <w:r w:rsidRPr="009C02EB">
        <w:rPr>
          <w:i/>
        </w:rPr>
        <w:t>2019 Economic Study—</w:t>
      </w:r>
      <w:r w:rsidRPr="00E3647C">
        <w:t xml:space="preserve"> </w:t>
      </w:r>
      <w:r w:rsidRPr="00E3647C">
        <w:rPr>
          <w:i/>
        </w:rPr>
        <w:t>Preliminary Results RENEW</w:t>
      </w:r>
      <w:r>
        <w:rPr>
          <w:i/>
        </w:rPr>
        <w:t xml:space="preserve"> </w:t>
      </w:r>
      <w:r w:rsidRPr="00E3647C">
        <w:rPr>
          <w:i/>
        </w:rPr>
        <w:t>2019 Economic Study</w:t>
      </w:r>
      <w:r>
        <w:t>,</w:t>
      </w:r>
      <w:r w:rsidRPr="009C02EB">
        <w:t xml:space="preserve"> PAC presentation, (</w:t>
      </w:r>
      <w:r>
        <w:t>April 23, 2020</w:t>
      </w:r>
      <w:r w:rsidRPr="009C02EB">
        <w:t xml:space="preserve">), </w:t>
      </w:r>
      <w:hyperlink r:id="rId9" w:history="1">
        <w:r w:rsidRPr="0042055B">
          <w:rPr>
            <w:rStyle w:val="Hyperlink"/>
          </w:rPr>
          <w:t>https://www.iso-ne.com/static-assets/documents/2020/04/a6-2019-economic-studies-renew-prelim-results.pdf</w:t>
        </w:r>
      </w:hyperlink>
      <w:r w:rsidRPr="009C02EB">
        <w:t>.</w:t>
      </w:r>
    </w:p>
  </w:footnote>
  <w:footnote w:id="11">
    <w:p w:rsidR="00BD6E1B" w:rsidRDefault="00BD6E1B" w:rsidP="00053241">
      <w:pPr>
        <w:pStyle w:val="FootnoteText"/>
      </w:pPr>
      <w:r w:rsidRPr="005B1275">
        <w:rPr>
          <w:rStyle w:val="FootnoteReference"/>
        </w:rPr>
        <w:footnoteRef/>
      </w:r>
      <w:r w:rsidRPr="005B1275">
        <w:t xml:space="preserve"> </w:t>
      </w:r>
      <w:r w:rsidRPr="00762275">
        <w:t>Information on how to access C</w:t>
      </w:r>
      <w:r>
        <w:t>EII</w:t>
      </w:r>
      <w:r w:rsidRPr="00762275">
        <w:t xml:space="preserve"> materials is available at the ISO’s “Request Data and Information,” webpage (2020), </w:t>
      </w:r>
      <w:hyperlink r:id="rId10" w:history="1">
        <w:r w:rsidRPr="00014F68">
          <w:rPr>
            <w:rStyle w:val="Hyperlink"/>
          </w:rPr>
          <w:t>https://www.iso-ne.com/participate/support/request-information</w:t>
        </w:r>
      </w:hyperlink>
      <w:r w:rsidRPr="00762275">
        <w:t>.</w:t>
      </w:r>
    </w:p>
  </w:footnote>
  <w:footnote w:id="12">
    <w:p w:rsidR="00BD6E1B" w:rsidRDefault="00BD6E1B" w:rsidP="00C53AB7">
      <w:pPr>
        <w:pStyle w:val="FootnoteText"/>
      </w:pPr>
      <w:r w:rsidRPr="00F7410A">
        <w:rPr>
          <w:rStyle w:val="FootnoteReference"/>
        </w:rPr>
        <w:footnoteRef/>
      </w:r>
      <w:r w:rsidRPr="00F7410A">
        <w:t xml:space="preserve"> </w:t>
      </w:r>
      <w:r>
        <w:t>Francis Pullaro</w:t>
      </w:r>
      <w:r w:rsidR="008D5C05">
        <w:t xml:space="preserve"> (</w:t>
      </w:r>
      <w:r>
        <w:t xml:space="preserve">executive director, RENEW Northeast), “2019 Economic Study Request: Economic Impact of Targeted Upgrades to the Orrington-South Interface Limit,” letter to Peter Bernard (chair, ISO New England Inc. Planning Advisory Committee) (April 1, 2019), </w:t>
      </w:r>
      <w:hyperlink r:id="rId11" w:history="1">
        <w:r w:rsidRPr="00F7410A">
          <w:rPr>
            <w:rStyle w:val="Hyperlink"/>
          </w:rPr>
          <w:t>https://www.iso-ne.com/static-assets/documents/2019/04/renew_2019_economic_study_request.pdf</w:t>
        </w:r>
      </w:hyperlink>
      <w:r>
        <w:t xml:space="preserve">. </w:t>
      </w:r>
    </w:p>
  </w:footnote>
  <w:footnote w:id="13">
    <w:p w:rsidR="00BD6E1B" w:rsidRPr="005D371D" w:rsidRDefault="00BD6E1B" w:rsidP="00DC1AA2">
      <w:pPr>
        <w:pStyle w:val="FootnoteText"/>
      </w:pPr>
      <w:r w:rsidRPr="005D371D">
        <w:rPr>
          <w:rStyle w:val="FootnoteReference"/>
          <w:sz w:val="18"/>
          <w:szCs w:val="18"/>
        </w:rPr>
        <w:footnoteRef/>
      </w:r>
      <w:r w:rsidRPr="005D371D">
        <w:t xml:space="preserve"> Refer to the OATT, Attachment N, “Procedures for Regional System Plan Upgrades</w:t>
      </w:r>
      <w:r>
        <w:t>”</w:t>
      </w:r>
      <w:r w:rsidRPr="005D371D">
        <w:t xml:space="preserve"> (</w:t>
      </w:r>
      <w:hyperlink r:id="rId12" w:history="1">
        <w:r w:rsidRPr="005D371D">
          <w:rPr>
            <w:rStyle w:val="Hyperlink"/>
          </w:rPr>
          <w:t>https://www.iso-ne.com/static-assets/documents/regulatory/tariff/sect_2/oatt/sect_ii.pdf</w:t>
        </w:r>
      </w:hyperlink>
      <w:r w:rsidRPr="005D371D">
        <w:t xml:space="preserve">). Also see: ISO New England, “Market Efficiency Technology Upgrade,” webpage (2020), </w:t>
      </w:r>
      <w:hyperlink r:id="rId13" w:history="1">
        <w:r w:rsidRPr="005D371D">
          <w:rPr>
            <w:color w:val="0000FF"/>
            <w:u w:val="single"/>
          </w:rPr>
          <w:t>https://www.iso-ne.com/system-planning/system-plans-studies/metu</w:t>
        </w:r>
      </w:hyperlink>
      <w:r w:rsidRPr="005D371D">
        <w:t>.</w:t>
      </w:r>
    </w:p>
  </w:footnote>
  <w:footnote w:id="14">
    <w:p w:rsidR="00BD6E1B" w:rsidRDefault="00BD6E1B" w:rsidP="00D24022">
      <w:pPr>
        <w:pStyle w:val="FootnoteText"/>
      </w:pPr>
      <w:r>
        <w:rPr>
          <w:rStyle w:val="FootnoteReference"/>
        </w:rPr>
        <w:footnoteRef/>
      </w:r>
      <w:r>
        <w:t xml:space="preserve"> ISO New England, PAC presentations, </w:t>
      </w:r>
      <w:r w:rsidRPr="00757339">
        <w:rPr>
          <w:i/>
        </w:rPr>
        <w:t>2019 Economic Studies—Draft Scope of Work and High-Level Assumptions</w:t>
      </w:r>
      <w:r>
        <w:t xml:space="preserve"> (May 21, 2019), https://www.iso-ne.com/static-assets/documents/2019/05/a2_2019_economic_study_draft_scope_of_work_and_high_level_assumptions.pptx; </w:t>
      </w:r>
      <w:r w:rsidRPr="00757339">
        <w:rPr>
          <w:i/>
        </w:rPr>
        <w:t>2019 Economic Studies—Detailed Assumptions</w:t>
      </w:r>
      <w:r>
        <w:t xml:space="preserve"> (August 8, 2019), https://www.iso-ne.com/static-assets/documents/2019/08/a8_2019_economic_studies_detailed_assumptions.pptx.</w:t>
      </w:r>
    </w:p>
  </w:footnote>
  <w:footnote w:id="15">
    <w:p w:rsidR="00BD6E1B" w:rsidRDefault="00BD6E1B">
      <w:pPr>
        <w:pStyle w:val="FootnoteText"/>
      </w:pPr>
      <w:r>
        <w:rPr>
          <w:rStyle w:val="FootnoteReference"/>
        </w:rPr>
        <w:footnoteRef/>
      </w:r>
      <w:r>
        <w:t xml:space="preserve"> ISO-NE, </w:t>
      </w:r>
      <w:r w:rsidRPr="00757339">
        <w:rPr>
          <w:i/>
        </w:rPr>
        <w:t>2019 Economic Study Requests Status Update</w:t>
      </w:r>
      <w:r>
        <w:t>, PAC presentation (November 20, 2019), https://www.iso-ne.com/static-assets/documents/2019/11/a6_2019_economic_study_request_status_update.pdf.</w:t>
      </w:r>
    </w:p>
  </w:footnote>
  <w:footnote w:id="16">
    <w:p w:rsidR="00BD6E1B" w:rsidRDefault="00BD6E1B" w:rsidP="00135F16">
      <w:pPr>
        <w:pStyle w:val="FootnoteText"/>
      </w:pPr>
      <w:r w:rsidRPr="00A729AF">
        <w:rPr>
          <w:rStyle w:val="FootnoteReference"/>
        </w:rPr>
        <w:footnoteRef/>
      </w:r>
      <w:r w:rsidRPr="00A729AF">
        <w:t xml:space="preserve"> Detailed transmission interface limits for 2025 used for this study are available in the ISO’s PAC presentation, </w:t>
      </w:r>
      <w:r w:rsidRPr="00135F16">
        <w:rPr>
          <w:i/>
        </w:rPr>
        <w:t>Forward Capacity Auction 14</w:t>
      </w:r>
      <w:r>
        <w:rPr>
          <w:i/>
        </w:rPr>
        <w:t xml:space="preserve"> </w:t>
      </w:r>
      <w:r w:rsidRPr="00135F16">
        <w:rPr>
          <w:i/>
        </w:rPr>
        <w:t>Transmission Transfer Capabilities &amp;</w:t>
      </w:r>
      <w:r>
        <w:rPr>
          <w:i/>
        </w:rPr>
        <w:t xml:space="preserve"> </w:t>
      </w:r>
      <w:r w:rsidRPr="00135F16">
        <w:rPr>
          <w:i/>
        </w:rPr>
        <w:t>Capacity Zone Development</w:t>
      </w:r>
      <w:r>
        <w:t xml:space="preserve"> (March 21, 2019), slide 25</w:t>
      </w:r>
      <w:r w:rsidRPr="00A729AF">
        <w:t xml:space="preserve">, </w:t>
      </w:r>
      <w:hyperlink r:id="rId14" w:history="1">
        <w:r w:rsidRPr="003355FD">
          <w:rPr>
            <w:rStyle w:val="Hyperlink"/>
          </w:rPr>
          <w:t>https://www.iso-ne.com/static-assets/documents/2019/03/a8_fca14_transmission_transfer_capabilities_and_capacity_zone_development.pdf</w:t>
        </w:r>
      </w:hyperlink>
      <w:r>
        <w:t xml:space="preserve">. </w:t>
      </w:r>
    </w:p>
  </w:footnote>
  <w:footnote w:id="17">
    <w:p w:rsidR="00BD6E1B" w:rsidRDefault="00BD6E1B" w:rsidP="00EA37C5">
      <w:pPr>
        <w:pStyle w:val="FootnoteText"/>
      </w:pPr>
      <w:r>
        <w:rPr>
          <w:rStyle w:val="FootnoteReference"/>
        </w:rPr>
        <w:footnoteRef/>
      </w:r>
      <w:r>
        <w:t xml:space="preserve"> </w:t>
      </w:r>
      <w:r w:rsidRPr="00D11A72">
        <w:t>Normal</w:t>
      </w:r>
      <w:r w:rsidRPr="00EE2D3C">
        <w:t xml:space="preserve"> transmission system transfer limi</w:t>
      </w:r>
      <w:r w:rsidRPr="0026318A">
        <w:t xml:space="preserve">ts account for transmission system security constraints, which consider </w:t>
      </w:r>
      <w:r w:rsidRPr="00961A06">
        <w:t>expected transmission facilities in service and first-contingency</w:t>
      </w:r>
      <w:r w:rsidRPr="0054771A">
        <w:rPr>
          <w:i/>
        </w:rPr>
        <w:t xml:space="preserve"> </w:t>
      </w:r>
      <w:r w:rsidRPr="0054771A">
        <w:t xml:space="preserve">(N-1) criteria. A </w:t>
      </w:r>
      <w:r w:rsidRPr="0054771A">
        <w:rPr>
          <w:i/>
        </w:rPr>
        <w:t xml:space="preserve">first contingency </w:t>
      </w:r>
      <w:r w:rsidRPr="0054771A">
        <w:t>is</w:t>
      </w:r>
      <w:r w:rsidRPr="0054771A">
        <w:rPr>
          <w:i/>
        </w:rPr>
        <w:t xml:space="preserve"> </w:t>
      </w:r>
      <w:r w:rsidRPr="0054771A">
        <w:t xml:space="preserve">the loss of the power system element (facility) with the largest impact on system reliability. A </w:t>
      </w:r>
      <w:r w:rsidRPr="0054771A">
        <w:rPr>
          <w:i/>
        </w:rPr>
        <w:t xml:space="preserve">second contingency </w:t>
      </w:r>
      <w:r w:rsidRPr="0054771A">
        <w:t>(N-1-1) occurs after a first contingency when the facility that, at that time, has the largest impact on the system is lost. N-1-1 also can refer to a constraint met by maintaining an operating reserve that can increase output when the first contingency occurs.</w:t>
      </w:r>
    </w:p>
  </w:footnote>
  <w:footnote w:id="18">
    <w:p w:rsidR="00BD6E1B" w:rsidRDefault="00BD6E1B">
      <w:pPr>
        <w:pStyle w:val="FootnoteText"/>
      </w:pPr>
      <w:r>
        <w:rPr>
          <w:rStyle w:val="FootnoteReference"/>
        </w:rPr>
        <w:footnoteRef/>
      </w:r>
      <w:r>
        <w:t xml:space="preserve"> For more information on RSP areas, refer to the “System Planning Subareas” map at this ISO website link: </w:t>
      </w:r>
      <w:hyperlink r:id="rId15" w:anchor="system-planning-subareas" w:history="1">
        <w:r w:rsidRPr="009B766C">
          <w:rPr>
            <w:rStyle w:val="Hyperlink"/>
          </w:rPr>
          <w:t>https://www.iso-ne.com/about/key-stats/maps-and-diagrams/#system-planning-subareas</w:t>
        </w:r>
      </w:hyperlink>
      <w:r>
        <w:t>. Also refer to the ISO’s “Regional System Plan” webpage at:</w:t>
      </w:r>
      <w:r w:rsidRPr="009D3C5C">
        <w:t xml:space="preserve"> </w:t>
      </w:r>
      <w:hyperlink r:id="rId16" w:history="1">
        <w:r w:rsidRPr="009D3C5C">
          <w:rPr>
            <w:rStyle w:val="Hyperlink"/>
          </w:rPr>
          <w:t>https://www.iso-ne.com/system-planning/system-plans-studies/rsp/</w:t>
        </w:r>
      </w:hyperlink>
      <w:r>
        <w:t>.</w:t>
      </w:r>
    </w:p>
  </w:footnote>
  <w:footnote w:id="19">
    <w:p w:rsidR="00BD6E1B" w:rsidRDefault="00BD6E1B" w:rsidP="006D4C1A">
      <w:pPr>
        <w:pStyle w:val="FootnoteText"/>
      </w:pPr>
      <w:r w:rsidRPr="001D318B">
        <w:rPr>
          <w:rStyle w:val="FootnoteReference"/>
        </w:rPr>
        <w:footnoteRef/>
      </w:r>
      <w:r w:rsidRPr="001D318B">
        <w:t xml:space="preserve"> I</w:t>
      </w:r>
      <w:r w:rsidRPr="001D318B">
        <w:rPr>
          <w:rStyle w:val="Hyperlink"/>
        </w:rPr>
        <w:t>SO-Ne</w:t>
      </w:r>
      <w:r>
        <w:rPr>
          <w:rStyle w:val="Hyperlink"/>
        </w:rPr>
        <w:t>w England</w:t>
      </w:r>
      <w:r w:rsidRPr="001D318B">
        <w:rPr>
          <w:rStyle w:val="Hyperlink"/>
        </w:rPr>
        <w:t xml:space="preserve">, </w:t>
      </w:r>
      <w:r w:rsidRPr="001D318B">
        <w:rPr>
          <w:rStyle w:val="Hyperlink"/>
          <w:i/>
        </w:rPr>
        <w:t>2019 Forecast Report of Capacity, Energy, Loads, and Transmission</w:t>
      </w:r>
      <w:r w:rsidRPr="001D318B">
        <w:rPr>
          <w:rStyle w:val="Hyperlink"/>
        </w:rPr>
        <w:t xml:space="preserve"> </w:t>
      </w:r>
      <w:r w:rsidRPr="001D318B">
        <w:t>(April 30, 2019),</w:t>
      </w:r>
      <w:r w:rsidRPr="001D318B">
        <w:rPr>
          <w:rStyle w:val="Hyperlink"/>
        </w:rPr>
        <w:t xml:space="preserve"> </w:t>
      </w:r>
      <w:hyperlink r:id="rId17" w:history="1">
        <w:r w:rsidRPr="000868FD">
          <w:rPr>
            <w:rStyle w:val="Hyperlink"/>
          </w:rPr>
          <w:t>https://www.iso-ne.com/static-assets/documents/2019/04/2019_celt_report.xls</w:t>
        </w:r>
      </w:hyperlink>
      <w:r w:rsidRPr="000868FD">
        <w:rPr>
          <w:rStyle w:val="Hyperlink"/>
        </w:rPr>
        <w:t>.</w:t>
      </w:r>
    </w:p>
  </w:footnote>
  <w:footnote w:id="20">
    <w:p w:rsidR="00BD6E1B" w:rsidRDefault="00BD6E1B" w:rsidP="005D371D">
      <w:pPr>
        <w:pStyle w:val="FootnoteText"/>
      </w:pPr>
      <w:r w:rsidRPr="00544344">
        <w:rPr>
          <w:rStyle w:val="FootnoteReference"/>
        </w:rPr>
        <w:footnoteRef/>
      </w:r>
      <w:r w:rsidRPr="00544344">
        <w:t xml:space="preserve"> ISO New England Inc., </w:t>
      </w:r>
      <w:r w:rsidRPr="00314955">
        <w:rPr>
          <w:i/>
        </w:rPr>
        <w:t>Docket No. ER19-___-000, Forward Capacity Auction Results Filing</w:t>
      </w:r>
      <w:r w:rsidRPr="00544344">
        <w:t xml:space="preserve">, FERC filing (February 28, 2019), </w:t>
      </w:r>
      <w:hyperlink r:id="rId18" w:history="1">
        <w:r w:rsidRPr="00544344">
          <w:rPr>
            <w:rStyle w:val="Hyperlink"/>
          </w:rPr>
          <w:t>https://www.iso-ne.com/static-assets/documents/2019/02/fca_13_results_filing.pdf</w:t>
        </w:r>
      </w:hyperlink>
      <w:r w:rsidRPr="00544344">
        <w:rPr>
          <w:rStyle w:val="Hyperlink"/>
        </w:rPr>
        <w:t>.</w:t>
      </w:r>
      <w:r>
        <w:t xml:space="preserve"> </w:t>
      </w:r>
    </w:p>
  </w:footnote>
  <w:footnote w:id="21">
    <w:p w:rsidR="00BD6E1B" w:rsidRDefault="00BD6E1B">
      <w:pPr>
        <w:pStyle w:val="FootnoteText"/>
      </w:pPr>
      <w:r w:rsidRPr="001D318B">
        <w:rPr>
          <w:rStyle w:val="FootnoteReference"/>
        </w:rPr>
        <w:footnoteRef/>
      </w:r>
      <w:r w:rsidRPr="003821FC">
        <w:t xml:space="preserve"> RFP resources included 1,200 MW of offshore wind (nameplate), as well as 100 MW of solar and 73 MW onshore wind in the </w:t>
      </w:r>
      <w:r w:rsidRPr="00314955">
        <w:t>BHE RSP subarea.</w:t>
      </w:r>
    </w:p>
  </w:footnote>
  <w:footnote w:id="22">
    <w:p w:rsidR="00BD6E1B" w:rsidRPr="00C63513" w:rsidRDefault="00BD6E1B" w:rsidP="00857A79">
      <w:pPr>
        <w:pStyle w:val="FootnoteText"/>
      </w:pPr>
      <w:r w:rsidRPr="00C63513">
        <w:rPr>
          <w:rStyle w:val="FootnoteReference"/>
          <w:sz w:val="18"/>
          <w:szCs w:val="18"/>
        </w:rPr>
        <w:footnoteRef/>
      </w:r>
      <w:r w:rsidRPr="00C63513">
        <w:t xml:space="preserve"> EIA, </w:t>
      </w:r>
      <w:r w:rsidRPr="00C63513">
        <w:rPr>
          <w:i/>
        </w:rPr>
        <w:t>2019 Annual Energy Outlook</w:t>
      </w:r>
      <w:r w:rsidRPr="00C63513">
        <w:t xml:space="preserve"> (2019), </w:t>
      </w:r>
      <w:hyperlink r:id="rId19" w:history="1">
        <w:r w:rsidRPr="00C63513">
          <w:rPr>
            <w:rStyle w:val="Hyperlink"/>
          </w:rPr>
          <w:t>https://www.eia.gov/outlooks/archive/aeo19/</w:t>
        </w:r>
      </w:hyperlink>
      <w:r w:rsidRPr="00C63513">
        <w:t>.</w:t>
      </w:r>
    </w:p>
  </w:footnote>
  <w:footnote w:id="23">
    <w:p w:rsidR="00BD6E1B" w:rsidRPr="00C63513" w:rsidRDefault="00BD6E1B" w:rsidP="00C63513">
      <w:pPr>
        <w:pStyle w:val="FootnoteText"/>
      </w:pPr>
      <w:r w:rsidRPr="00C63513">
        <w:rPr>
          <w:rStyle w:val="FootnoteReference"/>
        </w:rPr>
        <w:footnoteRef/>
      </w:r>
      <w:r w:rsidRPr="00C63513">
        <w:t xml:space="preserve"> ISO New England, </w:t>
      </w:r>
      <w:r w:rsidRPr="00C63513">
        <w:rPr>
          <w:i/>
        </w:rPr>
        <w:t>2016 Economic Study:</w:t>
      </w:r>
      <w:r>
        <w:rPr>
          <w:i/>
        </w:rPr>
        <w:t xml:space="preserve"> </w:t>
      </w:r>
      <w:r w:rsidRPr="00C63513">
        <w:rPr>
          <w:i/>
        </w:rPr>
        <w:t>NEPOOL Scenario Analysis:  Implications of Public Policies on ISO New England Market Design, System Reliability and Operability, Resource Costs and Revenues, and Emissions</w:t>
      </w:r>
      <w:r w:rsidRPr="00C63513">
        <w:t xml:space="preserve"> (November 17, 2017), </w:t>
      </w:r>
      <w:hyperlink r:id="rId20" w:history="1">
        <w:r w:rsidRPr="00C63513">
          <w:rPr>
            <w:rStyle w:val="Hyperlink"/>
          </w:rPr>
          <w:t>https://www.iso-ne.com/static-assets/documents/2017/11/final_2016_phase1_nepool_scenario_analysis_economic_study.docx</w:t>
        </w:r>
      </w:hyperlink>
      <w:r w:rsidRPr="00C63513">
        <w:t>.</w:t>
      </w:r>
    </w:p>
  </w:footnote>
  <w:footnote w:id="24">
    <w:p w:rsidR="00BD6E1B" w:rsidRPr="00E810E3" w:rsidRDefault="00BD6E1B">
      <w:pPr>
        <w:pStyle w:val="FootnoteText"/>
      </w:pPr>
      <w:r w:rsidRPr="00E810E3">
        <w:rPr>
          <w:rStyle w:val="FootnoteReference"/>
        </w:rPr>
        <w:footnoteRef/>
      </w:r>
      <w:r w:rsidRPr="00E810E3">
        <w:t xml:space="preserve"> State of Massachusetts, </w:t>
      </w:r>
      <w:r w:rsidRPr="0018404F">
        <w:rPr>
          <w:i/>
        </w:rPr>
        <w:t>An Act Establishing the Global Warming Solutions Act</w:t>
      </w:r>
      <w:r w:rsidRPr="00E810E3">
        <w:t>, 2008 acts, Chapter 298 (August 7, 2008), https://malegislature.gov/Laws/SessionLaws/Acts/2008/Chapter298.</w:t>
      </w:r>
    </w:p>
  </w:footnote>
  <w:footnote w:id="25">
    <w:p w:rsidR="00BD6E1B" w:rsidRDefault="00BD6E1B" w:rsidP="0052653B">
      <w:pPr>
        <w:pStyle w:val="FootnoteText"/>
      </w:pPr>
      <w:r>
        <w:rPr>
          <w:rStyle w:val="FootnoteReference"/>
        </w:rPr>
        <w:footnoteRef/>
      </w:r>
      <w:r>
        <w:t xml:space="preserve"> </w:t>
      </w:r>
      <w:r w:rsidRPr="00E0618D">
        <w:t>Although offshore wind resources were modeled as price-taking resources in this study due to their threshold price of $0/MWh, these resources do exhibit some flexibility if they are “held-back” for reserves or operated under do-not-exceed dispatch (DNE) provisions. The DNE methodology sets an upper limit of how much generation the system can accommodate from an intermittent power resource. The resource may operate freely between 0 MW and this limit but must not exceed it. This helps maximize the amount of intermittent generation on the system by accommodating the variable nature of these resources’ fuel.</w:t>
      </w:r>
    </w:p>
  </w:footnote>
  <w:footnote w:id="26">
    <w:p w:rsidR="00BD6E1B" w:rsidRDefault="00BD6E1B">
      <w:pPr>
        <w:pStyle w:val="FootnoteText"/>
      </w:pPr>
      <w:r w:rsidRPr="000F6726">
        <w:rPr>
          <w:rStyle w:val="FootnoteReference"/>
        </w:rPr>
        <w:footnoteRef/>
      </w:r>
      <w:r w:rsidRPr="000F6726">
        <w:t xml:space="preserve"> See footnote </w:t>
      </w:r>
      <w:r w:rsidRPr="000F6726">
        <w:fldChar w:fldCharType="begin"/>
      </w:r>
      <w:r w:rsidRPr="000F6726">
        <w:instrText xml:space="preserve"> NOTEREF _Ref52289220 \h  \* MERGEFORMAT </w:instrText>
      </w:r>
      <w:r w:rsidRPr="000F6726">
        <w:fldChar w:fldCharType="separate"/>
      </w:r>
      <w:r w:rsidRPr="000F6726">
        <w:t>22</w:t>
      </w:r>
      <w:r w:rsidRPr="000F6726">
        <w:fldChar w:fldCharType="end"/>
      </w:r>
    </w:p>
  </w:footnote>
  <w:footnote w:id="27">
    <w:p w:rsidR="00BD6E1B" w:rsidRPr="00837709" w:rsidRDefault="00BD6E1B" w:rsidP="00D939AB">
      <w:pPr>
        <w:spacing w:after="80" w:line="240" w:lineRule="auto"/>
        <w:rPr>
          <w:color w:val="1F497D"/>
        </w:rPr>
      </w:pPr>
      <w:r w:rsidRPr="00D939AB">
        <w:rPr>
          <w:rStyle w:val="FootnoteReference"/>
          <w:sz w:val="18"/>
          <w:szCs w:val="18"/>
        </w:rPr>
        <w:footnoteRef/>
      </w:r>
      <w:r w:rsidRPr="00D939AB">
        <w:rPr>
          <w:sz w:val="18"/>
          <w:szCs w:val="18"/>
        </w:rPr>
        <w:t xml:space="preserve"> </w:t>
      </w:r>
      <w:r w:rsidRPr="00AC4C6A">
        <w:rPr>
          <w:sz w:val="18"/>
          <w:szCs w:val="18"/>
        </w:rPr>
        <w:t xml:space="preserve">Petition of Massachusetts Electric Company and Nantucket Electric Company, each d/b/a National Grid for approval by the Department of Public Utilities </w:t>
      </w:r>
      <w:r w:rsidRPr="00D939AB">
        <w:rPr>
          <w:sz w:val="18"/>
          <w:szCs w:val="18"/>
        </w:rPr>
        <w:t xml:space="preserve">(DPU) </w:t>
      </w:r>
      <w:r w:rsidRPr="00AC4C6A">
        <w:rPr>
          <w:sz w:val="18"/>
          <w:szCs w:val="18"/>
        </w:rPr>
        <w:t xml:space="preserve">of a long-term contract for procurement of Clean Energy Generation, pursuant to Section 83D of </w:t>
      </w:r>
      <w:r w:rsidRPr="00D939AB">
        <w:rPr>
          <w:i/>
          <w:sz w:val="18"/>
          <w:szCs w:val="18"/>
        </w:rPr>
        <w:t>An Act Relative to Green Communities</w:t>
      </w:r>
      <w:r w:rsidRPr="00AC4C6A">
        <w:rPr>
          <w:sz w:val="18"/>
          <w:szCs w:val="18"/>
        </w:rPr>
        <w:t>, St. 2008, c. 169, as amended by St. 2016, c. 188, § 12, D</w:t>
      </w:r>
      <w:r w:rsidRPr="00D939AB">
        <w:rPr>
          <w:sz w:val="18"/>
          <w:szCs w:val="18"/>
        </w:rPr>
        <w:t xml:space="preserve">PU 18-64; DPU 18-65; </w:t>
      </w:r>
      <w:hyperlink r:id="rId21" w:history="1">
        <w:r w:rsidRPr="00967959">
          <w:rPr>
            <w:rStyle w:val="Hyperlink"/>
            <w:sz w:val="18"/>
            <w:szCs w:val="18"/>
          </w:rPr>
          <w:t>Exhibit JU-3-A_Revised_10-17-18</w:t>
        </w:r>
      </w:hyperlink>
      <w:r w:rsidRPr="00967959">
        <w:rPr>
          <w:sz w:val="18"/>
          <w:szCs w:val="18"/>
        </w:rPr>
        <w:t xml:space="preserve">; </w:t>
      </w:r>
      <w:hyperlink r:id="rId22" w:history="1">
        <w:r w:rsidRPr="00967959">
          <w:rPr>
            <w:rStyle w:val="Hyperlink"/>
            <w:sz w:val="18"/>
            <w:szCs w:val="18"/>
          </w:rPr>
          <w:t>Exhibit JU-3-B_Redacted_Revised_10-17-18</w:t>
        </w:r>
      </w:hyperlink>
      <w:r w:rsidRPr="00967959">
        <w:rPr>
          <w:sz w:val="18"/>
          <w:szCs w:val="18"/>
        </w:rPr>
        <w:t xml:space="preserve">; </w:t>
      </w:r>
      <w:hyperlink r:id="rId23" w:history="1">
        <w:r w:rsidRPr="00967959">
          <w:rPr>
            <w:rStyle w:val="Hyperlink"/>
            <w:sz w:val="18"/>
            <w:szCs w:val="18"/>
          </w:rPr>
          <w:t>Exhibit JU-3-C_Revised_10-17-18</w:t>
        </w:r>
      </w:hyperlink>
      <w:r w:rsidRPr="00967959">
        <w:rPr>
          <w:sz w:val="18"/>
        </w:rPr>
        <w:t>.</w:t>
      </w:r>
    </w:p>
  </w:footnote>
  <w:footnote w:id="28">
    <w:p w:rsidR="00BD6E1B" w:rsidRDefault="00BD6E1B" w:rsidP="004B3F19">
      <w:pPr>
        <w:pStyle w:val="FootnoteText"/>
      </w:pPr>
      <w:r w:rsidRPr="00C1224D">
        <w:rPr>
          <w:rStyle w:val="FootnoteReference"/>
          <w:sz w:val="18"/>
          <w:szCs w:val="18"/>
        </w:rPr>
        <w:footnoteRef/>
      </w:r>
      <w:r w:rsidRPr="00C1224D">
        <w:t xml:space="preserve"> Additional results are included in April 23, 2020, PAC presentation (</w:t>
      </w:r>
      <w:r w:rsidRPr="00CC6422">
        <w:t>footnote</w:t>
      </w:r>
      <w:r>
        <w:t xml:space="preserve"> </w:t>
      </w:r>
      <w:r>
        <w:rPr>
          <w:highlight w:val="green"/>
        </w:rPr>
        <w:fldChar w:fldCharType="begin"/>
      </w:r>
      <w:r>
        <w:instrText xml:space="preserve"> NOTEREF _Ref43214196 \h </w:instrText>
      </w:r>
      <w:r>
        <w:rPr>
          <w:highlight w:val="green"/>
        </w:rPr>
      </w:r>
      <w:r>
        <w:rPr>
          <w:highlight w:val="green"/>
        </w:rPr>
        <w:fldChar w:fldCharType="separate"/>
      </w:r>
      <w:r>
        <w:t>9</w:t>
      </w:r>
      <w:r>
        <w:rPr>
          <w:highlight w:val="green"/>
        </w:rPr>
        <w:fldChar w:fldCharType="end"/>
      </w:r>
      <w:r w:rsidRPr="007F6909">
        <w:t>).</w:t>
      </w:r>
    </w:p>
  </w:footnote>
  <w:footnote w:id="29">
    <w:p w:rsidR="00BD6E1B" w:rsidRDefault="00BD6E1B" w:rsidP="005C398B">
      <w:pPr>
        <w:pStyle w:val="FootnoteText"/>
      </w:pPr>
      <w:r>
        <w:rPr>
          <w:rStyle w:val="FootnoteReference"/>
        </w:rPr>
        <w:footnoteRef/>
      </w:r>
      <w:r>
        <w:t xml:space="preserve"> </w:t>
      </w:r>
      <w:r w:rsidRPr="00EF1E5B">
        <w:t>Overall system spillage is relatively small</w:t>
      </w:r>
      <w:r>
        <w:t xml:space="preserve"> at </w:t>
      </w:r>
      <w:r w:rsidRPr="00EF1E5B">
        <w:t>less than 1 TWh annually</w:t>
      </w:r>
      <w:r>
        <w:t xml:space="preserve">. </w:t>
      </w:r>
      <w:r w:rsidRPr="005C398B">
        <w:t>Total annual spillage is similar betwee</w:t>
      </w:r>
      <w:r>
        <w:t>n the $2/MWh and $11/MWh NECEC threshold-price-sensitivity s</w:t>
      </w:r>
      <w:r w:rsidRPr="005C398B">
        <w:t>cenarios</w:t>
      </w:r>
      <w:r>
        <w:t>. At the higher threshold price where</w:t>
      </w:r>
      <w:r w:rsidRPr="005C398B">
        <w:t xml:space="preserve"> NECEC</w:t>
      </w:r>
      <w:r>
        <w:t xml:space="preserve"> is curtailed before other resource types,</w:t>
      </w:r>
      <w:r w:rsidRPr="005C398B">
        <w:t xml:space="preserve"> the N</w:t>
      </w:r>
      <w:r>
        <w:t xml:space="preserve">ew </w:t>
      </w:r>
      <w:r w:rsidRPr="005C398B">
        <w:t>B</w:t>
      </w:r>
      <w:r>
        <w:t>runswick</w:t>
      </w:r>
      <w:r w:rsidRPr="005C398B">
        <w:t xml:space="preserve"> imports, </w:t>
      </w:r>
      <w:r w:rsidRPr="00113D64">
        <w:t>HQ i</w:t>
      </w:r>
      <w:r w:rsidRPr="005C398B">
        <w:t>mports, and native New England hydro spillage is reduced</w:t>
      </w:r>
      <w:r>
        <w:t>.</w:t>
      </w:r>
    </w:p>
  </w:footnote>
  <w:footnote w:id="30">
    <w:p w:rsidR="00BD6E1B" w:rsidRDefault="00BD6E1B">
      <w:pPr>
        <w:pStyle w:val="FootnoteText"/>
      </w:pPr>
      <w:r>
        <w:rPr>
          <w:rStyle w:val="FootnoteReference"/>
        </w:rPr>
        <w:footnoteRef/>
      </w:r>
      <w:r>
        <w:t xml:space="preserve"> </w:t>
      </w:r>
      <w:r w:rsidRPr="00C029A2">
        <w:t>To minimize production cost, Grid</w:t>
      </w:r>
      <w:r>
        <w:t>V</w:t>
      </w:r>
      <w:r w:rsidRPr="00C029A2">
        <w:t>iew may dispatch a high</w:t>
      </w:r>
      <w:r>
        <w:t>-</w:t>
      </w:r>
      <w:r w:rsidRPr="00C029A2">
        <w:t>variable</w:t>
      </w:r>
      <w:r>
        <w:t>-</w:t>
      </w:r>
      <w:r w:rsidRPr="00C029A2">
        <w:t>cost</w:t>
      </w:r>
      <w:r>
        <w:t xml:space="preserve"> “</w:t>
      </w:r>
      <w:r w:rsidRPr="00C029A2">
        <w:t>peaker</w:t>
      </w:r>
      <w:r>
        <w:t>”</w:t>
      </w:r>
      <w:r w:rsidRPr="00C029A2">
        <w:t xml:space="preserve"> unit rather than a baseload </w:t>
      </w:r>
      <w:r>
        <w:t>resource</w:t>
      </w:r>
      <w:r w:rsidRPr="00C029A2">
        <w:t xml:space="preserve"> with high start</w:t>
      </w:r>
      <w:r>
        <w:t>-</w:t>
      </w:r>
      <w:r w:rsidRPr="00C029A2">
        <w:t>up cost</w:t>
      </w:r>
      <w:r>
        <w:t>,</w:t>
      </w:r>
      <w:r w:rsidRPr="00C029A2">
        <w:t xml:space="preserve"> increas</w:t>
      </w:r>
      <w:r>
        <w:t>ing</w:t>
      </w:r>
      <w:r w:rsidRPr="00C029A2">
        <w:t xml:space="preserve"> LSEEE</w:t>
      </w:r>
      <w:r>
        <w: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Default="00BD6E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Pr="005813F5" w:rsidRDefault="00BD6E1B" w:rsidP="005813F5">
    <w:pPr>
      <w:pStyle w:val="Header"/>
      <w:jc w:val="cent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Default="00BD6E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Pr="00D85494" w:rsidRDefault="00BD6E1B" w:rsidP="005813F5">
    <w:pPr>
      <w:pStyle w:val="Header"/>
      <w:jc w:val="center"/>
      <w:rPr>
        <w:rFonts w:asciiTheme="majorHAnsi" w:hAnsiTheme="majorHAnsi"/>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Pr="00D85494" w:rsidRDefault="00BD6E1B" w:rsidP="005813F5">
    <w:pPr>
      <w:pStyle w:val="Header"/>
      <w:jc w:val="center"/>
      <w:rPr>
        <w:rFonts w:asciiTheme="majorHAnsi" w:hAnsiTheme="majorHAnsi"/>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1B" w:rsidRPr="005813F5" w:rsidRDefault="00BD6E1B" w:rsidP="005813F5">
    <w:pPr>
      <w:pStyle w:val="Header"/>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229"/>
    <w:multiLevelType w:val="hybridMultilevel"/>
    <w:tmpl w:val="0B923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62FCD"/>
    <w:multiLevelType w:val="hybridMultilevel"/>
    <w:tmpl w:val="479A51BE"/>
    <w:lvl w:ilvl="0" w:tplc="26306140">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A0D3C"/>
    <w:multiLevelType w:val="hybridMultilevel"/>
    <w:tmpl w:val="EFFE9F7E"/>
    <w:lvl w:ilvl="0" w:tplc="4650F088">
      <w:start w:val="1"/>
      <w:numFmt w:val="bullet"/>
      <w:lvlText w:val="•"/>
      <w:lvlJc w:val="left"/>
      <w:pPr>
        <w:tabs>
          <w:tab w:val="num" w:pos="720"/>
        </w:tabs>
        <w:ind w:left="720" w:hanging="360"/>
      </w:pPr>
      <w:rPr>
        <w:rFonts w:ascii="Arial" w:hAnsi="Arial" w:hint="default"/>
      </w:rPr>
    </w:lvl>
    <w:lvl w:ilvl="1" w:tplc="35F696F4">
      <w:start w:val="334"/>
      <w:numFmt w:val="bullet"/>
      <w:lvlText w:val="–"/>
      <w:lvlJc w:val="left"/>
      <w:pPr>
        <w:tabs>
          <w:tab w:val="num" w:pos="1440"/>
        </w:tabs>
        <w:ind w:left="1440" w:hanging="360"/>
      </w:pPr>
      <w:rPr>
        <w:rFonts w:ascii="Arial" w:hAnsi="Arial" w:hint="default"/>
      </w:rPr>
    </w:lvl>
    <w:lvl w:ilvl="2" w:tplc="A44EC69C" w:tentative="1">
      <w:start w:val="1"/>
      <w:numFmt w:val="bullet"/>
      <w:lvlText w:val="•"/>
      <w:lvlJc w:val="left"/>
      <w:pPr>
        <w:tabs>
          <w:tab w:val="num" w:pos="2160"/>
        </w:tabs>
        <w:ind w:left="2160" w:hanging="360"/>
      </w:pPr>
      <w:rPr>
        <w:rFonts w:ascii="Arial" w:hAnsi="Arial" w:hint="default"/>
      </w:rPr>
    </w:lvl>
    <w:lvl w:ilvl="3" w:tplc="C9C8889C" w:tentative="1">
      <w:start w:val="1"/>
      <w:numFmt w:val="bullet"/>
      <w:lvlText w:val="•"/>
      <w:lvlJc w:val="left"/>
      <w:pPr>
        <w:tabs>
          <w:tab w:val="num" w:pos="2880"/>
        </w:tabs>
        <w:ind w:left="2880" w:hanging="360"/>
      </w:pPr>
      <w:rPr>
        <w:rFonts w:ascii="Arial" w:hAnsi="Arial" w:hint="default"/>
      </w:rPr>
    </w:lvl>
    <w:lvl w:ilvl="4" w:tplc="541C31EE" w:tentative="1">
      <w:start w:val="1"/>
      <w:numFmt w:val="bullet"/>
      <w:lvlText w:val="•"/>
      <w:lvlJc w:val="left"/>
      <w:pPr>
        <w:tabs>
          <w:tab w:val="num" w:pos="3600"/>
        </w:tabs>
        <w:ind w:left="3600" w:hanging="360"/>
      </w:pPr>
      <w:rPr>
        <w:rFonts w:ascii="Arial" w:hAnsi="Arial" w:hint="default"/>
      </w:rPr>
    </w:lvl>
    <w:lvl w:ilvl="5" w:tplc="F09C1D7C" w:tentative="1">
      <w:start w:val="1"/>
      <w:numFmt w:val="bullet"/>
      <w:lvlText w:val="•"/>
      <w:lvlJc w:val="left"/>
      <w:pPr>
        <w:tabs>
          <w:tab w:val="num" w:pos="4320"/>
        </w:tabs>
        <w:ind w:left="4320" w:hanging="360"/>
      </w:pPr>
      <w:rPr>
        <w:rFonts w:ascii="Arial" w:hAnsi="Arial" w:hint="default"/>
      </w:rPr>
    </w:lvl>
    <w:lvl w:ilvl="6" w:tplc="912A8800" w:tentative="1">
      <w:start w:val="1"/>
      <w:numFmt w:val="bullet"/>
      <w:lvlText w:val="•"/>
      <w:lvlJc w:val="left"/>
      <w:pPr>
        <w:tabs>
          <w:tab w:val="num" w:pos="5040"/>
        </w:tabs>
        <w:ind w:left="5040" w:hanging="360"/>
      </w:pPr>
      <w:rPr>
        <w:rFonts w:ascii="Arial" w:hAnsi="Arial" w:hint="default"/>
      </w:rPr>
    </w:lvl>
    <w:lvl w:ilvl="7" w:tplc="DD3A7CB2" w:tentative="1">
      <w:start w:val="1"/>
      <w:numFmt w:val="bullet"/>
      <w:lvlText w:val="•"/>
      <w:lvlJc w:val="left"/>
      <w:pPr>
        <w:tabs>
          <w:tab w:val="num" w:pos="5760"/>
        </w:tabs>
        <w:ind w:left="5760" w:hanging="360"/>
      </w:pPr>
      <w:rPr>
        <w:rFonts w:ascii="Arial" w:hAnsi="Arial" w:hint="default"/>
      </w:rPr>
    </w:lvl>
    <w:lvl w:ilvl="8" w:tplc="2FEA8B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2F59A9"/>
    <w:multiLevelType w:val="hybridMultilevel"/>
    <w:tmpl w:val="0680D5AA"/>
    <w:lvl w:ilvl="0" w:tplc="597C65FA">
      <w:start w:val="1"/>
      <w:numFmt w:val="bullet"/>
      <w:lvlText w:val="•"/>
      <w:lvlJc w:val="left"/>
      <w:pPr>
        <w:tabs>
          <w:tab w:val="num" w:pos="720"/>
        </w:tabs>
        <w:ind w:left="720" w:hanging="360"/>
      </w:pPr>
      <w:rPr>
        <w:rFonts w:ascii="Arial" w:hAnsi="Arial" w:hint="default"/>
      </w:rPr>
    </w:lvl>
    <w:lvl w:ilvl="1" w:tplc="C010DF02">
      <w:start w:val="270"/>
      <w:numFmt w:val="bullet"/>
      <w:lvlText w:val="–"/>
      <w:lvlJc w:val="left"/>
      <w:pPr>
        <w:tabs>
          <w:tab w:val="num" w:pos="1440"/>
        </w:tabs>
        <w:ind w:left="1440" w:hanging="360"/>
      </w:pPr>
      <w:rPr>
        <w:rFonts w:ascii="Arial" w:hAnsi="Arial" w:hint="default"/>
      </w:rPr>
    </w:lvl>
    <w:lvl w:ilvl="2" w:tplc="FF76087C" w:tentative="1">
      <w:start w:val="1"/>
      <w:numFmt w:val="bullet"/>
      <w:lvlText w:val="•"/>
      <w:lvlJc w:val="left"/>
      <w:pPr>
        <w:tabs>
          <w:tab w:val="num" w:pos="2160"/>
        </w:tabs>
        <w:ind w:left="2160" w:hanging="360"/>
      </w:pPr>
      <w:rPr>
        <w:rFonts w:ascii="Arial" w:hAnsi="Arial" w:hint="default"/>
      </w:rPr>
    </w:lvl>
    <w:lvl w:ilvl="3" w:tplc="CC2E7DEE" w:tentative="1">
      <w:start w:val="1"/>
      <w:numFmt w:val="bullet"/>
      <w:lvlText w:val="•"/>
      <w:lvlJc w:val="left"/>
      <w:pPr>
        <w:tabs>
          <w:tab w:val="num" w:pos="2880"/>
        </w:tabs>
        <w:ind w:left="2880" w:hanging="360"/>
      </w:pPr>
      <w:rPr>
        <w:rFonts w:ascii="Arial" w:hAnsi="Arial" w:hint="default"/>
      </w:rPr>
    </w:lvl>
    <w:lvl w:ilvl="4" w:tplc="9072E128" w:tentative="1">
      <w:start w:val="1"/>
      <w:numFmt w:val="bullet"/>
      <w:lvlText w:val="•"/>
      <w:lvlJc w:val="left"/>
      <w:pPr>
        <w:tabs>
          <w:tab w:val="num" w:pos="3600"/>
        </w:tabs>
        <w:ind w:left="3600" w:hanging="360"/>
      </w:pPr>
      <w:rPr>
        <w:rFonts w:ascii="Arial" w:hAnsi="Arial" w:hint="default"/>
      </w:rPr>
    </w:lvl>
    <w:lvl w:ilvl="5" w:tplc="7ED670BC" w:tentative="1">
      <w:start w:val="1"/>
      <w:numFmt w:val="bullet"/>
      <w:lvlText w:val="•"/>
      <w:lvlJc w:val="left"/>
      <w:pPr>
        <w:tabs>
          <w:tab w:val="num" w:pos="4320"/>
        </w:tabs>
        <w:ind w:left="4320" w:hanging="360"/>
      </w:pPr>
      <w:rPr>
        <w:rFonts w:ascii="Arial" w:hAnsi="Arial" w:hint="default"/>
      </w:rPr>
    </w:lvl>
    <w:lvl w:ilvl="6" w:tplc="723A8F30" w:tentative="1">
      <w:start w:val="1"/>
      <w:numFmt w:val="bullet"/>
      <w:lvlText w:val="•"/>
      <w:lvlJc w:val="left"/>
      <w:pPr>
        <w:tabs>
          <w:tab w:val="num" w:pos="5040"/>
        </w:tabs>
        <w:ind w:left="5040" w:hanging="360"/>
      </w:pPr>
      <w:rPr>
        <w:rFonts w:ascii="Arial" w:hAnsi="Arial" w:hint="default"/>
      </w:rPr>
    </w:lvl>
    <w:lvl w:ilvl="7" w:tplc="96B2B1FC" w:tentative="1">
      <w:start w:val="1"/>
      <w:numFmt w:val="bullet"/>
      <w:lvlText w:val="•"/>
      <w:lvlJc w:val="left"/>
      <w:pPr>
        <w:tabs>
          <w:tab w:val="num" w:pos="5760"/>
        </w:tabs>
        <w:ind w:left="5760" w:hanging="360"/>
      </w:pPr>
      <w:rPr>
        <w:rFonts w:ascii="Arial" w:hAnsi="Arial" w:hint="default"/>
      </w:rPr>
    </w:lvl>
    <w:lvl w:ilvl="8" w:tplc="931E648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1D0FB9"/>
    <w:multiLevelType w:val="hybridMultilevel"/>
    <w:tmpl w:val="9A2631B4"/>
    <w:lvl w:ilvl="0" w:tplc="234A510E">
      <w:start w:val="1"/>
      <w:numFmt w:val="bullet"/>
      <w:lvlText w:val="–"/>
      <w:lvlJc w:val="left"/>
      <w:pPr>
        <w:tabs>
          <w:tab w:val="num" w:pos="720"/>
        </w:tabs>
        <w:ind w:left="720" w:hanging="360"/>
      </w:pPr>
      <w:rPr>
        <w:rFonts w:ascii="Arial" w:hAnsi="Arial" w:hint="default"/>
      </w:rPr>
    </w:lvl>
    <w:lvl w:ilvl="1" w:tplc="191EE332">
      <w:start w:val="1"/>
      <w:numFmt w:val="bullet"/>
      <w:lvlText w:val="–"/>
      <w:lvlJc w:val="left"/>
      <w:pPr>
        <w:tabs>
          <w:tab w:val="num" w:pos="1440"/>
        </w:tabs>
        <w:ind w:left="1440" w:hanging="360"/>
      </w:pPr>
      <w:rPr>
        <w:rFonts w:ascii="Arial" w:hAnsi="Arial" w:hint="default"/>
      </w:rPr>
    </w:lvl>
    <w:lvl w:ilvl="2" w:tplc="AE322A24">
      <w:start w:val="138"/>
      <w:numFmt w:val="bullet"/>
      <w:lvlText w:val="•"/>
      <w:lvlJc w:val="left"/>
      <w:pPr>
        <w:tabs>
          <w:tab w:val="num" w:pos="2160"/>
        </w:tabs>
        <w:ind w:left="2160" w:hanging="360"/>
      </w:pPr>
      <w:rPr>
        <w:rFonts w:ascii="Arial" w:hAnsi="Arial" w:hint="default"/>
      </w:rPr>
    </w:lvl>
    <w:lvl w:ilvl="3" w:tplc="F7B8E5FC">
      <w:start w:val="138"/>
      <w:numFmt w:val="bullet"/>
      <w:lvlText w:val="–"/>
      <w:lvlJc w:val="left"/>
      <w:pPr>
        <w:tabs>
          <w:tab w:val="num" w:pos="2880"/>
        </w:tabs>
        <w:ind w:left="2880" w:hanging="360"/>
      </w:pPr>
      <w:rPr>
        <w:rFonts w:ascii="Arial" w:hAnsi="Arial" w:hint="default"/>
      </w:rPr>
    </w:lvl>
    <w:lvl w:ilvl="4" w:tplc="B6BE4F44" w:tentative="1">
      <w:start w:val="1"/>
      <w:numFmt w:val="bullet"/>
      <w:lvlText w:val="–"/>
      <w:lvlJc w:val="left"/>
      <w:pPr>
        <w:tabs>
          <w:tab w:val="num" w:pos="3600"/>
        </w:tabs>
        <w:ind w:left="3600" w:hanging="360"/>
      </w:pPr>
      <w:rPr>
        <w:rFonts w:ascii="Arial" w:hAnsi="Arial" w:hint="default"/>
      </w:rPr>
    </w:lvl>
    <w:lvl w:ilvl="5" w:tplc="3788E422" w:tentative="1">
      <w:start w:val="1"/>
      <w:numFmt w:val="bullet"/>
      <w:lvlText w:val="–"/>
      <w:lvlJc w:val="left"/>
      <w:pPr>
        <w:tabs>
          <w:tab w:val="num" w:pos="4320"/>
        </w:tabs>
        <w:ind w:left="4320" w:hanging="360"/>
      </w:pPr>
      <w:rPr>
        <w:rFonts w:ascii="Arial" w:hAnsi="Arial" w:hint="default"/>
      </w:rPr>
    </w:lvl>
    <w:lvl w:ilvl="6" w:tplc="A7E451E4" w:tentative="1">
      <w:start w:val="1"/>
      <w:numFmt w:val="bullet"/>
      <w:lvlText w:val="–"/>
      <w:lvlJc w:val="left"/>
      <w:pPr>
        <w:tabs>
          <w:tab w:val="num" w:pos="5040"/>
        </w:tabs>
        <w:ind w:left="5040" w:hanging="360"/>
      </w:pPr>
      <w:rPr>
        <w:rFonts w:ascii="Arial" w:hAnsi="Arial" w:hint="default"/>
      </w:rPr>
    </w:lvl>
    <w:lvl w:ilvl="7" w:tplc="2746F6B0" w:tentative="1">
      <w:start w:val="1"/>
      <w:numFmt w:val="bullet"/>
      <w:lvlText w:val="–"/>
      <w:lvlJc w:val="left"/>
      <w:pPr>
        <w:tabs>
          <w:tab w:val="num" w:pos="5760"/>
        </w:tabs>
        <w:ind w:left="5760" w:hanging="360"/>
      </w:pPr>
      <w:rPr>
        <w:rFonts w:ascii="Arial" w:hAnsi="Arial" w:hint="default"/>
      </w:rPr>
    </w:lvl>
    <w:lvl w:ilvl="8" w:tplc="510462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C1592D"/>
    <w:multiLevelType w:val="hybridMultilevel"/>
    <w:tmpl w:val="D1B81BF6"/>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06FBE"/>
    <w:multiLevelType w:val="hybridMultilevel"/>
    <w:tmpl w:val="39D2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109D5"/>
    <w:multiLevelType w:val="hybridMultilevel"/>
    <w:tmpl w:val="E5A444DE"/>
    <w:lvl w:ilvl="0" w:tplc="5F3E6146">
      <w:start w:val="1"/>
      <w:numFmt w:val="bullet"/>
      <w:lvlText w:val="•"/>
      <w:lvlJc w:val="left"/>
      <w:pPr>
        <w:tabs>
          <w:tab w:val="num" w:pos="720"/>
        </w:tabs>
        <w:ind w:left="720" w:hanging="360"/>
      </w:pPr>
      <w:rPr>
        <w:rFonts w:ascii="Arial" w:hAnsi="Arial" w:hint="default"/>
      </w:rPr>
    </w:lvl>
    <w:lvl w:ilvl="1" w:tplc="1724FEE0">
      <w:start w:val="270"/>
      <w:numFmt w:val="bullet"/>
      <w:lvlText w:val="–"/>
      <w:lvlJc w:val="left"/>
      <w:pPr>
        <w:tabs>
          <w:tab w:val="num" w:pos="1440"/>
        </w:tabs>
        <w:ind w:left="1440" w:hanging="360"/>
      </w:pPr>
      <w:rPr>
        <w:rFonts w:ascii="Arial" w:hAnsi="Arial" w:hint="default"/>
      </w:rPr>
    </w:lvl>
    <w:lvl w:ilvl="2" w:tplc="844236F8" w:tentative="1">
      <w:start w:val="1"/>
      <w:numFmt w:val="bullet"/>
      <w:lvlText w:val="•"/>
      <w:lvlJc w:val="left"/>
      <w:pPr>
        <w:tabs>
          <w:tab w:val="num" w:pos="2160"/>
        </w:tabs>
        <w:ind w:left="2160" w:hanging="360"/>
      </w:pPr>
      <w:rPr>
        <w:rFonts w:ascii="Arial" w:hAnsi="Arial" w:hint="default"/>
      </w:rPr>
    </w:lvl>
    <w:lvl w:ilvl="3" w:tplc="1DB035AA" w:tentative="1">
      <w:start w:val="1"/>
      <w:numFmt w:val="bullet"/>
      <w:lvlText w:val="•"/>
      <w:lvlJc w:val="left"/>
      <w:pPr>
        <w:tabs>
          <w:tab w:val="num" w:pos="2880"/>
        </w:tabs>
        <w:ind w:left="2880" w:hanging="360"/>
      </w:pPr>
      <w:rPr>
        <w:rFonts w:ascii="Arial" w:hAnsi="Arial" w:hint="default"/>
      </w:rPr>
    </w:lvl>
    <w:lvl w:ilvl="4" w:tplc="1696C434" w:tentative="1">
      <w:start w:val="1"/>
      <w:numFmt w:val="bullet"/>
      <w:lvlText w:val="•"/>
      <w:lvlJc w:val="left"/>
      <w:pPr>
        <w:tabs>
          <w:tab w:val="num" w:pos="3600"/>
        </w:tabs>
        <w:ind w:left="3600" w:hanging="360"/>
      </w:pPr>
      <w:rPr>
        <w:rFonts w:ascii="Arial" w:hAnsi="Arial" w:hint="default"/>
      </w:rPr>
    </w:lvl>
    <w:lvl w:ilvl="5" w:tplc="7B98DFD6" w:tentative="1">
      <w:start w:val="1"/>
      <w:numFmt w:val="bullet"/>
      <w:lvlText w:val="•"/>
      <w:lvlJc w:val="left"/>
      <w:pPr>
        <w:tabs>
          <w:tab w:val="num" w:pos="4320"/>
        </w:tabs>
        <w:ind w:left="4320" w:hanging="360"/>
      </w:pPr>
      <w:rPr>
        <w:rFonts w:ascii="Arial" w:hAnsi="Arial" w:hint="default"/>
      </w:rPr>
    </w:lvl>
    <w:lvl w:ilvl="6" w:tplc="9844F7A4" w:tentative="1">
      <w:start w:val="1"/>
      <w:numFmt w:val="bullet"/>
      <w:lvlText w:val="•"/>
      <w:lvlJc w:val="left"/>
      <w:pPr>
        <w:tabs>
          <w:tab w:val="num" w:pos="5040"/>
        </w:tabs>
        <w:ind w:left="5040" w:hanging="360"/>
      </w:pPr>
      <w:rPr>
        <w:rFonts w:ascii="Arial" w:hAnsi="Arial" w:hint="default"/>
      </w:rPr>
    </w:lvl>
    <w:lvl w:ilvl="7" w:tplc="DB167AAC" w:tentative="1">
      <w:start w:val="1"/>
      <w:numFmt w:val="bullet"/>
      <w:lvlText w:val="•"/>
      <w:lvlJc w:val="left"/>
      <w:pPr>
        <w:tabs>
          <w:tab w:val="num" w:pos="5760"/>
        </w:tabs>
        <w:ind w:left="5760" w:hanging="360"/>
      </w:pPr>
      <w:rPr>
        <w:rFonts w:ascii="Arial" w:hAnsi="Arial" w:hint="default"/>
      </w:rPr>
    </w:lvl>
    <w:lvl w:ilvl="8" w:tplc="B68A82A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027C04"/>
    <w:multiLevelType w:val="hybridMultilevel"/>
    <w:tmpl w:val="407C473A"/>
    <w:lvl w:ilvl="0" w:tplc="04090001">
      <w:start w:val="1"/>
      <w:numFmt w:val="bullet"/>
      <w:lvlText w:val=""/>
      <w:lvlJc w:val="left"/>
      <w:pPr>
        <w:ind w:left="720" w:hanging="360"/>
      </w:pPr>
      <w:rPr>
        <w:rFonts w:ascii="Symbol" w:hAnsi="Symbol" w:hint="default"/>
      </w:rPr>
    </w:lvl>
    <w:lvl w:ilvl="1" w:tplc="6D4A3858">
      <w:numFmt w:val="bullet"/>
      <w:lvlText w:val="–"/>
      <w:lvlJc w:val="left"/>
      <w:pPr>
        <w:ind w:left="1800" w:hanging="720"/>
      </w:pPr>
      <w:rPr>
        <w:rFonts w:ascii="Cambria" w:eastAsia="Times New Roman" w:hAnsi="Cambria"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0193B"/>
    <w:multiLevelType w:val="hybridMultilevel"/>
    <w:tmpl w:val="5D863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2154C"/>
    <w:multiLevelType w:val="hybridMultilevel"/>
    <w:tmpl w:val="A2D678E4"/>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23CE20FA">
      <w:start w:val="2019"/>
      <w:numFmt w:val="bullet"/>
      <w:lvlText w:val="–"/>
      <w:lvlJc w:val="left"/>
      <w:pPr>
        <w:ind w:left="2160" w:hanging="360"/>
      </w:pPr>
      <w:rPr>
        <w:rFonts w:ascii="Cambria" w:eastAsia="Times New Roman" w:hAnsi="Cambri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16685"/>
    <w:multiLevelType w:val="hybridMultilevel"/>
    <w:tmpl w:val="D8AE143E"/>
    <w:lvl w:ilvl="0" w:tplc="A64061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CE1D13"/>
    <w:multiLevelType w:val="hybridMultilevel"/>
    <w:tmpl w:val="1FD44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D9121A"/>
    <w:multiLevelType w:val="hybridMultilevel"/>
    <w:tmpl w:val="6A0CD4E8"/>
    <w:lvl w:ilvl="0" w:tplc="692E7A3C">
      <w:start w:val="1"/>
      <w:numFmt w:val="bullet"/>
      <w:lvlText w:val="•"/>
      <w:lvlJc w:val="left"/>
      <w:pPr>
        <w:tabs>
          <w:tab w:val="num" w:pos="720"/>
        </w:tabs>
        <w:ind w:left="720" w:hanging="360"/>
      </w:pPr>
      <w:rPr>
        <w:rFonts w:ascii="Arial" w:hAnsi="Arial" w:hint="default"/>
      </w:rPr>
    </w:lvl>
    <w:lvl w:ilvl="1" w:tplc="E16210EE" w:tentative="1">
      <w:start w:val="1"/>
      <w:numFmt w:val="bullet"/>
      <w:lvlText w:val="•"/>
      <w:lvlJc w:val="left"/>
      <w:pPr>
        <w:tabs>
          <w:tab w:val="num" w:pos="1440"/>
        </w:tabs>
        <w:ind w:left="1440" w:hanging="360"/>
      </w:pPr>
      <w:rPr>
        <w:rFonts w:ascii="Arial" w:hAnsi="Arial" w:hint="default"/>
      </w:rPr>
    </w:lvl>
    <w:lvl w:ilvl="2" w:tplc="E86AA6BA" w:tentative="1">
      <w:start w:val="1"/>
      <w:numFmt w:val="bullet"/>
      <w:lvlText w:val="•"/>
      <w:lvlJc w:val="left"/>
      <w:pPr>
        <w:tabs>
          <w:tab w:val="num" w:pos="2160"/>
        </w:tabs>
        <w:ind w:left="2160" w:hanging="360"/>
      </w:pPr>
      <w:rPr>
        <w:rFonts w:ascii="Arial" w:hAnsi="Arial" w:hint="default"/>
      </w:rPr>
    </w:lvl>
    <w:lvl w:ilvl="3" w:tplc="CEAE942A" w:tentative="1">
      <w:start w:val="1"/>
      <w:numFmt w:val="bullet"/>
      <w:lvlText w:val="•"/>
      <w:lvlJc w:val="left"/>
      <w:pPr>
        <w:tabs>
          <w:tab w:val="num" w:pos="2880"/>
        </w:tabs>
        <w:ind w:left="2880" w:hanging="360"/>
      </w:pPr>
      <w:rPr>
        <w:rFonts w:ascii="Arial" w:hAnsi="Arial" w:hint="default"/>
      </w:rPr>
    </w:lvl>
    <w:lvl w:ilvl="4" w:tplc="9418CCB6" w:tentative="1">
      <w:start w:val="1"/>
      <w:numFmt w:val="bullet"/>
      <w:lvlText w:val="•"/>
      <w:lvlJc w:val="left"/>
      <w:pPr>
        <w:tabs>
          <w:tab w:val="num" w:pos="3600"/>
        </w:tabs>
        <w:ind w:left="3600" w:hanging="360"/>
      </w:pPr>
      <w:rPr>
        <w:rFonts w:ascii="Arial" w:hAnsi="Arial" w:hint="default"/>
      </w:rPr>
    </w:lvl>
    <w:lvl w:ilvl="5" w:tplc="09BCE574" w:tentative="1">
      <w:start w:val="1"/>
      <w:numFmt w:val="bullet"/>
      <w:lvlText w:val="•"/>
      <w:lvlJc w:val="left"/>
      <w:pPr>
        <w:tabs>
          <w:tab w:val="num" w:pos="4320"/>
        </w:tabs>
        <w:ind w:left="4320" w:hanging="360"/>
      </w:pPr>
      <w:rPr>
        <w:rFonts w:ascii="Arial" w:hAnsi="Arial" w:hint="default"/>
      </w:rPr>
    </w:lvl>
    <w:lvl w:ilvl="6" w:tplc="165637C6" w:tentative="1">
      <w:start w:val="1"/>
      <w:numFmt w:val="bullet"/>
      <w:lvlText w:val="•"/>
      <w:lvlJc w:val="left"/>
      <w:pPr>
        <w:tabs>
          <w:tab w:val="num" w:pos="5040"/>
        </w:tabs>
        <w:ind w:left="5040" w:hanging="360"/>
      </w:pPr>
      <w:rPr>
        <w:rFonts w:ascii="Arial" w:hAnsi="Arial" w:hint="default"/>
      </w:rPr>
    </w:lvl>
    <w:lvl w:ilvl="7" w:tplc="2AA6A5E6" w:tentative="1">
      <w:start w:val="1"/>
      <w:numFmt w:val="bullet"/>
      <w:lvlText w:val="•"/>
      <w:lvlJc w:val="left"/>
      <w:pPr>
        <w:tabs>
          <w:tab w:val="num" w:pos="5760"/>
        </w:tabs>
        <w:ind w:left="5760" w:hanging="360"/>
      </w:pPr>
      <w:rPr>
        <w:rFonts w:ascii="Arial" w:hAnsi="Arial" w:hint="default"/>
      </w:rPr>
    </w:lvl>
    <w:lvl w:ilvl="8" w:tplc="1048EFA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556E79"/>
    <w:multiLevelType w:val="hybridMultilevel"/>
    <w:tmpl w:val="AAA2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6E45AC"/>
    <w:multiLevelType w:val="hybridMultilevel"/>
    <w:tmpl w:val="9A30C07E"/>
    <w:lvl w:ilvl="0" w:tplc="8034EFD8">
      <w:start w:val="242"/>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23644"/>
    <w:multiLevelType w:val="hybridMultilevel"/>
    <w:tmpl w:val="1F4619BA"/>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C07FE1"/>
    <w:multiLevelType w:val="hybridMultilevel"/>
    <w:tmpl w:val="8428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B2AF2"/>
    <w:multiLevelType w:val="hybridMultilevel"/>
    <w:tmpl w:val="9614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E49E2"/>
    <w:multiLevelType w:val="multilevel"/>
    <w:tmpl w:val="C93A7532"/>
    <w:lvl w:ilvl="0">
      <w:start w:val="1"/>
      <w:numFmt w:val="decimal"/>
      <w:pStyle w:val="Heading1"/>
      <w:suff w:val="nothing"/>
      <w:lvlText w:val="Section %1"/>
      <w:lvlJc w:val="left"/>
      <w:pPr>
        <w:ind w:left="0" w:firstLine="0"/>
      </w:pPr>
      <w:rPr>
        <w:rFonts w:ascii="Calibri" w:hAnsi="Calibri" w:hint="default"/>
        <w:b/>
        <w:i w:val="0"/>
        <w:color w:val="1795D2" w:themeColor="accent1"/>
        <w:spacing w:val="0"/>
        <w:sz w:val="36"/>
      </w:rPr>
    </w:lvl>
    <w:lvl w:ilvl="1">
      <w:start w:val="1"/>
      <w:numFmt w:val="decimal"/>
      <w:pStyle w:val="Heading2"/>
      <w:suff w:val="space"/>
      <w:lvlText w:val="%1.%2"/>
      <w:lvlJc w:val="left"/>
      <w:pPr>
        <w:ind w:left="0" w:firstLine="0"/>
      </w:pPr>
      <w:rPr>
        <w:rFonts w:ascii="Calibri" w:hAnsi="Calibri" w:hint="default"/>
        <w:b/>
        <w:i w:val="0"/>
        <w:color w:val="auto"/>
        <w:sz w:val="24"/>
      </w:rPr>
    </w:lvl>
    <w:lvl w:ilvl="2">
      <w:start w:val="1"/>
      <w:numFmt w:val="decimal"/>
      <w:pStyle w:val="Heading3"/>
      <w:suff w:val="space"/>
      <w:lvlText w:val="%1.%2.%3"/>
      <w:lvlJc w:val="left"/>
      <w:pPr>
        <w:ind w:left="45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i/>
        <w:sz w:val="20"/>
        <w:szCs w:val="20"/>
      </w:rPr>
    </w:lvl>
    <w:lvl w:ilvl="4">
      <w:start w:val="1"/>
      <w:numFmt w:val="decimal"/>
      <w:lvlRestart w:val="0"/>
      <w:suff w:val="space"/>
      <w:lvlText w:val="%1.%2.%3.%4.%5"/>
      <w:lvlJc w:val="left"/>
      <w:pPr>
        <w:ind w:left="0" w:firstLine="0"/>
      </w:pPr>
      <w:rPr>
        <w:rFonts w:hint="default"/>
      </w:rPr>
    </w:lvl>
    <w:lvl w:ilvl="5">
      <w:start w:val="1"/>
      <w:numFmt w:val="decimal"/>
      <w:lvlRestart w:val="0"/>
      <w:lvlText w:val="%1.%2.%3.%4.%5.%6"/>
      <w:lvlJc w:val="left"/>
      <w:pPr>
        <w:tabs>
          <w:tab w:val="num" w:pos="1800"/>
        </w:tabs>
        <w:ind w:left="0" w:firstLine="0"/>
      </w:pPr>
      <w:rPr>
        <w:rFonts w:hint="default"/>
      </w:rPr>
    </w:lvl>
    <w:lvl w:ilvl="6">
      <w:start w:val="1"/>
      <w:numFmt w:val="decimal"/>
      <w:lvlRestart w:val="0"/>
      <w:lvlText w:val="%1.%2.%3.%4.%5.%6.%7"/>
      <w:lvlJc w:val="left"/>
      <w:pPr>
        <w:tabs>
          <w:tab w:val="num" w:pos="2160"/>
        </w:tabs>
        <w:ind w:left="0" w:firstLine="0"/>
      </w:pPr>
      <w:rPr>
        <w:rFonts w:hint="default"/>
      </w:rPr>
    </w:lvl>
    <w:lvl w:ilvl="7">
      <w:start w:val="1"/>
      <w:numFmt w:val="decimal"/>
      <w:lvlRestart w:val="0"/>
      <w:lvlText w:val="%1.%2.%3.%4.%5.%6.%7.%8"/>
      <w:lvlJc w:val="left"/>
      <w:pPr>
        <w:tabs>
          <w:tab w:val="num" w:pos="2520"/>
        </w:tabs>
        <w:ind w:left="0" w:firstLine="0"/>
      </w:pPr>
      <w:rPr>
        <w:rFonts w:hint="default"/>
      </w:rPr>
    </w:lvl>
    <w:lvl w:ilvl="8">
      <w:start w:val="1"/>
      <w:numFmt w:val="decimal"/>
      <w:lvlRestart w:val="0"/>
      <w:lvlText w:val="%1.%2.%3.%4.%5.%6.%7.%8.%9"/>
      <w:lvlJc w:val="left"/>
      <w:pPr>
        <w:tabs>
          <w:tab w:val="num" w:pos="2880"/>
        </w:tabs>
        <w:ind w:left="0" w:firstLine="0"/>
      </w:pPr>
      <w:rPr>
        <w:rFonts w:hint="default"/>
      </w:rPr>
    </w:lvl>
  </w:abstractNum>
  <w:abstractNum w:abstractNumId="20" w15:restartNumberingAfterBreak="0">
    <w:nsid w:val="40703FF5"/>
    <w:multiLevelType w:val="hybridMultilevel"/>
    <w:tmpl w:val="889EB0C8"/>
    <w:lvl w:ilvl="0" w:tplc="6BDAFD8C">
      <w:numFmt w:val="bullet"/>
      <w:lvlText w:val="-"/>
      <w:lvlJc w:val="left"/>
      <w:pPr>
        <w:ind w:left="405" w:hanging="360"/>
      </w:pPr>
      <w:rPr>
        <w:rFonts w:ascii="Cambria" w:eastAsia="Times New Roman" w:hAnsi="Cambria"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1" w15:restartNumberingAfterBreak="0">
    <w:nsid w:val="42F44A20"/>
    <w:multiLevelType w:val="hybridMultilevel"/>
    <w:tmpl w:val="C846D9A4"/>
    <w:lvl w:ilvl="0" w:tplc="27240B5A">
      <w:start w:val="1"/>
      <w:numFmt w:val="bullet"/>
      <w:lvlText w:val="•"/>
      <w:lvlJc w:val="left"/>
      <w:pPr>
        <w:tabs>
          <w:tab w:val="num" w:pos="720"/>
        </w:tabs>
        <w:ind w:left="720" w:hanging="360"/>
      </w:pPr>
      <w:rPr>
        <w:rFonts w:ascii="Arial" w:hAnsi="Arial" w:hint="default"/>
      </w:rPr>
    </w:lvl>
    <w:lvl w:ilvl="1" w:tplc="DF94E32C">
      <w:start w:val="270"/>
      <w:numFmt w:val="bullet"/>
      <w:lvlText w:val="–"/>
      <w:lvlJc w:val="left"/>
      <w:pPr>
        <w:tabs>
          <w:tab w:val="num" w:pos="1440"/>
        </w:tabs>
        <w:ind w:left="1440" w:hanging="360"/>
      </w:pPr>
      <w:rPr>
        <w:rFonts w:ascii="Arial" w:hAnsi="Arial" w:hint="default"/>
      </w:rPr>
    </w:lvl>
    <w:lvl w:ilvl="2" w:tplc="9A287DEE" w:tentative="1">
      <w:start w:val="1"/>
      <w:numFmt w:val="bullet"/>
      <w:lvlText w:val="•"/>
      <w:lvlJc w:val="left"/>
      <w:pPr>
        <w:tabs>
          <w:tab w:val="num" w:pos="2160"/>
        </w:tabs>
        <w:ind w:left="2160" w:hanging="360"/>
      </w:pPr>
      <w:rPr>
        <w:rFonts w:ascii="Arial" w:hAnsi="Arial" w:hint="default"/>
      </w:rPr>
    </w:lvl>
    <w:lvl w:ilvl="3" w:tplc="72B4F2E8" w:tentative="1">
      <w:start w:val="1"/>
      <w:numFmt w:val="bullet"/>
      <w:lvlText w:val="•"/>
      <w:lvlJc w:val="left"/>
      <w:pPr>
        <w:tabs>
          <w:tab w:val="num" w:pos="2880"/>
        </w:tabs>
        <w:ind w:left="2880" w:hanging="360"/>
      </w:pPr>
      <w:rPr>
        <w:rFonts w:ascii="Arial" w:hAnsi="Arial" w:hint="default"/>
      </w:rPr>
    </w:lvl>
    <w:lvl w:ilvl="4" w:tplc="74FEAB12" w:tentative="1">
      <w:start w:val="1"/>
      <w:numFmt w:val="bullet"/>
      <w:lvlText w:val="•"/>
      <w:lvlJc w:val="left"/>
      <w:pPr>
        <w:tabs>
          <w:tab w:val="num" w:pos="3600"/>
        </w:tabs>
        <w:ind w:left="3600" w:hanging="360"/>
      </w:pPr>
      <w:rPr>
        <w:rFonts w:ascii="Arial" w:hAnsi="Arial" w:hint="default"/>
      </w:rPr>
    </w:lvl>
    <w:lvl w:ilvl="5" w:tplc="5CC68612" w:tentative="1">
      <w:start w:val="1"/>
      <w:numFmt w:val="bullet"/>
      <w:lvlText w:val="•"/>
      <w:lvlJc w:val="left"/>
      <w:pPr>
        <w:tabs>
          <w:tab w:val="num" w:pos="4320"/>
        </w:tabs>
        <w:ind w:left="4320" w:hanging="360"/>
      </w:pPr>
      <w:rPr>
        <w:rFonts w:ascii="Arial" w:hAnsi="Arial" w:hint="default"/>
      </w:rPr>
    </w:lvl>
    <w:lvl w:ilvl="6" w:tplc="D47C3B1A" w:tentative="1">
      <w:start w:val="1"/>
      <w:numFmt w:val="bullet"/>
      <w:lvlText w:val="•"/>
      <w:lvlJc w:val="left"/>
      <w:pPr>
        <w:tabs>
          <w:tab w:val="num" w:pos="5040"/>
        </w:tabs>
        <w:ind w:left="5040" w:hanging="360"/>
      </w:pPr>
      <w:rPr>
        <w:rFonts w:ascii="Arial" w:hAnsi="Arial" w:hint="default"/>
      </w:rPr>
    </w:lvl>
    <w:lvl w:ilvl="7" w:tplc="B712C7FA" w:tentative="1">
      <w:start w:val="1"/>
      <w:numFmt w:val="bullet"/>
      <w:lvlText w:val="•"/>
      <w:lvlJc w:val="left"/>
      <w:pPr>
        <w:tabs>
          <w:tab w:val="num" w:pos="5760"/>
        </w:tabs>
        <w:ind w:left="5760" w:hanging="360"/>
      </w:pPr>
      <w:rPr>
        <w:rFonts w:ascii="Arial" w:hAnsi="Arial" w:hint="default"/>
      </w:rPr>
    </w:lvl>
    <w:lvl w:ilvl="8" w:tplc="4732D55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5B3B97"/>
    <w:multiLevelType w:val="hybridMultilevel"/>
    <w:tmpl w:val="B29ECAE8"/>
    <w:lvl w:ilvl="0" w:tplc="4C2CB5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382FDA"/>
    <w:multiLevelType w:val="hybridMultilevel"/>
    <w:tmpl w:val="CF78CF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C50F37"/>
    <w:multiLevelType w:val="hybridMultilevel"/>
    <w:tmpl w:val="BD68E97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E957041"/>
    <w:multiLevelType w:val="hybridMultilevel"/>
    <w:tmpl w:val="9BCEAC9C"/>
    <w:lvl w:ilvl="0" w:tplc="79505604">
      <w:start w:val="1"/>
      <w:numFmt w:val="bullet"/>
      <w:lvlText w:val="•"/>
      <w:lvlJc w:val="left"/>
      <w:pPr>
        <w:tabs>
          <w:tab w:val="num" w:pos="720"/>
        </w:tabs>
        <w:ind w:left="720" w:hanging="360"/>
      </w:pPr>
      <w:rPr>
        <w:rFonts w:ascii="Arial" w:hAnsi="Arial" w:hint="default"/>
      </w:rPr>
    </w:lvl>
    <w:lvl w:ilvl="1" w:tplc="5BA2EB10">
      <w:start w:val="270"/>
      <w:numFmt w:val="bullet"/>
      <w:lvlText w:val="–"/>
      <w:lvlJc w:val="left"/>
      <w:pPr>
        <w:tabs>
          <w:tab w:val="num" w:pos="1440"/>
        </w:tabs>
        <w:ind w:left="1440" w:hanging="360"/>
      </w:pPr>
      <w:rPr>
        <w:rFonts w:ascii="Arial" w:hAnsi="Arial" w:hint="default"/>
      </w:rPr>
    </w:lvl>
    <w:lvl w:ilvl="2" w:tplc="813EC332" w:tentative="1">
      <w:start w:val="1"/>
      <w:numFmt w:val="bullet"/>
      <w:lvlText w:val="•"/>
      <w:lvlJc w:val="left"/>
      <w:pPr>
        <w:tabs>
          <w:tab w:val="num" w:pos="2160"/>
        </w:tabs>
        <w:ind w:left="2160" w:hanging="360"/>
      </w:pPr>
      <w:rPr>
        <w:rFonts w:ascii="Arial" w:hAnsi="Arial" w:hint="default"/>
      </w:rPr>
    </w:lvl>
    <w:lvl w:ilvl="3" w:tplc="E68E76A2" w:tentative="1">
      <w:start w:val="1"/>
      <w:numFmt w:val="bullet"/>
      <w:lvlText w:val="•"/>
      <w:lvlJc w:val="left"/>
      <w:pPr>
        <w:tabs>
          <w:tab w:val="num" w:pos="2880"/>
        </w:tabs>
        <w:ind w:left="2880" w:hanging="360"/>
      </w:pPr>
      <w:rPr>
        <w:rFonts w:ascii="Arial" w:hAnsi="Arial" w:hint="default"/>
      </w:rPr>
    </w:lvl>
    <w:lvl w:ilvl="4" w:tplc="AD8E9848" w:tentative="1">
      <w:start w:val="1"/>
      <w:numFmt w:val="bullet"/>
      <w:lvlText w:val="•"/>
      <w:lvlJc w:val="left"/>
      <w:pPr>
        <w:tabs>
          <w:tab w:val="num" w:pos="3600"/>
        </w:tabs>
        <w:ind w:left="3600" w:hanging="360"/>
      </w:pPr>
      <w:rPr>
        <w:rFonts w:ascii="Arial" w:hAnsi="Arial" w:hint="default"/>
      </w:rPr>
    </w:lvl>
    <w:lvl w:ilvl="5" w:tplc="8046796C" w:tentative="1">
      <w:start w:val="1"/>
      <w:numFmt w:val="bullet"/>
      <w:lvlText w:val="•"/>
      <w:lvlJc w:val="left"/>
      <w:pPr>
        <w:tabs>
          <w:tab w:val="num" w:pos="4320"/>
        </w:tabs>
        <w:ind w:left="4320" w:hanging="360"/>
      </w:pPr>
      <w:rPr>
        <w:rFonts w:ascii="Arial" w:hAnsi="Arial" w:hint="default"/>
      </w:rPr>
    </w:lvl>
    <w:lvl w:ilvl="6" w:tplc="BF444D3C" w:tentative="1">
      <w:start w:val="1"/>
      <w:numFmt w:val="bullet"/>
      <w:lvlText w:val="•"/>
      <w:lvlJc w:val="left"/>
      <w:pPr>
        <w:tabs>
          <w:tab w:val="num" w:pos="5040"/>
        </w:tabs>
        <w:ind w:left="5040" w:hanging="360"/>
      </w:pPr>
      <w:rPr>
        <w:rFonts w:ascii="Arial" w:hAnsi="Arial" w:hint="default"/>
      </w:rPr>
    </w:lvl>
    <w:lvl w:ilvl="7" w:tplc="682E1B34" w:tentative="1">
      <w:start w:val="1"/>
      <w:numFmt w:val="bullet"/>
      <w:lvlText w:val="•"/>
      <w:lvlJc w:val="left"/>
      <w:pPr>
        <w:tabs>
          <w:tab w:val="num" w:pos="5760"/>
        </w:tabs>
        <w:ind w:left="5760" w:hanging="360"/>
      </w:pPr>
      <w:rPr>
        <w:rFonts w:ascii="Arial" w:hAnsi="Arial" w:hint="default"/>
      </w:rPr>
    </w:lvl>
    <w:lvl w:ilvl="8" w:tplc="F5B8228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292F67"/>
    <w:multiLevelType w:val="hybridMultilevel"/>
    <w:tmpl w:val="C8D29CF0"/>
    <w:lvl w:ilvl="0" w:tplc="D284BA1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2C049DE"/>
    <w:multiLevelType w:val="hybridMultilevel"/>
    <w:tmpl w:val="2C46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7C1567"/>
    <w:multiLevelType w:val="hybridMultilevel"/>
    <w:tmpl w:val="6EF65BB6"/>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427B46"/>
    <w:multiLevelType w:val="hybridMultilevel"/>
    <w:tmpl w:val="EC54FDC2"/>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0A3791"/>
    <w:multiLevelType w:val="hybridMultilevel"/>
    <w:tmpl w:val="D6F63FA8"/>
    <w:lvl w:ilvl="0" w:tplc="82E655A0">
      <w:start w:val="1"/>
      <w:numFmt w:val="bullet"/>
      <w:lvlText w:val="•"/>
      <w:lvlJc w:val="left"/>
      <w:pPr>
        <w:tabs>
          <w:tab w:val="num" w:pos="720"/>
        </w:tabs>
        <w:ind w:left="720" w:hanging="360"/>
      </w:pPr>
      <w:rPr>
        <w:rFonts w:ascii="Arial" w:hAnsi="Arial" w:hint="default"/>
      </w:rPr>
    </w:lvl>
    <w:lvl w:ilvl="1" w:tplc="523C574C">
      <w:start w:val="270"/>
      <w:numFmt w:val="bullet"/>
      <w:lvlText w:val="–"/>
      <w:lvlJc w:val="left"/>
      <w:pPr>
        <w:tabs>
          <w:tab w:val="num" w:pos="1440"/>
        </w:tabs>
        <w:ind w:left="1440" w:hanging="360"/>
      </w:pPr>
      <w:rPr>
        <w:rFonts w:ascii="Arial" w:hAnsi="Arial" w:hint="default"/>
      </w:rPr>
    </w:lvl>
    <w:lvl w:ilvl="2" w:tplc="7584A2C6" w:tentative="1">
      <w:start w:val="1"/>
      <w:numFmt w:val="bullet"/>
      <w:lvlText w:val="•"/>
      <w:lvlJc w:val="left"/>
      <w:pPr>
        <w:tabs>
          <w:tab w:val="num" w:pos="2160"/>
        </w:tabs>
        <w:ind w:left="2160" w:hanging="360"/>
      </w:pPr>
      <w:rPr>
        <w:rFonts w:ascii="Arial" w:hAnsi="Arial" w:hint="default"/>
      </w:rPr>
    </w:lvl>
    <w:lvl w:ilvl="3" w:tplc="F00CBDDA" w:tentative="1">
      <w:start w:val="1"/>
      <w:numFmt w:val="bullet"/>
      <w:lvlText w:val="•"/>
      <w:lvlJc w:val="left"/>
      <w:pPr>
        <w:tabs>
          <w:tab w:val="num" w:pos="2880"/>
        </w:tabs>
        <w:ind w:left="2880" w:hanging="360"/>
      </w:pPr>
      <w:rPr>
        <w:rFonts w:ascii="Arial" w:hAnsi="Arial" w:hint="default"/>
      </w:rPr>
    </w:lvl>
    <w:lvl w:ilvl="4" w:tplc="013C98DC" w:tentative="1">
      <w:start w:val="1"/>
      <w:numFmt w:val="bullet"/>
      <w:lvlText w:val="•"/>
      <w:lvlJc w:val="left"/>
      <w:pPr>
        <w:tabs>
          <w:tab w:val="num" w:pos="3600"/>
        </w:tabs>
        <w:ind w:left="3600" w:hanging="360"/>
      </w:pPr>
      <w:rPr>
        <w:rFonts w:ascii="Arial" w:hAnsi="Arial" w:hint="default"/>
      </w:rPr>
    </w:lvl>
    <w:lvl w:ilvl="5" w:tplc="CFF6BE8E" w:tentative="1">
      <w:start w:val="1"/>
      <w:numFmt w:val="bullet"/>
      <w:lvlText w:val="•"/>
      <w:lvlJc w:val="left"/>
      <w:pPr>
        <w:tabs>
          <w:tab w:val="num" w:pos="4320"/>
        </w:tabs>
        <w:ind w:left="4320" w:hanging="360"/>
      </w:pPr>
      <w:rPr>
        <w:rFonts w:ascii="Arial" w:hAnsi="Arial" w:hint="default"/>
      </w:rPr>
    </w:lvl>
    <w:lvl w:ilvl="6" w:tplc="06DA19E6" w:tentative="1">
      <w:start w:val="1"/>
      <w:numFmt w:val="bullet"/>
      <w:lvlText w:val="•"/>
      <w:lvlJc w:val="left"/>
      <w:pPr>
        <w:tabs>
          <w:tab w:val="num" w:pos="5040"/>
        </w:tabs>
        <w:ind w:left="5040" w:hanging="360"/>
      </w:pPr>
      <w:rPr>
        <w:rFonts w:ascii="Arial" w:hAnsi="Arial" w:hint="default"/>
      </w:rPr>
    </w:lvl>
    <w:lvl w:ilvl="7" w:tplc="107229E2" w:tentative="1">
      <w:start w:val="1"/>
      <w:numFmt w:val="bullet"/>
      <w:lvlText w:val="•"/>
      <w:lvlJc w:val="left"/>
      <w:pPr>
        <w:tabs>
          <w:tab w:val="num" w:pos="5760"/>
        </w:tabs>
        <w:ind w:left="5760" w:hanging="360"/>
      </w:pPr>
      <w:rPr>
        <w:rFonts w:ascii="Arial" w:hAnsi="Arial" w:hint="default"/>
      </w:rPr>
    </w:lvl>
    <w:lvl w:ilvl="8" w:tplc="2D50B90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C10978"/>
    <w:multiLevelType w:val="hybridMultilevel"/>
    <w:tmpl w:val="D24A0CE0"/>
    <w:lvl w:ilvl="0" w:tplc="B8064E66">
      <w:start w:val="1"/>
      <w:numFmt w:val="bullet"/>
      <w:lvlText w:val=""/>
      <w:lvlJc w:val="left"/>
      <w:pPr>
        <w:ind w:left="768" w:hanging="360"/>
      </w:pPr>
      <w:rPr>
        <w:rFonts w:ascii="Wingdings" w:hAnsi="Wingdings" w:hint="default"/>
        <w:b/>
        <w:i w:val="0"/>
        <w:sz w:val="22"/>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2" w15:restartNumberingAfterBreak="0">
    <w:nsid w:val="5BF50767"/>
    <w:multiLevelType w:val="hybridMultilevel"/>
    <w:tmpl w:val="56882720"/>
    <w:lvl w:ilvl="0" w:tplc="EBC804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F20507"/>
    <w:multiLevelType w:val="hybridMultilevel"/>
    <w:tmpl w:val="1BDAF040"/>
    <w:lvl w:ilvl="0" w:tplc="4B1E4002">
      <w:start w:val="1"/>
      <w:numFmt w:val="bullet"/>
      <w:lvlText w:val="•"/>
      <w:lvlJc w:val="left"/>
      <w:pPr>
        <w:tabs>
          <w:tab w:val="num" w:pos="720"/>
        </w:tabs>
        <w:ind w:left="720" w:hanging="360"/>
      </w:pPr>
      <w:rPr>
        <w:rFonts w:ascii="Arial" w:hAnsi="Arial" w:hint="default"/>
      </w:rPr>
    </w:lvl>
    <w:lvl w:ilvl="1" w:tplc="F08A6A9E">
      <w:start w:val="242"/>
      <w:numFmt w:val="bullet"/>
      <w:lvlText w:val="–"/>
      <w:lvlJc w:val="left"/>
      <w:pPr>
        <w:tabs>
          <w:tab w:val="num" w:pos="1440"/>
        </w:tabs>
        <w:ind w:left="1440" w:hanging="360"/>
      </w:pPr>
      <w:rPr>
        <w:rFonts w:ascii="Arial" w:hAnsi="Arial" w:hint="default"/>
      </w:rPr>
    </w:lvl>
    <w:lvl w:ilvl="2" w:tplc="C51443A0" w:tentative="1">
      <w:start w:val="1"/>
      <w:numFmt w:val="bullet"/>
      <w:lvlText w:val="•"/>
      <w:lvlJc w:val="left"/>
      <w:pPr>
        <w:tabs>
          <w:tab w:val="num" w:pos="2160"/>
        </w:tabs>
        <w:ind w:left="2160" w:hanging="360"/>
      </w:pPr>
      <w:rPr>
        <w:rFonts w:ascii="Arial" w:hAnsi="Arial" w:hint="default"/>
      </w:rPr>
    </w:lvl>
    <w:lvl w:ilvl="3" w:tplc="D1821F82" w:tentative="1">
      <w:start w:val="1"/>
      <w:numFmt w:val="bullet"/>
      <w:lvlText w:val="•"/>
      <w:lvlJc w:val="left"/>
      <w:pPr>
        <w:tabs>
          <w:tab w:val="num" w:pos="2880"/>
        </w:tabs>
        <w:ind w:left="2880" w:hanging="360"/>
      </w:pPr>
      <w:rPr>
        <w:rFonts w:ascii="Arial" w:hAnsi="Arial" w:hint="default"/>
      </w:rPr>
    </w:lvl>
    <w:lvl w:ilvl="4" w:tplc="298652F6" w:tentative="1">
      <w:start w:val="1"/>
      <w:numFmt w:val="bullet"/>
      <w:lvlText w:val="•"/>
      <w:lvlJc w:val="left"/>
      <w:pPr>
        <w:tabs>
          <w:tab w:val="num" w:pos="3600"/>
        </w:tabs>
        <w:ind w:left="3600" w:hanging="360"/>
      </w:pPr>
      <w:rPr>
        <w:rFonts w:ascii="Arial" w:hAnsi="Arial" w:hint="default"/>
      </w:rPr>
    </w:lvl>
    <w:lvl w:ilvl="5" w:tplc="2BAA8DE8" w:tentative="1">
      <w:start w:val="1"/>
      <w:numFmt w:val="bullet"/>
      <w:lvlText w:val="•"/>
      <w:lvlJc w:val="left"/>
      <w:pPr>
        <w:tabs>
          <w:tab w:val="num" w:pos="4320"/>
        </w:tabs>
        <w:ind w:left="4320" w:hanging="360"/>
      </w:pPr>
      <w:rPr>
        <w:rFonts w:ascii="Arial" w:hAnsi="Arial" w:hint="default"/>
      </w:rPr>
    </w:lvl>
    <w:lvl w:ilvl="6" w:tplc="7CD457EE" w:tentative="1">
      <w:start w:val="1"/>
      <w:numFmt w:val="bullet"/>
      <w:lvlText w:val="•"/>
      <w:lvlJc w:val="left"/>
      <w:pPr>
        <w:tabs>
          <w:tab w:val="num" w:pos="5040"/>
        </w:tabs>
        <w:ind w:left="5040" w:hanging="360"/>
      </w:pPr>
      <w:rPr>
        <w:rFonts w:ascii="Arial" w:hAnsi="Arial" w:hint="default"/>
      </w:rPr>
    </w:lvl>
    <w:lvl w:ilvl="7" w:tplc="B240DC00" w:tentative="1">
      <w:start w:val="1"/>
      <w:numFmt w:val="bullet"/>
      <w:lvlText w:val="•"/>
      <w:lvlJc w:val="left"/>
      <w:pPr>
        <w:tabs>
          <w:tab w:val="num" w:pos="5760"/>
        </w:tabs>
        <w:ind w:left="5760" w:hanging="360"/>
      </w:pPr>
      <w:rPr>
        <w:rFonts w:ascii="Arial" w:hAnsi="Arial" w:hint="default"/>
      </w:rPr>
    </w:lvl>
    <w:lvl w:ilvl="8" w:tplc="78E6954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DA4339C"/>
    <w:multiLevelType w:val="hybridMultilevel"/>
    <w:tmpl w:val="460CB4C8"/>
    <w:lvl w:ilvl="0" w:tplc="01F6AE12">
      <w:start w:val="1"/>
      <w:numFmt w:val="bullet"/>
      <w:lvlText w:val="•"/>
      <w:lvlJc w:val="left"/>
      <w:pPr>
        <w:tabs>
          <w:tab w:val="num" w:pos="720"/>
        </w:tabs>
        <w:ind w:left="720" w:hanging="360"/>
      </w:pPr>
      <w:rPr>
        <w:rFonts w:ascii="Arial" w:hAnsi="Arial" w:hint="default"/>
      </w:rPr>
    </w:lvl>
    <w:lvl w:ilvl="1" w:tplc="8034EFD8">
      <w:start w:val="242"/>
      <w:numFmt w:val="bullet"/>
      <w:lvlText w:val="–"/>
      <w:lvlJc w:val="left"/>
      <w:pPr>
        <w:tabs>
          <w:tab w:val="num" w:pos="1440"/>
        </w:tabs>
        <w:ind w:left="1440" w:hanging="360"/>
      </w:pPr>
      <w:rPr>
        <w:rFonts w:ascii="Arial" w:hAnsi="Arial" w:hint="default"/>
      </w:rPr>
    </w:lvl>
    <w:lvl w:ilvl="2" w:tplc="B8D8A706" w:tentative="1">
      <w:start w:val="1"/>
      <w:numFmt w:val="bullet"/>
      <w:lvlText w:val="•"/>
      <w:lvlJc w:val="left"/>
      <w:pPr>
        <w:tabs>
          <w:tab w:val="num" w:pos="2160"/>
        </w:tabs>
        <w:ind w:left="2160" w:hanging="360"/>
      </w:pPr>
      <w:rPr>
        <w:rFonts w:ascii="Arial" w:hAnsi="Arial" w:hint="default"/>
      </w:rPr>
    </w:lvl>
    <w:lvl w:ilvl="3" w:tplc="157222CC" w:tentative="1">
      <w:start w:val="1"/>
      <w:numFmt w:val="bullet"/>
      <w:lvlText w:val="•"/>
      <w:lvlJc w:val="left"/>
      <w:pPr>
        <w:tabs>
          <w:tab w:val="num" w:pos="2880"/>
        </w:tabs>
        <w:ind w:left="2880" w:hanging="360"/>
      </w:pPr>
      <w:rPr>
        <w:rFonts w:ascii="Arial" w:hAnsi="Arial" w:hint="default"/>
      </w:rPr>
    </w:lvl>
    <w:lvl w:ilvl="4" w:tplc="304C363E" w:tentative="1">
      <w:start w:val="1"/>
      <w:numFmt w:val="bullet"/>
      <w:lvlText w:val="•"/>
      <w:lvlJc w:val="left"/>
      <w:pPr>
        <w:tabs>
          <w:tab w:val="num" w:pos="3600"/>
        </w:tabs>
        <w:ind w:left="3600" w:hanging="360"/>
      </w:pPr>
      <w:rPr>
        <w:rFonts w:ascii="Arial" w:hAnsi="Arial" w:hint="default"/>
      </w:rPr>
    </w:lvl>
    <w:lvl w:ilvl="5" w:tplc="596E2332" w:tentative="1">
      <w:start w:val="1"/>
      <w:numFmt w:val="bullet"/>
      <w:lvlText w:val="•"/>
      <w:lvlJc w:val="left"/>
      <w:pPr>
        <w:tabs>
          <w:tab w:val="num" w:pos="4320"/>
        </w:tabs>
        <w:ind w:left="4320" w:hanging="360"/>
      </w:pPr>
      <w:rPr>
        <w:rFonts w:ascii="Arial" w:hAnsi="Arial" w:hint="default"/>
      </w:rPr>
    </w:lvl>
    <w:lvl w:ilvl="6" w:tplc="8160B3D4" w:tentative="1">
      <w:start w:val="1"/>
      <w:numFmt w:val="bullet"/>
      <w:lvlText w:val="•"/>
      <w:lvlJc w:val="left"/>
      <w:pPr>
        <w:tabs>
          <w:tab w:val="num" w:pos="5040"/>
        </w:tabs>
        <w:ind w:left="5040" w:hanging="360"/>
      </w:pPr>
      <w:rPr>
        <w:rFonts w:ascii="Arial" w:hAnsi="Arial" w:hint="default"/>
      </w:rPr>
    </w:lvl>
    <w:lvl w:ilvl="7" w:tplc="644AC376" w:tentative="1">
      <w:start w:val="1"/>
      <w:numFmt w:val="bullet"/>
      <w:lvlText w:val="•"/>
      <w:lvlJc w:val="left"/>
      <w:pPr>
        <w:tabs>
          <w:tab w:val="num" w:pos="5760"/>
        </w:tabs>
        <w:ind w:left="5760" w:hanging="360"/>
      </w:pPr>
      <w:rPr>
        <w:rFonts w:ascii="Arial" w:hAnsi="Arial" w:hint="default"/>
      </w:rPr>
    </w:lvl>
    <w:lvl w:ilvl="8" w:tplc="23EC944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EE24C41"/>
    <w:multiLevelType w:val="hybridMultilevel"/>
    <w:tmpl w:val="5CA46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14562DC"/>
    <w:multiLevelType w:val="hybridMultilevel"/>
    <w:tmpl w:val="E03601D8"/>
    <w:lvl w:ilvl="0" w:tplc="4F2CAA6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172F9A"/>
    <w:multiLevelType w:val="hybridMultilevel"/>
    <w:tmpl w:val="6A9EB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9D739B"/>
    <w:multiLevelType w:val="hybridMultilevel"/>
    <w:tmpl w:val="8426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381537"/>
    <w:multiLevelType w:val="hybridMultilevel"/>
    <w:tmpl w:val="0374F4BC"/>
    <w:name w:val="Article1"/>
    <w:lvl w:ilvl="0" w:tplc="D9BCABA6">
      <w:start w:val="1"/>
      <w:numFmt w:val="bullet"/>
      <w:pStyle w:val="ListBullet"/>
      <w:lvlText w:val=""/>
      <w:lvlJc w:val="left"/>
      <w:pPr>
        <w:tabs>
          <w:tab w:val="num" w:pos="1080"/>
        </w:tabs>
        <w:ind w:left="1080" w:hanging="360"/>
      </w:pPr>
      <w:rPr>
        <w:rFonts w:ascii="Symbol" w:hAnsi="Symbol" w:hint="default"/>
      </w:rPr>
    </w:lvl>
    <w:lvl w:ilvl="1" w:tplc="AF6A2324" w:tentative="1">
      <w:start w:val="1"/>
      <w:numFmt w:val="bullet"/>
      <w:lvlText w:val="o"/>
      <w:lvlJc w:val="left"/>
      <w:pPr>
        <w:tabs>
          <w:tab w:val="num" w:pos="1440"/>
        </w:tabs>
        <w:ind w:left="1440" w:hanging="360"/>
      </w:pPr>
      <w:rPr>
        <w:rFonts w:ascii="Courier New" w:hAnsi="Courier New" w:cs="Courier New" w:hint="default"/>
      </w:rPr>
    </w:lvl>
    <w:lvl w:ilvl="2" w:tplc="A31E20D6" w:tentative="1">
      <w:start w:val="1"/>
      <w:numFmt w:val="bullet"/>
      <w:lvlText w:val=""/>
      <w:lvlJc w:val="left"/>
      <w:pPr>
        <w:tabs>
          <w:tab w:val="num" w:pos="2160"/>
        </w:tabs>
        <w:ind w:left="2160" w:hanging="360"/>
      </w:pPr>
      <w:rPr>
        <w:rFonts w:ascii="Wingdings" w:hAnsi="Wingdings" w:hint="default"/>
      </w:rPr>
    </w:lvl>
    <w:lvl w:ilvl="3" w:tplc="2A08D876" w:tentative="1">
      <w:start w:val="1"/>
      <w:numFmt w:val="bullet"/>
      <w:lvlText w:val=""/>
      <w:lvlJc w:val="left"/>
      <w:pPr>
        <w:tabs>
          <w:tab w:val="num" w:pos="2880"/>
        </w:tabs>
        <w:ind w:left="2880" w:hanging="360"/>
      </w:pPr>
      <w:rPr>
        <w:rFonts w:ascii="Symbol" w:hAnsi="Symbol" w:hint="default"/>
      </w:rPr>
    </w:lvl>
    <w:lvl w:ilvl="4" w:tplc="CCD0E79C" w:tentative="1">
      <w:start w:val="1"/>
      <w:numFmt w:val="bullet"/>
      <w:lvlText w:val="o"/>
      <w:lvlJc w:val="left"/>
      <w:pPr>
        <w:tabs>
          <w:tab w:val="num" w:pos="3600"/>
        </w:tabs>
        <w:ind w:left="3600" w:hanging="360"/>
      </w:pPr>
      <w:rPr>
        <w:rFonts w:ascii="Courier New" w:hAnsi="Courier New" w:cs="Courier New" w:hint="default"/>
      </w:rPr>
    </w:lvl>
    <w:lvl w:ilvl="5" w:tplc="D8861DFC" w:tentative="1">
      <w:start w:val="1"/>
      <w:numFmt w:val="bullet"/>
      <w:lvlText w:val=""/>
      <w:lvlJc w:val="left"/>
      <w:pPr>
        <w:tabs>
          <w:tab w:val="num" w:pos="4320"/>
        </w:tabs>
        <w:ind w:left="4320" w:hanging="360"/>
      </w:pPr>
      <w:rPr>
        <w:rFonts w:ascii="Wingdings" w:hAnsi="Wingdings" w:hint="default"/>
      </w:rPr>
    </w:lvl>
    <w:lvl w:ilvl="6" w:tplc="A7CA73D6" w:tentative="1">
      <w:start w:val="1"/>
      <w:numFmt w:val="bullet"/>
      <w:lvlText w:val=""/>
      <w:lvlJc w:val="left"/>
      <w:pPr>
        <w:tabs>
          <w:tab w:val="num" w:pos="5040"/>
        </w:tabs>
        <w:ind w:left="5040" w:hanging="360"/>
      </w:pPr>
      <w:rPr>
        <w:rFonts w:ascii="Symbol" w:hAnsi="Symbol" w:hint="default"/>
      </w:rPr>
    </w:lvl>
    <w:lvl w:ilvl="7" w:tplc="3484F9E4" w:tentative="1">
      <w:start w:val="1"/>
      <w:numFmt w:val="bullet"/>
      <w:lvlText w:val="o"/>
      <w:lvlJc w:val="left"/>
      <w:pPr>
        <w:tabs>
          <w:tab w:val="num" w:pos="5760"/>
        </w:tabs>
        <w:ind w:left="5760" w:hanging="360"/>
      </w:pPr>
      <w:rPr>
        <w:rFonts w:ascii="Courier New" w:hAnsi="Courier New" w:cs="Courier New" w:hint="default"/>
      </w:rPr>
    </w:lvl>
    <w:lvl w:ilvl="8" w:tplc="2890A81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A15D86"/>
    <w:multiLevelType w:val="hybridMultilevel"/>
    <w:tmpl w:val="41188F36"/>
    <w:lvl w:ilvl="0" w:tplc="96BE99F8">
      <w:start w:val="1"/>
      <w:numFmt w:val="bullet"/>
      <w:lvlText w:val="•"/>
      <w:lvlJc w:val="left"/>
      <w:pPr>
        <w:tabs>
          <w:tab w:val="num" w:pos="720"/>
        </w:tabs>
        <w:ind w:left="720" w:hanging="360"/>
      </w:pPr>
      <w:rPr>
        <w:rFonts w:ascii="Arial" w:hAnsi="Arial" w:hint="default"/>
      </w:rPr>
    </w:lvl>
    <w:lvl w:ilvl="1" w:tplc="5D2260F0" w:tentative="1">
      <w:start w:val="1"/>
      <w:numFmt w:val="bullet"/>
      <w:lvlText w:val="•"/>
      <w:lvlJc w:val="left"/>
      <w:pPr>
        <w:tabs>
          <w:tab w:val="num" w:pos="1440"/>
        </w:tabs>
        <w:ind w:left="1440" w:hanging="360"/>
      </w:pPr>
      <w:rPr>
        <w:rFonts w:ascii="Arial" w:hAnsi="Arial" w:hint="default"/>
      </w:rPr>
    </w:lvl>
    <w:lvl w:ilvl="2" w:tplc="68D06A42" w:tentative="1">
      <w:start w:val="1"/>
      <w:numFmt w:val="bullet"/>
      <w:lvlText w:val="•"/>
      <w:lvlJc w:val="left"/>
      <w:pPr>
        <w:tabs>
          <w:tab w:val="num" w:pos="2160"/>
        </w:tabs>
        <w:ind w:left="2160" w:hanging="360"/>
      </w:pPr>
      <w:rPr>
        <w:rFonts w:ascii="Arial" w:hAnsi="Arial" w:hint="default"/>
      </w:rPr>
    </w:lvl>
    <w:lvl w:ilvl="3" w:tplc="D5943B02" w:tentative="1">
      <w:start w:val="1"/>
      <w:numFmt w:val="bullet"/>
      <w:lvlText w:val="•"/>
      <w:lvlJc w:val="left"/>
      <w:pPr>
        <w:tabs>
          <w:tab w:val="num" w:pos="2880"/>
        </w:tabs>
        <w:ind w:left="2880" w:hanging="360"/>
      </w:pPr>
      <w:rPr>
        <w:rFonts w:ascii="Arial" w:hAnsi="Arial" w:hint="default"/>
      </w:rPr>
    </w:lvl>
    <w:lvl w:ilvl="4" w:tplc="3EE67706" w:tentative="1">
      <w:start w:val="1"/>
      <w:numFmt w:val="bullet"/>
      <w:lvlText w:val="•"/>
      <w:lvlJc w:val="left"/>
      <w:pPr>
        <w:tabs>
          <w:tab w:val="num" w:pos="3600"/>
        </w:tabs>
        <w:ind w:left="3600" w:hanging="360"/>
      </w:pPr>
      <w:rPr>
        <w:rFonts w:ascii="Arial" w:hAnsi="Arial" w:hint="default"/>
      </w:rPr>
    </w:lvl>
    <w:lvl w:ilvl="5" w:tplc="AFC6C0F0" w:tentative="1">
      <w:start w:val="1"/>
      <w:numFmt w:val="bullet"/>
      <w:lvlText w:val="•"/>
      <w:lvlJc w:val="left"/>
      <w:pPr>
        <w:tabs>
          <w:tab w:val="num" w:pos="4320"/>
        </w:tabs>
        <w:ind w:left="4320" w:hanging="360"/>
      </w:pPr>
      <w:rPr>
        <w:rFonts w:ascii="Arial" w:hAnsi="Arial" w:hint="default"/>
      </w:rPr>
    </w:lvl>
    <w:lvl w:ilvl="6" w:tplc="51801B7C" w:tentative="1">
      <w:start w:val="1"/>
      <w:numFmt w:val="bullet"/>
      <w:lvlText w:val="•"/>
      <w:lvlJc w:val="left"/>
      <w:pPr>
        <w:tabs>
          <w:tab w:val="num" w:pos="5040"/>
        </w:tabs>
        <w:ind w:left="5040" w:hanging="360"/>
      </w:pPr>
      <w:rPr>
        <w:rFonts w:ascii="Arial" w:hAnsi="Arial" w:hint="default"/>
      </w:rPr>
    </w:lvl>
    <w:lvl w:ilvl="7" w:tplc="A2807CE8" w:tentative="1">
      <w:start w:val="1"/>
      <w:numFmt w:val="bullet"/>
      <w:lvlText w:val="•"/>
      <w:lvlJc w:val="left"/>
      <w:pPr>
        <w:tabs>
          <w:tab w:val="num" w:pos="5760"/>
        </w:tabs>
        <w:ind w:left="5760" w:hanging="360"/>
      </w:pPr>
      <w:rPr>
        <w:rFonts w:ascii="Arial" w:hAnsi="Arial" w:hint="default"/>
      </w:rPr>
    </w:lvl>
    <w:lvl w:ilvl="8" w:tplc="6FA6CDA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BC64BE1"/>
    <w:multiLevelType w:val="hybridMultilevel"/>
    <w:tmpl w:val="587CEE98"/>
    <w:lvl w:ilvl="0" w:tplc="E22EB9D6">
      <w:start w:val="1"/>
      <w:numFmt w:val="bullet"/>
      <w:lvlText w:val="•"/>
      <w:lvlJc w:val="left"/>
      <w:pPr>
        <w:tabs>
          <w:tab w:val="num" w:pos="720"/>
        </w:tabs>
        <w:ind w:left="720" w:hanging="360"/>
      </w:pPr>
      <w:rPr>
        <w:rFonts w:ascii="Arial" w:hAnsi="Arial" w:hint="default"/>
      </w:rPr>
    </w:lvl>
    <w:lvl w:ilvl="1" w:tplc="B628B67A">
      <w:start w:val="270"/>
      <w:numFmt w:val="bullet"/>
      <w:lvlText w:val="–"/>
      <w:lvlJc w:val="left"/>
      <w:pPr>
        <w:tabs>
          <w:tab w:val="num" w:pos="1440"/>
        </w:tabs>
        <w:ind w:left="1440" w:hanging="360"/>
      </w:pPr>
      <w:rPr>
        <w:rFonts w:ascii="Arial" w:hAnsi="Arial" w:hint="default"/>
      </w:rPr>
    </w:lvl>
    <w:lvl w:ilvl="2" w:tplc="0CD22FEC" w:tentative="1">
      <w:start w:val="1"/>
      <w:numFmt w:val="bullet"/>
      <w:lvlText w:val="•"/>
      <w:lvlJc w:val="left"/>
      <w:pPr>
        <w:tabs>
          <w:tab w:val="num" w:pos="2160"/>
        </w:tabs>
        <w:ind w:left="2160" w:hanging="360"/>
      </w:pPr>
      <w:rPr>
        <w:rFonts w:ascii="Arial" w:hAnsi="Arial" w:hint="default"/>
      </w:rPr>
    </w:lvl>
    <w:lvl w:ilvl="3" w:tplc="D6B2FF18" w:tentative="1">
      <w:start w:val="1"/>
      <w:numFmt w:val="bullet"/>
      <w:lvlText w:val="•"/>
      <w:lvlJc w:val="left"/>
      <w:pPr>
        <w:tabs>
          <w:tab w:val="num" w:pos="2880"/>
        </w:tabs>
        <w:ind w:left="2880" w:hanging="360"/>
      </w:pPr>
      <w:rPr>
        <w:rFonts w:ascii="Arial" w:hAnsi="Arial" w:hint="default"/>
      </w:rPr>
    </w:lvl>
    <w:lvl w:ilvl="4" w:tplc="E83A9B22" w:tentative="1">
      <w:start w:val="1"/>
      <w:numFmt w:val="bullet"/>
      <w:lvlText w:val="•"/>
      <w:lvlJc w:val="left"/>
      <w:pPr>
        <w:tabs>
          <w:tab w:val="num" w:pos="3600"/>
        </w:tabs>
        <w:ind w:left="3600" w:hanging="360"/>
      </w:pPr>
      <w:rPr>
        <w:rFonts w:ascii="Arial" w:hAnsi="Arial" w:hint="default"/>
      </w:rPr>
    </w:lvl>
    <w:lvl w:ilvl="5" w:tplc="EA1E45A0" w:tentative="1">
      <w:start w:val="1"/>
      <w:numFmt w:val="bullet"/>
      <w:lvlText w:val="•"/>
      <w:lvlJc w:val="left"/>
      <w:pPr>
        <w:tabs>
          <w:tab w:val="num" w:pos="4320"/>
        </w:tabs>
        <w:ind w:left="4320" w:hanging="360"/>
      </w:pPr>
      <w:rPr>
        <w:rFonts w:ascii="Arial" w:hAnsi="Arial" w:hint="default"/>
      </w:rPr>
    </w:lvl>
    <w:lvl w:ilvl="6" w:tplc="9E3AB6B6" w:tentative="1">
      <w:start w:val="1"/>
      <w:numFmt w:val="bullet"/>
      <w:lvlText w:val="•"/>
      <w:lvlJc w:val="left"/>
      <w:pPr>
        <w:tabs>
          <w:tab w:val="num" w:pos="5040"/>
        </w:tabs>
        <w:ind w:left="5040" w:hanging="360"/>
      </w:pPr>
      <w:rPr>
        <w:rFonts w:ascii="Arial" w:hAnsi="Arial" w:hint="default"/>
      </w:rPr>
    </w:lvl>
    <w:lvl w:ilvl="7" w:tplc="0C8E0F02" w:tentative="1">
      <w:start w:val="1"/>
      <w:numFmt w:val="bullet"/>
      <w:lvlText w:val="•"/>
      <w:lvlJc w:val="left"/>
      <w:pPr>
        <w:tabs>
          <w:tab w:val="num" w:pos="5760"/>
        </w:tabs>
        <w:ind w:left="5760" w:hanging="360"/>
      </w:pPr>
      <w:rPr>
        <w:rFonts w:ascii="Arial" w:hAnsi="Arial" w:hint="default"/>
      </w:rPr>
    </w:lvl>
    <w:lvl w:ilvl="8" w:tplc="2D36BF9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EB3116E"/>
    <w:multiLevelType w:val="hybridMultilevel"/>
    <w:tmpl w:val="9888474A"/>
    <w:lvl w:ilvl="0" w:tplc="5C465868">
      <w:start w:val="1"/>
      <w:numFmt w:val="bullet"/>
      <w:lvlText w:val="•"/>
      <w:lvlJc w:val="left"/>
      <w:pPr>
        <w:tabs>
          <w:tab w:val="num" w:pos="720"/>
        </w:tabs>
        <w:ind w:left="720" w:hanging="360"/>
      </w:pPr>
      <w:rPr>
        <w:rFonts w:ascii="Arial" w:hAnsi="Arial" w:hint="default"/>
      </w:rPr>
    </w:lvl>
    <w:lvl w:ilvl="1" w:tplc="1CBE1420" w:tentative="1">
      <w:start w:val="1"/>
      <w:numFmt w:val="bullet"/>
      <w:lvlText w:val="•"/>
      <w:lvlJc w:val="left"/>
      <w:pPr>
        <w:tabs>
          <w:tab w:val="num" w:pos="1440"/>
        </w:tabs>
        <w:ind w:left="1440" w:hanging="360"/>
      </w:pPr>
      <w:rPr>
        <w:rFonts w:ascii="Arial" w:hAnsi="Arial" w:hint="default"/>
      </w:rPr>
    </w:lvl>
    <w:lvl w:ilvl="2" w:tplc="615469E6" w:tentative="1">
      <w:start w:val="1"/>
      <w:numFmt w:val="bullet"/>
      <w:lvlText w:val="•"/>
      <w:lvlJc w:val="left"/>
      <w:pPr>
        <w:tabs>
          <w:tab w:val="num" w:pos="2160"/>
        </w:tabs>
        <w:ind w:left="2160" w:hanging="360"/>
      </w:pPr>
      <w:rPr>
        <w:rFonts w:ascii="Arial" w:hAnsi="Arial" w:hint="default"/>
      </w:rPr>
    </w:lvl>
    <w:lvl w:ilvl="3" w:tplc="0C9C40DC" w:tentative="1">
      <w:start w:val="1"/>
      <w:numFmt w:val="bullet"/>
      <w:lvlText w:val="•"/>
      <w:lvlJc w:val="left"/>
      <w:pPr>
        <w:tabs>
          <w:tab w:val="num" w:pos="2880"/>
        </w:tabs>
        <w:ind w:left="2880" w:hanging="360"/>
      </w:pPr>
      <w:rPr>
        <w:rFonts w:ascii="Arial" w:hAnsi="Arial" w:hint="default"/>
      </w:rPr>
    </w:lvl>
    <w:lvl w:ilvl="4" w:tplc="8E782296" w:tentative="1">
      <w:start w:val="1"/>
      <w:numFmt w:val="bullet"/>
      <w:lvlText w:val="•"/>
      <w:lvlJc w:val="left"/>
      <w:pPr>
        <w:tabs>
          <w:tab w:val="num" w:pos="3600"/>
        </w:tabs>
        <w:ind w:left="3600" w:hanging="360"/>
      </w:pPr>
      <w:rPr>
        <w:rFonts w:ascii="Arial" w:hAnsi="Arial" w:hint="default"/>
      </w:rPr>
    </w:lvl>
    <w:lvl w:ilvl="5" w:tplc="1E84FBD8" w:tentative="1">
      <w:start w:val="1"/>
      <w:numFmt w:val="bullet"/>
      <w:lvlText w:val="•"/>
      <w:lvlJc w:val="left"/>
      <w:pPr>
        <w:tabs>
          <w:tab w:val="num" w:pos="4320"/>
        </w:tabs>
        <w:ind w:left="4320" w:hanging="360"/>
      </w:pPr>
      <w:rPr>
        <w:rFonts w:ascii="Arial" w:hAnsi="Arial" w:hint="default"/>
      </w:rPr>
    </w:lvl>
    <w:lvl w:ilvl="6" w:tplc="26807450" w:tentative="1">
      <w:start w:val="1"/>
      <w:numFmt w:val="bullet"/>
      <w:lvlText w:val="•"/>
      <w:lvlJc w:val="left"/>
      <w:pPr>
        <w:tabs>
          <w:tab w:val="num" w:pos="5040"/>
        </w:tabs>
        <w:ind w:left="5040" w:hanging="360"/>
      </w:pPr>
      <w:rPr>
        <w:rFonts w:ascii="Arial" w:hAnsi="Arial" w:hint="default"/>
      </w:rPr>
    </w:lvl>
    <w:lvl w:ilvl="7" w:tplc="AC06ED38" w:tentative="1">
      <w:start w:val="1"/>
      <w:numFmt w:val="bullet"/>
      <w:lvlText w:val="•"/>
      <w:lvlJc w:val="left"/>
      <w:pPr>
        <w:tabs>
          <w:tab w:val="num" w:pos="5760"/>
        </w:tabs>
        <w:ind w:left="5760" w:hanging="360"/>
      </w:pPr>
      <w:rPr>
        <w:rFonts w:ascii="Arial" w:hAnsi="Arial" w:hint="default"/>
      </w:rPr>
    </w:lvl>
    <w:lvl w:ilvl="8" w:tplc="1866761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3E0205B"/>
    <w:multiLevelType w:val="hybridMultilevel"/>
    <w:tmpl w:val="FEC8DBC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4786803"/>
    <w:multiLevelType w:val="hybridMultilevel"/>
    <w:tmpl w:val="063A1902"/>
    <w:lvl w:ilvl="0" w:tplc="A2C04B1A">
      <w:start w:val="1"/>
      <w:numFmt w:val="bullet"/>
      <w:lvlText w:val="•"/>
      <w:lvlJc w:val="left"/>
      <w:pPr>
        <w:tabs>
          <w:tab w:val="num" w:pos="720"/>
        </w:tabs>
        <w:ind w:left="720" w:hanging="360"/>
      </w:pPr>
      <w:rPr>
        <w:rFonts w:ascii="Arial" w:hAnsi="Arial" w:hint="default"/>
      </w:rPr>
    </w:lvl>
    <w:lvl w:ilvl="1" w:tplc="9D9020C0" w:tentative="1">
      <w:start w:val="1"/>
      <w:numFmt w:val="bullet"/>
      <w:lvlText w:val="•"/>
      <w:lvlJc w:val="left"/>
      <w:pPr>
        <w:tabs>
          <w:tab w:val="num" w:pos="1440"/>
        </w:tabs>
        <w:ind w:left="1440" w:hanging="360"/>
      </w:pPr>
      <w:rPr>
        <w:rFonts w:ascii="Arial" w:hAnsi="Arial" w:hint="default"/>
      </w:rPr>
    </w:lvl>
    <w:lvl w:ilvl="2" w:tplc="BB52E40C" w:tentative="1">
      <w:start w:val="1"/>
      <w:numFmt w:val="bullet"/>
      <w:lvlText w:val="•"/>
      <w:lvlJc w:val="left"/>
      <w:pPr>
        <w:tabs>
          <w:tab w:val="num" w:pos="2160"/>
        </w:tabs>
        <w:ind w:left="2160" w:hanging="360"/>
      </w:pPr>
      <w:rPr>
        <w:rFonts w:ascii="Arial" w:hAnsi="Arial" w:hint="default"/>
      </w:rPr>
    </w:lvl>
    <w:lvl w:ilvl="3" w:tplc="4CD87774" w:tentative="1">
      <w:start w:val="1"/>
      <w:numFmt w:val="bullet"/>
      <w:lvlText w:val="•"/>
      <w:lvlJc w:val="left"/>
      <w:pPr>
        <w:tabs>
          <w:tab w:val="num" w:pos="2880"/>
        </w:tabs>
        <w:ind w:left="2880" w:hanging="360"/>
      </w:pPr>
      <w:rPr>
        <w:rFonts w:ascii="Arial" w:hAnsi="Arial" w:hint="default"/>
      </w:rPr>
    </w:lvl>
    <w:lvl w:ilvl="4" w:tplc="041A9402" w:tentative="1">
      <w:start w:val="1"/>
      <w:numFmt w:val="bullet"/>
      <w:lvlText w:val="•"/>
      <w:lvlJc w:val="left"/>
      <w:pPr>
        <w:tabs>
          <w:tab w:val="num" w:pos="3600"/>
        </w:tabs>
        <w:ind w:left="3600" w:hanging="360"/>
      </w:pPr>
      <w:rPr>
        <w:rFonts w:ascii="Arial" w:hAnsi="Arial" w:hint="default"/>
      </w:rPr>
    </w:lvl>
    <w:lvl w:ilvl="5" w:tplc="A7B2E540" w:tentative="1">
      <w:start w:val="1"/>
      <w:numFmt w:val="bullet"/>
      <w:lvlText w:val="•"/>
      <w:lvlJc w:val="left"/>
      <w:pPr>
        <w:tabs>
          <w:tab w:val="num" w:pos="4320"/>
        </w:tabs>
        <w:ind w:left="4320" w:hanging="360"/>
      </w:pPr>
      <w:rPr>
        <w:rFonts w:ascii="Arial" w:hAnsi="Arial" w:hint="default"/>
      </w:rPr>
    </w:lvl>
    <w:lvl w:ilvl="6" w:tplc="4A96D20E" w:tentative="1">
      <w:start w:val="1"/>
      <w:numFmt w:val="bullet"/>
      <w:lvlText w:val="•"/>
      <w:lvlJc w:val="left"/>
      <w:pPr>
        <w:tabs>
          <w:tab w:val="num" w:pos="5040"/>
        </w:tabs>
        <w:ind w:left="5040" w:hanging="360"/>
      </w:pPr>
      <w:rPr>
        <w:rFonts w:ascii="Arial" w:hAnsi="Arial" w:hint="default"/>
      </w:rPr>
    </w:lvl>
    <w:lvl w:ilvl="7" w:tplc="198C7CD6" w:tentative="1">
      <w:start w:val="1"/>
      <w:numFmt w:val="bullet"/>
      <w:lvlText w:val="•"/>
      <w:lvlJc w:val="left"/>
      <w:pPr>
        <w:tabs>
          <w:tab w:val="num" w:pos="5760"/>
        </w:tabs>
        <w:ind w:left="5760" w:hanging="360"/>
      </w:pPr>
      <w:rPr>
        <w:rFonts w:ascii="Arial" w:hAnsi="Arial" w:hint="default"/>
      </w:rPr>
    </w:lvl>
    <w:lvl w:ilvl="8" w:tplc="AC165CF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54C473D"/>
    <w:multiLevelType w:val="hybridMultilevel"/>
    <w:tmpl w:val="35DA66E6"/>
    <w:lvl w:ilvl="0" w:tplc="BCE8BE76">
      <w:start w:val="1"/>
      <w:numFmt w:val="bullet"/>
      <w:pStyle w:val="BulletedLis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243C71BC">
      <w:start w:val="1"/>
      <w:numFmt w:val="bullet"/>
      <w:pStyle w:val="BulletedList"/>
      <w:lvlText w:val=""/>
      <w:lvlJc w:val="left"/>
      <w:pPr>
        <w:tabs>
          <w:tab w:val="num" w:pos="720"/>
        </w:tabs>
        <w:ind w:left="720" w:hanging="360"/>
      </w:pPr>
      <w:rPr>
        <w:rFonts w:ascii="Symbol" w:hAnsi="Symbol" w:hint="default"/>
        <w:sz w:val="22"/>
        <w:szCs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A74F41"/>
    <w:multiLevelType w:val="hybridMultilevel"/>
    <w:tmpl w:val="900EC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086F4C"/>
    <w:multiLevelType w:val="hybridMultilevel"/>
    <w:tmpl w:val="F25E8508"/>
    <w:lvl w:ilvl="0" w:tplc="F142150C">
      <w:start w:val="1"/>
      <w:numFmt w:val="bullet"/>
      <w:lvlText w:val="•"/>
      <w:lvlJc w:val="left"/>
      <w:pPr>
        <w:tabs>
          <w:tab w:val="num" w:pos="720"/>
        </w:tabs>
        <w:ind w:left="720" w:hanging="360"/>
      </w:pPr>
      <w:rPr>
        <w:rFonts w:ascii="Arial" w:hAnsi="Arial" w:hint="default"/>
      </w:rPr>
    </w:lvl>
    <w:lvl w:ilvl="1" w:tplc="C228F692">
      <w:start w:val="242"/>
      <w:numFmt w:val="bullet"/>
      <w:lvlText w:val="–"/>
      <w:lvlJc w:val="left"/>
      <w:pPr>
        <w:tabs>
          <w:tab w:val="num" w:pos="1440"/>
        </w:tabs>
        <w:ind w:left="1440" w:hanging="360"/>
      </w:pPr>
      <w:rPr>
        <w:rFonts w:ascii="Arial" w:hAnsi="Arial" w:hint="default"/>
      </w:rPr>
    </w:lvl>
    <w:lvl w:ilvl="2" w:tplc="ECBA4B18" w:tentative="1">
      <w:start w:val="1"/>
      <w:numFmt w:val="bullet"/>
      <w:lvlText w:val="•"/>
      <w:lvlJc w:val="left"/>
      <w:pPr>
        <w:tabs>
          <w:tab w:val="num" w:pos="2160"/>
        </w:tabs>
        <w:ind w:left="2160" w:hanging="360"/>
      </w:pPr>
      <w:rPr>
        <w:rFonts w:ascii="Arial" w:hAnsi="Arial" w:hint="default"/>
      </w:rPr>
    </w:lvl>
    <w:lvl w:ilvl="3" w:tplc="4CD4E5DC" w:tentative="1">
      <w:start w:val="1"/>
      <w:numFmt w:val="bullet"/>
      <w:lvlText w:val="•"/>
      <w:lvlJc w:val="left"/>
      <w:pPr>
        <w:tabs>
          <w:tab w:val="num" w:pos="2880"/>
        </w:tabs>
        <w:ind w:left="2880" w:hanging="360"/>
      </w:pPr>
      <w:rPr>
        <w:rFonts w:ascii="Arial" w:hAnsi="Arial" w:hint="default"/>
      </w:rPr>
    </w:lvl>
    <w:lvl w:ilvl="4" w:tplc="CD6E86EA" w:tentative="1">
      <w:start w:val="1"/>
      <w:numFmt w:val="bullet"/>
      <w:lvlText w:val="•"/>
      <w:lvlJc w:val="left"/>
      <w:pPr>
        <w:tabs>
          <w:tab w:val="num" w:pos="3600"/>
        </w:tabs>
        <w:ind w:left="3600" w:hanging="360"/>
      </w:pPr>
      <w:rPr>
        <w:rFonts w:ascii="Arial" w:hAnsi="Arial" w:hint="default"/>
      </w:rPr>
    </w:lvl>
    <w:lvl w:ilvl="5" w:tplc="5762C3D6" w:tentative="1">
      <w:start w:val="1"/>
      <w:numFmt w:val="bullet"/>
      <w:lvlText w:val="•"/>
      <w:lvlJc w:val="left"/>
      <w:pPr>
        <w:tabs>
          <w:tab w:val="num" w:pos="4320"/>
        </w:tabs>
        <w:ind w:left="4320" w:hanging="360"/>
      </w:pPr>
      <w:rPr>
        <w:rFonts w:ascii="Arial" w:hAnsi="Arial" w:hint="default"/>
      </w:rPr>
    </w:lvl>
    <w:lvl w:ilvl="6" w:tplc="8CBCAACC" w:tentative="1">
      <w:start w:val="1"/>
      <w:numFmt w:val="bullet"/>
      <w:lvlText w:val="•"/>
      <w:lvlJc w:val="left"/>
      <w:pPr>
        <w:tabs>
          <w:tab w:val="num" w:pos="5040"/>
        </w:tabs>
        <w:ind w:left="5040" w:hanging="360"/>
      </w:pPr>
      <w:rPr>
        <w:rFonts w:ascii="Arial" w:hAnsi="Arial" w:hint="default"/>
      </w:rPr>
    </w:lvl>
    <w:lvl w:ilvl="7" w:tplc="BFD87B9E" w:tentative="1">
      <w:start w:val="1"/>
      <w:numFmt w:val="bullet"/>
      <w:lvlText w:val="•"/>
      <w:lvlJc w:val="left"/>
      <w:pPr>
        <w:tabs>
          <w:tab w:val="num" w:pos="5760"/>
        </w:tabs>
        <w:ind w:left="5760" w:hanging="360"/>
      </w:pPr>
      <w:rPr>
        <w:rFonts w:ascii="Arial" w:hAnsi="Arial" w:hint="default"/>
      </w:rPr>
    </w:lvl>
    <w:lvl w:ilvl="8" w:tplc="D0980F3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EDB7B46"/>
    <w:multiLevelType w:val="hybridMultilevel"/>
    <w:tmpl w:val="104A2F50"/>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5"/>
  </w:num>
  <w:num w:numId="3">
    <w:abstractNumId w:val="8"/>
  </w:num>
  <w:num w:numId="4">
    <w:abstractNumId w:val="9"/>
  </w:num>
  <w:num w:numId="5">
    <w:abstractNumId w:val="10"/>
  </w:num>
  <w:num w:numId="6">
    <w:abstractNumId w:val="27"/>
  </w:num>
  <w:num w:numId="7">
    <w:abstractNumId w:val="19"/>
  </w:num>
  <w:num w:numId="8">
    <w:abstractNumId w:val="38"/>
  </w:num>
  <w:num w:numId="9">
    <w:abstractNumId w:val="43"/>
  </w:num>
  <w:num w:numId="10">
    <w:abstractNumId w:val="31"/>
  </w:num>
  <w:num w:numId="11">
    <w:abstractNumId w:val="40"/>
  </w:num>
  <w:num w:numId="12">
    <w:abstractNumId w:val="13"/>
  </w:num>
  <w:num w:numId="13">
    <w:abstractNumId w:val="47"/>
  </w:num>
  <w:num w:numId="14">
    <w:abstractNumId w:val="44"/>
  </w:num>
  <w:num w:numId="15">
    <w:abstractNumId w:val="42"/>
  </w:num>
  <w:num w:numId="16">
    <w:abstractNumId w:val="34"/>
  </w:num>
  <w:num w:numId="17">
    <w:abstractNumId w:val="33"/>
  </w:num>
  <w:num w:numId="18">
    <w:abstractNumId w:val="12"/>
  </w:num>
  <w:num w:numId="19">
    <w:abstractNumId w:val="15"/>
  </w:num>
  <w:num w:numId="20">
    <w:abstractNumId w:val="23"/>
  </w:num>
  <w:num w:numId="21">
    <w:abstractNumId w:val="37"/>
  </w:num>
  <w:num w:numId="22">
    <w:abstractNumId w:val="46"/>
  </w:num>
  <w:num w:numId="23">
    <w:abstractNumId w:val="16"/>
  </w:num>
  <w:num w:numId="24">
    <w:abstractNumId w:val="29"/>
  </w:num>
  <w:num w:numId="25">
    <w:abstractNumId w:val="28"/>
  </w:num>
  <w:num w:numId="26">
    <w:abstractNumId w:val="48"/>
  </w:num>
  <w:num w:numId="27">
    <w:abstractNumId w:val="5"/>
  </w:num>
  <w:num w:numId="28">
    <w:abstractNumId w:val="20"/>
  </w:num>
  <w:num w:numId="29">
    <w:abstractNumId w:val="2"/>
  </w:num>
  <w:num w:numId="30">
    <w:abstractNumId w:val="35"/>
  </w:num>
  <w:num w:numId="31">
    <w:abstractNumId w:val="26"/>
  </w:num>
  <w:num w:numId="32">
    <w:abstractNumId w:val="22"/>
  </w:num>
  <w:num w:numId="33">
    <w:abstractNumId w:val="14"/>
  </w:num>
  <w:num w:numId="34">
    <w:abstractNumId w:val="0"/>
  </w:num>
  <w:num w:numId="35">
    <w:abstractNumId w:val="11"/>
  </w:num>
  <w:num w:numId="36">
    <w:abstractNumId w:val="18"/>
  </w:num>
  <w:num w:numId="37">
    <w:abstractNumId w:val="1"/>
  </w:num>
  <w:num w:numId="38">
    <w:abstractNumId w:val="17"/>
  </w:num>
  <w:num w:numId="39">
    <w:abstractNumId w:val="6"/>
  </w:num>
  <w:num w:numId="40">
    <w:abstractNumId w:val="24"/>
  </w:num>
  <w:num w:numId="41">
    <w:abstractNumId w:val="3"/>
  </w:num>
  <w:num w:numId="42">
    <w:abstractNumId w:val="41"/>
  </w:num>
  <w:num w:numId="43">
    <w:abstractNumId w:val="25"/>
  </w:num>
  <w:num w:numId="44">
    <w:abstractNumId w:val="30"/>
  </w:num>
  <w:num w:numId="45">
    <w:abstractNumId w:val="21"/>
  </w:num>
  <w:num w:numId="46">
    <w:abstractNumId w:val="7"/>
  </w:num>
  <w:num w:numId="47">
    <w:abstractNumId w:val="4"/>
  </w:num>
  <w:num w:numId="48">
    <w:abstractNumId w:val="36"/>
  </w:num>
  <w:num w:numId="49">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96"/>
  <w:removePersonalInformation/>
  <w:removeDateAndTime/>
  <w:hideSpellingErrors/>
  <w:hideGrammaticalErrors/>
  <w:activeWritingStyle w:appName="MSWord" w:lang="en-US" w:vendorID="64" w:dllVersion="6" w:nlCheck="1" w:checkStyle="0"/>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703d2899-21a2-4196-b5cf-e4880afbe394"/>
  </w:docVars>
  <w:rsids>
    <w:rsidRoot w:val="00CB6AC6"/>
    <w:rsid w:val="00000270"/>
    <w:rsid w:val="000005C0"/>
    <w:rsid w:val="000014F1"/>
    <w:rsid w:val="00001545"/>
    <w:rsid w:val="0000156E"/>
    <w:rsid w:val="00001E14"/>
    <w:rsid w:val="00002257"/>
    <w:rsid w:val="000024C0"/>
    <w:rsid w:val="00002A07"/>
    <w:rsid w:val="00002BD6"/>
    <w:rsid w:val="00002E84"/>
    <w:rsid w:val="00003561"/>
    <w:rsid w:val="00003F65"/>
    <w:rsid w:val="00004025"/>
    <w:rsid w:val="0000515C"/>
    <w:rsid w:val="00005201"/>
    <w:rsid w:val="000058A3"/>
    <w:rsid w:val="0000596B"/>
    <w:rsid w:val="00005E48"/>
    <w:rsid w:val="00005F52"/>
    <w:rsid w:val="00006124"/>
    <w:rsid w:val="00006292"/>
    <w:rsid w:val="0000663A"/>
    <w:rsid w:val="00006EB9"/>
    <w:rsid w:val="00006FD6"/>
    <w:rsid w:val="0000711C"/>
    <w:rsid w:val="000079CF"/>
    <w:rsid w:val="00010076"/>
    <w:rsid w:val="00010570"/>
    <w:rsid w:val="00010F88"/>
    <w:rsid w:val="00010FE9"/>
    <w:rsid w:val="0001177C"/>
    <w:rsid w:val="00011896"/>
    <w:rsid w:val="000124D9"/>
    <w:rsid w:val="00012B34"/>
    <w:rsid w:val="00012FAD"/>
    <w:rsid w:val="00013559"/>
    <w:rsid w:val="0001462B"/>
    <w:rsid w:val="00014922"/>
    <w:rsid w:val="00014C11"/>
    <w:rsid w:val="00014F68"/>
    <w:rsid w:val="00015319"/>
    <w:rsid w:val="000153B5"/>
    <w:rsid w:val="000154B6"/>
    <w:rsid w:val="000154CE"/>
    <w:rsid w:val="000159EB"/>
    <w:rsid w:val="00015C82"/>
    <w:rsid w:val="00015ECB"/>
    <w:rsid w:val="00017228"/>
    <w:rsid w:val="000172CC"/>
    <w:rsid w:val="000179CA"/>
    <w:rsid w:val="00017E7E"/>
    <w:rsid w:val="0002011E"/>
    <w:rsid w:val="00020133"/>
    <w:rsid w:val="0002026A"/>
    <w:rsid w:val="000202C3"/>
    <w:rsid w:val="0002063E"/>
    <w:rsid w:val="00020C5A"/>
    <w:rsid w:val="00020E5D"/>
    <w:rsid w:val="00020E91"/>
    <w:rsid w:val="00020FE6"/>
    <w:rsid w:val="00021588"/>
    <w:rsid w:val="00021829"/>
    <w:rsid w:val="000219F1"/>
    <w:rsid w:val="00021E38"/>
    <w:rsid w:val="00022865"/>
    <w:rsid w:val="000229CE"/>
    <w:rsid w:val="00023487"/>
    <w:rsid w:val="00023725"/>
    <w:rsid w:val="000242A4"/>
    <w:rsid w:val="00024994"/>
    <w:rsid w:val="00024D4A"/>
    <w:rsid w:val="00024DDA"/>
    <w:rsid w:val="0002530A"/>
    <w:rsid w:val="0002539A"/>
    <w:rsid w:val="000255E3"/>
    <w:rsid w:val="00026294"/>
    <w:rsid w:val="00026A09"/>
    <w:rsid w:val="00026B6B"/>
    <w:rsid w:val="00026DFA"/>
    <w:rsid w:val="0002795E"/>
    <w:rsid w:val="00027DE4"/>
    <w:rsid w:val="00027E45"/>
    <w:rsid w:val="00027FAE"/>
    <w:rsid w:val="000301D7"/>
    <w:rsid w:val="000306A0"/>
    <w:rsid w:val="000307CF"/>
    <w:rsid w:val="00030A7A"/>
    <w:rsid w:val="00030BF0"/>
    <w:rsid w:val="00030CE5"/>
    <w:rsid w:val="00031071"/>
    <w:rsid w:val="00031333"/>
    <w:rsid w:val="0003139A"/>
    <w:rsid w:val="00031D2C"/>
    <w:rsid w:val="00031EFF"/>
    <w:rsid w:val="00032B2D"/>
    <w:rsid w:val="00033075"/>
    <w:rsid w:val="0003320F"/>
    <w:rsid w:val="00033404"/>
    <w:rsid w:val="00033F6C"/>
    <w:rsid w:val="000346F7"/>
    <w:rsid w:val="00034ADF"/>
    <w:rsid w:val="00034C1B"/>
    <w:rsid w:val="000357EE"/>
    <w:rsid w:val="00035C76"/>
    <w:rsid w:val="00035DB9"/>
    <w:rsid w:val="00035F7E"/>
    <w:rsid w:val="000363BD"/>
    <w:rsid w:val="00036D3C"/>
    <w:rsid w:val="00037105"/>
    <w:rsid w:val="00037303"/>
    <w:rsid w:val="00037383"/>
    <w:rsid w:val="00037407"/>
    <w:rsid w:val="00037766"/>
    <w:rsid w:val="000378A1"/>
    <w:rsid w:val="00037B13"/>
    <w:rsid w:val="00037C94"/>
    <w:rsid w:val="00037CF0"/>
    <w:rsid w:val="00037D25"/>
    <w:rsid w:val="00037E90"/>
    <w:rsid w:val="00037FE3"/>
    <w:rsid w:val="0004079C"/>
    <w:rsid w:val="000407F3"/>
    <w:rsid w:val="000410EA"/>
    <w:rsid w:val="0004111D"/>
    <w:rsid w:val="00041327"/>
    <w:rsid w:val="00041785"/>
    <w:rsid w:val="00041793"/>
    <w:rsid w:val="0004198B"/>
    <w:rsid w:val="000424D5"/>
    <w:rsid w:val="00042A2F"/>
    <w:rsid w:val="00042D88"/>
    <w:rsid w:val="00042E4E"/>
    <w:rsid w:val="00042F5A"/>
    <w:rsid w:val="00043578"/>
    <w:rsid w:val="0004373C"/>
    <w:rsid w:val="00043CC4"/>
    <w:rsid w:val="00044076"/>
    <w:rsid w:val="000442E4"/>
    <w:rsid w:val="000445D3"/>
    <w:rsid w:val="00044683"/>
    <w:rsid w:val="00044854"/>
    <w:rsid w:val="00044B8A"/>
    <w:rsid w:val="00044C62"/>
    <w:rsid w:val="0004550F"/>
    <w:rsid w:val="000456CC"/>
    <w:rsid w:val="000460D9"/>
    <w:rsid w:val="000461BF"/>
    <w:rsid w:val="000463A6"/>
    <w:rsid w:val="000465A9"/>
    <w:rsid w:val="00046C8C"/>
    <w:rsid w:val="00046E91"/>
    <w:rsid w:val="00047546"/>
    <w:rsid w:val="000478CF"/>
    <w:rsid w:val="00047AD3"/>
    <w:rsid w:val="00047D24"/>
    <w:rsid w:val="000517FA"/>
    <w:rsid w:val="00051BFC"/>
    <w:rsid w:val="00052025"/>
    <w:rsid w:val="0005215E"/>
    <w:rsid w:val="00053241"/>
    <w:rsid w:val="0005329B"/>
    <w:rsid w:val="000536F7"/>
    <w:rsid w:val="00053A32"/>
    <w:rsid w:val="00053A93"/>
    <w:rsid w:val="00054A84"/>
    <w:rsid w:val="0005513C"/>
    <w:rsid w:val="000554D4"/>
    <w:rsid w:val="00055684"/>
    <w:rsid w:val="000558C1"/>
    <w:rsid w:val="00055FBE"/>
    <w:rsid w:val="0005623C"/>
    <w:rsid w:val="00056618"/>
    <w:rsid w:val="000569AA"/>
    <w:rsid w:val="00056A47"/>
    <w:rsid w:val="00057090"/>
    <w:rsid w:val="00057485"/>
    <w:rsid w:val="000577CF"/>
    <w:rsid w:val="00057AB7"/>
    <w:rsid w:val="00057ACE"/>
    <w:rsid w:val="0006040A"/>
    <w:rsid w:val="00060728"/>
    <w:rsid w:val="0006098B"/>
    <w:rsid w:val="000611D6"/>
    <w:rsid w:val="000613FD"/>
    <w:rsid w:val="0006162A"/>
    <w:rsid w:val="0006174F"/>
    <w:rsid w:val="00062479"/>
    <w:rsid w:val="00062538"/>
    <w:rsid w:val="00062B59"/>
    <w:rsid w:val="00063CA6"/>
    <w:rsid w:val="00064585"/>
    <w:rsid w:val="00064855"/>
    <w:rsid w:val="00064EF8"/>
    <w:rsid w:val="00064FD8"/>
    <w:rsid w:val="0006548E"/>
    <w:rsid w:val="0006584A"/>
    <w:rsid w:val="0006596A"/>
    <w:rsid w:val="00065D4E"/>
    <w:rsid w:val="00065E26"/>
    <w:rsid w:val="0006624D"/>
    <w:rsid w:val="00066296"/>
    <w:rsid w:val="00066542"/>
    <w:rsid w:val="00066B08"/>
    <w:rsid w:val="00066F69"/>
    <w:rsid w:val="00067212"/>
    <w:rsid w:val="000676D3"/>
    <w:rsid w:val="00067853"/>
    <w:rsid w:val="000701ED"/>
    <w:rsid w:val="00070BB1"/>
    <w:rsid w:val="00070D31"/>
    <w:rsid w:val="00071774"/>
    <w:rsid w:val="00071B6A"/>
    <w:rsid w:val="00071DD3"/>
    <w:rsid w:val="00071F92"/>
    <w:rsid w:val="00071FAC"/>
    <w:rsid w:val="00072923"/>
    <w:rsid w:val="00072D6A"/>
    <w:rsid w:val="00072DC3"/>
    <w:rsid w:val="00073D35"/>
    <w:rsid w:val="00074314"/>
    <w:rsid w:val="00074469"/>
    <w:rsid w:val="00074522"/>
    <w:rsid w:val="00074D2D"/>
    <w:rsid w:val="000758E1"/>
    <w:rsid w:val="0007591B"/>
    <w:rsid w:val="000760E1"/>
    <w:rsid w:val="00076F5F"/>
    <w:rsid w:val="000772F4"/>
    <w:rsid w:val="000773BE"/>
    <w:rsid w:val="00077B46"/>
    <w:rsid w:val="00077F54"/>
    <w:rsid w:val="000800A7"/>
    <w:rsid w:val="00080481"/>
    <w:rsid w:val="0008070D"/>
    <w:rsid w:val="00080721"/>
    <w:rsid w:val="00080AD6"/>
    <w:rsid w:val="00080C32"/>
    <w:rsid w:val="00080FC7"/>
    <w:rsid w:val="0008148E"/>
    <w:rsid w:val="000821C8"/>
    <w:rsid w:val="00082296"/>
    <w:rsid w:val="0008288C"/>
    <w:rsid w:val="00082945"/>
    <w:rsid w:val="00083134"/>
    <w:rsid w:val="00083147"/>
    <w:rsid w:val="0008368B"/>
    <w:rsid w:val="00083AEC"/>
    <w:rsid w:val="00083F30"/>
    <w:rsid w:val="00084382"/>
    <w:rsid w:val="00084E12"/>
    <w:rsid w:val="000851D0"/>
    <w:rsid w:val="0008522E"/>
    <w:rsid w:val="00085368"/>
    <w:rsid w:val="000868FD"/>
    <w:rsid w:val="00087581"/>
    <w:rsid w:val="00087839"/>
    <w:rsid w:val="000879B2"/>
    <w:rsid w:val="0009018E"/>
    <w:rsid w:val="00090E7B"/>
    <w:rsid w:val="00091215"/>
    <w:rsid w:val="000914EB"/>
    <w:rsid w:val="00091655"/>
    <w:rsid w:val="00091A4D"/>
    <w:rsid w:val="00091FF3"/>
    <w:rsid w:val="00092637"/>
    <w:rsid w:val="0009294B"/>
    <w:rsid w:val="00092B29"/>
    <w:rsid w:val="00092CC8"/>
    <w:rsid w:val="00092E81"/>
    <w:rsid w:val="00093A59"/>
    <w:rsid w:val="000941CB"/>
    <w:rsid w:val="000944C5"/>
    <w:rsid w:val="00094584"/>
    <w:rsid w:val="00094A0C"/>
    <w:rsid w:val="00095197"/>
    <w:rsid w:val="000952FD"/>
    <w:rsid w:val="000953C4"/>
    <w:rsid w:val="00095A04"/>
    <w:rsid w:val="00096B10"/>
    <w:rsid w:val="00096BB0"/>
    <w:rsid w:val="00096C6D"/>
    <w:rsid w:val="0009710E"/>
    <w:rsid w:val="00097785"/>
    <w:rsid w:val="000979CA"/>
    <w:rsid w:val="000979E7"/>
    <w:rsid w:val="000A0041"/>
    <w:rsid w:val="000A0085"/>
    <w:rsid w:val="000A0340"/>
    <w:rsid w:val="000A0429"/>
    <w:rsid w:val="000A0A1F"/>
    <w:rsid w:val="000A0CD8"/>
    <w:rsid w:val="000A1009"/>
    <w:rsid w:val="000A138C"/>
    <w:rsid w:val="000A1B29"/>
    <w:rsid w:val="000A24B0"/>
    <w:rsid w:val="000A25F9"/>
    <w:rsid w:val="000A2842"/>
    <w:rsid w:val="000A29DF"/>
    <w:rsid w:val="000A37E6"/>
    <w:rsid w:val="000A4048"/>
    <w:rsid w:val="000A40A4"/>
    <w:rsid w:val="000A4D9C"/>
    <w:rsid w:val="000A5067"/>
    <w:rsid w:val="000A56F0"/>
    <w:rsid w:val="000A5F5E"/>
    <w:rsid w:val="000A76BF"/>
    <w:rsid w:val="000A7BE3"/>
    <w:rsid w:val="000A7E80"/>
    <w:rsid w:val="000B03FF"/>
    <w:rsid w:val="000B040E"/>
    <w:rsid w:val="000B0879"/>
    <w:rsid w:val="000B0A5C"/>
    <w:rsid w:val="000B1B94"/>
    <w:rsid w:val="000B1BC2"/>
    <w:rsid w:val="000B1C7F"/>
    <w:rsid w:val="000B1DA6"/>
    <w:rsid w:val="000B1E5E"/>
    <w:rsid w:val="000B20B2"/>
    <w:rsid w:val="000B228A"/>
    <w:rsid w:val="000B22E3"/>
    <w:rsid w:val="000B266F"/>
    <w:rsid w:val="000B2865"/>
    <w:rsid w:val="000B2921"/>
    <w:rsid w:val="000B3288"/>
    <w:rsid w:val="000B359C"/>
    <w:rsid w:val="000B3B05"/>
    <w:rsid w:val="000B3D38"/>
    <w:rsid w:val="000B43A1"/>
    <w:rsid w:val="000B43E9"/>
    <w:rsid w:val="000B4431"/>
    <w:rsid w:val="000B5865"/>
    <w:rsid w:val="000B5B4A"/>
    <w:rsid w:val="000B637D"/>
    <w:rsid w:val="000B668E"/>
    <w:rsid w:val="000B6A1D"/>
    <w:rsid w:val="000B6B30"/>
    <w:rsid w:val="000B6E02"/>
    <w:rsid w:val="000B737D"/>
    <w:rsid w:val="000B79CF"/>
    <w:rsid w:val="000C0444"/>
    <w:rsid w:val="000C0A11"/>
    <w:rsid w:val="000C0B6D"/>
    <w:rsid w:val="000C200E"/>
    <w:rsid w:val="000C239C"/>
    <w:rsid w:val="000C2473"/>
    <w:rsid w:val="000C2F4A"/>
    <w:rsid w:val="000C354D"/>
    <w:rsid w:val="000C3A16"/>
    <w:rsid w:val="000C3FC8"/>
    <w:rsid w:val="000C4466"/>
    <w:rsid w:val="000C469B"/>
    <w:rsid w:val="000C47BE"/>
    <w:rsid w:val="000C4D9F"/>
    <w:rsid w:val="000C503E"/>
    <w:rsid w:val="000C5066"/>
    <w:rsid w:val="000C506F"/>
    <w:rsid w:val="000C5333"/>
    <w:rsid w:val="000C5445"/>
    <w:rsid w:val="000C59DC"/>
    <w:rsid w:val="000C674F"/>
    <w:rsid w:val="000C69F3"/>
    <w:rsid w:val="000C748F"/>
    <w:rsid w:val="000C7D66"/>
    <w:rsid w:val="000D0032"/>
    <w:rsid w:val="000D01D5"/>
    <w:rsid w:val="000D09B2"/>
    <w:rsid w:val="000D0C6A"/>
    <w:rsid w:val="000D0E6D"/>
    <w:rsid w:val="000D0F11"/>
    <w:rsid w:val="000D12EF"/>
    <w:rsid w:val="000D14EF"/>
    <w:rsid w:val="000D1CBE"/>
    <w:rsid w:val="000D1D1D"/>
    <w:rsid w:val="000D1DB8"/>
    <w:rsid w:val="000D242F"/>
    <w:rsid w:val="000D2806"/>
    <w:rsid w:val="000D3187"/>
    <w:rsid w:val="000D3476"/>
    <w:rsid w:val="000D380A"/>
    <w:rsid w:val="000D4787"/>
    <w:rsid w:val="000D4B7A"/>
    <w:rsid w:val="000D4D6D"/>
    <w:rsid w:val="000D4E71"/>
    <w:rsid w:val="000D5396"/>
    <w:rsid w:val="000D624E"/>
    <w:rsid w:val="000D6336"/>
    <w:rsid w:val="000D6385"/>
    <w:rsid w:val="000D6544"/>
    <w:rsid w:val="000D6644"/>
    <w:rsid w:val="000D68FB"/>
    <w:rsid w:val="000D75B3"/>
    <w:rsid w:val="000D7821"/>
    <w:rsid w:val="000D7C95"/>
    <w:rsid w:val="000D7F9C"/>
    <w:rsid w:val="000E0180"/>
    <w:rsid w:val="000E02A9"/>
    <w:rsid w:val="000E0F0B"/>
    <w:rsid w:val="000E1361"/>
    <w:rsid w:val="000E14D6"/>
    <w:rsid w:val="000E1E45"/>
    <w:rsid w:val="000E1E97"/>
    <w:rsid w:val="000E2501"/>
    <w:rsid w:val="000E2571"/>
    <w:rsid w:val="000E275B"/>
    <w:rsid w:val="000E279A"/>
    <w:rsid w:val="000E28FE"/>
    <w:rsid w:val="000E2CE8"/>
    <w:rsid w:val="000E338B"/>
    <w:rsid w:val="000E3992"/>
    <w:rsid w:val="000E39C0"/>
    <w:rsid w:val="000E39E2"/>
    <w:rsid w:val="000E3B08"/>
    <w:rsid w:val="000E3F8E"/>
    <w:rsid w:val="000E412E"/>
    <w:rsid w:val="000E41D4"/>
    <w:rsid w:val="000E4664"/>
    <w:rsid w:val="000E4A74"/>
    <w:rsid w:val="000E4E61"/>
    <w:rsid w:val="000E5441"/>
    <w:rsid w:val="000E5A70"/>
    <w:rsid w:val="000E5E61"/>
    <w:rsid w:val="000E653C"/>
    <w:rsid w:val="000E66CA"/>
    <w:rsid w:val="000E68AE"/>
    <w:rsid w:val="000E6B3F"/>
    <w:rsid w:val="000E6B71"/>
    <w:rsid w:val="000E706C"/>
    <w:rsid w:val="000F0286"/>
    <w:rsid w:val="000F02B2"/>
    <w:rsid w:val="000F038C"/>
    <w:rsid w:val="000F0A8A"/>
    <w:rsid w:val="000F1398"/>
    <w:rsid w:val="000F140B"/>
    <w:rsid w:val="000F14B9"/>
    <w:rsid w:val="000F20E5"/>
    <w:rsid w:val="000F2557"/>
    <w:rsid w:val="000F2C34"/>
    <w:rsid w:val="000F2E7D"/>
    <w:rsid w:val="000F33A8"/>
    <w:rsid w:val="000F38EE"/>
    <w:rsid w:val="000F3A0B"/>
    <w:rsid w:val="000F437F"/>
    <w:rsid w:val="000F4433"/>
    <w:rsid w:val="000F523C"/>
    <w:rsid w:val="000F5518"/>
    <w:rsid w:val="000F6561"/>
    <w:rsid w:val="000F663A"/>
    <w:rsid w:val="000F66DF"/>
    <w:rsid w:val="000F6726"/>
    <w:rsid w:val="000F6A5D"/>
    <w:rsid w:val="000F6B76"/>
    <w:rsid w:val="000F6CF7"/>
    <w:rsid w:val="000F6FD9"/>
    <w:rsid w:val="000F7C42"/>
    <w:rsid w:val="00100222"/>
    <w:rsid w:val="00100364"/>
    <w:rsid w:val="00100B36"/>
    <w:rsid w:val="00100C4D"/>
    <w:rsid w:val="0010154E"/>
    <w:rsid w:val="00101BC9"/>
    <w:rsid w:val="00102744"/>
    <w:rsid w:val="0010340C"/>
    <w:rsid w:val="001037BC"/>
    <w:rsid w:val="001044B2"/>
    <w:rsid w:val="00104E02"/>
    <w:rsid w:val="00105065"/>
    <w:rsid w:val="001053F5"/>
    <w:rsid w:val="00105EBC"/>
    <w:rsid w:val="001069E7"/>
    <w:rsid w:val="00106A9F"/>
    <w:rsid w:val="00106DA5"/>
    <w:rsid w:val="00107F6B"/>
    <w:rsid w:val="001105A0"/>
    <w:rsid w:val="00110681"/>
    <w:rsid w:val="001109CA"/>
    <w:rsid w:val="001111C9"/>
    <w:rsid w:val="001119E7"/>
    <w:rsid w:val="00111C27"/>
    <w:rsid w:val="001120D1"/>
    <w:rsid w:val="0011272A"/>
    <w:rsid w:val="001127B8"/>
    <w:rsid w:val="001128A8"/>
    <w:rsid w:val="00112921"/>
    <w:rsid w:val="00112AD5"/>
    <w:rsid w:val="00112C60"/>
    <w:rsid w:val="0011334E"/>
    <w:rsid w:val="00113CB1"/>
    <w:rsid w:val="00113D64"/>
    <w:rsid w:val="00114436"/>
    <w:rsid w:val="00114CE8"/>
    <w:rsid w:val="00115140"/>
    <w:rsid w:val="0011576D"/>
    <w:rsid w:val="0011658A"/>
    <w:rsid w:val="00116EF4"/>
    <w:rsid w:val="00117AEE"/>
    <w:rsid w:val="00117DEB"/>
    <w:rsid w:val="0012044B"/>
    <w:rsid w:val="0012089B"/>
    <w:rsid w:val="00120EAE"/>
    <w:rsid w:val="0012102A"/>
    <w:rsid w:val="00121278"/>
    <w:rsid w:val="001214BB"/>
    <w:rsid w:val="00122169"/>
    <w:rsid w:val="00122734"/>
    <w:rsid w:val="001227A4"/>
    <w:rsid w:val="00122AC3"/>
    <w:rsid w:val="00122E1B"/>
    <w:rsid w:val="00123404"/>
    <w:rsid w:val="0012342C"/>
    <w:rsid w:val="00123947"/>
    <w:rsid w:val="001239FB"/>
    <w:rsid w:val="00123CA8"/>
    <w:rsid w:val="00123CCB"/>
    <w:rsid w:val="0012435C"/>
    <w:rsid w:val="00124EF8"/>
    <w:rsid w:val="001250FD"/>
    <w:rsid w:val="00125170"/>
    <w:rsid w:val="001253F8"/>
    <w:rsid w:val="0012560F"/>
    <w:rsid w:val="00125975"/>
    <w:rsid w:val="001259D9"/>
    <w:rsid w:val="00125B80"/>
    <w:rsid w:val="00125DA8"/>
    <w:rsid w:val="00125E4C"/>
    <w:rsid w:val="00125E70"/>
    <w:rsid w:val="001264F1"/>
    <w:rsid w:val="00126D4D"/>
    <w:rsid w:val="001271D0"/>
    <w:rsid w:val="001274C4"/>
    <w:rsid w:val="00130DDD"/>
    <w:rsid w:val="00131D63"/>
    <w:rsid w:val="001320BC"/>
    <w:rsid w:val="001325D0"/>
    <w:rsid w:val="00132D8D"/>
    <w:rsid w:val="00133238"/>
    <w:rsid w:val="0013387A"/>
    <w:rsid w:val="00133FC0"/>
    <w:rsid w:val="00134B71"/>
    <w:rsid w:val="00134B94"/>
    <w:rsid w:val="00134F1A"/>
    <w:rsid w:val="00135114"/>
    <w:rsid w:val="00135192"/>
    <w:rsid w:val="00135411"/>
    <w:rsid w:val="0013561F"/>
    <w:rsid w:val="00135640"/>
    <w:rsid w:val="00135F16"/>
    <w:rsid w:val="001360D6"/>
    <w:rsid w:val="00137115"/>
    <w:rsid w:val="00137B0F"/>
    <w:rsid w:val="00137C1B"/>
    <w:rsid w:val="001401E7"/>
    <w:rsid w:val="001403AC"/>
    <w:rsid w:val="0014044E"/>
    <w:rsid w:val="001408BC"/>
    <w:rsid w:val="00141F4E"/>
    <w:rsid w:val="00142159"/>
    <w:rsid w:val="0014266D"/>
    <w:rsid w:val="00142F6B"/>
    <w:rsid w:val="00143635"/>
    <w:rsid w:val="0014445B"/>
    <w:rsid w:val="00145071"/>
    <w:rsid w:val="001451E2"/>
    <w:rsid w:val="00145385"/>
    <w:rsid w:val="0014543E"/>
    <w:rsid w:val="0014547F"/>
    <w:rsid w:val="001454A3"/>
    <w:rsid w:val="00145877"/>
    <w:rsid w:val="00145B1F"/>
    <w:rsid w:val="00145E8A"/>
    <w:rsid w:val="00146526"/>
    <w:rsid w:val="00146B1B"/>
    <w:rsid w:val="0014723D"/>
    <w:rsid w:val="001475FB"/>
    <w:rsid w:val="001477D1"/>
    <w:rsid w:val="00147ACD"/>
    <w:rsid w:val="00147DA2"/>
    <w:rsid w:val="001501D6"/>
    <w:rsid w:val="001502BF"/>
    <w:rsid w:val="00151038"/>
    <w:rsid w:val="0015116A"/>
    <w:rsid w:val="001517D3"/>
    <w:rsid w:val="001525EE"/>
    <w:rsid w:val="001532E8"/>
    <w:rsid w:val="00153749"/>
    <w:rsid w:val="001539A1"/>
    <w:rsid w:val="0015418B"/>
    <w:rsid w:val="001541BD"/>
    <w:rsid w:val="00154AE5"/>
    <w:rsid w:val="00154EF6"/>
    <w:rsid w:val="00155151"/>
    <w:rsid w:val="00156428"/>
    <w:rsid w:val="0015696E"/>
    <w:rsid w:val="00156B1D"/>
    <w:rsid w:val="001570C6"/>
    <w:rsid w:val="001572F2"/>
    <w:rsid w:val="00157912"/>
    <w:rsid w:val="00157A52"/>
    <w:rsid w:val="001601D2"/>
    <w:rsid w:val="001605B8"/>
    <w:rsid w:val="001612FA"/>
    <w:rsid w:val="001616AA"/>
    <w:rsid w:val="00161AB7"/>
    <w:rsid w:val="0016281B"/>
    <w:rsid w:val="00162D21"/>
    <w:rsid w:val="00163453"/>
    <w:rsid w:val="00163462"/>
    <w:rsid w:val="0016379D"/>
    <w:rsid w:val="00163AAE"/>
    <w:rsid w:val="00163ABC"/>
    <w:rsid w:val="00164928"/>
    <w:rsid w:val="00164EDD"/>
    <w:rsid w:val="00164F9E"/>
    <w:rsid w:val="001651B0"/>
    <w:rsid w:val="00165945"/>
    <w:rsid w:val="00165AFA"/>
    <w:rsid w:val="00165C6B"/>
    <w:rsid w:val="00165C9A"/>
    <w:rsid w:val="00166054"/>
    <w:rsid w:val="001662BA"/>
    <w:rsid w:val="0016663D"/>
    <w:rsid w:val="0016672D"/>
    <w:rsid w:val="00167126"/>
    <w:rsid w:val="001675BB"/>
    <w:rsid w:val="00167F0D"/>
    <w:rsid w:val="00170108"/>
    <w:rsid w:val="00170DF2"/>
    <w:rsid w:val="00171E26"/>
    <w:rsid w:val="00171FD0"/>
    <w:rsid w:val="00172409"/>
    <w:rsid w:val="001727AA"/>
    <w:rsid w:val="001728EF"/>
    <w:rsid w:val="00172BE3"/>
    <w:rsid w:val="00172DC4"/>
    <w:rsid w:val="0017301C"/>
    <w:rsid w:val="00173DA9"/>
    <w:rsid w:val="00173E94"/>
    <w:rsid w:val="00174950"/>
    <w:rsid w:val="00174C8C"/>
    <w:rsid w:val="001757C0"/>
    <w:rsid w:val="00176330"/>
    <w:rsid w:val="001768DA"/>
    <w:rsid w:val="00176CFE"/>
    <w:rsid w:val="00176F93"/>
    <w:rsid w:val="001772E7"/>
    <w:rsid w:val="00180946"/>
    <w:rsid w:val="00180DFF"/>
    <w:rsid w:val="00180F52"/>
    <w:rsid w:val="00181C55"/>
    <w:rsid w:val="00182464"/>
    <w:rsid w:val="00182787"/>
    <w:rsid w:val="001829AE"/>
    <w:rsid w:val="00182A32"/>
    <w:rsid w:val="0018309B"/>
    <w:rsid w:val="001830DC"/>
    <w:rsid w:val="0018404F"/>
    <w:rsid w:val="001842CF"/>
    <w:rsid w:val="00184834"/>
    <w:rsid w:val="00184A11"/>
    <w:rsid w:val="001850C1"/>
    <w:rsid w:val="0018538E"/>
    <w:rsid w:val="00186690"/>
    <w:rsid w:val="001868BC"/>
    <w:rsid w:val="001868C6"/>
    <w:rsid w:val="00186E33"/>
    <w:rsid w:val="00187873"/>
    <w:rsid w:val="00187E1A"/>
    <w:rsid w:val="0019013E"/>
    <w:rsid w:val="00190760"/>
    <w:rsid w:val="00190EC1"/>
    <w:rsid w:val="00191250"/>
    <w:rsid w:val="00191A03"/>
    <w:rsid w:val="00191A24"/>
    <w:rsid w:val="00191A77"/>
    <w:rsid w:val="00191DA6"/>
    <w:rsid w:val="00192438"/>
    <w:rsid w:val="001927FF"/>
    <w:rsid w:val="00193782"/>
    <w:rsid w:val="00193956"/>
    <w:rsid w:val="00193A02"/>
    <w:rsid w:val="00193EC4"/>
    <w:rsid w:val="0019455F"/>
    <w:rsid w:val="00194C1D"/>
    <w:rsid w:val="00195019"/>
    <w:rsid w:val="00195114"/>
    <w:rsid w:val="00195218"/>
    <w:rsid w:val="001956AC"/>
    <w:rsid w:val="001957F7"/>
    <w:rsid w:val="00195B55"/>
    <w:rsid w:val="00195FF6"/>
    <w:rsid w:val="00196199"/>
    <w:rsid w:val="00196639"/>
    <w:rsid w:val="0019677D"/>
    <w:rsid w:val="00196AE3"/>
    <w:rsid w:val="00196BE6"/>
    <w:rsid w:val="00196C36"/>
    <w:rsid w:val="00197291"/>
    <w:rsid w:val="0019734C"/>
    <w:rsid w:val="00197771"/>
    <w:rsid w:val="001977E0"/>
    <w:rsid w:val="00197A73"/>
    <w:rsid w:val="00197AB7"/>
    <w:rsid w:val="00197DD9"/>
    <w:rsid w:val="001A11D5"/>
    <w:rsid w:val="001A1B22"/>
    <w:rsid w:val="001A216F"/>
    <w:rsid w:val="001A2220"/>
    <w:rsid w:val="001A3B5B"/>
    <w:rsid w:val="001A42B0"/>
    <w:rsid w:val="001A4C6D"/>
    <w:rsid w:val="001A504D"/>
    <w:rsid w:val="001A5687"/>
    <w:rsid w:val="001A571B"/>
    <w:rsid w:val="001A5FA1"/>
    <w:rsid w:val="001A644C"/>
    <w:rsid w:val="001A6714"/>
    <w:rsid w:val="001A68A0"/>
    <w:rsid w:val="001A6BC5"/>
    <w:rsid w:val="001A708C"/>
    <w:rsid w:val="001A74F6"/>
    <w:rsid w:val="001A7B12"/>
    <w:rsid w:val="001B0684"/>
    <w:rsid w:val="001B1096"/>
    <w:rsid w:val="001B133A"/>
    <w:rsid w:val="001B13D5"/>
    <w:rsid w:val="001B18FC"/>
    <w:rsid w:val="001B1A6A"/>
    <w:rsid w:val="001B1B98"/>
    <w:rsid w:val="001B1FF6"/>
    <w:rsid w:val="001B21E0"/>
    <w:rsid w:val="001B24CE"/>
    <w:rsid w:val="001B2E9D"/>
    <w:rsid w:val="001B3143"/>
    <w:rsid w:val="001B3307"/>
    <w:rsid w:val="001B3579"/>
    <w:rsid w:val="001B3ACB"/>
    <w:rsid w:val="001B3B09"/>
    <w:rsid w:val="001B4057"/>
    <w:rsid w:val="001B4311"/>
    <w:rsid w:val="001B52BF"/>
    <w:rsid w:val="001B5DD9"/>
    <w:rsid w:val="001B6579"/>
    <w:rsid w:val="001B6993"/>
    <w:rsid w:val="001B6D26"/>
    <w:rsid w:val="001B7808"/>
    <w:rsid w:val="001B78A7"/>
    <w:rsid w:val="001B7A38"/>
    <w:rsid w:val="001B7C02"/>
    <w:rsid w:val="001B7F3E"/>
    <w:rsid w:val="001C0093"/>
    <w:rsid w:val="001C012A"/>
    <w:rsid w:val="001C0DA1"/>
    <w:rsid w:val="001C1430"/>
    <w:rsid w:val="001C1700"/>
    <w:rsid w:val="001C1A85"/>
    <w:rsid w:val="001C1B36"/>
    <w:rsid w:val="001C20B1"/>
    <w:rsid w:val="001C2789"/>
    <w:rsid w:val="001C2C7F"/>
    <w:rsid w:val="001C3046"/>
    <w:rsid w:val="001C3380"/>
    <w:rsid w:val="001C42B6"/>
    <w:rsid w:val="001C4B4C"/>
    <w:rsid w:val="001C4DAF"/>
    <w:rsid w:val="001C4FAA"/>
    <w:rsid w:val="001C514C"/>
    <w:rsid w:val="001C537B"/>
    <w:rsid w:val="001C5607"/>
    <w:rsid w:val="001C562F"/>
    <w:rsid w:val="001C5B2C"/>
    <w:rsid w:val="001C7535"/>
    <w:rsid w:val="001C7756"/>
    <w:rsid w:val="001C788F"/>
    <w:rsid w:val="001C79BE"/>
    <w:rsid w:val="001C7B21"/>
    <w:rsid w:val="001C7D23"/>
    <w:rsid w:val="001D02A4"/>
    <w:rsid w:val="001D0654"/>
    <w:rsid w:val="001D0873"/>
    <w:rsid w:val="001D0AA5"/>
    <w:rsid w:val="001D13B4"/>
    <w:rsid w:val="001D1BCD"/>
    <w:rsid w:val="001D262E"/>
    <w:rsid w:val="001D2C3B"/>
    <w:rsid w:val="001D318B"/>
    <w:rsid w:val="001D3E98"/>
    <w:rsid w:val="001D408D"/>
    <w:rsid w:val="001D41ED"/>
    <w:rsid w:val="001D53F4"/>
    <w:rsid w:val="001D545D"/>
    <w:rsid w:val="001D583D"/>
    <w:rsid w:val="001D5AD5"/>
    <w:rsid w:val="001D5DB5"/>
    <w:rsid w:val="001D5F6A"/>
    <w:rsid w:val="001D61C8"/>
    <w:rsid w:val="001D644C"/>
    <w:rsid w:val="001D67C5"/>
    <w:rsid w:val="001D6DE1"/>
    <w:rsid w:val="001E0702"/>
    <w:rsid w:val="001E0E83"/>
    <w:rsid w:val="001E1293"/>
    <w:rsid w:val="001E1A83"/>
    <w:rsid w:val="001E22EB"/>
    <w:rsid w:val="001E2301"/>
    <w:rsid w:val="001E28AF"/>
    <w:rsid w:val="001E29BA"/>
    <w:rsid w:val="001E2EF5"/>
    <w:rsid w:val="001E2FB2"/>
    <w:rsid w:val="001E343B"/>
    <w:rsid w:val="001E3514"/>
    <w:rsid w:val="001E37B3"/>
    <w:rsid w:val="001E3832"/>
    <w:rsid w:val="001E3BD7"/>
    <w:rsid w:val="001E44EB"/>
    <w:rsid w:val="001E499A"/>
    <w:rsid w:val="001E4A09"/>
    <w:rsid w:val="001E700D"/>
    <w:rsid w:val="001E788E"/>
    <w:rsid w:val="001E7A1B"/>
    <w:rsid w:val="001E7CB8"/>
    <w:rsid w:val="001E7DA1"/>
    <w:rsid w:val="001F11D4"/>
    <w:rsid w:val="001F16DD"/>
    <w:rsid w:val="001F2115"/>
    <w:rsid w:val="001F27B8"/>
    <w:rsid w:val="001F2AB5"/>
    <w:rsid w:val="001F2B2A"/>
    <w:rsid w:val="001F359C"/>
    <w:rsid w:val="001F427F"/>
    <w:rsid w:val="001F44B8"/>
    <w:rsid w:val="001F51A3"/>
    <w:rsid w:val="001F53B5"/>
    <w:rsid w:val="001F5E1A"/>
    <w:rsid w:val="001F6039"/>
    <w:rsid w:val="001F659A"/>
    <w:rsid w:val="001F6B46"/>
    <w:rsid w:val="001F6CBD"/>
    <w:rsid w:val="001F7209"/>
    <w:rsid w:val="001F72AA"/>
    <w:rsid w:val="001F7470"/>
    <w:rsid w:val="001F7D13"/>
    <w:rsid w:val="001F7FF0"/>
    <w:rsid w:val="0020039A"/>
    <w:rsid w:val="00200D5E"/>
    <w:rsid w:val="00200E20"/>
    <w:rsid w:val="00200EDE"/>
    <w:rsid w:val="0020156F"/>
    <w:rsid w:val="00201D25"/>
    <w:rsid w:val="002022DF"/>
    <w:rsid w:val="0020247B"/>
    <w:rsid w:val="00202494"/>
    <w:rsid w:val="002026E8"/>
    <w:rsid w:val="00202B1E"/>
    <w:rsid w:val="00202D0A"/>
    <w:rsid w:val="002030A8"/>
    <w:rsid w:val="0020333A"/>
    <w:rsid w:val="00203623"/>
    <w:rsid w:val="0020385B"/>
    <w:rsid w:val="00203A5C"/>
    <w:rsid w:val="00203E41"/>
    <w:rsid w:val="00203FB2"/>
    <w:rsid w:val="0020432B"/>
    <w:rsid w:val="0020459D"/>
    <w:rsid w:val="002048B7"/>
    <w:rsid w:val="00204FC1"/>
    <w:rsid w:val="00205ED6"/>
    <w:rsid w:val="00206276"/>
    <w:rsid w:val="00206320"/>
    <w:rsid w:val="00206491"/>
    <w:rsid w:val="00206C75"/>
    <w:rsid w:val="00206DE8"/>
    <w:rsid w:val="002073BB"/>
    <w:rsid w:val="00207A82"/>
    <w:rsid w:val="00207EA9"/>
    <w:rsid w:val="002101C4"/>
    <w:rsid w:val="00210826"/>
    <w:rsid w:val="00210C18"/>
    <w:rsid w:val="00213310"/>
    <w:rsid w:val="002134F1"/>
    <w:rsid w:val="00213911"/>
    <w:rsid w:val="00213FBE"/>
    <w:rsid w:val="0021450D"/>
    <w:rsid w:val="00214760"/>
    <w:rsid w:val="002150AB"/>
    <w:rsid w:val="00215121"/>
    <w:rsid w:val="00215290"/>
    <w:rsid w:val="002158B2"/>
    <w:rsid w:val="00215E1C"/>
    <w:rsid w:val="002164EA"/>
    <w:rsid w:val="00216615"/>
    <w:rsid w:val="0021685F"/>
    <w:rsid w:val="00216A04"/>
    <w:rsid w:val="00216B32"/>
    <w:rsid w:val="00216DD9"/>
    <w:rsid w:val="00216E9E"/>
    <w:rsid w:val="00217156"/>
    <w:rsid w:val="002176D2"/>
    <w:rsid w:val="002177A3"/>
    <w:rsid w:val="00217902"/>
    <w:rsid w:val="00217E28"/>
    <w:rsid w:val="00217F54"/>
    <w:rsid w:val="0022006C"/>
    <w:rsid w:val="0022054E"/>
    <w:rsid w:val="00220C46"/>
    <w:rsid w:val="00221CCC"/>
    <w:rsid w:val="00221D93"/>
    <w:rsid w:val="00221DCC"/>
    <w:rsid w:val="002221FD"/>
    <w:rsid w:val="00222C81"/>
    <w:rsid w:val="00222F3F"/>
    <w:rsid w:val="00223A5D"/>
    <w:rsid w:val="002248B2"/>
    <w:rsid w:val="0022493F"/>
    <w:rsid w:val="002249FB"/>
    <w:rsid w:val="00224A44"/>
    <w:rsid w:val="00225442"/>
    <w:rsid w:val="00225933"/>
    <w:rsid w:val="00225B89"/>
    <w:rsid w:val="00225C77"/>
    <w:rsid w:val="00225CC7"/>
    <w:rsid w:val="00226389"/>
    <w:rsid w:val="0022732E"/>
    <w:rsid w:val="00227ADC"/>
    <w:rsid w:val="00227CA6"/>
    <w:rsid w:val="00230404"/>
    <w:rsid w:val="002309A3"/>
    <w:rsid w:val="00230D9A"/>
    <w:rsid w:val="00230F35"/>
    <w:rsid w:val="00230FBF"/>
    <w:rsid w:val="002310A5"/>
    <w:rsid w:val="002320F8"/>
    <w:rsid w:val="002321AA"/>
    <w:rsid w:val="00232283"/>
    <w:rsid w:val="00232A21"/>
    <w:rsid w:val="00232AA1"/>
    <w:rsid w:val="00233F57"/>
    <w:rsid w:val="0023476C"/>
    <w:rsid w:val="002349E4"/>
    <w:rsid w:val="00235196"/>
    <w:rsid w:val="002354CA"/>
    <w:rsid w:val="0023578C"/>
    <w:rsid w:val="00235AB4"/>
    <w:rsid w:val="00235B9A"/>
    <w:rsid w:val="002360BE"/>
    <w:rsid w:val="0023627D"/>
    <w:rsid w:val="00236848"/>
    <w:rsid w:val="00236C8A"/>
    <w:rsid w:val="00237060"/>
    <w:rsid w:val="002370F7"/>
    <w:rsid w:val="00237772"/>
    <w:rsid w:val="002377ED"/>
    <w:rsid w:val="00237CBF"/>
    <w:rsid w:val="002401F4"/>
    <w:rsid w:val="00240963"/>
    <w:rsid w:val="002412C1"/>
    <w:rsid w:val="00241D21"/>
    <w:rsid w:val="00241EAF"/>
    <w:rsid w:val="002438BC"/>
    <w:rsid w:val="002439B2"/>
    <w:rsid w:val="00243CD1"/>
    <w:rsid w:val="00244700"/>
    <w:rsid w:val="00244911"/>
    <w:rsid w:val="0024493D"/>
    <w:rsid w:val="002451D7"/>
    <w:rsid w:val="0024526D"/>
    <w:rsid w:val="00245E69"/>
    <w:rsid w:val="00245FF6"/>
    <w:rsid w:val="0024639D"/>
    <w:rsid w:val="00246BDD"/>
    <w:rsid w:val="00246F13"/>
    <w:rsid w:val="00247CF4"/>
    <w:rsid w:val="00247DC5"/>
    <w:rsid w:val="00250400"/>
    <w:rsid w:val="002508AE"/>
    <w:rsid w:val="00250C2E"/>
    <w:rsid w:val="00250CD7"/>
    <w:rsid w:val="0025131D"/>
    <w:rsid w:val="0025180E"/>
    <w:rsid w:val="002518EA"/>
    <w:rsid w:val="00251C06"/>
    <w:rsid w:val="002520BF"/>
    <w:rsid w:val="00252A5C"/>
    <w:rsid w:val="0025307E"/>
    <w:rsid w:val="00253590"/>
    <w:rsid w:val="0025416F"/>
    <w:rsid w:val="00254C7D"/>
    <w:rsid w:val="00254C80"/>
    <w:rsid w:val="00255289"/>
    <w:rsid w:val="00255638"/>
    <w:rsid w:val="0025631B"/>
    <w:rsid w:val="00256491"/>
    <w:rsid w:val="00256CE8"/>
    <w:rsid w:val="00256D20"/>
    <w:rsid w:val="00257A28"/>
    <w:rsid w:val="002607CF"/>
    <w:rsid w:val="002609BD"/>
    <w:rsid w:val="00260A60"/>
    <w:rsid w:val="002617E0"/>
    <w:rsid w:val="00261826"/>
    <w:rsid w:val="002619E9"/>
    <w:rsid w:val="00261C5F"/>
    <w:rsid w:val="00261D3D"/>
    <w:rsid w:val="00261F85"/>
    <w:rsid w:val="00262055"/>
    <w:rsid w:val="00262BFE"/>
    <w:rsid w:val="00262D12"/>
    <w:rsid w:val="0026318A"/>
    <w:rsid w:val="0026355B"/>
    <w:rsid w:val="00263722"/>
    <w:rsid w:val="002637BB"/>
    <w:rsid w:val="00263B08"/>
    <w:rsid w:val="00263EFA"/>
    <w:rsid w:val="00263F70"/>
    <w:rsid w:val="002640B3"/>
    <w:rsid w:val="002650FD"/>
    <w:rsid w:val="00266284"/>
    <w:rsid w:val="00266410"/>
    <w:rsid w:val="002664A0"/>
    <w:rsid w:val="00266762"/>
    <w:rsid w:val="00266E50"/>
    <w:rsid w:val="00267025"/>
    <w:rsid w:val="00267B16"/>
    <w:rsid w:val="002713D0"/>
    <w:rsid w:val="00272FB5"/>
    <w:rsid w:val="0027313D"/>
    <w:rsid w:val="00273311"/>
    <w:rsid w:val="00273337"/>
    <w:rsid w:val="00273362"/>
    <w:rsid w:val="002736F1"/>
    <w:rsid w:val="00274378"/>
    <w:rsid w:val="0027450E"/>
    <w:rsid w:val="0027485F"/>
    <w:rsid w:val="00274C1A"/>
    <w:rsid w:val="00274D96"/>
    <w:rsid w:val="002753FB"/>
    <w:rsid w:val="00276639"/>
    <w:rsid w:val="00276A24"/>
    <w:rsid w:val="00276B65"/>
    <w:rsid w:val="00276E7C"/>
    <w:rsid w:val="00276FEA"/>
    <w:rsid w:val="002774A4"/>
    <w:rsid w:val="00277658"/>
    <w:rsid w:val="002800E7"/>
    <w:rsid w:val="00280262"/>
    <w:rsid w:val="00280A37"/>
    <w:rsid w:val="00280AFD"/>
    <w:rsid w:val="00280E6F"/>
    <w:rsid w:val="00281330"/>
    <w:rsid w:val="00281E76"/>
    <w:rsid w:val="002823E4"/>
    <w:rsid w:val="002827FF"/>
    <w:rsid w:val="002833C1"/>
    <w:rsid w:val="0028434A"/>
    <w:rsid w:val="002844DF"/>
    <w:rsid w:val="00284D94"/>
    <w:rsid w:val="00285647"/>
    <w:rsid w:val="00285729"/>
    <w:rsid w:val="00285B87"/>
    <w:rsid w:val="00286406"/>
    <w:rsid w:val="00286469"/>
    <w:rsid w:val="0028717C"/>
    <w:rsid w:val="0028742C"/>
    <w:rsid w:val="0028767E"/>
    <w:rsid w:val="00287D89"/>
    <w:rsid w:val="00287FD9"/>
    <w:rsid w:val="002910BA"/>
    <w:rsid w:val="002915C5"/>
    <w:rsid w:val="002917A0"/>
    <w:rsid w:val="00291D63"/>
    <w:rsid w:val="002922F4"/>
    <w:rsid w:val="002929E2"/>
    <w:rsid w:val="00292A49"/>
    <w:rsid w:val="00292B94"/>
    <w:rsid w:val="00292FC9"/>
    <w:rsid w:val="00293572"/>
    <w:rsid w:val="00293C1C"/>
    <w:rsid w:val="00294387"/>
    <w:rsid w:val="002943B5"/>
    <w:rsid w:val="00294A9A"/>
    <w:rsid w:val="00294EC5"/>
    <w:rsid w:val="002957A9"/>
    <w:rsid w:val="00295F71"/>
    <w:rsid w:val="002964DE"/>
    <w:rsid w:val="002966F9"/>
    <w:rsid w:val="00296C8F"/>
    <w:rsid w:val="00296F3D"/>
    <w:rsid w:val="00296F90"/>
    <w:rsid w:val="00297119"/>
    <w:rsid w:val="00297BB6"/>
    <w:rsid w:val="00297EF7"/>
    <w:rsid w:val="002A082D"/>
    <w:rsid w:val="002A115C"/>
    <w:rsid w:val="002A126C"/>
    <w:rsid w:val="002A15AD"/>
    <w:rsid w:val="002A18F5"/>
    <w:rsid w:val="002A1BE5"/>
    <w:rsid w:val="002A1E8B"/>
    <w:rsid w:val="002A2543"/>
    <w:rsid w:val="002A2DAF"/>
    <w:rsid w:val="002A35A0"/>
    <w:rsid w:val="002A437F"/>
    <w:rsid w:val="002A45AE"/>
    <w:rsid w:val="002A48C8"/>
    <w:rsid w:val="002A5030"/>
    <w:rsid w:val="002A5852"/>
    <w:rsid w:val="002A5ECE"/>
    <w:rsid w:val="002A68CF"/>
    <w:rsid w:val="002A6D54"/>
    <w:rsid w:val="002A7121"/>
    <w:rsid w:val="002A731E"/>
    <w:rsid w:val="002B03F0"/>
    <w:rsid w:val="002B059C"/>
    <w:rsid w:val="002B05F3"/>
    <w:rsid w:val="002B1442"/>
    <w:rsid w:val="002B1714"/>
    <w:rsid w:val="002B1E0C"/>
    <w:rsid w:val="002B2179"/>
    <w:rsid w:val="002B2A20"/>
    <w:rsid w:val="002B2CAA"/>
    <w:rsid w:val="002B2D31"/>
    <w:rsid w:val="002B2D3A"/>
    <w:rsid w:val="002B2D3B"/>
    <w:rsid w:val="002B39C6"/>
    <w:rsid w:val="002B3EA9"/>
    <w:rsid w:val="002B4F16"/>
    <w:rsid w:val="002B53C4"/>
    <w:rsid w:val="002B5BF8"/>
    <w:rsid w:val="002B632A"/>
    <w:rsid w:val="002B6BA1"/>
    <w:rsid w:val="002B72FC"/>
    <w:rsid w:val="002B7E3F"/>
    <w:rsid w:val="002C0AFB"/>
    <w:rsid w:val="002C0C8F"/>
    <w:rsid w:val="002C10A8"/>
    <w:rsid w:val="002C14AE"/>
    <w:rsid w:val="002C155F"/>
    <w:rsid w:val="002C1D0E"/>
    <w:rsid w:val="002C1D43"/>
    <w:rsid w:val="002C2388"/>
    <w:rsid w:val="002C2534"/>
    <w:rsid w:val="002C2A27"/>
    <w:rsid w:val="002C2AD6"/>
    <w:rsid w:val="002C3025"/>
    <w:rsid w:val="002C360C"/>
    <w:rsid w:val="002C3A34"/>
    <w:rsid w:val="002C3A95"/>
    <w:rsid w:val="002C44F4"/>
    <w:rsid w:val="002C4879"/>
    <w:rsid w:val="002C490F"/>
    <w:rsid w:val="002C4AAF"/>
    <w:rsid w:val="002C4B2F"/>
    <w:rsid w:val="002C5910"/>
    <w:rsid w:val="002C59FB"/>
    <w:rsid w:val="002C5C46"/>
    <w:rsid w:val="002C5F41"/>
    <w:rsid w:val="002C61F3"/>
    <w:rsid w:val="002C69EC"/>
    <w:rsid w:val="002C6BF4"/>
    <w:rsid w:val="002C7399"/>
    <w:rsid w:val="002C7561"/>
    <w:rsid w:val="002C7978"/>
    <w:rsid w:val="002C7A07"/>
    <w:rsid w:val="002C7E36"/>
    <w:rsid w:val="002D0151"/>
    <w:rsid w:val="002D0951"/>
    <w:rsid w:val="002D099C"/>
    <w:rsid w:val="002D0A9E"/>
    <w:rsid w:val="002D0B95"/>
    <w:rsid w:val="002D101E"/>
    <w:rsid w:val="002D123B"/>
    <w:rsid w:val="002D155F"/>
    <w:rsid w:val="002D1913"/>
    <w:rsid w:val="002D1DFD"/>
    <w:rsid w:val="002D1F7A"/>
    <w:rsid w:val="002D2043"/>
    <w:rsid w:val="002D20DC"/>
    <w:rsid w:val="002D2756"/>
    <w:rsid w:val="002D3A86"/>
    <w:rsid w:val="002D3BAB"/>
    <w:rsid w:val="002D3E35"/>
    <w:rsid w:val="002D42F6"/>
    <w:rsid w:val="002D445B"/>
    <w:rsid w:val="002D4548"/>
    <w:rsid w:val="002D5261"/>
    <w:rsid w:val="002D5473"/>
    <w:rsid w:val="002D5668"/>
    <w:rsid w:val="002D58B4"/>
    <w:rsid w:val="002D5B2B"/>
    <w:rsid w:val="002D631F"/>
    <w:rsid w:val="002D69C8"/>
    <w:rsid w:val="002D7073"/>
    <w:rsid w:val="002D7AFD"/>
    <w:rsid w:val="002E0282"/>
    <w:rsid w:val="002E0948"/>
    <w:rsid w:val="002E09FB"/>
    <w:rsid w:val="002E0D48"/>
    <w:rsid w:val="002E0E68"/>
    <w:rsid w:val="002E1079"/>
    <w:rsid w:val="002E1458"/>
    <w:rsid w:val="002E163D"/>
    <w:rsid w:val="002E2158"/>
    <w:rsid w:val="002E22EB"/>
    <w:rsid w:val="002E2415"/>
    <w:rsid w:val="002E28D2"/>
    <w:rsid w:val="002E2A33"/>
    <w:rsid w:val="002E302C"/>
    <w:rsid w:val="002E3103"/>
    <w:rsid w:val="002E4D59"/>
    <w:rsid w:val="002E542B"/>
    <w:rsid w:val="002E5621"/>
    <w:rsid w:val="002E5DC0"/>
    <w:rsid w:val="002E6583"/>
    <w:rsid w:val="002E668E"/>
    <w:rsid w:val="002E6F71"/>
    <w:rsid w:val="002E7391"/>
    <w:rsid w:val="002E77A3"/>
    <w:rsid w:val="002E7809"/>
    <w:rsid w:val="002F02F1"/>
    <w:rsid w:val="002F06C2"/>
    <w:rsid w:val="002F0D0F"/>
    <w:rsid w:val="002F0D4D"/>
    <w:rsid w:val="002F1412"/>
    <w:rsid w:val="002F1417"/>
    <w:rsid w:val="002F2390"/>
    <w:rsid w:val="002F2E7D"/>
    <w:rsid w:val="002F2F9F"/>
    <w:rsid w:val="002F3235"/>
    <w:rsid w:val="002F39F2"/>
    <w:rsid w:val="002F4045"/>
    <w:rsid w:val="002F432F"/>
    <w:rsid w:val="002F45F6"/>
    <w:rsid w:val="002F4604"/>
    <w:rsid w:val="002F53D6"/>
    <w:rsid w:val="002F5599"/>
    <w:rsid w:val="002F5886"/>
    <w:rsid w:val="002F6416"/>
    <w:rsid w:val="002F6523"/>
    <w:rsid w:val="002F67C7"/>
    <w:rsid w:val="002F71DB"/>
    <w:rsid w:val="002F7916"/>
    <w:rsid w:val="002F7B36"/>
    <w:rsid w:val="002F7E6D"/>
    <w:rsid w:val="00300295"/>
    <w:rsid w:val="00300BFD"/>
    <w:rsid w:val="00301D2E"/>
    <w:rsid w:val="003024BA"/>
    <w:rsid w:val="00302748"/>
    <w:rsid w:val="00302948"/>
    <w:rsid w:val="00302D24"/>
    <w:rsid w:val="00304756"/>
    <w:rsid w:val="00305629"/>
    <w:rsid w:val="00305BEA"/>
    <w:rsid w:val="0030601D"/>
    <w:rsid w:val="00306289"/>
    <w:rsid w:val="00306791"/>
    <w:rsid w:val="0030680A"/>
    <w:rsid w:val="00307232"/>
    <w:rsid w:val="00307E87"/>
    <w:rsid w:val="0031028D"/>
    <w:rsid w:val="00310773"/>
    <w:rsid w:val="00310A2E"/>
    <w:rsid w:val="00310DB6"/>
    <w:rsid w:val="00311514"/>
    <w:rsid w:val="003117CF"/>
    <w:rsid w:val="003118C7"/>
    <w:rsid w:val="00311C1A"/>
    <w:rsid w:val="003124D0"/>
    <w:rsid w:val="003125D5"/>
    <w:rsid w:val="003129D6"/>
    <w:rsid w:val="00312BDC"/>
    <w:rsid w:val="00313019"/>
    <w:rsid w:val="003131E7"/>
    <w:rsid w:val="003134C4"/>
    <w:rsid w:val="00313725"/>
    <w:rsid w:val="00313F26"/>
    <w:rsid w:val="00314955"/>
    <w:rsid w:val="00314C18"/>
    <w:rsid w:val="00314C45"/>
    <w:rsid w:val="0031539C"/>
    <w:rsid w:val="003179B3"/>
    <w:rsid w:val="003208D9"/>
    <w:rsid w:val="0032099F"/>
    <w:rsid w:val="00320CE0"/>
    <w:rsid w:val="00320F15"/>
    <w:rsid w:val="00321107"/>
    <w:rsid w:val="0032250D"/>
    <w:rsid w:val="00323916"/>
    <w:rsid w:val="00323C02"/>
    <w:rsid w:val="0032445A"/>
    <w:rsid w:val="00324765"/>
    <w:rsid w:val="00324BE6"/>
    <w:rsid w:val="00324D11"/>
    <w:rsid w:val="003252DA"/>
    <w:rsid w:val="003262F1"/>
    <w:rsid w:val="00326332"/>
    <w:rsid w:val="00326ACC"/>
    <w:rsid w:val="00326AF4"/>
    <w:rsid w:val="00326B0C"/>
    <w:rsid w:val="00326B3B"/>
    <w:rsid w:val="00326C78"/>
    <w:rsid w:val="00326DE0"/>
    <w:rsid w:val="003275D7"/>
    <w:rsid w:val="00327657"/>
    <w:rsid w:val="00327F16"/>
    <w:rsid w:val="00330100"/>
    <w:rsid w:val="00330863"/>
    <w:rsid w:val="00330AD7"/>
    <w:rsid w:val="003312AC"/>
    <w:rsid w:val="00331422"/>
    <w:rsid w:val="00331BCE"/>
    <w:rsid w:val="00333090"/>
    <w:rsid w:val="00333297"/>
    <w:rsid w:val="003333E0"/>
    <w:rsid w:val="00333F34"/>
    <w:rsid w:val="003348D4"/>
    <w:rsid w:val="0033544D"/>
    <w:rsid w:val="003355AB"/>
    <w:rsid w:val="00335F07"/>
    <w:rsid w:val="003363A0"/>
    <w:rsid w:val="003364A8"/>
    <w:rsid w:val="003365D0"/>
    <w:rsid w:val="0033669C"/>
    <w:rsid w:val="003369B6"/>
    <w:rsid w:val="00336B96"/>
    <w:rsid w:val="00336BFF"/>
    <w:rsid w:val="00336D42"/>
    <w:rsid w:val="0033755F"/>
    <w:rsid w:val="00337F08"/>
    <w:rsid w:val="00340279"/>
    <w:rsid w:val="00340328"/>
    <w:rsid w:val="0034058F"/>
    <w:rsid w:val="003407E7"/>
    <w:rsid w:val="003414BF"/>
    <w:rsid w:val="00341FBB"/>
    <w:rsid w:val="00342666"/>
    <w:rsid w:val="00342C58"/>
    <w:rsid w:val="00342DDE"/>
    <w:rsid w:val="00343106"/>
    <w:rsid w:val="003433CB"/>
    <w:rsid w:val="003433E5"/>
    <w:rsid w:val="00343A52"/>
    <w:rsid w:val="00344006"/>
    <w:rsid w:val="00344320"/>
    <w:rsid w:val="00345BD9"/>
    <w:rsid w:val="00345E85"/>
    <w:rsid w:val="00346EAE"/>
    <w:rsid w:val="00347027"/>
    <w:rsid w:val="00347602"/>
    <w:rsid w:val="00350287"/>
    <w:rsid w:val="00350BA8"/>
    <w:rsid w:val="003511C9"/>
    <w:rsid w:val="003514BD"/>
    <w:rsid w:val="00351C95"/>
    <w:rsid w:val="00351D7B"/>
    <w:rsid w:val="003525F5"/>
    <w:rsid w:val="003527BF"/>
    <w:rsid w:val="003530B0"/>
    <w:rsid w:val="00353382"/>
    <w:rsid w:val="003533CD"/>
    <w:rsid w:val="003536FD"/>
    <w:rsid w:val="00353971"/>
    <w:rsid w:val="00353DA6"/>
    <w:rsid w:val="00354C52"/>
    <w:rsid w:val="00354FD6"/>
    <w:rsid w:val="00355F94"/>
    <w:rsid w:val="00356040"/>
    <w:rsid w:val="003564EE"/>
    <w:rsid w:val="00356D10"/>
    <w:rsid w:val="00356D7F"/>
    <w:rsid w:val="00356EEC"/>
    <w:rsid w:val="00357388"/>
    <w:rsid w:val="00357ACC"/>
    <w:rsid w:val="00357C13"/>
    <w:rsid w:val="00357EA7"/>
    <w:rsid w:val="00360024"/>
    <w:rsid w:val="00360927"/>
    <w:rsid w:val="00360F50"/>
    <w:rsid w:val="00360F92"/>
    <w:rsid w:val="0036141E"/>
    <w:rsid w:val="0036149C"/>
    <w:rsid w:val="00361798"/>
    <w:rsid w:val="00361EA5"/>
    <w:rsid w:val="003625C5"/>
    <w:rsid w:val="0036287F"/>
    <w:rsid w:val="00362ADD"/>
    <w:rsid w:val="0036348F"/>
    <w:rsid w:val="003635D8"/>
    <w:rsid w:val="003638E7"/>
    <w:rsid w:val="0036398C"/>
    <w:rsid w:val="00363C4E"/>
    <w:rsid w:val="00363D94"/>
    <w:rsid w:val="00363F4B"/>
    <w:rsid w:val="0036406B"/>
    <w:rsid w:val="00364529"/>
    <w:rsid w:val="0036470B"/>
    <w:rsid w:val="00364760"/>
    <w:rsid w:val="00364AF5"/>
    <w:rsid w:val="00364EBB"/>
    <w:rsid w:val="0036526B"/>
    <w:rsid w:val="003652B3"/>
    <w:rsid w:val="00365828"/>
    <w:rsid w:val="00365B1C"/>
    <w:rsid w:val="00365B44"/>
    <w:rsid w:val="00365EFA"/>
    <w:rsid w:val="00365F6D"/>
    <w:rsid w:val="00366118"/>
    <w:rsid w:val="00366DA0"/>
    <w:rsid w:val="00366EEB"/>
    <w:rsid w:val="00366F42"/>
    <w:rsid w:val="00367387"/>
    <w:rsid w:val="0036781D"/>
    <w:rsid w:val="00367EF4"/>
    <w:rsid w:val="0037001D"/>
    <w:rsid w:val="00370293"/>
    <w:rsid w:val="003702DC"/>
    <w:rsid w:val="0037045E"/>
    <w:rsid w:val="003706FB"/>
    <w:rsid w:val="00370701"/>
    <w:rsid w:val="0037075A"/>
    <w:rsid w:val="0037132E"/>
    <w:rsid w:val="003713A1"/>
    <w:rsid w:val="0037185E"/>
    <w:rsid w:val="003724C2"/>
    <w:rsid w:val="003745BD"/>
    <w:rsid w:val="00374696"/>
    <w:rsid w:val="00374740"/>
    <w:rsid w:val="00375A8D"/>
    <w:rsid w:val="00375D34"/>
    <w:rsid w:val="003761CA"/>
    <w:rsid w:val="003763E4"/>
    <w:rsid w:val="00376A28"/>
    <w:rsid w:val="0037711E"/>
    <w:rsid w:val="00377779"/>
    <w:rsid w:val="00377EDE"/>
    <w:rsid w:val="003804D7"/>
    <w:rsid w:val="00380B10"/>
    <w:rsid w:val="003811D6"/>
    <w:rsid w:val="00381209"/>
    <w:rsid w:val="00381785"/>
    <w:rsid w:val="0038192C"/>
    <w:rsid w:val="00381A8C"/>
    <w:rsid w:val="00381EA9"/>
    <w:rsid w:val="00381FC6"/>
    <w:rsid w:val="003821FC"/>
    <w:rsid w:val="00382D2D"/>
    <w:rsid w:val="003837A7"/>
    <w:rsid w:val="003838A3"/>
    <w:rsid w:val="0038394A"/>
    <w:rsid w:val="00383BDC"/>
    <w:rsid w:val="00383CA6"/>
    <w:rsid w:val="00383E06"/>
    <w:rsid w:val="0038433A"/>
    <w:rsid w:val="003845CF"/>
    <w:rsid w:val="00384D5F"/>
    <w:rsid w:val="00384D63"/>
    <w:rsid w:val="00384D88"/>
    <w:rsid w:val="003852EA"/>
    <w:rsid w:val="00386008"/>
    <w:rsid w:val="00386645"/>
    <w:rsid w:val="0038685F"/>
    <w:rsid w:val="00386A98"/>
    <w:rsid w:val="00386EDA"/>
    <w:rsid w:val="00387F15"/>
    <w:rsid w:val="0039051B"/>
    <w:rsid w:val="00390F7F"/>
    <w:rsid w:val="0039110A"/>
    <w:rsid w:val="0039133F"/>
    <w:rsid w:val="00392602"/>
    <w:rsid w:val="00392D2A"/>
    <w:rsid w:val="00392E8A"/>
    <w:rsid w:val="00393352"/>
    <w:rsid w:val="0039417B"/>
    <w:rsid w:val="0039430B"/>
    <w:rsid w:val="003944A8"/>
    <w:rsid w:val="00394986"/>
    <w:rsid w:val="00394F27"/>
    <w:rsid w:val="003953ED"/>
    <w:rsid w:val="003955C1"/>
    <w:rsid w:val="00395617"/>
    <w:rsid w:val="0039565E"/>
    <w:rsid w:val="00395A31"/>
    <w:rsid w:val="00395C44"/>
    <w:rsid w:val="00396C4E"/>
    <w:rsid w:val="00396E23"/>
    <w:rsid w:val="00396E74"/>
    <w:rsid w:val="00397487"/>
    <w:rsid w:val="003A0CF2"/>
    <w:rsid w:val="003A0D64"/>
    <w:rsid w:val="003A103A"/>
    <w:rsid w:val="003A10E0"/>
    <w:rsid w:val="003A1309"/>
    <w:rsid w:val="003A1318"/>
    <w:rsid w:val="003A1A47"/>
    <w:rsid w:val="003A1D66"/>
    <w:rsid w:val="003A2597"/>
    <w:rsid w:val="003A2CA8"/>
    <w:rsid w:val="003A2D37"/>
    <w:rsid w:val="003A30F4"/>
    <w:rsid w:val="003A3452"/>
    <w:rsid w:val="003A3A26"/>
    <w:rsid w:val="003A3E7F"/>
    <w:rsid w:val="003A3EE5"/>
    <w:rsid w:val="003A4727"/>
    <w:rsid w:val="003A4B37"/>
    <w:rsid w:val="003A5E06"/>
    <w:rsid w:val="003A6BD7"/>
    <w:rsid w:val="003A70E5"/>
    <w:rsid w:val="003A73BB"/>
    <w:rsid w:val="003A775C"/>
    <w:rsid w:val="003B0588"/>
    <w:rsid w:val="003B0DCB"/>
    <w:rsid w:val="003B1093"/>
    <w:rsid w:val="003B1495"/>
    <w:rsid w:val="003B15C7"/>
    <w:rsid w:val="003B181E"/>
    <w:rsid w:val="003B1A7F"/>
    <w:rsid w:val="003B1F3F"/>
    <w:rsid w:val="003B2C27"/>
    <w:rsid w:val="003B2E40"/>
    <w:rsid w:val="003B3DD7"/>
    <w:rsid w:val="003B3DE8"/>
    <w:rsid w:val="003B3F1E"/>
    <w:rsid w:val="003B3FF9"/>
    <w:rsid w:val="003B49BA"/>
    <w:rsid w:val="003B4DA7"/>
    <w:rsid w:val="003B4DA9"/>
    <w:rsid w:val="003B5004"/>
    <w:rsid w:val="003B52F1"/>
    <w:rsid w:val="003B54BF"/>
    <w:rsid w:val="003B57FB"/>
    <w:rsid w:val="003B59C9"/>
    <w:rsid w:val="003B5C2F"/>
    <w:rsid w:val="003B5C54"/>
    <w:rsid w:val="003B5EA7"/>
    <w:rsid w:val="003B60B8"/>
    <w:rsid w:val="003B6564"/>
    <w:rsid w:val="003B67AF"/>
    <w:rsid w:val="003B70C5"/>
    <w:rsid w:val="003B729F"/>
    <w:rsid w:val="003B748B"/>
    <w:rsid w:val="003B7B60"/>
    <w:rsid w:val="003B7B71"/>
    <w:rsid w:val="003C0535"/>
    <w:rsid w:val="003C0B4E"/>
    <w:rsid w:val="003C0C74"/>
    <w:rsid w:val="003C1216"/>
    <w:rsid w:val="003C1642"/>
    <w:rsid w:val="003C1BF9"/>
    <w:rsid w:val="003C1CA8"/>
    <w:rsid w:val="003C1DAD"/>
    <w:rsid w:val="003C1EAE"/>
    <w:rsid w:val="003C2314"/>
    <w:rsid w:val="003C2943"/>
    <w:rsid w:val="003C2992"/>
    <w:rsid w:val="003C332E"/>
    <w:rsid w:val="003C3547"/>
    <w:rsid w:val="003C39D8"/>
    <w:rsid w:val="003C3C38"/>
    <w:rsid w:val="003C440F"/>
    <w:rsid w:val="003C48AF"/>
    <w:rsid w:val="003C5515"/>
    <w:rsid w:val="003C5766"/>
    <w:rsid w:val="003C5EE8"/>
    <w:rsid w:val="003C6BC7"/>
    <w:rsid w:val="003C6D74"/>
    <w:rsid w:val="003C7345"/>
    <w:rsid w:val="003C7979"/>
    <w:rsid w:val="003C79FE"/>
    <w:rsid w:val="003C7B19"/>
    <w:rsid w:val="003D06B9"/>
    <w:rsid w:val="003D0E54"/>
    <w:rsid w:val="003D1984"/>
    <w:rsid w:val="003D1C50"/>
    <w:rsid w:val="003D1D4A"/>
    <w:rsid w:val="003D30F1"/>
    <w:rsid w:val="003D3B73"/>
    <w:rsid w:val="003D3B89"/>
    <w:rsid w:val="003D3D1A"/>
    <w:rsid w:val="003D40F3"/>
    <w:rsid w:val="003D4347"/>
    <w:rsid w:val="003D43F0"/>
    <w:rsid w:val="003D4715"/>
    <w:rsid w:val="003D479D"/>
    <w:rsid w:val="003D47DA"/>
    <w:rsid w:val="003D5080"/>
    <w:rsid w:val="003D5607"/>
    <w:rsid w:val="003E0650"/>
    <w:rsid w:val="003E0BC0"/>
    <w:rsid w:val="003E0EAE"/>
    <w:rsid w:val="003E1486"/>
    <w:rsid w:val="003E182F"/>
    <w:rsid w:val="003E223F"/>
    <w:rsid w:val="003E3100"/>
    <w:rsid w:val="003E329C"/>
    <w:rsid w:val="003E33CC"/>
    <w:rsid w:val="003E35EB"/>
    <w:rsid w:val="003E3742"/>
    <w:rsid w:val="003E376A"/>
    <w:rsid w:val="003E498C"/>
    <w:rsid w:val="003E4A1D"/>
    <w:rsid w:val="003E4A2F"/>
    <w:rsid w:val="003E5152"/>
    <w:rsid w:val="003E543B"/>
    <w:rsid w:val="003E581B"/>
    <w:rsid w:val="003E6A09"/>
    <w:rsid w:val="003E6A75"/>
    <w:rsid w:val="003E7339"/>
    <w:rsid w:val="003E7823"/>
    <w:rsid w:val="003E7B12"/>
    <w:rsid w:val="003F00E6"/>
    <w:rsid w:val="003F05D1"/>
    <w:rsid w:val="003F05D7"/>
    <w:rsid w:val="003F0CE6"/>
    <w:rsid w:val="003F1313"/>
    <w:rsid w:val="003F1442"/>
    <w:rsid w:val="003F1510"/>
    <w:rsid w:val="003F1903"/>
    <w:rsid w:val="003F1914"/>
    <w:rsid w:val="003F1B00"/>
    <w:rsid w:val="003F2228"/>
    <w:rsid w:val="003F25E9"/>
    <w:rsid w:val="003F309F"/>
    <w:rsid w:val="003F30A0"/>
    <w:rsid w:val="003F366A"/>
    <w:rsid w:val="003F4911"/>
    <w:rsid w:val="003F4E70"/>
    <w:rsid w:val="003F5381"/>
    <w:rsid w:val="003F5CB9"/>
    <w:rsid w:val="003F6171"/>
    <w:rsid w:val="003F6DA9"/>
    <w:rsid w:val="003F772A"/>
    <w:rsid w:val="003F7873"/>
    <w:rsid w:val="004002F6"/>
    <w:rsid w:val="004003CD"/>
    <w:rsid w:val="0040053F"/>
    <w:rsid w:val="0040073E"/>
    <w:rsid w:val="00400EA4"/>
    <w:rsid w:val="00401465"/>
    <w:rsid w:val="00401536"/>
    <w:rsid w:val="0040198C"/>
    <w:rsid w:val="00402545"/>
    <w:rsid w:val="00402663"/>
    <w:rsid w:val="00402B8D"/>
    <w:rsid w:val="00402DA8"/>
    <w:rsid w:val="004030FD"/>
    <w:rsid w:val="0040344E"/>
    <w:rsid w:val="00403920"/>
    <w:rsid w:val="004043D0"/>
    <w:rsid w:val="00404690"/>
    <w:rsid w:val="00404D8C"/>
    <w:rsid w:val="00404DAC"/>
    <w:rsid w:val="0040558B"/>
    <w:rsid w:val="0040584D"/>
    <w:rsid w:val="00405936"/>
    <w:rsid w:val="0040595B"/>
    <w:rsid w:val="004059E0"/>
    <w:rsid w:val="00405F77"/>
    <w:rsid w:val="004063C5"/>
    <w:rsid w:val="0040654F"/>
    <w:rsid w:val="00406D8C"/>
    <w:rsid w:val="00407143"/>
    <w:rsid w:val="004074F6"/>
    <w:rsid w:val="0040758F"/>
    <w:rsid w:val="00407696"/>
    <w:rsid w:val="0040772F"/>
    <w:rsid w:val="004077D9"/>
    <w:rsid w:val="004077EB"/>
    <w:rsid w:val="00407E1E"/>
    <w:rsid w:val="00407E90"/>
    <w:rsid w:val="00407EFF"/>
    <w:rsid w:val="00410161"/>
    <w:rsid w:val="00410563"/>
    <w:rsid w:val="00410593"/>
    <w:rsid w:val="0041087B"/>
    <w:rsid w:val="00410CA9"/>
    <w:rsid w:val="00410D5D"/>
    <w:rsid w:val="0041118A"/>
    <w:rsid w:val="0041174E"/>
    <w:rsid w:val="00411A22"/>
    <w:rsid w:val="00411B02"/>
    <w:rsid w:val="00412361"/>
    <w:rsid w:val="004124ED"/>
    <w:rsid w:val="004124F0"/>
    <w:rsid w:val="00412D37"/>
    <w:rsid w:val="00413539"/>
    <w:rsid w:val="00413F8B"/>
    <w:rsid w:val="0041409D"/>
    <w:rsid w:val="004143F4"/>
    <w:rsid w:val="0041462C"/>
    <w:rsid w:val="00414C91"/>
    <w:rsid w:val="004160FE"/>
    <w:rsid w:val="004164E3"/>
    <w:rsid w:val="004167F9"/>
    <w:rsid w:val="00416C8A"/>
    <w:rsid w:val="00416CBE"/>
    <w:rsid w:val="0041788D"/>
    <w:rsid w:val="00417E9F"/>
    <w:rsid w:val="00421110"/>
    <w:rsid w:val="00421343"/>
    <w:rsid w:val="0042153F"/>
    <w:rsid w:val="00421AB8"/>
    <w:rsid w:val="00421C2A"/>
    <w:rsid w:val="004224B2"/>
    <w:rsid w:val="004229A4"/>
    <w:rsid w:val="004229F1"/>
    <w:rsid w:val="00422B86"/>
    <w:rsid w:val="00422DEE"/>
    <w:rsid w:val="004235B2"/>
    <w:rsid w:val="00423ACB"/>
    <w:rsid w:val="00423FAA"/>
    <w:rsid w:val="00423FBC"/>
    <w:rsid w:val="00424136"/>
    <w:rsid w:val="004242C8"/>
    <w:rsid w:val="004243DC"/>
    <w:rsid w:val="004245E6"/>
    <w:rsid w:val="0042479D"/>
    <w:rsid w:val="004248FE"/>
    <w:rsid w:val="00424C09"/>
    <w:rsid w:val="00424EA8"/>
    <w:rsid w:val="004251D0"/>
    <w:rsid w:val="00425334"/>
    <w:rsid w:val="004259E4"/>
    <w:rsid w:val="0042658F"/>
    <w:rsid w:val="004267B6"/>
    <w:rsid w:val="0042797D"/>
    <w:rsid w:val="00427F9F"/>
    <w:rsid w:val="004301A0"/>
    <w:rsid w:val="004302F4"/>
    <w:rsid w:val="00430311"/>
    <w:rsid w:val="00430BFD"/>
    <w:rsid w:val="00430F16"/>
    <w:rsid w:val="00431029"/>
    <w:rsid w:val="00431087"/>
    <w:rsid w:val="004310C7"/>
    <w:rsid w:val="00431552"/>
    <w:rsid w:val="00431578"/>
    <w:rsid w:val="004315EE"/>
    <w:rsid w:val="0043172B"/>
    <w:rsid w:val="004318BF"/>
    <w:rsid w:val="00431A85"/>
    <w:rsid w:val="00431B6C"/>
    <w:rsid w:val="00431CC2"/>
    <w:rsid w:val="0043262A"/>
    <w:rsid w:val="004326C5"/>
    <w:rsid w:val="004329B8"/>
    <w:rsid w:val="00432C2B"/>
    <w:rsid w:val="00433793"/>
    <w:rsid w:val="00433F35"/>
    <w:rsid w:val="0043452B"/>
    <w:rsid w:val="00434563"/>
    <w:rsid w:val="00434E1D"/>
    <w:rsid w:val="00434E8D"/>
    <w:rsid w:val="00434F60"/>
    <w:rsid w:val="00435271"/>
    <w:rsid w:val="00435329"/>
    <w:rsid w:val="00435AE2"/>
    <w:rsid w:val="004360F8"/>
    <w:rsid w:val="00436305"/>
    <w:rsid w:val="004363A0"/>
    <w:rsid w:val="0043642B"/>
    <w:rsid w:val="00436599"/>
    <w:rsid w:val="0043778E"/>
    <w:rsid w:val="0043788D"/>
    <w:rsid w:val="00437A9A"/>
    <w:rsid w:val="00437DBC"/>
    <w:rsid w:val="00437E18"/>
    <w:rsid w:val="00437EB1"/>
    <w:rsid w:val="004401BD"/>
    <w:rsid w:val="00440885"/>
    <w:rsid w:val="004419B4"/>
    <w:rsid w:val="004419F3"/>
    <w:rsid w:val="00442C5E"/>
    <w:rsid w:val="00442CC8"/>
    <w:rsid w:val="00442D44"/>
    <w:rsid w:val="00442D47"/>
    <w:rsid w:val="004435B2"/>
    <w:rsid w:val="0044362D"/>
    <w:rsid w:val="00443C4E"/>
    <w:rsid w:val="00444185"/>
    <w:rsid w:val="00444710"/>
    <w:rsid w:val="00444C3D"/>
    <w:rsid w:val="00444F3E"/>
    <w:rsid w:val="0044513B"/>
    <w:rsid w:val="004451E8"/>
    <w:rsid w:val="00445221"/>
    <w:rsid w:val="004454E0"/>
    <w:rsid w:val="004457B8"/>
    <w:rsid w:val="004462E6"/>
    <w:rsid w:val="004463F1"/>
    <w:rsid w:val="00447FC5"/>
    <w:rsid w:val="00450524"/>
    <w:rsid w:val="0045159A"/>
    <w:rsid w:val="0045163D"/>
    <w:rsid w:val="004517C3"/>
    <w:rsid w:val="00452A0A"/>
    <w:rsid w:val="00453B15"/>
    <w:rsid w:val="00453EBB"/>
    <w:rsid w:val="004542D3"/>
    <w:rsid w:val="00454980"/>
    <w:rsid w:val="00454B03"/>
    <w:rsid w:val="00454E40"/>
    <w:rsid w:val="004552FC"/>
    <w:rsid w:val="004556A8"/>
    <w:rsid w:val="0045585B"/>
    <w:rsid w:val="00455A74"/>
    <w:rsid w:val="00455AC9"/>
    <w:rsid w:val="00455BD1"/>
    <w:rsid w:val="00456037"/>
    <w:rsid w:val="004565FD"/>
    <w:rsid w:val="0045709D"/>
    <w:rsid w:val="004577C7"/>
    <w:rsid w:val="00457EA9"/>
    <w:rsid w:val="00460207"/>
    <w:rsid w:val="004602FB"/>
    <w:rsid w:val="004606CB"/>
    <w:rsid w:val="00460EDE"/>
    <w:rsid w:val="00460F16"/>
    <w:rsid w:val="004613FA"/>
    <w:rsid w:val="004616A5"/>
    <w:rsid w:val="00461A62"/>
    <w:rsid w:val="00461A8B"/>
    <w:rsid w:val="00461B0F"/>
    <w:rsid w:val="004620D6"/>
    <w:rsid w:val="00462171"/>
    <w:rsid w:val="00462E53"/>
    <w:rsid w:val="0046331C"/>
    <w:rsid w:val="00463A45"/>
    <w:rsid w:val="00464371"/>
    <w:rsid w:val="00464BB7"/>
    <w:rsid w:val="004655C6"/>
    <w:rsid w:val="00465709"/>
    <w:rsid w:val="004659D8"/>
    <w:rsid w:val="00466201"/>
    <w:rsid w:val="00466D12"/>
    <w:rsid w:val="00466D29"/>
    <w:rsid w:val="00466F9E"/>
    <w:rsid w:val="00466FBF"/>
    <w:rsid w:val="00467DD1"/>
    <w:rsid w:val="00470165"/>
    <w:rsid w:val="00470792"/>
    <w:rsid w:val="00470870"/>
    <w:rsid w:val="00470B01"/>
    <w:rsid w:val="00470B7C"/>
    <w:rsid w:val="00471567"/>
    <w:rsid w:val="0047283C"/>
    <w:rsid w:val="004731C2"/>
    <w:rsid w:val="00473D3B"/>
    <w:rsid w:val="004743C7"/>
    <w:rsid w:val="004743F9"/>
    <w:rsid w:val="004747E1"/>
    <w:rsid w:val="00474A37"/>
    <w:rsid w:val="00474D29"/>
    <w:rsid w:val="004750A2"/>
    <w:rsid w:val="004751BC"/>
    <w:rsid w:val="00475A95"/>
    <w:rsid w:val="00475FB2"/>
    <w:rsid w:val="004766D0"/>
    <w:rsid w:val="004768A5"/>
    <w:rsid w:val="00477316"/>
    <w:rsid w:val="00477416"/>
    <w:rsid w:val="00477DB7"/>
    <w:rsid w:val="00477E3D"/>
    <w:rsid w:val="00480078"/>
    <w:rsid w:val="004803CA"/>
    <w:rsid w:val="004803D4"/>
    <w:rsid w:val="00480CA6"/>
    <w:rsid w:val="00480DBD"/>
    <w:rsid w:val="00481760"/>
    <w:rsid w:val="00481842"/>
    <w:rsid w:val="00481899"/>
    <w:rsid w:val="00481B68"/>
    <w:rsid w:val="00482530"/>
    <w:rsid w:val="004826D9"/>
    <w:rsid w:val="00482BAC"/>
    <w:rsid w:val="0048313F"/>
    <w:rsid w:val="004832F1"/>
    <w:rsid w:val="00483372"/>
    <w:rsid w:val="00483752"/>
    <w:rsid w:val="00483D07"/>
    <w:rsid w:val="00484345"/>
    <w:rsid w:val="004845F2"/>
    <w:rsid w:val="004849AD"/>
    <w:rsid w:val="00484C2A"/>
    <w:rsid w:val="00484D42"/>
    <w:rsid w:val="00484DDB"/>
    <w:rsid w:val="004852D1"/>
    <w:rsid w:val="0048530E"/>
    <w:rsid w:val="00485805"/>
    <w:rsid w:val="004865CA"/>
    <w:rsid w:val="004865D4"/>
    <w:rsid w:val="00487098"/>
    <w:rsid w:val="0048775C"/>
    <w:rsid w:val="00487985"/>
    <w:rsid w:val="004879FC"/>
    <w:rsid w:val="00490397"/>
    <w:rsid w:val="00490D79"/>
    <w:rsid w:val="004916E8"/>
    <w:rsid w:val="00491864"/>
    <w:rsid w:val="0049192A"/>
    <w:rsid w:val="00491A21"/>
    <w:rsid w:val="00491B9F"/>
    <w:rsid w:val="00492526"/>
    <w:rsid w:val="0049252C"/>
    <w:rsid w:val="00492CBF"/>
    <w:rsid w:val="00493151"/>
    <w:rsid w:val="004931FC"/>
    <w:rsid w:val="004936A0"/>
    <w:rsid w:val="004938BB"/>
    <w:rsid w:val="00494A6D"/>
    <w:rsid w:val="00494AD3"/>
    <w:rsid w:val="00494C19"/>
    <w:rsid w:val="0049519A"/>
    <w:rsid w:val="0049567E"/>
    <w:rsid w:val="00495B92"/>
    <w:rsid w:val="004960A0"/>
    <w:rsid w:val="00496106"/>
    <w:rsid w:val="004A03E8"/>
    <w:rsid w:val="004A045A"/>
    <w:rsid w:val="004A0B9D"/>
    <w:rsid w:val="004A0EC4"/>
    <w:rsid w:val="004A222F"/>
    <w:rsid w:val="004A233F"/>
    <w:rsid w:val="004A2421"/>
    <w:rsid w:val="004A2480"/>
    <w:rsid w:val="004A2528"/>
    <w:rsid w:val="004A254C"/>
    <w:rsid w:val="004A258F"/>
    <w:rsid w:val="004A28FB"/>
    <w:rsid w:val="004A2BE5"/>
    <w:rsid w:val="004A2DCA"/>
    <w:rsid w:val="004A2FF8"/>
    <w:rsid w:val="004A3842"/>
    <w:rsid w:val="004A40FD"/>
    <w:rsid w:val="004A4FB4"/>
    <w:rsid w:val="004A52FA"/>
    <w:rsid w:val="004A5A8A"/>
    <w:rsid w:val="004A5F6F"/>
    <w:rsid w:val="004A6379"/>
    <w:rsid w:val="004A6A8C"/>
    <w:rsid w:val="004A6EFB"/>
    <w:rsid w:val="004A71A1"/>
    <w:rsid w:val="004A75DD"/>
    <w:rsid w:val="004A7A99"/>
    <w:rsid w:val="004B019B"/>
    <w:rsid w:val="004B149C"/>
    <w:rsid w:val="004B1520"/>
    <w:rsid w:val="004B203F"/>
    <w:rsid w:val="004B25A7"/>
    <w:rsid w:val="004B2A9B"/>
    <w:rsid w:val="004B2CD3"/>
    <w:rsid w:val="004B3868"/>
    <w:rsid w:val="004B3AB7"/>
    <w:rsid w:val="004B3F19"/>
    <w:rsid w:val="004B3F6A"/>
    <w:rsid w:val="004B3FA7"/>
    <w:rsid w:val="004B44C6"/>
    <w:rsid w:val="004B4C32"/>
    <w:rsid w:val="004B5372"/>
    <w:rsid w:val="004B5D23"/>
    <w:rsid w:val="004B5EE1"/>
    <w:rsid w:val="004B6B72"/>
    <w:rsid w:val="004B6F55"/>
    <w:rsid w:val="004B7348"/>
    <w:rsid w:val="004B73C7"/>
    <w:rsid w:val="004C0361"/>
    <w:rsid w:val="004C04F8"/>
    <w:rsid w:val="004C07B3"/>
    <w:rsid w:val="004C0C16"/>
    <w:rsid w:val="004C1096"/>
    <w:rsid w:val="004C2274"/>
    <w:rsid w:val="004C236F"/>
    <w:rsid w:val="004C2828"/>
    <w:rsid w:val="004C289B"/>
    <w:rsid w:val="004C2FE1"/>
    <w:rsid w:val="004C316C"/>
    <w:rsid w:val="004C3378"/>
    <w:rsid w:val="004C3527"/>
    <w:rsid w:val="004C3825"/>
    <w:rsid w:val="004C5719"/>
    <w:rsid w:val="004C5955"/>
    <w:rsid w:val="004C5D83"/>
    <w:rsid w:val="004C7304"/>
    <w:rsid w:val="004C73DD"/>
    <w:rsid w:val="004C73F1"/>
    <w:rsid w:val="004C75D5"/>
    <w:rsid w:val="004C7A46"/>
    <w:rsid w:val="004D01FC"/>
    <w:rsid w:val="004D09B8"/>
    <w:rsid w:val="004D0C0A"/>
    <w:rsid w:val="004D1898"/>
    <w:rsid w:val="004D2445"/>
    <w:rsid w:val="004D3935"/>
    <w:rsid w:val="004D3C82"/>
    <w:rsid w:val="004D4153"/>
    <w:rsid w:val="004D46A9"/>
    <w:rsid w:val="004D4D9C"/>
    <w:rsid w:val="004D4E9C"/>
    <w:rsid w:val="004D5080"/>
    <w:rsid w:val="004D5523"/>
    <w:rsid w:val="004D5CAD"/>
    <w:rsid w:val="004D6AB6"/>
    <w:rsid w:val="004D70FA"/>
    <w:rsid w:val="004D7A6A"/>
    <w:rsid w:val="004D7C64"/>
    <w:rsid w:val="004E0D6E"/>
    <w:rsid w:val="004E0FE3"/>
    <w:rsid w:val="004E104C"/>
    <w:rsid w:val="004E1B5E"/>
    <w:rsid w:val="004E1C7B"/>
    <w:rsid w:val="004E25EC"/>
    <w:rsid w:val="004E2EA3"/>
    <w:rsid w:val="004E338C"/>
    <w:rsid w:val="004E35E8"/>
    <w:rsid w:val="004E4274"/>
    <w:rsid w:val="004E4601"/>
    <w:rsid w:val="004E4A14"/>
    <w:rsid w:val="004E4AD2"/>
    <w:rsid w:val="004E538F"/>
    <w:rsid w:val="004E55C6"/>
    <w:rsid w:val="004E5960"/>
    <w:rsid w:val="004E614A"/>
    <w:rsid w:val="004E649A"/>
    <w:rsid w:val="004E6DFE"/>
    <w:rsid w:val="004E6EAB"/>
    <w:rsid w:val="004E6F7C"/>
    <w:rsid w:val="004F0090"/>
    <w:rsid w:val="004F0384"/>
    <w:rsid w:val="004F041A"/>
    <w:rsid w:val="004F06F9"/>
    <w:rsid w:val="004F0BCB"/>
    <w:rsid w:val="004F0C52"/>
    <w:rsid w:val="004F11DC"/>
    <w:rsid w:val="004F1384"/>
    <w:rsid w:val="004F24B6"/>
    <w:rsid w:val="004F294B"/>
    <w:rsid w:val="004F298C"/>
    <w:rsid w:val="004F29C6"/>
    <w:rsid w:val="004F2A2C"/>
    <w:rsid w:val="004F2C0B"/>
    <w:rsid w:val="004F2D4A"/>
    <w:rsid w:val="004F3BA8"/>
    <w:rsid w:val="004F3E03"/>
    <w:rsid w:val="004F4376"/>
    <w:rsid w:val="004F440C"/>
    <w:rsid w:val="004F47A3"/>
    <w:rsid w:val="004F4AD2"/>
    <w:rsid w:val="004F5192"/>
    <w:rsid w:val="004F57FF"/>
    <w:rsid w:val="004F586B"/>
    <w:rsid w:val="004F5A72"/>
    <w:rsid w:val="004F5C04"/>
    <w:rsid w:val="004F62A9"/>
    <w:rsid w:val="004F6713"/>
    <w:rsid w:val="004F68E2"/>
    <w:rsid w:val="004F71C7"/>
    <w:rsid w:val="004F7523"/>
    <w:rsid w:val="004F794A"/>
    <w:rsid w:val="004F7A05"/>
    <w:rsid w:val="00500020"/>
    <w:rsid w:val="005001AE"/>
    <w:rsid w:val="005002AD"/>
    <w:rsid w:val="00500C5F"/>
    <w:rsid w:val="005011A4"/>
    <w:rsid w:val="00501DC0"/>
    <w:rsid w:val="00501FD2"/>
    <w:rsid w:val="00502041"/>
    <w:rsid w:val="0050247B"/>
    <w:rsid w:val="005024DA"/>
    <w:rsid w:val="00502604"/>
    <w:rsid w:val="00502976"/>
    <w:rsid w:val="00502ADD"/>
    <w:rsid w:val="00503081"/>
    <w:rsid w:val="00503299"/>
    <w:rsid w:val="00503653"/>
    <w:rsid w:val="00503C8E"/>
    <w:rsid w:val="00503D26"/>
    <w:rsid w:val="005043AC"/>
    <w:rsid w:val="005044EF"/>
    <w:rsid w:val="00504AB5"/>
    <w:rsid w:val="005050AE"/>
    <w:rsid w:val="005050C8"/>
    <w:rsid w:val="00505251"/>
    <w:rsid w:val="005052C0"/>
    <w:rsid w:val="00505409"/>
    <w:rsid w:val="00505693"/>
    <w:rsid w:val="00505CCF"/>
    <w:rsid w:val="00505D93"/>
    <w:rsid w:val="00505DC7"/>
    <w:rsid w:val="00505EAE"/>
    <w:rsid w:val="005064B5"/>
    <w:rsid w:val="0050799C"/>
    <w:rsid w:val="00507E04"/>
    <w:rsid w:val="005108C7"/>
    <w:rsid w:val="00510C51"/>
    <w:rsid w:val="00510D31"/>
    <w:rsid w:val="00511343"/>
    <w:rsid w:val="00511717"/>
    <w:rsid w:val="00512480"/>
    <w:rsid w:val="00512719"/>
    <w:rsid w:val="00512720"/>
    <w:rsid w:val="00512EBA"/>
    <w:rsid w:val="005133B0"/>
    <w:rsid w:val="00513625"/>
    <w:rsid w:val="00513770"/>
    <w:rsid w:val="00513801"/>
    <w:rsid w:val="00513CC2"/>
    <w:rsid w:val="0051440E"/>
    <w:rsid w:val="00514D96"/>
    <w:rsid w:val="005154A7"/>
    <w:rsid w:val="00515802"/>
    <w:rsid w:val="00515AE6"/>
    <w:rsid w:val="00515E5B"/>
    <w:rsid w:val="005163F9"/>
    <w:rsid w:val="00516EA7"/>
    <w:rsid w:val="00517118"/>
    <w:rsid w:val="00520648"/>
    <w:rsid w:val="00520A1D"/>
    <w:rsid w:val="00521087"/>
    <w:rsid w:val="005213D3"/>
    <w:rsid w:val="005218F6"/>
    <w:rsid w:val="00521AD0"/>
    <w:rsid w:val="00521B2D"/>
    <w:rsid w:val="00521E42"/>
    <w:rsid w:val="00521F94"/>
    <w:rsid w:val="00522139"/>
    <w:rsid w:val="005227B1"/>
    <w:rsid w:val="00522C66"/>
    <w:rsid w:val="00522CB6"/>
    <w:rsid w:val="005233B1"/>
    <w:rsid w:val="005233EB"/>
    <w:rsid w:val="00523500"/>
    <w:rsid w:val="00523DEE"/>
    <w:rsid w:val="00523EE3"/>
    <w:rsid w:val="00523F08"/>
    <w:rsid w:val="00524C48"/>
    <w:rsid w:val="00524DAD"/>
    <w:rsid w:val="00525605"/>
    <w:rsid w:val="00526115"/>
    <w:rsid w:val="005262AA"/>
    <w:rsid w:val="0052653B"/>
    <w:rsid w:val="00526632"/>
    <w:rsid w:val="00526637"/>
    <w:rsid w:val="00526A01"/>
    <w:rsid w:val="00526B07"/>
    <w:rsid w:val="00526C8B"/>
    <w:rsid w:val="005275D2"/>
    <w:rsid w:val="005276E5"/>
    <w:rsid w:val="00530064"/>
    <w:rsid w:val="00530258"/>
    <w:rsid w:val="0053032C"/>
    <w:rsid w:val="00530A93"/>
    <w:rsid w:val="00531246"/>
    <w:rsid w:val="00531CC1"/>
    <w:rsid w:val="005322CF"/>
    <w:rsid w:val="00532809"/>
    <w:rsid w:val="0053286A"/>
    <w:rsid w:val="00532B07"/>
    <w:rsid w:val="00532D16"/>
    <w:rsid w:val="00532F3A"/>
    <w:rsid w:val="00533008"/>
    <w:rsid w:val="0053314D"/>
    <w:rsid w:val="0053326F"/>
    <w:rsid w:val="0053349B"/>
    <w:rsid w:val="0053379A"/>
    <w:rsid w:val="00533BA0"/>
    <w:rsid w:val="00533EFB"/>
    <w:rsid w:val="00535379"/>
    <w:rsid w:val="00535530"/>
    <w:rsid w:val="00535A3A"/>
    <w:rsid w:val="005366B2"/>
    <w:rsid w:val="005368C8"/>
    <w:rsid w:val="005370B6"/>
    <w:rsid w:val="005371E8"/>
    <w:rsid w:val="005378E6"/>
    <w:rsid w:val="00537A29"/>
    <w:rsid w:val="00537CB5"/>
    <w:rsid w:val="00540287"/>
    <w:rsid w:val="005403BF"/>
    <w:rsid w:val="005406C8"/>
    <w:rsid w:val="00540733"/>
    <w:rsid w:val="00540889"/>
    <w:rsid w:val="00540E71"/>
    <w:rsid w:val="00541881"/>
    <w:rsid w:val="005418F0"/>
    <w:rsid w:val="00541A37"/>
    <w:rsid w:val="00541B42"/>
    <w:rsid w:val="00541E9D"/>
    <w:rsid w:val="0054279D"/>
    <w:rsid w:val="00543810"/>
    <w:rsid w:val="005439D5"/>
    <w:rsid w:val="005439D7"/>
    <w:rsid w:val="00543A4E"/>
    <w:rsid w:val="00544344"/>
    <w:rsid w:val="0054444E"/>
    <w:rsid w:val="00544F6F"/>
    <w:rsid w:val="005454AD"/>
    <w:rsid w:val="00546FC3"/>
    <w:rsid w:val="0054771A"/>
    <w:rsid w:val="00547892"/>
    <w:rsid w:val="00547903"/>
    <w:rsid w:val="00547AFC"/>
    <w:rsid w:val="00547C5B"/>
    <w:rsid w:val="005507B4"/>
    <w:rsid w:val="0055089B"/>
    <w:rsid w:val="00550BFD"/>
    <w:rsid w:val="00550E4D"/>
    <w:rsid w:val="0055117F"/>
    <w:rsid w:val="00551479"/>
    <w:rsid w:val="0055148D"/>
    <w:rsid w:val="00552000"/>
    <w:rsid w:val="0055237C"/>
    <w:rsid w:val="005523C8"/>
    <w:rsid w:val="0055240B"/>
    <w:rsid w:val="005524BA"/>
    <w:rsid w:val="00552D8A"/>
    <w:rsid w:val="00553160"/>
    <w:rsid w:val="00553AD7"/>
    <w:rsid w:val="00553B29"/>
    <w:rsid w:val="00553C7E"/>
    <w:rsid w:val="005543D5"/>
    <w:rsid w:val="00554EA2"/>
    <w:rsid w:val="00554F1D"/>
    <w:rsid w:val="0055500F"/>
    <w:rsid w:val="00555994"/>
    <w:rsid w:val="005559A8"/>
    <w:rsid w:val="00555FCA"/>
    <w:rsid w:val="00556B67"/>
    <w:rsid w:val="00557124"/>
    <w:rsid w:val="00557261"/>
    <w:rsid w:val="00557FEA"/>
    <w:rsid w:val="0056126F"/>
    <w:rsid w:val="005615DE"/>
    <w:rsid w:val="00561684"/>
    <w:rsid w:val="0056190E"/>
    <w:rsid w:val="00561E1E"/>
    <w:rsid w:val="00561FA2"/>
    <w:rsid w:val="0056222F"/>
    <w:rsid w:val="00562350"/>
    <w:rsid w:val="00563472"/>
    <w:rsid w:val="0056421E"/>
    <w:rsid w:val="005645C9"/>
    <w:rsid w:val="00564740"/>
    <w:rsid w:val="00565160"/>
    <w:rsid w:val="00565206"/>
    <w:rsid w:val="00565E39"/>
    <w:rsid w:val="005662D9"/>
    <w:rsid w:val="00566A5F"/>
    <w:rsid w:val="00566D46"/>
    <w:rsid w:val="00566F24"/>
    <w:rsid w:val="00566FC8"/>
    <w:rsid w:val="00567108"/>
    <w:rsid w:val="005674A1"/>
    <w:rsid w:val="00567CA2"/>
    <w:rsid w:val="00570001"/>
    <w:rsid w:val="00570C3C"/>
    <w:rsid w:val="00570F13"/>
    <w:rsid w:val="0057126C"/>
    <w:rsid w:val="00571532"/>
    <w:rsid w:val="00571F88"/>
    <w:rsid w:val="005726DC"/>
    <w:rsid w:val="00572705"/>
    <w:rsid w:val="0057280D"/>
    <w:rsid w:val="00572EF7"/>
    <w:rsid w:val="00572F45"/>
    <w:rsid w:val="00573DE8"/>
    <w:rsid w:val="00573FED"/>
    <w:rsid w:val="0057419B"/>
    <w:rsid w:val="0057471F"/>
    <w:rsid w:val="00574C24"/>
    <w:rsid w:val="005750EE"/>
    <w:rsid w:val="0057536C"/>
    <w:rsid w:val="005753DB"/>
    <w:rsid w:val="0057594B"/>
    <w:rsid w:val="00575C4B"/>
    <w:rsid w:val="00576644"/>
    <w:rsid w:val="00576B9F"/>
    <w:rsid w:val="00576FCF"/>
    <w:rsid w:val="00577095"/>
    <w:rsid w:val="005777E6"/>
    <w:rsid w:val="005801D0"/>
    <w:rsid w:val="00580B2F"/>
    <w:rsid w:val="00580D91"/>
    <w:rsid w:val="005813F5"/>
    <w:rsid w:val="0058192F"/>
    <w:rsid w:val="00581EAF"/>
    <w:rsid w:val="00582BD7"/>
    <w:rsid w:val="00582CDC"/>
    <w:rsid w:val="00582F1B"/>
    <w:rsid w:val="00582FFC"/>
    <w:rsid w:val="0058306F"/>
    <w:rsid w:val="00583432"/>
    <w:rsid w:val="005835F1"/>
    <w:rsid w:val="00583654"/>
    <w:rsid w:val="0058370C"/>
    <w:rsid w:val="0058381A"/>
    <w:rsid w:val="00583B44"/>
    <w:rsid w:val="005846BF"/>
    <w:rsid w:val="00584D32"/>
    <w:rsid w:val="00586327"/>
    <w:rsid w:val="00586925"/>
    <w:rsid w:val="00586D96"/>
    <w:rsid w:val="005872D8"/>
    <w:rsid w:val="00587D05"/>
    <w:rsid w:val="0059014F"/>
    <w:rsid w:val="005906A9"/>
    <w:rsid w:val="00591298"/>
    <w:rsid w:val="005918F8"/>
    <w:rsid w:val="00591E75"/>
    <w:rsid w:val="00591F4E"/>
    <w:rsid w:val="00591FFB"/>
    <w:rsid w:val="00592386"/>
    <w:rsid w:val="00592864"/>
    <w:rsid w:val="00592914"/>
    <w:rsid w:val="00592F7F"/>
    <w:rsid w:val="00593924"/>
    <w:rsid w:val="005940BB"/>
    <w:rsid w:val="00594459"/>
    <w:rsid w:val="0059480B"/>
    <w:rsid w:val="00595073"/>
    <w:rsid w:val="00595247"/>
    <w:rsid w:val="00596940"/>
    <w:rsid w:val="00596B6B"/>
    <w:rsid w:val="00596C13"/>
    <w:rsid w:val="00597755"/>
    <w:rsid w:val="00597B92"/>
    <w:rsid w:val="00597C12"/>
    <w:rsid w:val="00597FD3"/>
    <w:rsid w:val="005A067F"/>
    <w:rsid w:val="005A0A2D"/>
    <w:rsid w:val="005A0BA1"/>
    <w:rsid w:val="005A158C"/>
    <w:rsid w:val="005A1789"/>
    <w:rsid w:val="005A1BBB"/>
    <w:rsid w:val="005A1F9E"/>
    <w:rsid w:val="005A232F"/>
    <w:rsid w:val="005A246C"/>
    <w:rsid w:val="005A2506"/>
    <w:rsid w:val="005A2866"/>
    <w:rsid w:val="005A2A65"/>
    <w:rsid w:val="005A2B50"/>
    <w:rsid w:val="005A2BA4"/>
    <w:rsid w:val="005A2F25"/>
    <w:rsid w:val="005A303A"/>
    <w:rsid w:val="005A3474"/>
    <w:rsid w:val="005A49F5"/>
    <w:rsid w:val="005A4CE9"/>
    <w:rsid w:val="005A4E41"/>
    <w:rsid w:val="005A51F9"/>
    <w:rsid w:val="005A5615"/>
    <w:rsid w:val="005A58F1"/>
    <w:rsid w:val="005A5A02"/>
    <w:rsid w:val="005A5B5E"/>
    <w:rsid w:val="005A6664"/>
    <w:rsid w:val="005A6DEA"/>
    <w:rsid w:val="005A7024"/>
    <w:rsid w:val="005A7181"/>
    <w:rsid w:val="005A71AC"/>
    <w:rsid w:val="005A78E5"/>
    <w:rsid w:val="005B003E"/>
    <w:rsid w:val="005B0585"/>
    <w:rsid w:val="005B0690"/>
    <w:rsid w:val="005B077E"/>
    <w:rsid w:val="005B07AF"/>
    <w:rsid w:val="005B0EB2"/>
    <w:rsid w:val="005B1E40"/>
    <w:rsid w:val="005B2AC9"/>
    <w:rsid w:val="005B2B0E"/>
    <w:rsid w:val="005B32CA"/>
    <w:rsid w:val="005B36AB"/>
    <w:rsid w:val="005B3B8B"/>
    <w:rsid w:val="005B3C04"/>
    <w:rsid w:val="005B3EC2"/>
    <w:rsid w:val="005B3FF2"/>
    <w:rsid w:val="005B4A21"/>
    <w:rsid w:val="005B4D9E"/>
    <w:rsid w:val="005B5738"/>
    <w:rsid w:val="005B5EAF"/>
    <w:rsid w:val="005B612C"/>
    <w:rsid w:val="005B6820"/>
    <w:rsid w:val="005B698D"/>
    <w:rsid w:val="005B6AE8"/>
    <w:rsid w:val="005B6E59"/>
    <w:rsid w:val="005B7651"/>
    <w:rsid w:val="005B7F32"/>
    <w:rsid w:val="005B7F7A"/>
    <w:rsid w:val="005C06DB"/>
    <w:rsid w:val="005C089E"/>
    <w:rsid w:val="005C0B4B"/>
    <w:rsid w:val="005C0BD3"/>
    <w:rsid w:val="005C0C5F"/>
    <w:rsid w:val="005C0E8B"/>
    <w:rsid w:val="005C0ECA"/>
    <w:rsid w:val="005C106D"/>
    <w:rsid w:val="005C10A7"/>
    <w:rsid w:val="005C1686"/>
    <w:rsid w:val="005C17A4"/>
    <w:rsid w:val="005C1E89"/>
    <w:rsid w:val="005C1EFA"/>
    <w:rsid w:val="005C2B74"/>
    <w:rsid w:val="005C2C9F"/>
    <w:rsid w:val="005C34C8"/>
    <w:rsid w:val="005C398B"/>
    <w:rsid w:val="005C3D90"/>
    <w:rsid w:val="005C4006"/>
    <w:rsid w:val="005C4068"/>
    <w:rsid w:val="005C44FB"/>
    <w:rsid w:val="005C469B"/>
    <w:rsid w:val="005C4945"/>
    <w:rsid w:val="005C4AB1"/>
    <w:rsid w:val="005C4BC2"/>
    <w:rsid w:val="005C4BF3"/>
    <w:rsid w:val="005C5645"/>
    <w:rsid w:val="005C5F7C"/>
    <w:rsid w:val="005C6415"/>
    <w:rsid w:val="005C6A08"/>
    <w:rsid w:val="005C7469"/>
    <w:rsid w:val="005C74DB"/>
    <w:rsid w:val="005C7DD1"/>
    <w:rsid w:val="005D0AC9"/>
    <w:rsid w:val="005D0C05"/>
    <w:rsid w:val="005D0CD9"/>
    <w:rsid w:val="005D0DCD"/>
    <w:rsid w:val="005D0F2B"/>
    <w:rsid w:val="005D0F93"/>
    <w:rsid w:val="005D1D87"/>
    <w:rsid w:val="005D1DA6"/>
    <w:rsid w:val="005D1EAD"/>
    <w:rsid w:val="005D20DB"/>
    <w:rsid w:val="005D2233"/>
    <w:rsid w:val="005D2975"/>
    <w:rsid w:val="005D2CFE"/>
    <w:rsid w:val="005D3349"/>
    <w:rsid w:val="005D34B5"/>
    <w:rsid w:val="005D371D"/>
    <w:rsid w:val="005D463B"/>
    <w:rsid w:val="005D493A"/>
    <w:rsid w:val="005D4BEF"/>
    <w:rsid w:val="005D4CE3"/>
    <w:rsid w:val="005D5238"/>
    <w:rsid w:val="005D5A9E"/>
    <w:rsid w:val="005D5CBE"/>
    <w:rsid w:val="005D6286"/>
    <w:rsid w:val="005D76BA"/>
    <w:rsid w:val="005D7A92"/>
    <w:rsid w:val="005D7D1A"/>
    <w:rsid w:val="005D7F23"/>
    <w:rsid w:val="005E0875"/>
    <w:rsid w:val="005E098B"/>
    <w:rsid w:val="005E0AE0"/>
    <w:rsid w:val="005E1048"/>
    <w:rsid w:val="005E11C6"/>
    <w:rsid w:val="005E1296"/>
    <w:rsid w:val="005E13F2"/>
    <w:rsid w:val="005E1548"/>
    <w:rsid w:val="005E182A"/>
    <w:rsid w:val="005E1C85"/>
    <w:rsid w:val="005E24C2"/>
    <w:rsid w:val="005E24F5"/>
    <w:rsid w:val="005E3C1A"/>
    <w:rsid w:val="005E3D55"/>
    <w:rsid w:val="005E4018"/>
    <w:rsid w:val="005E406A"/>
    <w:rsid w:val="005E450C"/>
    <w:rsid w:val="005E4798"/>
    <w:rsid w:val="005E52AC"/>
    <w:rsid w:val="005E52B4"/>
    <w:rsid w:val="005E64A7"/>
    <w:rsid w:val="005E65AB"/>
    <w:rsid w:val="005E6960"/>
    <w:rsid w:val="005E6B42"/>
    <w:rsid w:val="005E6D5A"/>
    <w:rsid w:val="005F0665"/>
    <w:rsid w:val="005F0967"/>
    <w:rsid w:val="005F0CB1"/>
    <w:rsid w:val="005F0ED4"/>
    <w:rsid w:val="005F1766"/>
    <w:rsid w:val="005F1FAF"/>
    <w:rsid w:val="005F2987"/>
    <w:rsid w:val="005F3C4F"/>
    <w:rsid w:val="005F493D"/>
    <w:rsid w:val="005F54D5"/>
    <w:rsid w:val="005F5542"/>
    <w:rsid w:val="005F5BDF"/>
    <w:rsid w:val="005F6394"/>
    <w:rsid w:val="005F63F0"/>
    <w:rsid w:val="005F6568"/>
    <w:rsid w:val="005F66CD"/>
    <w:rsid w:val="005F68C3"/>
    <w:rsid w:val="005F68F4"/>
    <w:rsid w:val="005F6A46"/>
    <w:rsid w:val="005F7454"/>
    <w:rsid w:val="005F746C"/>
    <w:rsid w:val="005F75CB"/>
    <w:rsid w:val="005F7C2C"/>
    <w:rsid w:val="005F7D29"/>
    <w:rsid w:val="005F7FED"/>
    <w:rsid w:val="006000B5"/>
    <w:rsid w:val="0060060E"/>
    <w:rsid w:val="00600820"/>
    <w:rsid w:val="006009CA"/>
    <w:rsid w:val="006011CE"/>
    <w:rsid w:val="006012E0"/>
    <w:rsid w:val="006015B0"/>
    <w:rsid w:val="00602021"/>
    <w:rsid w:val="00602208"/>
    <w:rsid w:val="006023CD"/>
    <w:rsid w:val="00602736"/>
    <w:rsid w:val="00602B59"/>
    <w:rsid w:val="00602BDB"/>
    <w:rsid w:val="00602F56"/>
    <w:rsid w:val="0060321B"/>
    <w:rsid w:val="0060381C"/>
    <w:rsid w:val="00603C2C"/>
    <w:rsid w:val="00604857"/>
    <w:rsid w:val="0060488F"/>
    <w:rsid w:val="00605246"/>
    <w:rsid w:val="00605F2A"/>
    <w:rsid w:val="00606021"/>
    <w:rsid w:val="0060641C"/>
    <w:rsid w:val="006070B0"/>
    <w:rsid w:val="00607262"/>
    <w:rsid w:val="0060736F"/>
    <w:rsid w:val="00607ECB"/>
    <w:rsid w:val="00610060"/>
    <w:rsid w:val="0061012A"/>
    <w:rsid w:val="006104D2"/>
    <w:rsid w:val="00610780"/>
    <w:rsid w:val="00610B77"/>
    <w:rsid w:val="00611019"/>
    <w:rsid w:val="00611857"/>
    <w:rsid w:val="00612481"/>
    <w:rsid w:val="00612894"/>
    <w:rsid w:val="006132F4"/>
    <w:rsid w:val="0061344E"/>
    <w:rsid w:val="00613C83"/>
    <w:rsid w:val="00613ED2"/>
    <w:rsid w:val="00614106"/>
    <w:rsid w:val="0061455B"/>
    <w:rsid w:val="00614842"/>
    <w:rsid w:val="00614C4E"/>
    <w:rsid w:val="0061545A"/>
    <w:rsid w:val="006161C4"/>
    <w:rsid w:val="00616B00"/>
    <w:rsid w:val="006172D9"/>
    <w:rsid w:val="00617382"/>
    <w:rsid w:val="00617505"/>
    <w:rsid w:val="00617796"/>
    <w:rsid w:val="00617A23"/>
    <w:rsid w:val="006209E5"/>
    <w:rsid w:val="00621583"/>
    <w:rsid w:val="0062191D"/>
    <w:rsid w:val="006224B6"/>
    <w:rsid w:val="00622F75"/>
    <w:rsid w:val="006238ED"/>
    <w:rsid w:val="00623BCA"/>
    <w:rsid w:val="00623EAF"/>
    <w:rsid w:val="00623F88"/>
    <w:rsid w:val="006245BF"/>
    <w:rsid w:val="00624D5F"/>
    <w:rsid w:val="00624D99"/>
    <w:rsid w:val="00624E33"/>
    <w:rsid w:val="006251C7"/>
    <w:rsid w:val="006253E7"/>
    <w:rsid w:val="00625C9C"/>
    <w:rsid w:val="00626354"/>
    <w:rsid w:val="006267A3"/>
    <w:rsid w:val="006279BA"/>
    <w:rsid w:val="006301F4"/>
    <w:rsid w:val="0063026C"/>
    <w:rsid w:val="0063062F"/>
    <w:rsid w:val="006310B4"/>
    <w:rsid w:val="00631756"/>
    <w:rsid w:val="00632560"/>
    <w:rsid w:val="00632AC8"/>
    <w:rsid w:val="00632C9C"/>
    <w:rsid w:val="00633936"/>
    <w:rsid w:val="00633C23"/>
    <w:rsid w:val="006342FB"/>
    <w:rsid w:val="00634470"/>
    <w:rsid w:val="00634703"/>
    <w:rsid w:val="006349D3"/>
    <w:rsid w:val="00634A56"/>
    <w:rsid w:val="00634B16"/>
    <w:rsid w:val="00634DA1"/>
    <w:rsid w:val="00634F8E"/>
    <w:rsid w:val="00634FD2"/>
    <w:rsid w:val="00635499"/>
    <w:rsid w:val="00635C26"/>
    <w:rsid w:val="006364FE"/>
    <w:rsid w:val="0063670B"/>
    <w:rsid w:val="00636B5A"/>
    <w:rsid w:val="006374B9"/>
    <w:rsid w:val="00637C8E"/>
    <w:rsid w:val="00637EFC"/>
    <w:rsid w:val="0064081A"/>
    <w:rsid w:val="0064139C"/>
    <w:rsid w:val="00641B57"/>
    <w:rsid w:val="00642A08"/>
    <w:rsid w:val="00642F93"/>
    <w:rsid w:val="0064395B"/>
    <w:rsid w:val="00643ACA"/>
    <w:rsid w:val="00643C5A"/>
    <w:rsid w:val="00643D1C"/>
    <w:rsid w:val="0064438D"/>
    <w:rsid w:val="006443C1"/>
    <w:rsid w:val="006450FA"/>
    <w:rsid w:val="006457C7"/>
    <w:rsid w:val="00645F9F"/>
    <w:rsid w:val="00645FAC"/>
    <w:rsid w:val="00646397"/>
    <w:rsid w:val="006463DE"/>
    <w:rsid w:val="00647461"/>
    <w:rsid w:val="00647EB4"/>
    <w:rsid w:val="00647EC9"/>
    <w:rsid w:val="0065035A"/>
    <w:rsid w:val="00650639"/>
    <w:rsid w:val="006507FB"/>
    <w:rsid w:val="00650E04"/>
    <w:rsid w:val="006510F0"/>
    <w:rsid w:val="0065126D"/>
    <w:rsid w:val="0065166A"/>
    <w:rsid w:val="00651F44"/>
    <w:rsid w:val="006521D5"/>
    <w:rsid w:val="006524D2"/>
    <w:rsid w:val="00652A83"/>
    <w:rsid w:val="00652F45"/>
    <w:rsid w:val="006531B7"/>
    <w:rsid w:val="00653471"/>
    <w:rsid w:val="00653B91"/>
    <w:rsid w:val="00654561"/>
    <w:rsid w:val="0065472C"/>
    <w:rsid w:val="00654C47"/>
    <w:rsid w:val="00655535"/>
    <w:rsid w:val="006558F0"/>
    <w:rsid w:val="00655A55"/>
    <w:rsid w:val="0065607F"/>
    <w:rsid w:val="006562B4"/>
    <w:rsid w:val="006563FE"/>
    <w:rsid w:val="00656770"/>
    <w:rsid w:val="00656AE7"/>
    <w:rsid w:val="006573F2"/>
    <w:rsid w:val="00657791"/>
    <w:rsid w:val="0065781B"/>
    <w:rsid w:val="00657F17"/>
    <w:rsid w:val="0066001E"/>
    <w:rsid w:val="006605AC"/>
    <w:rsid w:val="006612F1"/>
    <w:rsid w:val="006614B2"/>
    <w:rsid w:val="00661778"/>
    <w:rsid w:val="00661DF7"/>
    <w:rsid w:val="006622D1"/>
    <w:rsid w:val="0066269A"/>
    <w:rsid w:val="00662F30"/>
    <w:rsid w:val="00663A1B"/>
    <w:rsid w:val="00664BBC"/>
    <w:rsid w:val="006650B4"/>
    <w:rsid w:val="0066519B"/>
    <w:rsid w:val="00665464"/>
    <w:rsid w:val="006658B3"/>
    <w:rsid w:val="00665C70"/>
    <w:rsid w:val="00666359"/>
    <w:rsid w:val="00666A3B"/>
    <w:rsid w:val="00666AFF"/>
    <w:rsid w:val="006708F4"/>
    <w:rsid w:val="006708F5"/>
    <w:rsid w:val="00670EE5"/>
    <w:rsid w:val="0067168E"/>
    <w:rsid w:val="0067174B"/>
    <w:rsid w:val="0067188F"/>
    <w:rsid w:val="00671A49"/>
    <w:rsid w:val="00671AB3"/>
    <w:rsid w:val="00671E06"/>
    <w:rsid w:val="006723EC"/>
    <w:rsid w:val="00672475"/>
    <w:rsid w:val="006725D7"/>
    <w:rsid w:val="00672F29"/>
    <w:rsid w:val="0067448A"/>
    <w:rsid w:val="00674932"/>
    <w:rsid w:val="00674EF7"/>
    <w:rsid w:val="00675A2D"/>
    <w:rsid w:val="0067607E"/>
    <w:rsid w:val="0067610C"/>
    <w:rsid w:val="00676A04"/>
    <w:rsid w:val="00676F5E"/>
    <w:rsid w:val="006770D7"/>
    <w:rsid w:val="0067732D"/>
    <w:rsid w:val="00677FB6"/>
    <w:rsid w:val="006809F4"/>
    <w:rsid w:val="006809FC"/>
    <w:rsid w:val="006812B3"/>
    <w:rsid w:val="00681319"/>
    <w:rsid w:val="006816FB"/>
    <w:rsid w:val="006819A8"/>
    <w:rsid w:val="00682180"/>
    <w:rsid w:val="00684153"/>
    <w:rsid w:val="0068446D"/>
    <w:rsid w:val="006845EF"/>
    <w:rsid w:val="00684B5A"/>
    <w:rsid w:val="00684C2E"/>
    <w:rsid w:val="00684CB7"/>
    <w:rsid w:val="0068569A"/>
    <w:rsid w:val="00685890"/>
    <w:rsid w:val="00685947"/>
    <w:rsid w:val="00685B07"/>
    <w:rsid w:val="00686415"/>
    <w:rsid w:val="0068661F"/>
    <w:rsid w:val="00686755"/>
    <w:rsid w:val="00686B19"/>
    <w:rsid w:val="00686EB5"/>
    <w:rsid w:val="00687764"/>
    <w:rsid w:val="0068777A"/>
    <w:rsid w:val="00687E74"/>
    <w:rsid w:val="006902F5"/>
    <w:rsid w:val="006904D5"/>
    <w:rsid w:val="0069085C"/>
    <w:rsid w:val="00690BED"/>
    <w:rsid w:val="00691256"/>
    <w:rsid w:val="00691755"/>
    <w:rsid w:val="00691C86"/>
    <w:rsid w:val="00691CB0"/>
    <w:rsid w:val="00691EA1"/>
    <w:rsid w:val="00692162"/>
    <w:rsid w:val="006922F6"/>
    <w:rsid w:val="006939B7"/>
    <w:rsid w:val="00693A1F"/>
    <w:rsid w:val="00693D65"/>
    <w:rsid w:val="00693E61"/>
    <w:rsid w:val="0069454B"/>
    <w:rsid w:val="00694F2C"/>
    <w:rsid w:val="006952FF"/>
    <w:rsid w:val="00695D4E"/>
    <w:rsid w:val="006960B1"/>
    <w:rsid w:val="006961F4"/>
    <w:rsid w:val="0069768C"/>
    <w:rsid w:val="006A00F7"/>
    <w:rsid w:val="006A107A"/>
    <w:rsid w:val="006A1C63"/>
    <w:rsid w:val="006A20AC"/>
    <w:rsid w:val="006A2436"/>
    <w:rsid w:val="006A3300"/>
    <w:rsid w:val="006A33CC"/>
    <w:rsid w:val="006A34F3"/>
    <w:rsid w:val="006A358A"/>
    <w:rsid w:val="006A385E"/>
    <w:rsid w:val="006A3BE0"/>
    <w:rsid w:val="006A3EA9"/>
    <w:rsid w:val="006A3FBC"/>
    <w:rsid w:val="006A44C0"/>
    <w:rsid w:val="006A458E"/>
    <w:rsid w:val="006A49F9"/>
    <w:rsid w:val="006A4E50"/>
    <w:rsid w:val="006A50E6"/>
    <w:rsid w:val="006A532A"/>
    <w:rsid w:val="006A5EC0"/>
    <w:rsid w:val="006A5FAF"/>
    <w:rsid w:val="006A6997"/>
    <w:rsid w:val="006A6A91"/>
    <w:rsid w:val="006A70DB"/>
    <w:rsid w:val="006A76EF"/>
    <w:rsid w:val="006B01DD"/>
    <w:rsid w:val="006B0339"/>
    <w:rsid w:val="006B03C3"/>
    <w:rsid w:val="006B07E8"/>
    <w:rsid w:val="006B0918"/>
    <w:rsid w:val="006B0A2A"/>
    <w:rsid w:val="006B0A3B"/>
    <w:rsid w:val="006B0E4C"/>
    <w:rsid w:val="006B1815"/>
    <w:rsid w:val="006B1A30"/>
    <w:rsid w:val="006B1BC0"/>
    <w:rsid w:val="006B1CBE"/>
    <w:rsid w:val="006B24E9"/>
    <w:rsid w:val="006B2ABD"/>
    <w:rsid w:val="006B2D49"/>
    <w:rsid w:val="006B3721"/>
    <w:rsid w:val="006B37C3"/>
    <w:rsid w:val="006B439D"/>
    <w:rsid w:val="006B4441"/>
    <w:rsid w:val="006B4479"/>
    <w:rsid w:val="006B452A"/>
    <w:rsid w:val="006B4818"/>
    <w:rsid w:val="006B4823"/>
    <w:rsid w:val="006B5148"/>
    <w:rsid w:val="006B6288"/>
    <w:rsid w:val="006B6330"/>
    <w:rsid w:val="006B6513"/>
    <w:rsid w:val="006B6F11"/>
    <w:rsid w:val="006B7007"/>
    <w:rsid w:val="006B764F"/>
    <w:rsid w:val="006B76E0"/>
    <w:rsid w:val="006B789C"/>
    <w:rsid w:val="006B7D3B"/>
    <w:rsid w:val="006C0021"/>
    <w:rsid w:val="006C02AF"/>
    <w:rsid w:val="006C080D"/>
    <w:rsid w:val="006C0843"/>
    <w:rsid w:val="006C091B"/>
    <w:rsid w:val="006C0989"/>
    <w:rsid w:val="006C1769"/>
    <w:rsid w:val="006C1B04"/>
    <w:rsid w:val="006C1EA8"/>
    <w:rsid w:val="006C29E2"/>
    <w:rsid w:val="006C37E5"/>
    <w:rsid w:val="006C3F6F"/>
    <w:rsid w:val="006C44C4"/>
    <w:rsid w:val="006C4900"/>
    <w:rsid w:val="006C53A2"/>
    <w:rsid w:val="006C5C34"/>
    <w:rsid w:val="006C5F0F"/>
    <w:rsid w:val="006C6650"/>
    <w:rsid w:val="006C66E4"/>
    <w:rsid w:val="006C6C0A"/>
    <w:rsid w:val="006C6D11"/>
    <w:rsid w:val="006C78CB"/>
    <w:rsid w:val="006C78F0"/>
    <w:rsid w:val="006C7C12"/>
    <w:rsid w:val="006C7CBC"/>
    <w:rsid w:val="006D02A8"/>
    <w:rsid w:val="006D04F5"/>
    <w:rsid w:val="006D08BB"/>
    <w:rsid w:val="006D0AEF"/>
    <w:rsid w:val="006D0D61"/>
    <w:rsid w:val="006D0F8D"/>
    <w:rsid w:val="006D13B2"/>
    <w:rsid w:val="006D1C6F"/>
    <w:rsid w:val="006D27D8"/>
    <w:rsid w:val="006D4074"/>
    <w:rsid w:val="006D4289"/>
    <w:rsid w:val="006D4399"/>
    <w:rsid w:val="006D4C1A"/>
    <w:rsid w:val="006D53B2"/>
    <w:rsid w:val="006D5735"/>
    <w:rsid w:val="006D5D0E"/>
    <w:rsid w:val="006D614B"/>
    <w:rsid w:val="006D7133"/>
    <w:rsid w:val="006D7D8E"/>
    <w:rsid w:val="006D7FC7"/>
    <w:rsid w:val="006E01B6"/>
    <w:rsid w:val="006E0F6E"/>
    <w:rsid w:val="006E182C"/>
    <w:rsid w:val="006E2022"/>
    <w:rsid w:val="006E2181"/>
    <w:rsid w:val="006E2384"/>
    <w:rsid w:val="006E23F2"/>
    <w:rsid w:val="006E311C"/>
    <w:rsid w:val="006E35BA"/>
    <w:rsid w:val="006E38D0"/>
    <w:rsid w:val="006E4418"/>
    <w:rsid w:val="006E44BD"/>
    <w:rsid w:val="006E49D5"/>
    <w:rsid w:val="006E4F34"/>
    <w:rsid w:val="006E5231"/>
    <w:rsid w:val="006E5F05"/>
    <w:rsid w:val="006E5FFA"/>
    <w:rsid w:val="006E6925"/>
    <w:rsid w:val="006E726E"/>
    <w:rsid w:val="006E7768"/>
    <w:rsid w:val="006F0DB2"/>
    <w:rsid w:val="006F0DD8"/>
    <w:rsid w:val="006F0DE6"/>
    <w:rsid w:val="006F10C6"/>
    <w:rsid w:val="006F1290"/>
    <w:rsid w:val="006F1D34"/>
    <w:rsid w:val="006F1DD9"/>
    <w:rsid w:val="006F1F79"/>
    <w:rsid w:val="006F20CD"/>
    <w:rsid w:val="006F2233"/>
    <w:rsid w:val="006F2288"/>
    <w:rsid w:val="006F264D"/>
    <w:rsid w:val="006F27E1"/>
    <w:rsid w:val="006F29E1"/>
    <w:rsid w:val="006F2D0A"/>
    <w:rsid w:val="006F31DE"/>
    <w:rsid w:val="006F34B4"/>
    <w:rsid w:val="006F3640"/>
    <w:rsid w:val="006F416A"/>
    <w:rsid w:val="006F4487"/>
    <w:rsid w:val="006F463D"/>
    <w:rsid w:val="006F52FF"/>
    <w:rsid w:val="006F5541"/>
    <w:rsid w:val="006F57F3"/>
    <w:rsid w:val="006F58A6"/>
    <w:rsid w:val="006F597A"/>
    <w:rsid w:val="006F6382"/>
    <w:rsid w:val="006F7FF1"/>
    <w:rsid w:val="007001DE"/>
    <w:rsid w:val="00700518"/>
    <w:rsid w:val="00700820"/>
    <w:rsid w:val="0070159E"/>
    <w:rsid w:val="00701C26"/>
    <w:rsid w:val="00701C54"/>
    <w:rsid w:val="0070227A"/>
    <w:rsid w:val="00702498"/>
    <w:rsid w:val="00702517"/>
    <w:rsid w:val="0070261F"/>
    <w:rsid w:val="00702EDC"/>
    <w:rsid w:val="007034C4"/>
    <w:rsid w:val="00703843"/>
    <w:rsid w:val="00703947"/>
    <w:rsid w:val="007039B2"/>
    <w:rsid w:val="00703ACF"/>
    <w:rsid w:val="00703DB9"/>
    <w:rsid w:val="00703FFC"/>
    <w:rsid w:val="00704827"/>
    <w:rsid w:val="007048D0"/>
    <w:rsid w:val="00705402"/>
    <w:rsid w:val="00705625"/>
    <w:rsid w:val="00706385"/>
    <w:rsid w:val="007069C7"/>
    <w:rsid w:val="0070721B"/>
    <w:rsid w:val="007073F2"/>
    <w:rsid w:val="00707522"/>
    <w:rsid w:val="00707DFC"/>
    <w:rsid w:val="007100AF"/>
    <w:rsid w:val="00710D65"/>
    <w:rsid w:val="00710E65"/>
    <w:rsid w:val="0071144D"/>
    <w:rsid w:val="007117A8"/>
    <w:rsid w:val="00711BEA"/>
    <w:rsid w:val="00711C88"/>
    <w:rsid w:val="00712EAF"/>
    <w:rsid w:val="00712F7A"/>
    <w:rsid w:val="007132C3"/>
    <w:rsid w:val="00713CE5"/>
    <w:rsid w:val="0071416F"/>
    <w:rsid w:val="00714344"/>
    <w:rsid w:val="007145E4"/>
    <w:rsid w:val="00715C11"/>
    <w:rsid w:val="00715C6E"/>
    <w:rsid w:val="00715FBE"/>
    <w:rsid w:val="007160F1"/>
    <w:rsid w:val="007162A7"/>
    <w:rsid w:val="007168AF"/>
    <w:rsid w:val="007169AA"/>
    <w:rsid w:val="007174CA"/>
    <w:rsid w:val="007175D2"/>
    <w:rsid w:val="0072013B"/>
    <w:rsid w:val="00720F76"/>
    <w:rsid w:val="00722113"/>
    <w:rsid w:val="00722755"/>
    <w:rsid w:val="00722B7B"/>
    <w:rsid w:val="00723AA8"/>
    <w:rsid w:val="00723CA2"/>
    <w:rsid w:val="0072412E"/>
    <w:rsid w:val="0072492B"/>
    <w:rsid w:val="00724B51"/>
    <w:rsid w:val="007256D6"/>
    <w:rsid w:val="0072572F"/>
    <w:rsid w:val="00725964"/>
    <w:rsid w:val="0072598A"/>
    <w:rsid w:val="00725EF2"/>
    <w:rsid w:val="00725F0B"/>
    <w:rsid w:val="00725F71"/>
    <w:rsid w:val="00726AF9"/>
    <w:rsid w:val="00726B3F"/>
    <w:rsid w:val="00726B40"/>
    <w:rsid w:val="00726D2D"/>
    <w:rsid w:val="00727661"/>
    <w:rsid w:val="00727AC3"/>
    <w:rsid w:val="00727C57"/>
    <w:rsid w:val="00727D43"/>
    <w:rsid w:val="00727DC8"/>
    <w:rsid w:val="0073008B"/>
    <w:rsid w:val="00730810"/>
    <w:rsid w:val="007309D2"/>
    <w:rsid w:val="00731279"/>
    <w:rsid w:val="00731545"/>
    <w:rsid w:val="00731662"/>
    <w:rsid w:val="00731A14"/>
    <w:rsid w:val="00731BED"/>
    <w:rsid w:val="00731C19"/>
    <w:rsid w:val="00731EAC"/>
    <w:rsid w:val="00732276"/>
    <w:rsid w:val="00732A14"/>
    <w:rsid w:val="00732C86"/>
    <w:rsid w:val="0073326F"/>
    <w:rsid w:val="007335E9"/>
    <w:rsid w:val="0073473B"/>
    <w:rsid w:val="00734AC4"/>
    <w:rsid w:val="00734CDA"/>
    <w:rsid w:val="007355B4"/>
    <w:rsid w:val="007357CF"/>
    <w:rsid w:val="00735F27"/>
    <w:rsid w:val="00736314"/>
    <w:rsid w:val="00736928"/>
    <w:rsid w:val="00736D41"/>
    <w:rsid w:val="00736DEB"/>
    <w:rsid w:val="00736E59"/>
    <w:rsid w:val="00737F47"/>
    <w:rsid w:val="00737F69"/>
    <w:rsid w:val="007405D4"/>
    <w:rsid w:val="00740BEB"/>
    <w:rsid w:val="00740FBD"/>
    <w:rsid w:val="0074147F"/>
    <w:rsid w:val="00741EAD"/>
    <w:rsid w:val="00742B49"/>
    <w:rsid w:val="00743CC0"/>
    <w:rsid w:val="00743CD0"/>
    <w:rsid w:val="0074408E"/>
    <w:rsid w:val="007441C9"/>
    <w:rsid w:val="00744C70"/>
    <w:rsid w:val="00744D35"/>
    <w:rsid w:val="00744D44"/>
    <w:rsid w:val="00745105"/>
    <w:rsid w:val="00745932"/>
    <w:rsid w:val="00745A9D"/>
    <w:rsid w:val="0074693B"/>
    <w:rsid w:val="00746EB9"/>
    <w:rsid w:val="00747147"/>
    <w:rsid w:val="00747895"/>
    <w:rsid w:val="00750A22"/>
    <w:rsid w:val="00750DAB"/>
    <w:rsid w:val="0075172C"/>
    <w:rsid w:val="007518CB"/>
    <w:rsid w:val="00751B00"/>
    <w:rsid w:val="00752167"/>
    <w:rsid w:val="007522A9"/>
    <w:rsid w:val="0075245C"/>
    <w:rsid w:val="007527A7"/>
    <w:rsid w:val="0075352F"/>
    <w:rsid w:val="00753C6C"/>
    <w:rsid w:val="0075480E"/>
    <w:rsid w:val="00754A20"/>
    <w:rsid w:val="00754F96"/>
    <w:rsid w:val="00755884"/>
    <w:rsid w:val="0075594E"/>
    <w:rsid w:val="0075604A"/>
    <w:rsid w:val="007564B9"/>
    <w:rsid w:val="0075682B"/>
    <w:rsid w:val="007570A2"/>
    <w:rsid w:val="00757339"/>
    <w:rsid w:val="0075767E"/>
    <w:rsid w:val="00757925"/>
    <w:rsid w:val="00757C56"/>
    <w:rsid w:val="00760519"/>
    <w:rsid w:val="00760DBC"/>
    <w:rsid w:val="00760F8B"/>
    <w:rsid w:val="0076114A"/>
    <w:rsid w:val="0076146C"/>
    <w:rsid w:val="00761479"/>
    <w:rsid w:val="00761A89"/>
    <w:rsid w:val="00762275"/>
    <w:rsid w:val="0076247A"/>
    <w:rsid w:val="0076248F"/>
    <w:rsid w:val="00763384"/>
    <w:rsid w:val="00763BE9"/>
    <w:rsid w:val="007642C0"/>
    <w:rsid w:val="007645AB"/>
    <w:rsid w:val="00764969"/>
    <w:rsid w:val="0076496F"/>
    <w:rsid w:val="00764A02"/>
    <w:rsid w:val="00765479"/>
    <w:rsid w:val="00765B5A"/>
    <w:rsid w:val="00767472"/>
    <w:rsid w:val="00770250"/>
    <w:rsid w:val="00771904"/>
    <w:rsid w:val="00772410"/>
    <w:rsid w:val="00772DDB"/>
    <w:rsid w:val="007730AA"/>
    <w:rsid w:val="00773BC6"/>
    <w:rsid w:val="00773EA4"/>
    <w:rsid w:val="00773F28"/>
    <w:rsid w:val="007747BB"/>
    <w:rsid w:val="007748CB"/>
    <w:rsid w:val="00775877"/>
    <w:rsid w:val="007758C7"/>
    <w:rsid w:val="00775D2A"/>
    <w:rsid w:val="00775D2E"/>
    <w:rsid w:val="00775F9B"/>
    <w:rsid w:val="00776148"/>
    <w:rsid w:val="00776514"/>
    <w:rsid w:val="00776803"/>
    <w:rsid w:val="007801C1"/>
    <w:rsid w:val="00780817"/>
    <w:rsid w:val="00780EC9"/>
    <w:rsid w:val="007818DD"/>
    <w:rsid w:val="00781C02"/>
    <w:rsid w:val="0078269A"/>
    <w:rsid w:val="00783E62"/>
    <w:rsid w:val="0078408B"/>
    <w:rsid w:val="007840EF"/>
    <w:rsid w:val="00784658"/>
    <w:rsid w:val="0078471C"/>
    <w:rsid w:val="00784768"/>
    <w:rsid w:val="007847B9"/>
    <w:rsid w:val="00784A61"/>
    <w:rsid w:val="00784EB5"/>
    <w:rsid w:val="00785269"/>
    <w:rsid w:val="007855A6"/>
    <w:rsid w:val="0078574E"/>
    <w:rsid w:val="007857A8"/>
    <w:rsid w:val="00785939"/>
    <w:rsid w:val="00785A04"/>
    <w:rsid w:val="00786038"/>
    <w:rsid w:val="007860C0"/>
    <w:rsid w:val="00786982"/>
    <w:rsid w:val="007869A2"/>
    <w:rsid w:val="00786CD9"/>
    <w:rsid w:val="00787016"/>
    <w:rsid w:val="00787E25"/>
    <w:rsid w:val="00787F37"/>
    <w:rsid w:val="0079002E"/>
    <w:rsid w:val="00790407"/>
    <w:rsid w:val="007908C9"/>
    <w:rsid w:val="00790C64"/>
    <w:rsid w:val="00790F88"/>
    <w:rsid w:val="00790FD0"/>
    <w:rsid w:val="0079100D"/>
    <w:rsid w:val="007911CD"/>
    <w:rsid w:val="00791597"/>
    <w:rsid w:val="007915C4"/>
    <w:rsid w:val="0079182C"/>
    <w:rsid w:val="00791A5F"/>
    <w:rsid w:val="0079249B"/>
    <w:rsid w:val="00792658"/>
    <w:rsid w:val="0079293B"/>
    <w:rsid w:val="00792C15"/>
    <w:rsid w:val="00792C2D"/>
    <w:rsid w:val="00792DA5"/>
    <w:rsid w:val="00792E1B"/>
    <w:rsid w:val="00794069"/>
    <w:rsid w:val="00794740"/>
    <w:rsid w:val="00794815"/>
    <w:rsid w:val="00794A31"/>
    <w:rsid w:val="00794EFF"/>
    <w:rsid w:val="007951EE"/>
    <w:rsid w:val="00795928"/>
    <w:rsid w:val="007963AB"/>
    <w:rsid w:val="0079686D"/>
    <w:rsid w:val="007969E1"/>
    <w:rsid w:val="00796C44"/>
    <w:rsid w:val="007977A9"/>
    <w:rsid w:val="00797EBF"/>
    <w:rsid w:val="00797EDE"/>
    <w:rsid w:val="007A0500"/>
    <w:rsid w:val="007A099C"/>
    <w:rsid w:val="007A0BFD"/>
    <w:rsid w:val="007A10B1"/>
    <w:rsid w:val="007A1133"/>
    <w:rsid w:val="007A11D7"/>
    <w:rsid w:val="007A1838"/>
    <w:rsid w:val="007A186C"/>
    <w:rsid w:val="007A1B20"/>
    <w:rsid w:val="007A2579"/>
    <w:rsid w:val="007A26E2"/>
    <w:rsid w:val="007A28D4"/>
    <w:rsid w:val="007A2BF4"/>
    <w:rsid w:val="007A2BF5"/>
    <w:rsid w:val="007A2D47"/>
    <w:rsid w:val="007A3B6A"/>
    <w:rsid w:val="007A4B6B"/>
    <w:rsid w:val="007A4CBE"/>
    <w:rsid w:val="007A529F"/>
    <w:rsid w:val="007A565A"/>
    <w:rsid w:val="007A5753"/>
    <w:rsid w:val="007A5C1B"/>
    <w:rsid w:val="007A5CE5"/>
    <w:rsid w:val="007A6039"/>
    <w:rsid w:val="007A6F97"/>
    <w:rsid w:val="007A6FCA"/>
    <w:rsid w:val="007A744D"/>
    <w:rsid w:val="007A773A"/>
    <w:rsid w:val="007B0846"/>
    <w:rsid w:val="007B0CCA"/>
    <w:rsid w:val="007B1070"/>
    <w:rsid w:val="007B1A78"/>
    <w:rsid w:val="007B20CA"/>
    <w:rsid w:val="007B21F1"/>
    <w:rsid w:val="007B2468"/>
    <w:rsid w:val="007B44CE"/>
    <w:rsid w:val="007B4615"/>
    <w:rsid w:val="007B522D"/>
    <w:rsid w:val="007B5473"/>
    <w:rsid w:val="007B578B"/>
    <w:rsid w:val="007B5B14"/>
    <w:rsid w:val="007B5BDA"/>
    <w:rsid w:val="007B5F18"/>
    <w:rsid w:val="007B6299"/>
    <w:rsid w:val="007B654E"/>
    <w:rsid w:val="007B73B9"/>
    <w:rsid w:val="007B7466"/>
    <w:rsid w:val="007B7608"/>
    <w:rsid w:val="007B79C9"/>
    <w:rsid w:val="007B7B97"/>
    <w:rsid w:val="007B7BCD"/>
    <w:rsid w:val="007C0351"/>
    <w:rsid w:val="007C0356"/>
    <w:rsid w:val="007C03E0"/>
    <w:rsid w:val="007C06FF"/>
    <w:rsid w:val="007C086F"/>
    <w:rsid w:val="007C232F"/>
    <w:rsid w:val="007C260E"/>
    <w:rsid w:val="007C2F42"/>
    <w:rsid w:val="007C301C"/>
    <w:rsid w:val="007C30AA"/>
    <w:rsid w:val="007C35D3"/>
    <w:rsid w:val="007C37D8"/>
    <w:rsid w:val="007C38B7"/>
    <w:rsid w:val="007C3BBB"/>
    <w:rsid w:val="007C3C50"/>
    <w:rsid w:val="007C58A9"/>
    <w:rsid w:val="007C5917"/>
    <w:rsid w:val="007C65AB"/>
    <w:rsid w:val="007C662A"/>
    <w:rsid w:val="007C6CCE"/>
    <w:rsid w:val="007C758D"/>
    <w:rsid w:val="007C7845"/>
    <w:rsid w:val="007C7C93"/>
    <w:rsid w:val="007C7E7A"/>
    <w:rsid w:val="007C7EE5"/>
    <w:rsid w:val="007D0335"/>
    <w:rsid w:val="007D071A"/>
    <w:rsid w:val="007D08FD"/>
    <w:rsid w:val="007D0B58"/>
    <w:rsid w:val="007D143A"/>
    <w:rsid w:val="007D1587"/>
    <w:rsid w:val="007D1674"/>
    <w:rsid w:val="007D1F39"/>
    <w:rsid w:val="007D238D"/>
    <w:rsid w:val="007D25B1"/>
    <w:rsid w:val="007D36A8"/>
    <w:rsid w:val="007D3B55"/>
    <w:rsid w:val="007D3CF2"/>
    <w:rsid w:val="007D4256"/>
    <w:rsid w:val="007D4812"/>
    <w:rsid w:val="007D50D8"/>
    <w:rsid w:val="007D5558"/>
    <w:rsid w:val="007D5B09"/>
    <w:rsid w:val="007D64AB"/>
    <w:rsid w:val="007D65C0"/>
    <w:rsid w:val="007D727F"/>
    <w:rsid w:val="007E02F5"/>
    <w:rsid w:val="007E1048"/>
    <w:rsid w:val="007E105B"/>
    <w:rsid w:val="007E148D"/>
    <w:rsid w:val="007E183E"/>
    <w:rsid w:val="007E190C"/>
    <w:rsid w:val="007E21F6"/>
    <w:rsid w:val="007E265B"/>
    <w:rsid w:val="007E282C"/>
    <w:rsid w:val="007E2DA8"/>
    <w:rsid w:val="007E319D"/>
    <w:rsid w:val="007E39C1"/>
    <w:rsid w:val="007E3DCF"/>
    <w:rsid w:val="007E50AE"/>
    <w:rsid w:val="007E56F4"/>
    <w:rsid w:val="007E5C99"/>
    <w:rsid w:val="007E5D5E"/>
    <w:rsid w:val="007E6007"/>
    <w:rsid w:val="007E61A2"/>
    <w:rsid w:val="007E6303"/>
    <w:rsid w:val="007E66F4"/>
    <w:rsid w:val="007E6F3A"/>
    <w:rsid w:val="007E76C4"/>
    <w:rsid w:val="007E7CE4"/>
    <w:rsid w:val="007F0082"/>
    <w:rsid w:val="007F030F"/>
    <w:rsid w:val="007F0685"/>
    <w:rsid w:val="007F0C09"/>
    <w:rsid w:val="007F1030"/>
    <w:rsid w:val="007F19DE"/>
    <w:rsid w:val="007F1B12"/>
    <w:rsid w:val="007F21CC"/>
    <w:rsid w:val="007F3005"/>
    <w:rsid w:val="007F30EA"/>
    <w:rsid w:val="007F312C"/>
    <w:rsid w:val="007F3850"/>
    <w:rsid w:val="007F4BD8"/>
    <w:rsid w:val="007F5216"/>
    <w:rsid w:val="007F5623"/>
    <w:rsid w:val="007F57A2"/>
    <w:rsid w:val="007F592B"/>
    <w:rsid w:val="007F639B"/>
    <w:rsid w:val="007F673F"/>
    <w:rsid w:val="007F675D"/>
    <w:rsid w:val="007F6909"/>
    <w:rsid w:val="007F6E90"/>
    <w:rsid w:val="007F72BC"/>
    <w:rsid w:val="007F7D06"/>
    <w:rsid w:val="00800B7B"/>
    <w:rsid w:val="0080127B"/>
    <w:rsid w:val="00801283"/>
    <w:rsid w:val="00801295"/>
    <w:rsid w:val="00801373"/>
    <w:rsid w:val="008019BB"/>
    <w:rsid w:val="00801A48"/>
    <w:rsid w:val="00801E54"/>
    <w:rsid w:val="008021DB"/>
    <w:rsid w:val="00802CA2"/>
    <w:rsid w:val="00802E39"/>
    <w:rsid w:val="0080300D"/>
    <w:rsid w:val="0080348E"/>
    <w:rsid w:val="00803657"/>
    <w:rsid w:val="00803D63"/>
    <w:rsid w:val="00803DFF"/>
    <w:rsid w:val="00803F1A"/>
    <w:rsid w:val="00804082"/>
    <w:rsid w:val="00804419"/>
    <w:rsid w:val="008046F2"/>
    <w:rsid w:val="00804C14"/>
    <w:rsid w:val="00804CD6"/>
    <w:rsid w:val="00804FF1"/>
    <w:rsid w:val="0080547E"/>
    <w:rsid w:val="00805C87"/>
    <w:rsid w:val="00805CC8"/>
    <w:rsid w:val="00806624"/>
    <w:rsid w:val="00806C99"/>
    <w:rsid w:val="00806F99"/>
    <w:rsid w:val="00807497"/>
    <w:rsid w:val="00807765"/>
    <w:rsid w:val="008106B8"/>
    <w:rsid w:val="00810B91"/>
    <w:rsid w:val="008112DE"/>
    <w:rsid w:val="00811B39"/>
    <w:rsid w:val="00811C15"/>
    <w:rsid w:val="00811E13"/>
    <w:rsid w:val="0081207A"/>
    <w:rsid w:val="0081270A"/>
    <w:rsid w:val="00812B00"/>
    <w:rsid w:val="00812D3F"/>
    <w:rsid w:val="0081330B"/>
    <w:rsid w:val="008134E5"/>
    <w:rsid w:val="0081387E"/>
    <w:rsid w:val="008145DB"/>
    <w:rsid w:val="008148F6"/>
    <w:rsid w:val="00814CF4"/>
    <w:rsid w:val="008158BE"/>
    <w:rsid w:val="008159E1"/>
    <w:rsid w:val="00815BE9"/>
    <w:rsid w:val="00815C84"/>
    <w:rsid w:val="00816C99"/>
    <w:rsid w:val="00816EAD"/>
    <w:rsid w:val="00817992"/>
    <w:rsid w:val="0082069B"/>
    <w:rsid w:val="0082145F"/>
    <w:rsid w:val="00821707"/>
    <w:rsid w:val="0082195A"/>
    <w:rsid w:val="00821D9D"/>
    <w:rsid w:val="00821E90"/>
    <w:rsid w:val="00822296"/>
    <w:rsid w:val="008224DC"/>
    <w:rsid w:val="00823AAC"/>
    <w:rsid w:val="00823F41"/>
    <w:rsid w:val="008257F4"/>
    <w:rsid w:val="00825B6A"/>
    <w:rsid w:val="008262DC"/>
    <w:rsid w:val="00826BB7"/>
    <w:rsid w:val="00826D3F"/>
    <w:rsid w:val="00827B55"/>
    <w:rsid w:val="00827DB9"/>
    <w:rsid w:val="00827F90"/>
    <w:rsid w:val="008300A6"/>
    <w:rsid w:val="00830384"/>
    <w:rsid w:val="00830D49"/>
    <w:rsid w:val="00830F73"/>
    <w:rsid w:val="0083103E"/>
    <w:rsid w:val="008310B6"/>
    <w:rsid w:val="008312A9"/>
    <w:rsid w:val="0083171D"/>
    <w:rsid w:val="00831728"/>
    <w:rsid w:val="00831856"/>
    <w:rsid w:val="00831EE8"/>
    <w:rsid w:val="00831EF3"/>
    <w:rsid w:val="0083251A"/>
    <w:rsid w:val="00832684"/>
    <w:rsid w:val="00832706"/>
    <w:rsid w:val="00832797"/>
    <w:rsid w:val="008327A0"/>
    <w:rsid w:val="008329EA"/>
    <w:rsid w:val="00832ABE"/>
    <w:rsid w:val="00832C9F"/>
    <w:rsid w:val="00833196"/>
    <w:rsid w:val="008336F6"/>
    <w:rsid w:val="00833DFA"/>
    <w:rsid w:val="00833F13"/>
    <w:rsid w:val="00834293"/>
    <w:rsid w:val="008346BE"/>
    <w:rsid w:val="00835766"/>
    <w:rsid w:val="0083602C"/>
    <w:rsid w:val="0083603A"/>
    <w:rsid w:val="0083676A"/>
    <w:rsid w:val="00836787"/>
    <w:rsid w:val="00836911"/>
    <w:rsid w:val="00836B53"/>
    <w:rsid w:val="00836BA7"/>
    <w:rsid w:val="00836C45"/>
    <w:rsid w:val="00837709"/>
    <w:rsid w:val="00837845"/>
    <w:rsid w:val="0083798E"/>
    <w:rsid w:val="0084022F"/>
    <w:rsid w:val="00840403"/>
    <w:rsid w:val="00840448"/>
    <w:rsid w:val="008404EC"/>
    <w:rsid w:val="00840B01"/>
    <w:rsid w:val="00840B57"/>
    <w:rsid w:val="008411DA"/>
    <w:rsid w:val="00841F20"/>
    <w:rsid w:val="00842268"/>
    <w:rsid w:val="00842970"/>
    <w:rsid w:val="00842CC3"/>
    <w:rsid w:val="00842D8D"/>
    <w:rsid w:val="00842E29"/>
    <w:rsid w:val="00842F28"/>
    <w:rsid w:val="0084330D"/>
    <w:rsid w:val="0084338B"/>
    <w:rsid w:val="0084376B"/>
    <w:rsid w:val="00843BAF"/>
    <w:rsid w:val="00843E1D"/>
    <w:rsid w:val="00843F34"/>
    <w:rsid w:val="00844977"/>
    <w:rsid w:val="00844CA6"/>
    <w:rsid w:val="00845209"/>
    <w:rsid w:val="00845402"/>
    <w:rsid w:val="00846350"/>
    <w:rsid w:val="00846966"/>
    <w:rsid w:val="00847035"/>
    <w:rsid w:val="00847291"/>
    <w:rsid w:val="00847371"/>
    <w:rsid w:val="0085003C"/>
    <w:rsid w:val="008501BD"/>
    <w:rsid w:val="008502E2"/>
    <w:rsid w:val="00850E5A"/>
    <w:rsid w:val="0085122F"/>
    <w:rsid w:val="00851358"/>
    <w:rsid w:val="0085188E"/>
    <w:rsid w:val="008519C0"/>
    <w:rsid w:val="00851CC4"/>
    <w:rsid w:val="00851FD1"/>
    <w:rsid w:val="008525CC"/>
    <w:rsid w:val="0085266F"/>
    <w:rsid w:val="008527ED"/>
    <w:rsid w:val="00852887"/>
    <w:rsid w:val="008528DF"/>
    <w:rsid w:val="00852A54"/>
    <w:rsid w:val="00852DDC"/>
    <w:rsid w:val="008545BF"/>
    <w:rsid w:val="00854C6C"/>
    <w:rsid w:val="00856149"/>
    <w:rsid w:val="008561DB"/>
    <w:rsid w:val="00856627"/>
    <w:rsid w:val="008577FF"/>
    <w:rsid w:val="0085781D"/>
    <w:rsid w:val="00857A79"/>
    <w:rsid w:val="00857B77"/>
    <w:rsid w:val="00857EFA"/>
    <w:rsid w:val="0086003A"/>
    <w:rsid w:val="00860331"/>
    <w:rsid w:val="0086072B"/>
    <w:rsid w:val="008608D5"/>
    <w:rsid w:val="00860A1E"/>
    <w:rsid w:val="00860A8C"/>
    <w:rsid w:val="00860D3B"/>
    <w:rsid w:val="008611AA"/>
    <w:rsid w:val="00862354"/>
    <w:rsid w:val="008630A4"/>
    <w:rsid w:val="0086318E"/>
    <w:rsid w:val="00863358"/>
    <w:rsid w:val="008633B4"/>
    <w:rsid w:val="008633C2"/>
    <w:rsid w:val="00864612"/>
    <w:rsid w:val="00864B90"/>
    <w:rsid w:val="00864D26"/>
    <w:rsid w:val="00865506"/>
    <w:rsid w:val="00866345"/>
    <w:rsid w:val="0086695D"/>
    <w:rsid w:val="008674B4"/>
    <w:rsid w:val="008675CF"/>
    <w:rsid w:val="0086787E"/>
    <w:rsid w:val="00867941"/>
    <w:rsid w:val="00867C2D"/>
    <w:rsid w:val="00867C82"/>
    <w:rsid w:val="008702A1"/>
    <w:rsid w:val="00870507"/>
    <w:rsid w:val="00870AB5"/>
    <w:rsid w:val="008712A9"/>
    <w:rsid w:val="0087130E"/>
    <w:rsid w:val="008718DC"/>
    <w:rsid w:val="00871CC9"/>
    <w:rsid w:val="00871F2A"/>
    <w:rsid w:val="008720C5"/>
    <w:rsid w:val="0087293E"/>
    <w:rsid w:val="00872A95"/>
    <w:rsid w:val="00872B0E"/>
    <w:rsid w:val="00873FFE"/>
    <w:rsid w:val="00874504"/>
    <w:rsid w:val="00874576"/>
    <w:rsid w:val="00874698"/>
    <w:rsid w:val="008754D2"/>
    <w:rsid w:val="00875A65"/>
    <w:rsid w:val="00876262"/>
    <w:rsid w:val="00877379"/>
    <w:rsid w:val="00877A27"/>
    <w:rsid w:val="00877F3D"/>
    <w:rsid w:val="00880026"/>
    <w:rsid w:val="0088077F"/>
    <w:rsid w:val="00880B05"/>
    <w:rsid w:val="00880EDC"/>
    <w:rsid w:val="00881458"/>
    <w:rsid w:val="008815D7"/>
    <w:rsid w:val="00881792"/>
    <w:rsid w:val="0088184D"/>
    <w:rsid w:val="00882B01"/>
    <w:rsid w:val="00882C7F"/>
    <w:rsid w:val="0088328E"/>
    <w:rsid w:val="008836DE"/>
    <w:rsid w:val="00883A4F"/>
    <w:rsid w:val="00883FBA"/>
    <w:rsid w:val="008840D6"/>
    <w:rsid w:val="0088472B"/>
    <w:rsid w:val="0088518E"/>
    <w:rsid w:val="008851AC"/>
    <w:rsid w:val="008854D0"/>
    <w:rsid w:val="00885625"/>
    <w:rsid w:val="008861C5"/>
    <w:rsid w:val="008869B1"/>
    <w:rsid w:val="00886D60"/>
    <w:rsid w:val="0088735D"/>
    <w:rsid w:val="0088772E"/>
    <w:rsid w:val="0089002B"/>
    <w:rsid w:val="0089009A"/>
    <w:rsid w:val="0089055C"/>
    <w:rsid w:val="00891371"/>
    <w:rsid w:val="0089164E"/>
    <w:rsid w:val="00891A2C"/>
    <w:rsid w:val="00892468"/>
    <w:rsid w:val="008930A9"/>
    <w:rsid w:val="008933A1"/>
    <w:rsid w:val="0089386C"/>
    <w:rsid w:val="00893A27"/>
    <w:rsid w:val="00893D1B"/>
    <w:rsid w:val="00894770"/>
    <w:rsid w:val="0089496A"/>
    <w:rsid w:val="00894A0B"/>
    <w:rsid w:val="00894A73"/>
    <w:rsid w:val="00894D11"/>
    <w:rsid w:val="0089510E"/>
    <w:rsid w:val="008958B0"/>
    <w:rsid w:val="00895903"/>
    <w:rsid w:val="00895D67"/>
    <w:rsid w:val="00897274"/>
    <w:rsid w:val="0089789A"/>
    <w:rsid w:val="008979B1"/>
    <w:rsid w:val="00897A2C"/>
    <w:rsid w:val="008A0183"/>
    <w:rsid w:val="008A0509"/>
    <w:rsid w:val="008A0DDD"/>
    <w:rsid w:val="008A112E"/>
    <w:rsid w:val="008A125B"/>
    <w:rsid w:val="008A12AF"/>
    <w:rsid w:val="008A154F"/>
    <w:rsid w:val="008A183F"/>
    <w:rsid w:val="008A21DE"/>
    <w:rsid w:val="008A2214"/>
    <w:rsid w:val="008A2AED"/>
    <w:rsid w:val="008A2F42"/>
    <w:rsid w:val="008A34FB"/>
    <w:rsid w:val="008A37BD"/>
    <w:rsid w:val="008A382F"/>
    <w:rsid w:val="008A4B4B"/>
    <w:rsid w:val="008A4DE6"/>
    <w:rsid w:val="008A5034"/>
    <w:rsid w:val="008A523B"/>
    <w:rsid w:val="008A5837"/>
    <w:rsid w:val="008A5A3F"/>
    <w:rsid w:val="008A5D16"/>
    <w:rsid w:val="008A5DAA"/>
    <w:rsid w:val="008A5E64"/>
    <w:rsid w:val="008A616D"/>
    <w:rsid w:val="008A67AC"/>
    <w:rsid w:val="008A691E"/>
    <w:rsid w:val="008A7132"/>
    <w:rsid w:val="008A7553"/>
    <w:rsid w:val="008A7837"/>
    <w:rsid w:val="008B0172"/>
    <w:rsid w:val="008B06CC"/>
    <w:rsid w:val="008B0986"/>
    <w:rsid w:val="008B0FC7"/>
    <w:rsid w:val="008B127E"/>
    <w:rsid w:val="008B12A6"/>
    <w:rsid w:val="008B12B3"/>
    <w:rsid w:val="008B16B4"/>
    <w:rsid w:val="008B19BD"/>
    <w:rsid w:val="008B1DDD"/>
    <w:rsid w:val="008B2F37"/>
    <w:rsid w:val="008B3883"/>
    <w:rsid w:val="008B3C0E"/>
    <w:rsid w:val="008B421F"/>
    <w:rsid w:val="008B4946"/>
    <w:rsid w:val="008B4EB3"/>
    <w:rsid w:val="008B4F5A"/>
    <w:rsid w:val="008B51F2"/>
    <w:rsid w:val="008B5BB3"/>
    <w:rsid w:val="008B66C1"/>
    <w:rsid w:val="008B71BA"/>
    <w:rsid w:val="008B73EA"/>
    <w:rsid w:val="008B7B57"/>
    <w:rsid w:val="008C001A"/>
    <w:rsid w:val="008C0B4C"/>
    <w:rsid w:val="008C0D1B"/>
    <w:rsid w:val="008C11E8"/>
    <w:rsid w:val="008C1233"/>
    <w:rsid w:val="008C1386"/>
    <w:rsid w:val="008C16C4"/>
    <w:rsid w:val="008C1A77"/>
    <w:rsid w:val="008C1AAB"/>
    <w:rsid w:val="008C338F"/>
    <w:rsid w:val="008C34EF"/>
    <w:rsid w:val="008C3A4D"/>
    <w:rsid w:val="008C3EFF"/>
    <w:rsid w:val="008C4C8E"/>
    <w:rsid w:val="008C50BF"/>
    <w:rsid w:val="008C5155"/>
    <w:rsid w:val="008C51A7"/>
    <w:rsid w:val="008C58EE"/>
    <w:rsid w:val="008C5922"/>
    <w:rsid w:val="008C5C66"/>
    <w:rsid w:val="008C6863"/>
    <w:rsid w:val="008C6A44"/>
    <w:rsid w:val="008C6A50"/>
    <w:rsid w:val="008C6E8A"/>
    <w:rsid w:val="008C70BA"/>
    <w:rsid w:val="008C747A"/>
    <w:rsid w:val="008C7A3D"/>
    <w:rsid w:val="008C7ADA"/>
    <w:rsid w:val="008D0195"/>
    <w:rsid w:val="008D0328"/>
    <w:rsid w:val="008D0B39"/>
    <w:rsid w:val="008D1182"/>
    <w:rsid w:val="008D1444"/>
    <w:rsid w:val="008D1676"/>
    <w:rsid w:val="008D19CB"/>
    <w:rsid w:val="008D1CEA"/>
    <w:rsid w:val="008D1D0F"/>
    <w:rsid w:val="008D20C2"/>
    <w:rsid w:val="008D215C"/>
    <w:rsid w:val="008D2729"/>
    <w:rsid w:val="008D2E24"/>
    <w:rsid w:val="008D2F7F"/>
    <w:rsid w:val="008D3317"/>
    <w:rsid w:val="008D3905"/>
    <w:rsid w:val="008D423F"/>
    <w:rsid w:val="008D467C"/>
    <w:rsid w:val="008D4694"/>
    <w:rsid w:val="008D46D4"/>
    <w:rsid w:val="008D4799"/>
    <w:rsid w:val="008D4DB9"/>
    <w:rsid w:val="008D5BFC"/>
    <w:rsid w:val="008D5C05"/>
    <w:rsid w:val="008D6173"/>
    <w:rsid w:val="008D648D"/>
    <w:rsid w:val="008D674C"/>
    <w:rsid w:val="008D6E79"/>
    <w:rsid w:val="008D7650"/>
    <w:rsid w:val="008D7696"/>
    <w:rsid w:val="008D7F6F"/>
    <w:rsid w:val="008E038B"/>
    <w:rsid w:val="008E0508"/>
    <w:rsid w:val="008E0BCF"/>
    <w:rsid w:val="008E0D16"/>
    <w:rsid w:val="008E0DC9"/>
    <w:rsid w:val="008E1616"/>
    <w:rsid w:val="008E16E6"/>
    <w:rsid w:val="008E1784"/>
    <w:rsid w:val="008E18C5"/>
    <w:rsid w:val="008E1A87"/>
    <w:rsid w:val="008E2050"/>
    <w:rsid w:val="008E25F5"/>
    <w:rsid w:val="008E26A3"/>
    <w:rsid w:val="008E294A"/>
    <w:rsid w:val="008E2AA0"/>
    <w:rsid w:val="008E2EF9"/>
    <w:rsid w:val="008E3011"/>
    <w:rsid w:val="008E31EB"/>
    <w:rsid w:val="008E41AE"/>
    <w:rsid w:val="008E4F00"/>
    <w:rsid w:val="008E5549"/>
    <w:rsid w:val="008E5936"/>
    <w:rsid w:val="008E5BBA"/>
    <w:rsid w:val="008E5D66"/>
    <w:rsid w:val="008E5F66"/>
    <w:rsid w:val="008E5FBA"/>
    <w:rsid w:val="008E637E"/>
    <w:rsid w:val="008E66FD"/>
    <w:rsid w:val="008E7334"/>
    <w:rsid w:val="008E7494"/>
    <w:rsid w:val="008F0B20"/>
    <w:rsid w:val="008F1026"/>
    <w:rsid w:val="008F1136"/>
    <w:rsid w:val="008F26DE"/>
    <w:rsid w:val="008F39E6"/>
    <w:rsid w:val="008F4227"/>
    <w:rsid w:val="008F43AA"/>
    <w:rsid w:val="008F48E1"/>
    <w:rsid w:val="008F500B"/>
    <w:rsid w:val="008F674C"/>
    <w:rsid w:val="008F738A"/>
    <w:rsid w:val="008F7625"/>
    <w:rsid w:val="008F770F"/>
    <w:rsid w:val="008F7C4E"/>
    <w:rsid w:val="008F7CC8"/>
    <w:rsid w:val="008F7F3A"/>
    <w:rsid w:val="009006AD"/>
    <w:rsid w:val="00900E26"/>
    <w:rsid w:val="00901753"/>
    <w:rsid w:val="009017F2"/>
    <w:rsid w:val="00901A74"/>
    <w:rsid w:val="00901B2F"/>
    <w:rsid w:val="00901C60"/>
    <w:rsid w:val="009020E6"/>
    <w:rsid w:val="00902496"/>
    <w:rsid w:val="009025AE"/>
    <w:rsid w:val="00902724"/>
    <w:rsid w:val="0090281A"/>
    <w:rsid w:val="00903098"/>
    <w:rsid w:val="00903346"/>
    <w:rsid w:val="009034DA"/>
    <w:rsid w:val="00904178"/>
    <w:rsid w:val="009041E2"/>
    <w:rsid w:val="00904B46"/>
    <w:rsid w:val="00904C1D"/>
    <w:rsid w:val="00904FD1"/>
    <w:rsid w:val="00905855"/>
    <w:rsid w:val="0090587C"/>
    <w:rsid w:val="00905C2C"/>
    <w:rsid w:val="00906767"/>
    <w:rsid w:val="00906DEF"/>
    <w:rsid w:val="009071D0"/>
    <w:rsid w:val="0090742D"/>
    <w:rsid w:val="009075A2"/>
    <w:rsid w:val="009075FE"/>
    <w:rsid w:val="00907922"/>
    <w:rsid w:val="009100D5"/>
    <w:rsid w:val="00910317"/>
    <w:rsid w:val="009107ED"/>
    <w:rsid w:val="00910EF9"/>
    <w:rsid w:val="0091124D"/>
    <w:rsid w:val="00911AB3"/>
    <w:rsid w:val="00911AED"/>
    <w:rsid w:val="00911E89"/>
    <w:rsid w:val="009122D8"/>
    <w:rsid w:val="0091281B"/>
    <w:rsid w:val="0091286A"/>
    <w:rsid w:val="00912A17"/>
    <w:rsid w:val="00913518"/>
    <w:rsid w:val="00913683"/>
    <w:rsid w:val="00914E04"/>
    <w:rsid w:val="00914F15"/>
    <w:rsid w:val="009154EA"/>
    <w:rsid w:val="009155E0"/>
    <w:rsid w:val="00915CB1"/>
    <w:rsid w:val="00915E0A"/>
    <w:rsid w:val="00915E7A"/>
    <w:rsid w:val="0091630B"/>
    <w:rsid w:val="009163DC"/>
    <w:rsid w:val="00917037"/>
    <w:rsid w:val="009172FB"/>
    <w:rsid w:val="00917763"/>
    <w:rsid w:val="00917BCB"/>
    <w:rsid w:val="00917CB1"/>
    <w:rsid w:val="0092072B"/>
    <w:rsid w:val="00920C52"/>
    <w:rsid w:val="0092115A"/>
    <w:rsid w:val="00921273"/>
    <w:rsid w:val="0092152B"/>
    <w:rsid w:val="00921857"/>
    <w:rsid w:val="00921A36"/>
    <w:rsid w:val="00921B89"/>
    <w:rsid w:val="00921F2F"/>
    <w:rsid w:val="00921FE2"/>
    <w:rsid w:val="009221ED"/>
    <w:rsid w:val="00922C11"/>
    <w:rsid w:val="00922DE1"/>
    <w:rsid w:val="009230A2"/>
    <w:rsid w:val="0092311C"/>
    <w:rsid w:val="00923469"/>
    <w:rsid w:val="009235B9"/>
    <w:rsid w:val="00923778"/>
    <w:rsid w:val="009242BE"/>
    <w:rsid w:val="00924838"/>
    <w:rsid w:val="00924C94"/>
    <w:rsid w:val="00925056"/>
    <w:rsid w:val="009256FF"/>
    <w:rsid w:val="0092572D"/>
    <w:rsid w:val="00925D80"/>
    <w:rsid w:val="009270CA"/>
    <w:rsid w:val="00927523"/>
    <w:rsid w:val="00927E30"/>
    <w:rsid w:val="009303A1"/>
    <w:rsid w:val="00930F22"/>
    <w:rsid w:val="009317EC"/>
    <w:rsid w:val="00931E74"/>
    <w:rsid w:val="009321FB"/>
    <w:rsid w:val="009326E4"/>
    <w:rsid w:val="00932B4C"/>
    <w:rsid w:val="00933816"/>
    <w:rsid w:val="009339E2"/>
    <w:rsid w:val="00933BF2"/>
    <w:rsid w:val="00933D9E"/>
    <w:rsid w:val="00934092"/>
    <w:rsid w:val="009341F8"/>
    <w:rsid w:val="009355A4"/>
    <w:rsid w:val="009355EB"/>
    <w:rsid w:val="00935718"/>
    <w:rsid w:val="0093684F"/>
    <w:rsid w:val="00937D22"/>
    <w:rsid w:val="00940A78"/>
    <w:rsid w:val="00940C16"/>
    <w:rsid w:val="00941361"/>
    <w:rsid w:val="00941E12"/>
    <w:rsid w:val="00941F08"/>
    <w:rsid w:val="00942057"/>
    <w:rsid w:val="009424A2"/>
    <w:rsid w:val="009425C6"/>
    <w:rsid w:val="009427B1"/>
    <w:rsid w:val="00942EC3"/>
    <w:rsid w:val="00942EE7"/>
    <w:rsid w:val="009430A6"/>
    <w:rsid w:val="00943908"/>
    <w:rsid w:val="009440D0"/>
    <w:rsid w:val="00944148"/>
    <w:rsid w:val="009442C0"/>
    <w:rsid w:val="0094444B"/>
    <w:rsid w:val="00944DA3"/>
    <w:rsid w:val="009450A4"/>
    <w:rsid w:val="009456B6"/>
    <w:rsid w:val="009458A1"/>
    <w:rsid w:val="00946193"/>
    <w:rsid w:val="00946656"/>
    <w:rsid w:val="00946935"/>
    <w:rsid w:val="00946F0E"/>
    <w:rsid w:val="009474E4"/>
    <w:rsid w:val="00950777"/>
    <w:rsid w:val="00951A9E"/>
    <w:rsid w:val="00952461"/>
    <w:rsid w:val="0095272E"/>
    <w:rsid w:val="00952E66"/>
    <w:rsid w:val="00953017"/>
    <w:rsid w:val="0095311E"/>
    <w:rsid w:val="009545B4"/>
    <w:rsid w:val="00954AA8"/>
    <w:rsid w:val="00954CD5"/>
    <w:rsid w:val="00955153"/>
    <w:rsid w:val="009555A4"/>
    <w:rsid w:val="009560A8"/>
    <w:rsid w:val="009565DA"/>
    <w:rsid w:val="00956A71"/>
    <w:rsid w:val="00956B29"/>
    <w:rsid w:val="00956E8A"/>
    <w:rsid w:val="0095708E"/>
    <w:rsid w:val="00957741"/>
    <w:rsid w:val="00957FFC"/>
    <w:rsid w:val="0096021B"/>
    <w:rsid w:val="00960666"/>
    <w:rsid w:val="00960BC0"/>
    <w:rsid w:val="00960ED6"/>
    <w:rsid w:val="00961489"/>
    <w:rsid w:val="00961590"/>
    <w:rsid w:val="00961A06"/>
    <w:rsid w:val="00961E13"/>
    <w:rsid w:val="00962103"/>
    <w:rsid w:val="009621B7"/>
    <w:rsid w:val="009624E9"/>
    <w:rsid w:val="00962511"/>
    <w:rsid w:val="00962DD3"/>
    <w:rsid w:val="009632F2"/>
    <w:rsid w:val="00964330"/>
    <w:rsid w:val="009645BB"/>
    <w:rsid w:val="0096461E"/>
    <w:rsid w:val="009646A1"/>
    <w:rsid w:val="0096482B"/>
    <w:rsid w:val="00964C01"/>
    <w:rsid w:val="00964FAB"/>
    <w:rsid w:val="00965492"/>
    <w:rsid w:val="009659F3"/>
    <w:rsid w:val="00965CFA"/>
    <w:rsid w:val="009663DD"/>
    <w:rsid w:val="00966BBD"/>
    <w:rsid w:val="00966DEC"/>
    <w:rsid w:val="00966DFD"/>
    <w:rsid w:val="00967959"/>
    <w:rsid w:val="00967C81"/>
    <w:rsid w:val="00967CC7"/>
    <w:rsid w:val="00967F3C"/>
    <w:rsid w:val="009700E6"/>
    <w:rsid w:val="009708EB"/>
    <w:rsid w:val="00970A89"/>
    <w:rsid w:val="00970AEA"/>
    <w:rsid w:val="00970ECF"/>
    <w:rsid w:val="0097100D"/>
    <w:rsid w:val="00971892"/>
    <w:rsid w:val="00972291"/>
    <w:rsid w:val="0097230C"/>
    <w:rsid w:val="0097243A"/>
    <w:rsid w:val="009733F0"/>
    <w:rsid w:val="0097354C"/>
    <w:rsid w:val="009736F3"/>
    <w:rsid w:val="00973C0C"/>
    <w:rsid w:val="00973E1F"/>
    <w:rsid w:val="00973E36"/>
    <w:rsid w:val="0097425C"/>
    <w:rsid w:val="009746F0"/>
    <w:rsid w:val="00974703"/>
    <w:rsid w:val="00974CB0"/>
    <w:rsid w:val="00975881"/>
    <w:rsid w:val="00976117"/>
    <w:rsid w:val="00976625"/>
    <w:rsid w:val="0097668C"/>
    <w:rsid w:val="00977018"/>
    <w:rsid w:val="009771CB"/>
    <w:rsid w:val="00977248"/>
    <w:rsid w:val="00977848"/>
    <w:rsid w:val="00977CA0"/>
    <w:rsid w:val="00977DD4"/>
    <w:rsid w:val="0098027B"/>
    <w:rsid w:val="009802E5"/>
    <w:rsid w:val="009802F6"/>
    <w:rsid w:val="00980441"/>
    <w:rsid w:val="00980CC3"/>
    <w:rsid w:val="00981180"/>
    <w:rsid w:val="009812A4"/>
    <w:rsid w:val="009816D4"/>
    <w:rsid w:val="00981C9E"/>
    <w:rsid w:val="0098293E"/>
    <w:rsid w:val="00982965"/>
    <w:rsid w:val="00982C99"/>
    <w:rsid w:val="0098369D"/>
    <w:rsid w:val="00983854"/>
    <w:rsid w:val="00984B00"/>
    <w:rsid w:val="00984BC6"/>
    <w:rsid w:val="00984BF7"/>
    <w:rsid w:val="00985079"/>
    <w:rsid w:val="009851EE"/>
    <w:rsid w:val="009851FB"/>
    <w:rsid w:val="00985401"/>
    <w:rsid w:val="00985404"/>
    <w:rsid w:val="00985535"/>
    <w:rsid w:val="00985BD6"/>
    <w:rsid w:val="00987F9C"/>
    <w:rsid w:val="00990239"/>
    <w:rsid w:val="0099141F"/>
    <w:rsid w:val="0099195C"/>
    <w:rsid w:val="00991E7B"/>
    <w:rsid w:val="00991FB9"/>
    <w:rsid w:val="009922B5"/>
    <w:rsid w:val="00992318"/>
    <w:rsid w:val="009929CA"/>
    <w:rsid w:val="00992DFC"/>
    <w:rsid w:val="00993735"/>
    <w:rsid w:val="0099496F"/>
    <w:rsid w:val="00994A0C"/>
    <w:rsid w:val="00994B9C"/>
    <w:rsid w:val="00995284"/>
    <w:rsid w:val="0099587F"/>
    <w:rsid w:val="00995AFE"/>
    <w:rsid w:val="00995B30"/>
    <w:rsid w:val="00997522"/>
    <w:rsid w:val="00997529"/>
    <w:rsid w:val="00997E95"/>
    <w:rsid w:val="009A04FF"/>
    <w:rsid w:val="009A0A73"/>
    <w:rsid w:val="009A11EF"/>
    <w:rsid w:val="009A1409"/>
    <w:rsid w:val="009A1929"/>
    <w:rsid w:val="009A1B95"/>
    <w:rsid w:val="009A1CD9"/>
    <w:rsid w:val="009A2324"/>
    <w:rsid w:val="009A279F"/>
    <w:rsid w:val="009A2A6E"/>
    <w:rsid w:val="009A2B87"/>
    <w:rsid w:val="009A2F9C"/>
    <w:rsid w:val="009A39EE"/>
    <w:rsid w:val="009A43E1"/>
    <w:rsid w:val="009A51F5"/>
    <w:rsid w:val="009A582F"/>
    <w:rsid w:val="009A5E9F"/>
    <w:rsid w:val="009A7155"/>
    <w:rsid w:val="009A7169"/>
    <w:rsid w:val="009A7662"/>
    <w:rsid w:val="009A790A"/>
    <w:rsid w:val="009A7D3E"/>
    <w:rsid w:val="009B0774"/>
    <w:rsid w:val="009B0A48"/>
    <w:rsid w:val="009B11FA"/>
    <w:rsid w:val="009B189D"/>
    <w:rsid w:val="009B1EEF"/>
    <w:rsid w:val="009B1F32"/>
    <w:rsid w:val="009B21A0"/>
    <w:rsid w:val="009B27F0"/>
    <w:rsid w:val="009B2FF8"/>
    <w:rsid w:val="009B30CF"/>
    <w:rsid w:val="009B32F8"/>
    <w:rsid w:val="009B3531"/>
    <w:rsid w:val="009B39DE"/>
    <w:rsid w:val="009B3A3B"/>
    <w:rsid w:val="009B3C6A"/>
    <w:rsid w:val="009B44B8"/>
    <w:rsid w:val="009B4B16"/>
    <w:rsid w:val="009B4C09"/>
    <w:rsid w:val="009B5025"/>
    <w:rsid w:val="009B550C"/>
    <w:rsid w:val="009B68F0"/>
    <w:rsid w:val="009B69C4"/>
    <w:rsid w:val="009B6D06"/>
    <w:rsid w:val="009B6EE2"/>
    <w:rsid w:val="009B7D4F"/>
    <w:rsid w:val="009C02EB"/>
    <w:rsid w:val="009C154D"/>
    <w:rsid w:val="009C1913"/>
    <w:rsid w:val="009C259C"/>
    <w:rsid w:val="009C2B5B"/>
    <w:rsid w:val="009C2D9C"/>
    <w:rsid w:val="009C2F9E"/>
    <w:rsid w:val="009C3148"/>
    <w:rsid w:val="009C38F1"/>
    <w:rsid w:val="009C4248"/>
    <w:rsid w:val="009C435E"/>
    <w:rsid w:val="009C437E"/>
    <w:rsid w:val="009C43DC"/>
    <w:rsid w:val="009C51EF"/>
    <w:rsid w:val="009C595E"/>
    <w:rsid w:val="009C5C11"/>
    <w:rsid w:val="009C72DA"/>
    <w:rsid w:val="009C73D7"/>
    <w:rsid w:val="009C7834"/>
    <w:rsid w:val="009C7B0A"/>
    <w:rsid w:val="009C7B29"/>
    <w:rsid w:val="009D0035"/>
    <w:rsid w:val="009D011D"/>
    <w:rsid w:val="009D061C"/>
    <w:rsid w:val="009D07AC"/>
    <w:rsid w:val="009D08FA"/>
    <w:rsid w:val="009D0D50"/>
    <w:rsid w:val="009D16E2"/>
    <w:rsid w:val="009D1738"/>
    <w:rsid w:val="009D20B2"/>
    <w:rsid w:val="009D221F"/>
    <w:rsid w:val="009D2EFD"/>
    <w:rsid w:val="009D3C5C"/>
    <w:rsid w:val="009D3DDD"/>
    <w:rsid w:val="009D3FC0"/>
    <w:rsid w:val="009D4138"/>
    <w:rsid w:val="009D4865"/>
    <w:rsid w:val="009D4ADB"/>
    <w:rsid w:val="009D4FE2"/>
    <w:rsid w:val="009D50C8"/>
    <w:rsid w:val="009D553E"/>
    <w:rsid w:val="009D5DFB"/>
    <w:rsid w:val="009D5E90"/>
    <w:rsid w:val="009D6049"/>
    <w:rsid w:val="009D6106"/>
    <w:rsid w:val="009D61F2"/>
    <w:rsid w:val="009D67EE"/>
    <w:rsid w:val="009D740A"/>
    <w:rsid w:val="009D74C7"/>
    <w:rsid w:val="009D74F8"/>
    <w:rsid w:val="009D7ADD"/>
    <w:rsid w:val="009E00E7"/>
    <w:rsid w:val="009E04DC"/>
    <w:rsid w:val="009E1124"/>
    <w:rsid w:val="009E15D8"/>
    <w:rsid w:val="009E1DBB"/>
    <w:rsid w:val="009E241A"/>
    <w:rsid w:val="009E2582"/>
    <w:rsid w:val="009E28C2"/>
    <w:rsid w:val="009E2E5E"/>
    <w:rsid w:val="009E2E6D"/>
    <w:rsid w:val="009E2F2E"/>
    <w:rsid w:val="009E35A0"/>
    <w:rsid w:val="009E3816"/>
    <w:rsid w:val="009E4395"/>
    <w:rsid w:val="009E49CD"/>
    <w:rsid w:val="009E4F57"/>
    <w:rsid w:val="009E5720"/>
    <w:rsid w:val="009E5B67"/>
    <w:rsid w:val="009E5FFB"/>
    <w:rsid w:val="009E61A3"/>
    <w:rsid w:val="009E6387"/>
    <w:rsid w:val="009E69F7"/>
    <w:rsid w:val="009E7433"/>
    <w:rsid w:val="009E756A"/>
    <w:rsid w:val="009E7650"/>
    <w:rsid w:val="009E782A"/>
    <w:rsid w:val="009E7A62"/>
    <w:rsid w:val="009E7B29"/>
    <w:rsid w:val="009E7D3B"/>
    <w:rsid w:val="009F047B"/>
    <w:rsid w:val="009F0899"/>
    <w:rsid w:val="009F0A3F"/>
    <w:rsid w:val="009F117E"/>
    <w:rsid w:val="009F1275"/>
    <w:rsid w:val="009F2131"/>
    <w:rsid w:val="009F26D4"/>
    <w:rsid w:val="009F26E6"/>
    <w:rsid w:val="009F384C"/>
    <w:rsid w:val="009F4241"/>
    <w:rsid w:val="009F4262"/>
    <w:rsid w:val="009F44CF"/>
    <w:rsid w:val="009F4543"/>
    <w:rsid w:val="009F45F8"/>
    <w:rsid w:val="009F48AB"/>
    <w:rsid w:val="009F4B79"/>
    <w:rsid w:val="009F4EE8"/>
    <w:rsid w:val="009F504C"/>
    <w:rsid w:val="009F5108"/>
    <w:rsid w:val="009F5122"/>
    <w:rsid w:val="009F55CB"/>
    <w:rsid w:val="009F5662"/>
    <w:rsid w:val="009F57A4"/>
    <w:rsid w:val="009F58B0"/>
    <w:rsid w:val="009F5DC4"/>
    <w:rsid w:val="009F67CC"/>
    <w:rsid w:val="009F6AAD"/>
    <w:rsid w:val="009F6BB9"/>
    <w:rsid w:val="009F6C91"/>
    <w:rsid w:val="009F6CA4"/>
    <w:rsid w:val="009F6D98"/>
    <w:rsid w:val="009F757C"/>
    <w:rsid w:val="009F76EB"/>
    <w:rsid w:val="009F777E"/>
    <w:rsid w:val="009F7950"/>
    <w:rsid w:val="009F79DF"/>
    <w:rsid w:val="009F7A20"/>
    <w:rsid w:val="009F7D0E"/>
    <w:rsid w:val="00A000AF"/>
    <w:rsid w:val="00A000EF"/>
    <w:rsid w:val="00A00909"/>
    <w:rsid w:val="00A00FB0"/>
    <w:rsid w:val="00A01CD2"/>
    <w:rsid w:val="00A01CD6"/>
    <w:rsid w:val="00A02047"/>
    <w:rsid w:val="00A0232F"/>
    <w:rsid w:val="00A02819"/>
    <w:rsid w:val="00A02EC9"/>
    <w:rsid w:val="00A03101"/>
    <w:rsid w:val="00A032B3"/>
    <w:rsid w:val="00A035EF"/>
    <w:rsid w:val="00A043DD"/>
    <w:rsid w:val="00A05F4A"/>
    <w:rsid w:val="00A060A2"/>
    <w:rsid w:val="00A063E9"/>
    <w:rsid w:val="00A064FE"/>
    <w:rsid w:val="00A065E5"/>
    <w:rsid w:val="00A069D3"/>
    <w:rsid w:val="00A06AE4"/>
    <w:rsid w:val="00A06D46"/>
    <w:rsid w:val="00A06FEB"/>
    <w:rsid w:val="00A07072"/>
    <w:rsid w:val="00A0717F"/>
    <w:rsid w:val="00A071C3"/>
    <w:rsid w:val="00A072FC"/>
    <w:rsid w:val="00A0759E"/>
    <w:rsid w:val="00A07600"/>
    <w:rsid w:val="00A0778C"/>
    <w:rsid w:val="00A105C0"/>
    <w:rsid w:val="00A10992"/>
    <w:rsid w:val="00A10B70"/>
    <w:rsid w:val="00A10BFE"/>
    <w:rsid w:val="00A10C4B"/>
    <w:rsid w:val="00A10EE9"/>
    <w:rsid w:val="00A11275"/>
    <w:rsid w:val="00A1139A"/>
    <w:rsid w:val="00A113CA"/>
    <w:rsid w:val="00A11D4E"/>
    <w:rsid w:val="00A11E63"/>
    <w:rsid w:val="00A122BA"/>
    <w:rsid w:val="00A123BE"/>
    <w:rsid w:val="00A12478"/>
    <w:rsid w:val="00A12E6B"/>
    <w:rsid w:val="00A1315A"/>
    <w:rsid w:val="00A139D9"/>
    <w:rsid w:val="00A13C5C"/>
    <w:rsid w:val="00A13D1C"/>
    <w:rsid w:val="00A14C3F"/>
    <w:rsid w:val="00A162D5"/>
    <w:rsid w:val="00A16A4D"/>
    <w:rsid w:val="00A16DAE"/>
    <w:rsid w:val="00A177B5"/>
    <w:rsid w:val="00A177E7"/>
    <w:rsid w:val="00A17A3E"/>
    <w:rsid w:val="00A20614"/>
    <w:rsid w:val="00A207EE"/>
    <w:rsid w:val="00A20948"/>
    <w:rsid w:val="00A2112A"/>
    <w:rsid w:val="00A21E96"/>
    <w:rsid w:val="00A21F4E"/>
    <w:rsid w:val="00A22C5D"/>
    <w:rsid w:val="00A22FC0"/>
    <w:rsid w:val="00A230C5"/>
    <w:rsid w:val="00A230E0"/>
    <w:rsid w:val="00A235C6"/>
    <w:rsid w:val="00A2373D"/>
    <w:rsid w:val="00A23A7B"/>
    <w:rsid w:val="00A23AD6"/>
    <w:rsid w:val="00A23B9B"/>
    <w:rsid w:val="00A23D22"/>
    <w:rsid w:val="00A23D34"/>
    <w:rsid w:val="00A23D5C"/>
    <w:rsid w:val="00A2499A"/>
    <w:rsid w:val="00A24A3F"/>
    <w:rsid w:val="00A253D4"/>
    <w:rsid w:val="00A2548A"/>
    <w:rsid w:val="00A25A74"/>
    <w:rsid w:val="00A25FFD"/>
    <w:rsid w:val="00A26711"/>
    <w:rsid w:val="00A267C1"/>
    <w:rsid w:val="00A26C52"/>
    <w:rsid w:val="00A26CE7"/>
    <w:rsid w:val="00A26D5A"/>
    <w:rsid w:val="00A270FA"/>
    <w:rsid w:val="00A2775D"/>
    <w:rsid w:val="00A277FB"/>
    <w:rsid w:val="00A27D4D"/>
    <w:rsid w:val="00A300F3"/>
    <w:rsid w:val="00A302B6"/>
    <w:rsid w:val="00A3069E"/>
    <w:rsid w:val="00A306B7"/>
    <w:rsid w:val="00A3085E"/>
    <w:rsid w:val="00A30A31"/>
    <w:rsid w:val="00A3145F"/>
    <w:rsid w:val="00A31497"/>
    <w:rsid w:val="00A31918"/>
    <w:rsid w:val="00A31CB1"/>
    <w:rsid w:val="00A32307"/>
    <w:rsid w:val="00A32781"/>
    <w:rsid w:val="00A3339C"/>
    <w:rsid w:val="00A3378D"/>
    <w:rsid w:val="00A33CC5"/>
    <w:rsid w:val="00A33E2D"/>
    <w:rsid w:val="00A34931"/>
    <w:rsid w:val="00A36081"/>
    <w:rsid w:val="00A36436"/>
    <w:rsid w:val="00A36927"/>
    <w:rsid w:val="00A375AF"/>
    <w:rsid w:val="00A37791"/>
    <w:rsid w:val="00A37A8D"/>
    <w:rsid w:val="00A37C67"/>
    <w:rsid w:val="00A37D46"/>
    <w:rsid w:val="00A40569"/>
    <w:rsid w:val="00A42093"/>
    <w:rsid w:val="00A42110"/>
    <w:rsid w:val="00A422BA"/>
    <w:rsid w:val="00A4269F"/>
    <w:rsid w:val="00A4282A"/>
    <w:rsid w:val="00A42BF0"/>
    <w:rsid w:val="00A42ECB"/>
    <w:rsid w:val="00A4310D"/>
    <w:rsid w:val="00A432A0"/>
    <w:rsid w:val="00A43545"/>
    <w:rsid w:val="00A43594"/>
    <w:rsid w:val="00A439E1"/>
    <w:rsid w:val="00A43D47"/>
    <w:rsid w:val="00A43E2E"/>
    <w:rsid w:val="00A43E30"/>
    <w:rsid w:val="00A4465A"/>
    <w:rsid w:val="00A44A68"/>
    <w:rsid w:val="00A45270"/>
    <w:rsid w:val="00A45633"/>
    <w:rsid w:val="00A45658"/>
    <w:rsid w:val="00A4588D"/>
    <w:rsid w:val="00A461E9"/>
    <w:rsid w:val="00A4683D"/>
    <w:rsid w:val="00A469BB"/>
    <w:rsid w:val="00A46B3B"/>
    <w:rsid w:val="00A46FDE"/>
    <w:rsid w:val="00A471B0"/>
    <w:rsid w:val="00A473A1"/>
    <w:rsid w:val="00A47845"/>
    <w:rsid w:val="00A47D39"/>
    <w:rsid w:val="00A47F3D"/>
    <w:rsid w:val="00A50352"/>
    <w:rsid w:val="00A507FA"/>
    <w:rsid w:val="00A51598"/>
    <w:rsid w:val="00A516E7"/>
    <w:rsid w:val="00A51FCA"/>
    <w:rsid w:val="00A522BF"/>
    <w:rsid w:val="00A5232C"/>
    <w:rsid w:val="00A527E0"/>
    <w:rsid w:val="00A5290E"/>
    <w:rsid w:val="00A52AFF"/>
    <w:rsid w:val="00A52CC4"/>
    <w:rsid w:val="00A53AB6"/>
    <w:rsid w:val="00A53E17"/>
    <w:rsid w:val="00A53EBE"/>
    <w:rsid w:val="00A53F46"/>
    <w:rsid w:val="00A5409E"/>
    <w:rsid w:val="00A54356"/>
    <w:rsid w:val="00A54796"/>
    <w:rsid w:val="00A55270"/>
    <w:rsid w:val="00A552C4"/>
    <w:rsid w:val="00A559E3"/>
    <w:rsid w:val="00A55D8E"/>
    <w:rsid w:val="00A55FD5"/>
    <w:rsid w:val="00A56088"/>
    <w:rsid w:val="00A56131"/>
    <w:rsid w:val="00A56799"/>
    <w:rsid w:val="00A56CFD"/>
    <w:rsid w:val="00A57034"/>
    <w:rsid w:val="00A576FA"/>
    <w:rsid w:val="00A5790E"/>
    <w:rsid w:val="00A57DCF"/>
    <w:rsid w:val="00A57E63"/>
    <w:rsid w:val="00A6002A"/>
    <w:rsid w:val="00A60122"/>
    <w:rsid w:val="00A60545"/>
    <w:rsid w:val="00A6061B"/>
    <w:rsid w:val="00A60915"/>
    <w:rsid w:val="00A60F9F"/>
    <w:rsid w:val="00A61351"/>
    <w:rsid w:val="00A61700"/>
    <w:rsid w:val="00A61E41"/>
    <w:rsid w:val="00A62651"/>
    <w:rsid w:val="00A62B2E"/>
    <w:rsid w:val="00A63B27"/>
    <w:rsid w:val="00A64049"/>
    <w:rsid w:val="00A6456E"/>
    <w:rsid w:val="00A651AB"/>
    <w:rsid w:val="00A653DE"/>
    <w:rsid w:val="00A65855"/>
    <w:rsid w:val="00A65B48"/>
    <w:rsid w:val="00A667AB"/>
    <w:rsid w:val="00A66BAF"/>
    <w:rsid w:val="00A66E7D"/>
    <w:rsid w:val="00A67DEC"/>
    <w:rsid w:val="00A702C9"/>
    <w:rsid w:val="00A7039E"/>
    <w:rsid w:val="00A70419"/>
    <w:rsid w:val="00A70857"/>
    <w:rsid w:val="00A70BFF"/>
    <w:rsid w:val="00A70C8F"/>
    <w:rsid w:val="00A70DB4"/>
    <w:rsid w:val="00A7198B"/>
    <w:rsid w:val="00A71A08"/>
    <w:rsid w:val="00A71F6A"/>
    <w:rsid w:val="00A728F0"/>
    <w:rsid w:val="00A729AF"/>
    <w:rsid w:val="00A72C3F"/>
    <w:rsid w:val="00A72D8D"/>
    <w:rsid w:val="00A7325F"/>
    <w:rsid w:val="00A734BA"/>
    <w:rsid w:val="00A7352B"/>
    <w:rsid w:val="00A74284"/>
    <w:rsid w:val="00A743A3"/>
    <w:rsid w:val="00A74420"/>
    <w:rsid w:val="00A74C0A"/>
    <w:rsid w:val="00A7517A"/>
    <w:rsid w:val="00A753F4"/>
    <w:rsid w:val="00A75728"/>
    <w:rsid w:val="00A77078"/>
    <w:rsid w:val="00A770E0"/>
    <w:rsid w:val="00A774CD"/>
    <w:rsid w:val="00A808AD"/>
    <w:rsid w:val="00A81180"/>
    <w:rsid w:val="00A81319"/>
    <w:rsid w:val="00A8136F"/>
    <w:rsid w:val="00A81713"/>
    <w:rsid w:val="00A81971"/>
    <w:rsid w:val="00A823FE"/>
    <w:rsid w:val="00A828C7"/>
    <w:rsid w:val="00A836E1"/>
    <w:rsid w:val="00A837A7"/>
    <w:rsid w:val="00A83CB8"/>
    <w:rsid w:val="00A84872"/>
    <w:rsid w:val="00A848E3"/>
    <w:rsid w:val="00A8490C"/>
    <w:rsid w:val="00A84A6E"/>
    <w:rsid w:val="00A85042"/>
    <w:rsid w:val="00A858E6"/>
    <w:rsid w:val="00A864AA"/>
    <w:rsid w:val="00A86501"/>
    <w:rsid w:val="00A87303"/>
    <w:rsid w:val="00A873DC"/>
    <w:rsid w:val="00A87BEB"/>
    <w:rsid w:val="00A901AA"/>
    <w:rsid w:val="00A90D86"/>
    <w:rsid w:val="00A91396"/>
    <w:rsid w:val="00A915D0"/>
    <w:rsid w:val="00A917D3"/>
    <w:rsid w:val="00A919DC"/>
    <w:rsid w:val="00A92C69"/>
    <w:rsid w:val="00A935D1"/>
    <w:rsid w:val="00A93DF7"/>
    <w:rsid w:val="00A9410D"/>
    <w:rsid w:val="00A94F3B"/>
    <w:rsid w:val="00A95BEA"/>
    <w:rsid w:val="00A96085"/>
    <w:rsid w:val="00A961AC"/>
    <w:rsid w:val="00A97112"/>
    <w:rsid w:val="00A97491"/>
    <w:rsid w:val="00A97B6D"/>
    <w:rsid w:val="00AA06D8"/>
    <w:rsid w:val="00AA0715"/>
    <w:rsid w:val="00AA0913"/>
    <w:rsid w:val="00AA0BC4"/>
    <w:rsid w:val="00AA0EDB"/>
    <w:rsid w:val="00AA145F"/>
    <w:rsid w:val="00AA1550"/>
    <w:rsid w:val="00AA1D44"/>
    <w:rsid w:val="00AA1EBE"/>
    <w:rsid w:val="00AA22CE"/>
    <w:rsid w:val="00AA32B2"/>
    <w:rsid w:val="00AA3441"/>
    <w:rsid w:val="00AA3F67"/>
    <w:rsid w:val="00AA4729"/>
    <w:rsid w:val="00AA4923"/>
    <w:rsid w:val="00AA4AE9"/>
    <w:rsid w:val="00AA5769"/>
    <w:rsid w:val="00AA58A7"/>
    <w:rsid w:val="00AA5B58"/>
    <w:rsid w:val="00AA5BD2"/>
    <w:rsid w:val="00AA5D65"/>
    <w:rsid w:val="00AA5FD3"/>
    <w:rsid w:val="00AA6737"/>
    <w:rsid w:val="00AA6928"/>
    <w:rsid w:val="00AA69A1"/>
    <w:rsid w:val="00AB043E"/>
    <w:rsid w:val="00AB0D3B"/>
    <w:rsid w:val="00AB1659"/>
    <w:rsid w:val="00AB239D"/>
    <w:rsid w:val="00AB244A"/>
    <w:rsid w:val="00AB2893"/>
    <w:rsid w:val="00AB2953"/>
    <w:rsid w:val="00AB29CE"/>
    <w:rsid w:val="00AB2BE3"/>
    <w:rsid w:val="00AB2C2D"/>
    <w:rsid w:val="00AB2DD8"/>
    <w:rsid w:val="00AB397C"/>
    <w:rsid w:val="00AB39C3"/>
    <w:rsid w:val="00AB3CBB"/>
    <w:rsid w:val="00AB4138"/>
    <w:rsid w:val="00AB49D2"/>
    <w:rsid w:val="00AB4D16"/>
    <w:rsid w:val="00AB4D85"/>
    <w:rsid w:val="00AB524E"/>
    <w:rsid w:val="00AB58EC"/>
    <w:rsid w:val="00AB5D04"/>
    <w:rsid w:val="00AB5E4E"/>
    <w:rsid w:val="00AB5EC5"/>
    <w:rsid w:val="00AB5F18"/>
    <w:rsid w:val="00AB614A"/>
    <w:rsid w:val="00AB620F"/>
    <w:rsid w:val="00AB69AF"/>
    <w:rsid w:val="00AB6D09"/>
    <w:rsid w:val="00AB6D7B"/>
    <w:rsid w:val="00AB6EEB"/>
    <w:rsid w:val="00AB7529"/>
    <w:rsid w:val="00AB77F2"/>
    <w:rsid w:val="00AB7DA2"/>
    <w:rsid w:val="00AB7EAC"/>
    <w:rsid w:val="00AC09F2"/>
    <w:rsid w:val="00AC239F"/>
    <w:rsid w:val="00AC240C"/>
    <w:rsid w:val="00AC33C2"/>
    <w:rsid w:val="00AC3AE0"/>
    <w:rsid w:val="00AC403D"/>
    <w:rsid w:val="00AC42A7"/>
    <w:rsid w:val="00AC432F"/>
    <w:rsid w:val="00AC4A22"/>
    <w:rsid w:val="00AC4B2B"/>
    <w:rsid w:val="00AC4C6A"/>
    <w:rsid w:val="00AC4C7B"/>
    <w:rsid w:val="00AC5070"/>
    <w:rsid w:val="00AC5121"/>
    <w:rsid w:val="00AC5A57"/>
    <w:rsid w:val="00AC7141"/>
    <w:rsid w:val="00AC72E1"/>
    <w:rsid w:val="00AC766A"/>
    <w:rsid w:val="00AC7D58"/>
    <w:rsid w:val="00AD062C"/>
    <w:rsid w:val="00AD0C11"/>
    <w:rsid w:val="00AD0C54"/>
    <w:rsid w:val="00AD15AE"/>
    <w:rsid w:val="00AD1752"/>
    <w:rsid w:val="00AD1BE5"/>
    <w:rsid w:val="00AD2725"/>
    <w:rsid w:val="00AD3717"/>
    <w:rsid w:val="00AD445B"/>
    <w:rsid w:val="00AD50E3"/>
    <w:rsid w:val="00AD563B"/>
    <w:rsid w:val="00AD567A"/>
    <w:rsid w:val="00AD58A6"/>
    <w:rsid w:val="00AD5AB3"/>
    <w:rsid w:val="00AD5B4E"/>
    <w:rsid w:val="00AD60A8"/>
    <w:rsid w:val="00AD611D"/>
    <w:rsid w:val="00AD6466"/>
    <w:rsid w:val="00AD6979"/>
    <w:rsid w:val="00AD76C4"/>
    <w:rsid w:val="00AD76D6"/>
    <w:rsid w:val="00AD7884"/>
    <w:rsid w:val="00AD7BA3"/>
    <w:rsid w:val="00AE01F3"/>
    <w:rsid w:val="00AE055E"/>
    <w:rsid w:val="00AE1045"/>
    <w:rsid w:val="00AE1470"/>
    <w:rsid w:val="00AE174A"/>
    <w:rsid w:val="00AE2429"/>
    <w:rsid w:val="00AE3037"/>
    <w:rsid w:val="00AE388D"/>
    <w:rsid w:val="00AE3C20"/>
    <w:rsid w:val="00AE4312"/>
    <w:rsid w:val="00AE48EE"/>
    <w:rsid w:val="00AE4BA6"/>
    <w:rsid w:val="00AE5627"/>
    <w:rsid w:val="00AE63C5"/>
    <w:rsid w:val="00AE65EC"/>
    <w:rsid w:val="00AF02BF"/>
    <w:rsid w:val="00AF02FF"/>
    <w:rsid w:val="00AF08C7"/>
    <w:rsid w:val="00AF0A26"/>
    <w:rsid w:val="00AF1443"/>
    <w:rsid w:val="00AF1C3D"/>
    <w:rsid w:val="00AF23EE"/>
    <w:rsid w:val="00AF2411"/>
    <w:rsid w:val="00AF2961"/>
    <w:rsid w:val="00AF3971"/>
    <w:rsid w:val="00AF408F"/>
    <w:rsid w:val="00AF50AC"/>
    <w:rsid w:val="00AF528B"/>
    <w:rsid w:val="00AF550B"/>
    <w:rsid w:val="00AF5593"/>
    <w:rsid w:val="00AF5A0C"/>
    <w:rsid w:val="00AF6389"/>
    <w:rsid w:val="00AF6A97"/>
    <w:rsid w:val="00AF6FBD"/>
    <w:rsid w:val="00AF716F"/>
    <w:rsid w:val="00AF7D42"/>
    <w:rsid w:val="00AF7DB0"/>
    <w:rsid w:val="00B00377"/>
    <w:rsid w:val="00B009F3"/>
    <w:rsid w:val="00B01D24"/>
    <w:rsid w:val="00B02621"/>
    <w:rsid w:val="00B03138"/>
    <w:rsid w:val="00B03F76"/>
    <w:rsid w:val="00B0423E"/>
    <w:rsid w:val="00B047B6"/>
    <w:rsid w:val="00B04A16"/>
    <w:rsid w:val="00B04B15"/>
    <w:rsid w:val="00B04ED8"/>
    <w:rsid w:val="00B050E7"/>
    <w:rsid w:val="00B0521F"/>
    <w:rsid w:val="00B05425"/>
    <w:rsid w:val="00B054D8"/>
    <w:rsid w:val="00B0582F"/>
    <w:rsid w:val="00B05A4B"/>
    <w:rsid w:val="00B05ECA"/>
    <w:rsid w:val="00B05ED8"/>
    <w:rsid w:val="00B0606C"/>
    <w:rsid w:val="00B065F2"/>
    <w:rsid w:val="00B0744A"/>
    <w:rsid w:val="00B074A9"/>
    <w:rsid w:val="00B07739"/>
    <w:rsid w:val="00B077CB"/>
    <w:rsid w:val="00B106B6"/>
    <w:rsid w:val="00B1090A"/>
    <w:rsid w:val="00B10D10"/>
    <w:rsid w:val="00B110AD"/>
    <w:rsid w:val="00B1130B"/>
    <w:rsid w:val="00B113BE"/>
    <w:rsid w:val="00B1177C"/>
    <w:rsid w:val="00B117F3"/>
    <w:rsid w:val="00B11C0E"/>
    <w:rsid w:val="00B11C74"/>
    <w:rsid w:val="00B1286A"/>
    <w:rsid w:val="00B12A07"/>
    <w:rsid w:val="00B12B45"/>
    <w:rsid w:val="00B12E8A"/>
    <w:rsid w:val="00B130E0"/>
    <w:rsid w:val="00B13496"/>
    <w:rsid w:val="00B1390D"/>
    <w:rsid w:val="00B13F47"/>
    <w:rsid w:val="00B14012"/>
    <w:rsid w:val="00B14A1D"/>
    <w:rsid w:val="00B14F4E"/>
    <w:rsid w:val="00B160A9"/>
    <w:rsid w:val="00B16494"/>
    <w:rsid w:val="00B16955"/>
    <w:rsid w:val="00B16E1D"/>
    <w:rsid w:val="00B16F7A"/>
    <w:rsid w:val="00B170B9"/>
    <w:rsid w:val="00B170ED"/>
    <w:rsid w:val="00B1742A"/>
    <w:rsid w:val="00B17446"/>
    <w:rsid w:val="00B17631"/>
    <w:rsid w:val="00B17D43"/>
    <w:rsid w:val="00B17F89"/>
    <w:rsid w:val="00B17FC7"/>
    <w:rsid w:val="00B20328"/>
    <w:rsid w:val="00B2071C"/>
    <w:rsid w:val="00B21031"/>
    <w:rsid w:val="00B21B7D"/>
    <w:rsid w:val="00B22172"/>
    <w:rsid w:val="00B226ED"/>
    <w:rsid w:val="00B23288"/>
    <w:rsid w:val="00B23432"/>
    <w:rsid w:val="00B236A3"/>
    <w:rsid w:val="00B23DB3"/>
    <w:rsid w:val="00B23E83"/>
    <w:rsid w:val="00B2403A"/>
    <w:rsid w:val="00B24230"/>
    <w:rsid w:val="00B24544"/>
    <w:rsid w:val="00B247BC"/>
    <w:rsid w:val="00B24D70"/>
    <w:rsid w:val="00B24F99"/>
    <w:rsid w:val="00B256B5"/>
    <w:rsid w:val="00B257F6"/>
    <w:rsid w:val="00B25E9A"/>
    <w:rsid w:val="00B26111"/>
    <w:rsid w:val="00B261F8"/>
    <w:rsid w:val="00B262AD"/>
    <w:rsid w:val="00B26488"/>
    <w:rsid w:val="00B265F6"/>
    <w:rsid w:val="00B26639"/>
    <w:rsid w:val="00B2681B"/>
    <w:rsid w:val="00B268CF"/>
    <w:rsid w:val="00B274DD"/>
    <w:rsid w:val="00B27A54"/>
    <w:rsid w:val="00B27E93"/>
    <w:rsid w:val="00B30376"/>
    <w:rsid w:val="00B30B20"/>
    <w:rsid w:val="00B314B5"/>
    <w:rsid w:val="00B31897"/>
    <w:rsid w:val="00B31D11"/>
    <w:rsid w:val="00B3222D"/>
    <w:rsid w:val="00B3230D"/>
    <w:rsid w:val="00B33377"/>
    <w:rsid w:val="00B33484"/>
    <w:rsid w:val="00B33D82"/>
    <w:rsid w:val="00B34350"/>
    <w:rsid w:val="00B352D8"/>
    <w:rsid w:val="00B3609A"/>
    <w:rsid w:val="00B36178"/>
    <w:rsid w:val="00B3632F"/>
    <w:rsid w:val="00B363B8"/>
    <w:rsid w:val="00B3693B"/>
    <w:rsid w:val="00B36E6A"/>
    <w:rsid w:val="00B37010"/>
    <w:rsid w:val="00B371F4"/>
    <w:rsid w:val="00B3739D"/>
    <w:rsid w:val="00B3740D"/>
    <w:rsid w:val="00B3745C"/>
    <w:rsid w:val="00B40174"/>
    <w:rsid w:val="00B401BF"/>
    <w:rsid w:val="00B40719"/>
    <w:rsid w:val="00B40963"/>
    <w:rsid w:val="00B40DC7"/>
    <w:rsid w:val="00B41A6B"/>
    <w:rsid w:val="00B41C96"/>
    <w:rsid w:val="00B42251"/>
    <w:rsid w:val="00B4264D"/>
    <w:rsid w:val="00B42AB6"/>
    <w:rsid w:val="00B435B3"/>
    <w:rsid w:val="00B43A1A"/>
    <w:rsid w:val="00B43AD7"/>
    <w:rsid w:val="00B43CF9"/>
    <w:rsid w:val="00B4438E"/>
    <w:rsid w:val="00B44B40"/>
    <w:rsid w:val="00B4506E"/>
    <w:rsid w:val="00B45611"/>
    <w:rsid w:val="00B45D5C"/>
    <w:rsid w:val="00B461F6"/>
    <w:rsid w:val="00B46597"/>
    <w:rsid w:val="00B46640"/>
    <w:rsid w:val="00B46801"/>
    <w:rsid w:val="00B46BC1"/>
    <w:rsid w:val="00B46E4F"/>
    <w:rsid w:val="00B47C90"/>
    <w:rsid w:val="00B500A8"/>
    <w:rsid w:val="00B5084E"/>
    <w:rsid w:val="00B50887"/>
    <w:rsid w:val="00B50F17"/>
    <w:rsid w:val="00B51DB7"/>
    <w:rsid w:val="00B521D2"/>
    <w:rsid w:val="00B52499"/>
    <w:rsid w:val="00B52683"/>
    <w:rsid w:val="00B52878"/>
    <w:rsid w:val="00B5295E"/>
    <w:rsid w:val="00B5305F"/>
    <w:rsid w:val="00B531FB"/>
    <w:rsid w:val="00B53AEA"/>
    <w:rsid w:val="00B53D99"/>
    <w:rsid w:val="00B5435A"/>
    <w:rsid w:val="00B54619"/>
    <w:rsid w:val="00B54AF4"/>
    <w:rsid w:val="00B54C27"/>
    <w:rsid w:val="00B54F54"/>
    <w:rsid w:val="00B551DE"/>
    <w:rsid w:val="00B556B8"/>
    <w:rsid w:val="00B55B30"/>
    <w:rsid w:val="00B5615D"/>
    <w:rsid w:val="00B564E4"/>
    <w:rsid w:val="00B5661F"/>
    <w:rsid w:val="00B567D0"/>
    <w:rsid w:val="00B5755A"/>
    <w:rsid w:val="00B57C3F"/>
    <w:rsid w:val="00B603F9"/>
    <w:rsid w:val="00B609FC"/>
    <w:rsid w:val="00B616F8"/>
    <w:rsid w:val="00B61D4C"/>
    <w:rsid w:val="00B63F78"/>
    <w:rsid w:val="00B63FC5"/>
    <w:rsid w:val="00B64498"/>
    <w:rsid w:val="00B6476F"/>
    <w:rsid w:val="00B64774"/>
    <w:rsid w:val="00B64CF6"/>
    <w:rsid w:val="00B64F65"/>
    <w:rsid w:val="00B651DB"/>
    <w:rsid w:val="00B659E7"/>
    <w:rsid w:val="00B65AC8"/>
    <w:rsid w:val="00B65BCF"/>
    <w:rsid w:val="00B65D3C"/>
    <w:rsid w:val="00B65F51"/>
    <w:rsid w:val="00B66783"/>
    <w:rsid w:val="00B66B4B"/>
    <w:rsid w:val="00B66FD5"/>
    <w:rsid w:val="00B67403"/>
    <w:rsid w:val="00B67778"/>
    <w:rsid w:val="00B67BFD"/>
    <w:rsid w:val="00B701F7"/>
    <w:rsid w:val="00B70C92"/>
    <w:rsid w:val="00B7222E"/>
    <w:rsid w:val="00B731EB"/>
    <w:rsid w:val="00B73B28"/>
    <w:rsid w:val="00B73B9F"/>
    <w:rsid w:val="00B740B7"/>
    <w:rsid w:val="00B7513E"/>
    <w:rsid w:val="00B754F1"/>
    <w:rsid w:val="00B75714"/>
    <w:rsid w:val="00B75B9D"/>
    <w:rsid w:val="00B76C5F"/>
    <w:rsid w:val="00B76D08"/>
    <w:rsid w:val="00B770F8"/>
    <w:rsid w:val="00B77274"/>
    <w:rsid w:val="00B7781A"/>
    <w:rsid w:val="00B77D4F"/>
    <w:rsid w:val="00B77DE2"/>
    <w:rsid w:val="00B803C4"/>
    <w:rsid w:val="00B80D48"/>
    <w:rsid w:val="00B80EB3"/>
    <w:rsid w:val="00B811F8"/>
    <w:rsid w:val="00B81B03"/>
    <w:rsid w:val="00B8270A"/>
    <w:rsid w:val="00B827C4"/>
    <w:rsid w:val="00B828FA"/>
    <w:rsid w:val="00B82E49"/>
    <w:rsid w:val="00B82FB4"/>
    <w:rsid w:val="00B83154"/>
    <w:rsid w:val="00B83191"/>
    <w:rsid w:val="00B83833"/>
    <w:rsid w:val="00B83919"/>
    <w:rsid w:val="00B83CC7"/>
    <w:rsid w:val="00B83E84"/>
    <w:rsid w:val="00B83E8F"/>
    <w:rsid w:val="00B848A5"/>
    <w:rsid w:val="00B84D65"/>
    <w:rsid w:val="00B856A2"/>
    <w:rsid w:val="00B85AF5"/>
    <w:rsid w:val="00B85D43"/>
    <w:rsid w:val="00B86B9F"/>
    <w:rsid w:val="00B870F0"/>
    <w:rsid w:val="00B87402"/>
    <w:rsid w:val="00B875A8"/>
    <w:rsid w:val="00B87794"/>
    <w:rsid w:val="00B87808"/>
    <w:rsid w:val="00B87970"/>
    <w:rsid w:val="00B87ECD"/>
    <w:rsid w:val="00B87EEB"/>
    <w:rsid w:val="00B91040"/>
    <w:rsid w:val="00B91214"/>
    <w:rsid w:val="00B914A9"/>
    <w:rsid w:val="00B914E2"/>
    <w:rsid w:val="00B9206A"/>
    <w:rsid w:val="00B9219E"/>
    <w:rsid w:val="00B92F24"/>
    <w:rsid w:val="00B92F44"/>
    <w:rsid w:val="00B93CCB"/>
    <w:rsid w:val="00B941D7"/>
    <w:rsid w:val="00B9451C"/>
    <w:rsid w:val="00B95209"/>
    <w:rsid w:val="00B95295"/>
    <w:rsid w:val="00B95990"/>
    <w:rsid w:val="00B964BA"/>
    <w:rsid w:val="00B96A48"/>
    <w:rsid w:val="00B96B0E"/>
    <w:rsid w:val="00B96EDD"/>
    <w:rsid w:val="00B97AB2"/>
    <w:rsid w:val="00B97F38"/>
    <w:rsid w:val="00BA0AC6"/>
    <w:rsid w:val="00BA0F1E"/>
    <w:rsid w:val="00BA0F93"/>
    <w:rsid w:val="00BA12D7"/>
    <w:rsid w:val="00BA1870"/>
    <w:rsid w:val="00BA1A19"/>
    <w:rsid w:val="00BA1ACA"/>
    <w:rsid w:val="00BA2933"/>
    <w:rsid w:val="00BA36BC"/>
    <w:rsid w:val="00BA3783"/>
    <w:rsid w:val="00BA383D"/>
    <w:rsid w:val="00BA39E9"/>
    <w:rsid w:val="00BA3DDB"/>
    <w:rsid w:val="00BA3FCF"/>
    <w:rsid w:val="00BA45D2"/>
    <w:rsid w:val="00BA4942"/>
    <w:rsid w:val="00BA4C1B"/>
    <w:rsid w:val="00BA5622"/>
    <w:rsid w:val="00BA5A7E"/>
    <w:rsid w:val="00BA5F0D"/>
    <w:rsid w:val="00BA611D"/>
    <w:rsid w:val="00BA614F"/>
    <w:rsid w:val="00BA628D"/>
    <w:rsid w:val="00BA67B0"/>
    <w:rsid w:val="00BA699E"/>
    <w:rsid w:val="00BA6C20"/>
    <w:rsid w:val="00BA747B"/>
    <w:rsid w:val="00BA752E"/>
    <w:rsid w:val="00BA77A8"/>
    <w:rsid w:val="00BA7A9A"/>
    <w:rsid w:val="00BA7E97"/>
    <w:rsid w:val="00BB06F0"/>
    <w:rsid w:val="00BB089D"/>
    <w:rsid w:val="00BB0919"/>
    <w:rsid w:val="00BB09C0"/>
    <w:rsid w:val="00BB0DC7"/>
    <w:rsid w:val="00BB1108"/>
    <w:rsid w:val="00BB124F"/>
    <w:rsid w:val="00BB12A8"/>
    <w:rsid w:val="00BB1423"/>
    <w:rsid w:val="00BB1FC7"/>
    <w:rsid w:val="00BB299C"/>
    <w:rsid w:val="00BB2C60"/>
    <w:rsid w:val="00BB2DE7"/>
    <w:rsid w:val="00BB388B"/>
    <w:rsid w:val="00BB393C"/>
    <w:rsid w:val="00BB415A"/>
    <w:rsid w:val="00BB4239"/>
    <w:rsid w:val="00BB4C12"/>
    <w:rsid w:val="00BB5545"/>
    <w:rsid w:val="00BB5915"/>
    <w:rsid w:val="00BB5D7F"/>
    <w:rsid w:val="00BB5F96"/>
    <w:rsid w:val="00BB6303"/>
    <w:rsid w:val="00BB671F"/>
    <w:rsid w:val="00BB690D"/>
    <w:rsid w:val="00BB7634"/>
    <w:rsid w:val="00BB79D9"/>
    <w:rsid w:val="00BB7B8C"/>
    <w:rsid w:val="00BC0509"/>
    <w:rsid w:val="00BC0942"/>
    <w:rsid w:val="00BC1002"/>
    <w:rsid w:val="00BC1351"/>
    <w:rsid w:val="00BC15D1"/>
    <w:rsid w:val="00BC1F73"/>
    <w:rsid w:val="00BC34B6"/>
    <w:rsid w:val="00BC38AD"/>
    <w:rsid w:val="00BC491D"/>
    <w:rsid w:val="00BC4C0D"/>
    <w:rsid w:val="00BC4F61"/>
    <w:rsid w:val="00BC53CB"/>
    <w:rsid w:val="00BC63B2"/>
    <w:rsid w:val="00BC6663"/>
    <w:rsid w:val="00BC66E3"/>
    <w:rsid w:val="00BC69E8"/>
    <w:rsid w:val="00BC7575"/>
    <w:rsid w:val="00BC75FB"/>
    <w:rsid w:val="00BC7D10"/>
    <w:rsid w:val="00BD03CC"/>
    <w:rsid w:val="00BD0421"/>
    <w:rsid w:val="00BD067E"/>
    <w:rsid w:val="00BD07C7"/>
    <w:rsid w:val="00BD0B41"/>
    <w:rsid w:val="00BD0BE0"/>
    <w:rsid w:val="00BD13F5"/>
    <w:rsid w:val="00BD1934"/>
    <w:rsid w:val="00BD1D3C"/>
    <w:rsid w:val="00BD228E"/>
    <w:rsid w:val="00BD239A"/>
    <w:rsid w:val="00BD250C"/>
    <w:rsid w:val="00BD27BC"/>
    <w:rsid w:val="00BD299D"/>
    <w:rsid w:val="00BD2B3A"/>
    <w:rsid w:val="00BD2DCF"/>
    <w:rsid w:val="00BD360F"/>
    <w:rsid w:val="00BD3965"/>
    <w:rsid w:val="00BD414C"/>
    <w:rsid w:val="00BD446C"/>
    <w:rsid w:val="00BD45E1"/>
    <w:rsid w:val="00BD5526"/>
    <w:rsid w:val="00BD577F"/>
    <w:rsid w:val="00BD5893"/>
    <w:rsid w:val="00BD6C36"/>
    <w:rsid w:val="00BD6E1B"/>
    <w:rsid w:val="00BD714C"/>
    <w:rsid w:val="00BD7441"/>
    <w:rsid w:val="00BD75FE"/>
    <w:rsid w:val="00BD7657"/>
    <w:rsid w:val="00BE0001"/>
    <w:rsid w:val="00BE03A8"/>
    <w:rsid w:val="00BE078E"/>
    <w:rsid w:val="00BE079A"/>
    <w:rsid w:val="00BE082C"/>
    <w:rsid w:val="00BE0A30"/>
    <w:rsid w:val="00BE0D84"/>
    <w:rsid w:val="00BE0F18"/>
    <w:rsid w:val="00BE0FE6"/>
    <w:rsid w:val="00BE11B5"/>
    <w:rsid w:val="00BE160C"/>
    <w:rsid w:val="00BE1ABA"/>
    <w:rsid w:val="00BE1D64"/>
    <w:rsid w:val="00BE1FAA"/>
    <w:rsid w:val="00BE28CD"/>
    <w:rsid w:val="00BE2B42"/>
    <w:rsid w:val="00BE2DF9"/>
    <w:rsid w:val="00BE2EC5"/>
    <w:rsid w:val="00BE2EE4"/>
    <w:rsid w:val="00BE2F99"/>
    <w:rsid w:val="00BE322B"/>
    <w:rsid w:val="00BE36FB"/>
    <w:rsid w:val="00BE4824"/>
    <w:rsid w:val="00BE497F"/>
    <w:rsid w:val="00BE5473"/>
    <w:rsid w:val="00BE5538"/>
    <w:rsid w:val="00BE5792"/>
    <w:rsid w:val="00BE57B4"/>
    <w:rsid w:val="00BE5DAE"/>
    <w:rsid w:val="00BE5F51"/>
    <w:rsid w:val="00BE6505"/>
    <w:rsid w:val="00BE6AB2"/>
    <w:rsid w:val="00BE6CB4"/>
    <w:rsid w:val="00BE77E5"/>
    <w:rsid w:val="00BE7EA9"/>
    <w:rsid w:val="00BE7F0B"/>
    <w:rsid w:val="00BF020A"/>
    <w:rsid w:val="00BF1047"/>
    <w:rsid w:val="00BF1651"/>
    <w:rsid w:val="00BF1B6C"/>
    <w:rsid w:val="00BF1DC4"/>
    <w:rsid w:val="00BF1EA7"/>
    <w:rsid w:val="00BF28E2"/>
    <w:rsid w:val="00BF2F4B"/>
    <w:rsid w:val="00BF3903"/>
    <w:rsid w:val="00BF3992"/>
    <w:rsid w:val="00BF47E8"/>
    <w:rsid w:val="00BF534A"/>
    <w:rsid w:val="00BF57FA"/>
    <w:rsid w:val="00BF5E8A"/>
    <w:rsid w:val="00BF64F4"/>
    <w:rsid w:val="00BF6B2A"/>
    <w:rsid w:val="00BF6BF5"/>
    <w:rsid w:val="00BF7C2E"/>
    <w:rsid w:val="00BF7DB1"/>
    <w:rsid w:val="00C007A1"/>
    <w:rsid w:val="00C00A71"/>
    <w:rsid w:val="00C00EB6"/>
    <w:rsid w:val="00C00F87"/>
    <w:rsid w:val="00C00FB6"/>
    <w:rsid w:val="00C01532"/>
    <w:rsid w:val="00C0189B"/>
    <w:rsid w:val="00C0221F"/>
    <w:rsid w:val="00C02338"/>
    <w:rsid w:val="00C029A2"/>
    <w:rsid w:val="00C03082"/>
    <w:rsid w:val="00C0351B"/>
    <w:rsid w:val="00C05176"/>
    <w:rsid w:val="00C065F3"/>
    <w:rsid w:val="00C06C8F"/>
    <w:rsid w:val="00C073B0"/>
    <w:rsid w:val="00C07769"/>
    <w:rsid w:val="00C07911"/>
    <w:rsid w:val="00C07CBB"/>
    <w:rsid w:val="00C1021F"/>
    <w:rsid w:val="00C10546"/>
    <w:rsid w:val="00C10D05"/>
    <w:rsid w:val="00C11640"/>
    <w:rsid w:val="00C1224D"/>
    <w:rsid w:val="00C123A3"/>
    <w:rsid w:val="00C1249F"/>
    <w:rsid w:val="00C128E6"/>
    <w:rsid w:val="00C13314"/>
    <w:rsid w:val="00C1354C"/>
    <w:rsid w:val="00C13711"/>
    <w:rsid w:val="00C13748"/>
    <w:rsid w:val="00C14707"/>
    <w:rsid w:val="00C14994"/>
    <w:rsid w:val="00C14FDD"/>
    <w:rsid w:val="00C15064"/>
    <w:rsid w:val="00C1573B"/>
    <w:rsid w:val="00C15C08"/>
    <w:rsid w:val="00C15C10"/>
    <w:rsid w:val="00C15D13"/>
    <w:rsid w:val="00C15DF4"/>
    <w:rsid w:val="00C16903"/>
    <w:rsid w:val="00C16A35"/>
    <w:rsid w:val="00C16A38"/>
    <w:rsid w:val="00C17246"/>
    <w:rsid w:val="00C17D8C"/>
    <w:rsid w:val="00C202CA"/>
    <w:rsid w:val="00C20444"/>
    <w:rsid w:val="00C204A1"/>
    <w:rsid w:val="00C2055A"/>
    <w:rsid w:val="00C20561"/>
    <w:rsid w:val="00C2081A"/>
    <w:rsid w:val="00C20923"/>
    <w:rsid w:val="00C20A1E"/>
    <w:rsid w:val="00C20B40"/>
    <w:rsid w:val="00C2138D"/>
    <w:rsid w:val="00C2186F"/>
    <w:rsid w:val="00C224EF"/>
    <w:rsid w:val="00C22EEB"/>
    <w:rsid w:val="00C2306E"/>
    <w:rsid w:val="00C23B6F"/>
    <w:rsid w:val="00C24000"/>
    <w:rsid w:val="00C2429D"/>
    <w:rsid w:val="00C243FE"/>
    <w:rsid w:val="00C25053"/>
    <w:rsid w:val="00C2519C"/>
    <w:rsid w:val="00C251B1"/>
    <w:rsid w:val="00C25384"/>
    <w:rsid w:val="00C2559E"/>
    <w:rsid w:val="00C25BDE"/>
    <w:rsid w:val="00C25C99"/>
    <w:rsid w:val="00C25E75"/>
    <w:rsid w:val="00C26096"/>
    <w:rsid w:val="00C264C7"/>
    <w:rsid w:val="00C265CE"/>
    <w:rsid w:val="00C267E3"/>
    <w:rsid w:val="00C26A3A"/>
    <w:rsid w:val="00C27018"/>
    <w:rsid w:val="00C27208"/>
    <w:rsid w:val="00C31089"/>
    <w:rsid w:val="00C31335"/>
    <w:rsid w:val="00C31409"/>
    <w:rsid w:val="00C315FD"/>
    <w:rsid w:val="00C3163E"/>
    <w:rsid w:val="00C31671"/>
    <w:rsid w:val="00C31F1E"/>
    <w:rsid w:val="00C32350"/>
    <w:rsid w:val="00C35640"/>
    <w:rsid w:val="00C358A9"/>
    <w:rsid w:val="00C3597E"/>
    <w:rsid w:val="00C36261"/>
    <w:rsid w:val="00C363ED"/>
    <w:rsid w:val="00C368AA"/>
    <w:rsid w:val="00C368EB"/>
    <w:rsid w:val="00C36C0B"/>
    <w:rsid w:val="00C37A1F"/>
    <w:rsid w:val="00C37C02"/>
    <w:rsid w:val="00C401FA"/>
    <w:rsid w:val="00C40214"/>
    <w:rsid w:val="00C405EF"/>
    <w:rsid w:val="00C4090D"/>
    <w:rsid w:val="00C40A1D"/>
    <w:rsid w:val="00C40DFD"/>
    <w:rsid w:val="00C41ED2"/>
    <w:rsid w:val="00C420D0"/>
    <w:rsid w:val="00C424BF"/>
    <w:rsid w:val="00C42646"/>
    <w:rsid w:val="00C43485"/>
    <w:rsid w:val="00C43632"/>
    <w:rsid w:val="00C43815"/>
    <w:rsid w:val="00C43C37"/>
    <w:rsid w:val="00C44493"/>
    <w:rsid w:val="00C445C2"/>
    <w:rsid w:val="00C448C8"/>
    <w:rsid w:val="00C45025"/>
    <w:rsid w:val="00C45A49"/>
    <w:rsid w:val="00C45BAB"/>
    <w:rsid w:val="00C45E00"/>
    <w:rsid w:val="00C45E42"/>
    <w:rsid w:val="00C4608C"/>
    <w:rsid w:val="00C46640"/>
    <w:rsid w:val="00C466EE"/>
    <w:rsid w:val="00C46987"/>
    <w:rsid w:val="00C46E48"/>
    <w:rsid w:val="00C47058"/>
    <w:rsid w:val="00C47075"/>
    <w:rsid w:val="00C47592"/>
    <w:rsid w:val="00C47AE1"/>
    <w:rsid w:val="00C47E42"/>
    <w:rsid w:val="00C47F04"/>
    <w:rsid w:val="00C50687"/>
    <w:rsid w:val="00C507F8"/>
    <w:rsid w:val="00C509B0"/>
    <w:rsid w:val="00C51900"/>
    <w:rsid w:val="00C51BC0"/>
    <w:rsid w:val="00C5246A"/>
    <w:rsid w:val="00C527DE"/>
    <w:rsid w:val="00C52B2C"/>
    <w:rsid w:val="00C52D11"/>
    <w:rsid w:val="00C52E23"/>
    <w:rsid w:val="00C5396D"/>
    <w:rsid w:val="00C53A08"/>
    <w:rsid w:val="00C53AB7"/>
    <w:rsid w:val="00C53C0E"/>
    <w:rsid w:val="00C53E31"/>
    <w:rsid w:val="00C54501"/>
    <w:rsid w:val="00C54A0C"/>
    <w:rsid w:val="00C54DD6"/>
    <w:rsid w:val="00C55428"/>
    <w:rsid w:val="00C55712"/>
    <w:rsid w:val="00C55749"/>
    <w:rsid w:val="00C55A92"/>
    <w:rsid w:val="00C55B6F"/>
    <w:rsid w:val="00C563AC"/>
    <w:rsid w:val="00C569B0"/>
    <w:rsid w:val="00C56EA9"/>
    <w:rsid w:val="00C57627"/>
    <w:rsid w:val="00C57966"/>
    <w:rsid w:val="00C57F51"/>
    <w:rsid w:val="00C601CC"/>
    <w:rsid w:val="00C60207"/>
    <w:rsid w:val="00C6038D"/>
    <w:rsid w:val="00C60738"/>
    <w:rsid w:val="00C61114"/>
    <w:rsid w:val="00C61181"/>
    <w:rsid w:val="00C61706"/>
    <w:rsid w:val="00C61C02"/>
    <w:rsid w:val="00C61CC4"/>
    <w:rsid w:val="00C61DF8"/>
    <w:rsid w:val="00C62154"/>
    <w:rsid w:val="00C6253F"/>
    <w:rsid w:val="00C6259F"/>
    <w:rsid w:val="00C62842"/>
    <w:rsid w:val="00C62BD2"/>
    <w:rsid w:val="00C6328C"/>
    <w:rsid w:val="00C63394"/>
    <w:rsid w:val="00C63513"/>
    <w:rsid w:val="00C6455C"/>
    <w:rsid w:val="00C64841"/>
    <w:rsid w:val="00C64C08"/>
    <w:rsid w:val="00C64C6F"/>
    <w:rsid w:val="00C64D31"/>
    <w:rsid w:val="00C65199"/>
    <w:rsid w:val="00C65248"/>
    <w:rsid w:val="00C6560D"/>
    <w:rsid w:val="00C6614C"/>
    <w:rsid w:val="00C66873"/>
    <w:rsid w:val="00C668B8"/>
    <w:rsid w:val="00C66D8A"/>
    <w:rsid w:val="00C6720A"/>
    <w:rsid w:val="00C67302"/>
    <w:rsid w:val="00C67796"/>
    <w:rsid w:val="00C67FEB"/>
    <w:rsid w:val="00C70025"/>
    <w:rsid w:val="00C702B7"/>
    <w:rsid w:val="00C704B2"/>
    <w:rsid w:val="00C707F5"/>
    <w:rsid w:val="00C711FF"/>
    <w:rsid w:val="00C713E4"/>
    <w:rsid w:val="00C71D55"/>
    <w:rsid w:val="00C7222C"/>
    <w:rsid w:val="00C723E7"/>
    <w:rsid w:val="00C72C28"/>
    <w:rsid w:val="00C72EB4"/>
    <w:rsid w:val="00C72ECA"/>
    <w:rsid w:val="00C72F49"/>
    <w:rsid w:val="00C73A12"/>
    <w:rsid w:val="00C73A93"/>
    <w:rsid w:val="00C73BCD"/>
    <w:rsid w:val="00C74B0B"/>
    <w:rsid w:val="00C74E4E"/>
    <w:rsid w:val="00C752FE"/>
    <w:rsid w:val="00C759F6"/>
    <w:rsid w:val="00C75A41"/>
    <w:rsid w:val="00C75A8F"/>
    <w:rsid w:val="00C75D78"/>
    <w:rsid w:val="00C75EE7"/>
    <w:rsid w:val="00C75FC8"/>
    <w:rsid w:val="00C7639A"/>
    <w:rsid w:val="00C77185"/>
    <w:rsid w:val="00C7796F"/>
    <w:rsid w:val="00C7798B"/>
    <w:rsid w:val="00C77D6B"/>
    <w:rsid w:val="00C77DB9"/>
    <w:rsid w:val="00C8047B"/>
    <w:rsid w:val="00C808EF"/>
    <w:rsid w:val="00C8138F"/>
    <w:rsid w:val="00C814FD"/>
    <w:rsid w:val="00C81813"/>
    <w:rsid w:val="00C81995"/>
    <w:rsid w:val="00C81DF8"/>
    <w:rsid w:val="00C8213A"/>
    <w:rsid w:val="00C82869"/>
    <w:rsid w:val="00C82B12"/>
    <w:rsid w:val="00C82D40"/>
    <w:rsid w:val="00C82E48"/>
    <w:rsid w:val="00C837E8"/>
    <w:rsid w:val="00C83824"/>
    <w:rsid w:val="00C83E01"/>
    <w:rsid w:val="00C8409F"/>
    <w:rsid w:val="00C842DC"/>
    <w:rsid w:val="00C84388"/>
    <w:rsid w:val="00C844DC"/>
    <w:rsid w:val="00C84D2C"/>
    <w:rsid w:val="00C85622"/>
    <w:rsid w:val="00C85A0C"/>
    <w:rsid w:val="00C85B71"/>
    <w:rsid w:val="00C861FD"/>
    <w:rsid w:val="00C86257"/>
    <w:rsid w:val="00C862CD"/>
    <w:rsid w:val="00C86967"/>
    <w:rsid w:val="00C86CF5"/>
    <w:rsid w:val="00C86E4B"/>
    <w:rsid w:val="00C86FD2"/>
    <w:rsid w:val="00C8724B"/>
    <w:rsid w:val="00C87833"/>
    <w:rsid w:val="00C904FA"/>
    <w:rsid w:val="00C90803"/>
    <w:rsid w:val="00C9081D"/>
    <w:rsid w:val="00C9097E"/>
    <w:rsid w:val="00C90CC0"/>
    <w:rsid w:val="00C90D4E"/>
    <w:rsid w:val="00C90E88"/>
    <w:rsid w:val="00C918E4"/>
    <w:rsid w:val="00C92456"/>
    <w:rsid w:val="00C92529"/>
    <w:rsid w:val="00C92597"/>
    <w:rsid w:val="00C92AC1"/>
    <w:rsid w:val="00C92BA9"/>
    <w:rsid w:val="00C93535"/>
    <w:rsid w:val="00C94537"/>
    <w:rsid w:val="00C94A80"/>
    <w:rsid w:val="00C94A94"/>
    <w:rsid w:val="00C94BB4"/>
    <w:rsid w:val="00C94F44"/>
    <w:rsid w:val="00C952FD"/>
    <w:rsid w:val="00C9567B"/>
    <w:rsid w:val="00C96088"/>
    <w:rsid w:val="00C96B72"/>
    <w:rsid w:val="00C96E9B"/>
    <w:rsid w:val="00C97389"/>
    <w:rsid w:val="00C976A6"/>
    <w:rsid w:val="00C97A0C"/>
    <w:rsid w:val="00C97C08"/>
    <w:rsid w:val="00CA0012"/>
    <w:rsid w:val="00CA07FD"/>
    <w:rsid w:val="00CA0B57"/>
    <w:rsid w:val="00CA10CA"/>
    <w:rsid w:val="00CA1671"/>
    <w:rsid w:val="00CA1C6E"/>
    <w:rsid w:val="00CA25CE"/>
    <w:rsid w:val="00CA293A"/>
    <w:rsid w:val="00CA2FE9"/>
    <w:rsid w:val="00CA33A1"/>
    <w:rsid w:val="00CA3D6C"/>
    <w:rsid w:val="00CA4322"/>
    <w:rsid w:val="00CA4990"/>
    <w:rsid w:val="00CA4A59"/>
    <w:rsid w:val="00CA5746"/>
    <w:rsid w:val="00CA63BD"/>
    <w:rsid w:val="00CA6AAD"/>
    <w:rsid w:val="00CA704C"/>
    <w:rsid w:val="00CA72BF"/>
    <w:rsid w:val="00CA7592"/>
    <w:rsid w:val="00CA75BF"/>
    <w:rsid w:val="00CA77CA"/>
    <w:rsid w:val="00CB0E65"/>
    <w:rsid w:val="00CB1317"/>
    <w:rsid w:val="00CB162B"/>
    <w:rsid w:val="00CB1C1A"/>
    <w:rsid w:val="00CB2074"/>
    <w:rsid w:val="00CB212A"/>
    <w:rsid w:val="00CB28F6"/>
    <w:rsid w:val="00CB2FF0"/>
    <w:rsid w:val="00CB38E1"/>
    <w:rsid w:val="00CB39F7"/>
    <w:rsid w:val="00CB3A3F"/>
    <w:rsid w:val="00CB42C2"/>
    <w:rsid w:val="00CB4BBD"/>
    <w:rsid w:val="00CB52F6"/>
    <w:rsid w:val="00CB5413"/>
    <w:rsid w:val="00CB5BCE"/>
    <w:rsid w:val="00CB67D3"/>
    <w:rsid w:val="00CB6997"/>
    <w:rsid w:val="00CB6AC6"/>
    <w:rsid w:val="00CB78D1"/>
    <w:rsid w:val="00CB7D5A"/>
    <w:rsid w:val="00CB7F85"/>
    <w:rsid w:val="00CC00E2"/>
    <w:rsid w:val="00CC0709"/>
    <w:rsid w:val="00CC0830"/>
    <w:rsid w:val="00CC086F"/>
    <w:rsid w:val="00CC1257"/>
    <w:rsid w:val="00CC17AC"/>
    <w:rsid w:val="00CC1875"/>
    <w:rsid w:val="00CC1F43"/>
    <w:rsid w:val="00CC1F53"/>
    <w:rsid w:val="00CC36B0"/>
    <w:rsid w:val="00CC37ED"/>
    <w:rsid w:val="00CC3C1D"/>
    <w:rsid w:val="00CC4272"/>
    <w:rsid w:val="00CC442E"/>
    <w:rsid w:val="00CC4B55"/>
    <w:rsid w:val="00CC4C0F"/>
    <w:rsid w:val="00CC4CD6"/>
    <w:rsid w:val="00CC4E71"/>
    <w:rsid w:val="00CC54A7"/>
    <w:rsid w:val="00CC5595"/>
    <w:rsid w:val="00CC5E6E"/>
    <w:rsid w:val="00CC5EB2"/>
    <w:rsid w:val="00CC6422"/>
    <w:rsid w:val="00CC6AB1"/>
    <w:rsid w:val="00CC6B96"/>
    <w:rsid w:val="00CC713B"/>
    <w:rsid w:val="00CC72B6"/>
    <w:rsid w:val="00CC7371"/>
    <w:rsid w:val="00CC79B4"/>
    <w:rsid w:val="00CC7F4D"/>
    <w:rsid w:val="00CC7F61"/>
    <w:rsid w:val="00CD045A"/>
    <w:rsid w:val="00CD0974"/>
    <w:rsid w:val="00CD0DD6"/>
    <w:rsid w:val="00CD1049"/>
    <w:rsid w:val="00CD11A8"/>
    <w:rsid w:val="00CD1942"/>
    <w:rsid w:val="00CD27A6"/>
    <w:rsid w:val="00CD2C88"/>
    <w:rsid w:val="00CD3C03"/>
    <w:rsid w:val="00CD41A3"/>
    <w:rsid w:val="00CD4698"/>
    <w:rsid w:val="00CD4AA6"/>
    <w:rsid w:val="00CD55ED"/>
    <w:rsid w:val="00CD6692"/>
    <w:rsid w:val="00CD70B6"/>
    <w:rsid w:val="00CD751C"/>
    <w:rsid w:val="00CD76AA"/>
    <w:rsid w:val="00CD7DBD"/>
    <w:rsid w:val="00CE0B8F"/>
    <w:rsid w:val="00CE143C"/>
    <w:rsid w:val="00CE1623"/>
    <w:rsid w:val="00CE18BF"/>
    <w:rsid w:val="00CE1D95"/>
    <w:rsid w:val="00CE2C91"/>
    <w:rsid w:val="00CE303E"/>
    <w:rsid w:val="00CE316E"/>
    <w:rsid w:val="00CE451C"/>
    <w:rsid w:val="00CE4BC3"/>
    <w:rsid w:val="00CE515F"/>
    <w:rsid w:val="00CE5355"/>
    <w:rsid w:val="00CE556A"/>
    <w:rsid w:val="00CE5B45"/>
    <w:rsid w:val="00CE5BD8"/>
    <w:rsid w:val="00CE5CA4"/>
    <w:rsid w:val="00CE5FA8"/>
    <w:rsid w:val="00CE6325"/>
    <w:rsid w:val="00CE71C0"/>
    <w:rsid w:val="00CE71F8"/>
    <w:rsid w:val="00CE7607"/>
    <w:rsid w:val="00CE776F"/>
    <w:rsid w:val="00CE777A"/>
    <w:rsid w:val="00CE7C31"/>
    <w:rsid w:val="00CE7DC3"/>
    <w:rsid w:val="00CE7DED"/>
    <w:rsid w:val="00CE7F43"/>
    <w:rsid w:val="00CF037B"/>
    <w:rsid w:val="00CF07B8"/>
    <w:rsid w:val="00CF080D"/>
    <w:rsid w:val="00CF0963"/>
    <w:rsid w:val="00CF099D"/>
    <w:rsid w:val="00CF0D9B"/>
    <w:rsid w:val="00CF0E5E"/>
    <w:rsid w:val="00CF10F8"/>
    <w:rsid w:val="00CF15CE"/>
    <w:rsid w:val="00CF1776"/>
    <w:rsid w:val="00CF28AD"/>
    <w:rsid w:val="00CF4572"/>
    <w:rsid w:val="00CF4714"/>
    <w:rsid w:val="00CF5301"/>
    <w:rsid w:val="00CF5BC5"/>
    <w:rsid w:val="00CF6E60"/>
    <w:rsid w:val="00CF7AAC"/>
    <w:rsid w:val="00D00622"/>
    <w:rsid w:val="00D00BF2"/>
    <w:rsid w:val="00D00D8D"/>
    <w:rsid w:val="00D011F4"/>
    <w:rsid w:val="00D01496"/>
    <w:rsid w:val="00D01615"/>
    <w:rsid w:val="00D019CF"/>
    <w:rsid w:val="00D01B32"/>
    <w:rsid w:val="00D01B92"/>
    <w:rsid w:val="00D01C55"/>
    <w:rsid w:val="00D01C9A"/>
    <w:rsid w:val="00D01E88"/>
    <w:rsid w:val="00D02327"/>
    <w:rsid w:val="00D02682"/>
    <w:rsid w:val="00D02AA7"/>
    <w:rsid w:val="00D02E72"/>
    <w:rsid w:val="00D03022"/>
    <w:rsid w:val="00D032CA"/>
    <w:rsid w:val="00D03919"/>
    <w:rsid w:val="00D03A39"/>
    <w:rsid w:val="00D03A7F"/>
    <w:rsid w:val="00D03DB7"/>
    <w:rsid w:val="00D04ACD"/>
    <w:rsid w:val="00D04D5F"/>
    <w:rsid w:val="00D04E93"/>
    <w:rsid w:val="00D0510D"/>
    <w:rsid w:val="00D05826"/>
    <w:rsid w:val="00D05C12"/>
    <w:rsid w:val="00D0602E"/>
    <w:rsid w:val="00D0686E"/>
    <w:rsid w:val="00D068A4"/>
    <w:rsid w:val="00D069D6"/>
    <w:rsid w:val="00D06B94"/>
    <w:rsid w:val="00D10A3A"/>
    <w:rsid w:val="00D10C6B"/>
    <w:rsid w:val="00D1138C"/>
    <w:rsid w:val="00D11633"/>
    <w:rsid w:val="00D117D2"/>
    <w:rsid w:val="00D118AC"/>
    <w:rsid w:val="00D11A72"/>
    <w:rsid w:val="00D11AC0"/>
    <w:rsid w:val="00D125C6"/>
    <w:rsid w:val="00D1287C"/>
    <w:rsid w:val="00D12A01"/>
    <w:rsid w:val="00D12DFD"/>
    <w:rsid w:val="00D13281"/>
    <w:rsid w:val="00D13443"/>
    <w:rsid w:val="00D1362F"/>
    <w:rsid w:val="00D13707"/>
    <w:rsid w:val="00D138BD"/>
    <w:rsid w:val="00D13B5B"/>
    <w:rsid w:val="00D13E38"/>
    <w:rsid w:val="00D14072"/>
    <w:rsid w:val="00D144D0"/>
    <w:rsid w:val="00D151D1"/>
    <w:rsid w:val="00D15563"/>
    <w:rsid w:val="00D15FF9"/>
    <w:rsid w:val="00D1669D"/>
    <w:rsid w:val="00D17390"/>
    <w:rsid w:val="00D176FB"/>
    <w:rsid w:val="00D178CD"/>
    <w:rsid w:val="00D17F55"/>
    <w:rsid w:val="00D210A1"/>
    <w:rsid w:val="00D22148"/>
    <w:rsid w:val="00D221E9"/>
    <w:rsid w:val="00D22ADD"/>
    <w:rsid w:val="00D24022"/>
    <w:rsid w:val="00D241ED"/>
    <w:rsid w:val="00D24669"/>
    <w:rsid w:val="00D248B7"/>
    <w:rsid w:val="00D2504C"/>
    <w:rsid w:val="00D2541A"/>
    <w:rsid w:val="00D2541E"/>
    <w:rsid w:val="00D25F57"/>
    <w:rsid w:val="00D260D5"/>
    <w:rsid w:val="00D2693E"/>
    <w:rsid w:val="00D26C86"/>
    <w:rsid w:val="00D26D85"/>
    <w:rsid w:val="00D26E28"/>
    <w:rsid w:val="00D275A6"/>
    <w:rsid w:val="00D27B9E"/>
    <w:rsid w:val="00D27D50"/>
    <w:rsid w:val="00D30233"/>
    <w:rsid w:val="00D30260"/>
    <w:rsid w:val="00D305B8"/>
    <w:rsid w:val="00D30A78"/>
    <w:rsid w:val="00D311C8"/>
    <w:rsid w:val="00D318A6"/>
    <w:rsid w:val="00D31BDB"/>
    <w:rsid w:val="00D322A3"/>
    <w:rsid w:val="00D3251F"/>
    <w:rsid w:val="00D325C0"/>
    <w:rsid w:val="00D326E9"/>
    <w:rsid w:val="00D3304E"/>
    <w:rsid w:val="00D33281"/>
    <w:rsid w:val="00D33595"/>
    <w:rsid w:val="00D33A3F"/>
    <w:rsid w:val="00D33D42"/>
    <w:rsid w:val="00D3402A"/>
    <w:rsid w:val="00D342CC"/>
    <w:rsid w:val="00D34517"/>
    <w:rsid w:val="00D3540B"/>
    <w:rsid w:val="00D355D8"/>
    <w:rsid w:val="00D35AA9"/>
    <w:rsid w:val="00D35ED4"/>
    <w:rsid w:val="00D35FB8"/>
    <w:rsid w:val="00D36866"/>
    <w:rsid w:val="00D36BD0"/>
    <w:rsid w:val="00D36C54"/>
    <w:rsid w:val="00D37053"/>
    <w:rsid w:val="00D377F9"/>
    <w:rsid w:val="00D379B4"/>
    <w:rsid w:val="00D400DB"/>
    <w:rsid w:val="00D404E5"/>
    <w:rsid w:val="00D40E8C"/>
    <w:rsid w:val="00D4101C"/>
    <w:rsid w:val="00D4117A"/>
    <w:rsid w:val="00D41546"/>
    <w:rsid w:val="00D41747"/>
    <w:rsid w:val="00D41FBC"/>
    <w:rsid w:val="00D422A6"/>
    <w:rsid w:val="00D431AB"/>
    <w:rsid w:val="00D439B9"/>
    <w:rsid w:val="00D43AF0"/>
    <w:rsid w:val="00D44515"/>
    <w:rsid w:val="00D44860"/>
    <w:rsid w:val="00D44E21"/>
    <w:rsid w:val="00D44E43"/>
    <w:rsid w:val="00D44F20"/>
    <w:rsid w:val="00D45076"/>
    <w:rsid w:val="00D45163"/>
    <w:rsid w:val="00D462AC"/>
    <w:rsid w:val="00D462CF"/>
    <w:rsid w:val="00D464DF"/>
    <w:rsid w:val="00D47106"/>
    <w:rsid w:val="00D47725"/>
    <w:rsid w:val="00D47ACA"/>
    <w:rsid w:val="00D5017E"/>
    <w:rsid w:val="00D505AB"/>
    <w:rsid w:val="00D506A2"/>
    <w:rsid w:val="00D50F4A"/>
    <w:rsid w:val="00D511C5"/>
    <w:rsid w:val="00D51C0A"/>
    <w:rsid w:val="00D5204B"/>
    <w:rsid w:val="00D52B67"/>
    <w:rsid w:val="00D52F93"/>
    <w:rsid w:val="00D53A05"/>
    <w:rsid w:val="00D53DCB"/>
    <w:rsid w:val="00D53EF2"/>
    <w:rsid w:val="00D5427D"/>
    <w:rsid w:val="00D54B44"/>
    <w:rsid w:val="00D55169"/>
    <w:rsid w:val="00D55396"/>
    <w:rsid w:val="00D56F82"/>
    <w:rsid w:val="00D57031"/>
    <w:rsid w:val="00D570E1"/>
    <w:rsid w:val="00D5728F"/>
    <w:rsid w:val="00D577FE"/>
    <w:rsid w:val="00D57DA6"/>
    <w:rsid w:val="00D57F9F"/>
    <w:rsid w:val="00D60151"/>
    <w:rsid w:val="00D603C2"/>
    <w:rsid w:val="00D60638"/>
    <w:rsid w:val="00D60F10"/>
    <w:rsid w:val="00D6158B"/>
    <w:rsid w:val="00D61B18"/>
    <w:rsid w:val="00D61B4A"/>
    <w:rsid w:val="00D61DF6"/>
    <w:rsid w:val="00D6202C"/>
    <w:rsid w:val="00D622DB"/>
    <w:rsid w:val="00D62363"/>
    <w:rsid w:val="00D62404"/>
    <w:rsid w:val="00D62741"/>
    <w:rsid w:val="00D629D4"/>
    <w:rsid w:val="00D62B62"/>
    <w:rsid w:val="00D6308C"/>
    <w:rsid w:val="00D63097"/>
    <w:rsid w:val="00D63A78"/>
    <w:rsid w:val="00D63B28"/>
    <w:rsid w:val="00D63BA7"/>
    <w:rsid w:val="00D63F0F"/>
    <w:rsid w:val="00D644DF"/>
    <w:rsid w:val="00D64820"/>
    <w:rsid w:val="00D652B1"/>
    <w:rsid w:val="00D654E3"/>
    <w:rsid w:val="00D656C6"/>
    <w:rsid w:val="00D65873"/>
    <w:rsid w:val="00D65DB6"/>
    <w:rsid w:val="00D65EB4"/>
    <w:rsid w:val="00D66AA5"/>
    <w:rsid w:val="00D66C8F"/>
    <w:rsid w:val="00D66CA2"/>
    <w:rsid w:val="00D66D7E"/>
    <w:rsid w:val="00D66F4D"/>
    <w:rsid w:val="00D67518"/>
    <w:rsid w:val="00D67671"/>
    <w:rsid w:val="00D6772C"/>
    <w:rsid w:val="00D70052"/>
    <w:rsid w:val="00D7026F"/>
    <w:rsid w:val="00D708D8"/>
    <w:rsid w:val="00D70971"/>
    <w:rsid w:val="00D70B5D"/>
    <w:rsid w:val="00D71058"/>
    <w:rsid w:val="00D7136C"/>
    <w:rsid w:val="00D71CFA"/>
    <w:rsid w:val="00D71F78"/>
    <w:rsid w:val="00D7222F"/>
    <w:rsid w:val="00D72F87"/>
    <w:rsid w:val="00D73133"/>
    <w:rsid w:val="00D73622"/>
    <w:rsid w:val="00D740D9"/>
    <w:rsid w:val="00D750CE"/>
    <w:rsid w:val="00D75C33"/>
    <w:rsid w:val="00D75D43"/>
    <w:rsid w:val="00D7634C"/>
    <w:rsid w:val="00D7674E"/>
    <w:rsid w:val="00D76A82"/>
    <w:rsid w:val="00D76B73"/>
    <w:rsid w:val="00D77023"/>
    <w:rsid w:val="00D77184"/>
    <w:rsid w:val="00D77726"/>
    <w:rsid w:val="00D804FA"/>
    <w:rsid w:val="00D80667"/>
    <w:rsid w:val="00D807F6"/>
    <w:rsid w:val="00D8082A"/>
    <w:rsid w:val="00D80ED5"/>
    <w:rsid w:val="00D81800"/>
    <w:rsid w:val="00D81930"/>
    <w:rsid w:val="00D81A8E"/>
    <w:rsid w:val="00D81D4A"/>
    <w:rsid w:val="00D81EBF"/>
    <w:rsid w:val="00D83007"/>
    <w:rsid w:val="00D831AD"/>
    <w:rsid w:val="00D83298"/>
    <w:rsid w:val="00D833E5"/>
    <w:rsid w:val="00D83AE7"/>
    <w:rsid w:val="00D83BF6"/>
    <w:rsid w:val="00D83F55"/>
    <w:rsid w:val="00D842DB"/>
    <w:rsid w:val="00D843EE"/>
    <w:rsid w:val="00D846E6"/>
    <w:rsid w:val="00D8497C"/>
    <w:rsid w:val="00D84A52"/>
    <w:rsid w:val="00D84E25"/>
    <w:rsid w:val="00D84F97"/>
    <w:rsid w:val="00D85494"/>
    <w:rsid w:val="00D85509"/>
    <w:rsid w:val="00D856A3"/>
    <w:rsid w:val="00D856A4"/>
    <w:rsid w:val="00D85C04"/>
    <w:rsid w:val="00D860A0"/>
    <w:rsid w:val="00D86A94"/>
    <w:rsid w:val="00D86D8F"/>
    <w:rsid w:val="00D87E48"/>
    <w:rsid w:val="00D90193"/>
    <w:rsid w:val="00D90AF4"/>
    <w:rsid w:val="00D9125E"/>
    <w:rsid w:val="00D9129E"/>
    <w:rsid w:val="00D91BF2"/>
    <w:rsid w:val="00D91C0C"/>
    <w:rsid w:val="00D91D4D"/>
    <w:rsid w:val="00D91D73"/>
    <w:rsid w:val="00D93864"/>
    <w:rsid w:val="00D939AB"/>
    <w:rsid w:val="00D93AEE"/>
    <w:rsid w:val="00D93D1D"/>
    <w:rsid w:val="00D93F24"/>
    <w:rsid w:val="00D93F41"/>
    <w:rsid w:val="00D9404A"/>
    <w:rsid w:val="00D940A9"/>
    <w:rsid w:val="00D941BC"/>
    <w:rsid w:val="00D945A4"/>
    <w:rsid w:val="00D94878"/>
    <w:rsid w:val="00D94D58"/>
    <w:rsid w:val="00D94E8C"/>
    <w:rsid w:val="00D9593A"/>
    <w:rsid w:val="00D95E66"/>
    <w:rsid w:val="00D95FBD"/>
    <w:rsid w:val="00D960C4"/>
    <w:rsid w:val="00D966F1"/>
    <w:rsid w:val="00D96938"/>
    <w:rsid w:val="00D96AF2"/>
    <w:rsid w:val="00D96C2E"/>
    <w:rsid w:val="00D97C8F"/>
    <w:rsid w:val="00DA0A3D"/>
    <w:rsid w:val="00DA135B"/>
    <w:rsid w:val="00DA1652"/>
    <w:rsid w:val="00DA1839"/>
    <w:rsid w:val="00DA1D56"/>
    <w:rsid w:val="00DA1E5B"/>
    <w:rsid w:val="00DA212C"/>
    <w:rsid w:val="00DA268A"/>
    <w:rsid w:val="00DA3248"/>
    <w:rsid w:val="00DA343D"/>
    <w:rsid w:val="00DA4197"/>
    <w:rsid w:val="00DA4B84"/>
    <w:rsid w:val="00DA4D97"/>
    <w:rsid w:val="00DA5614"/>
    <w:rsid w:val="00DA576B"/>
    <w:rsid w:val="00DA57F0"/>
    <w:rsid w:val="00DA6193"/>
    <w:rsid w:val="00DA62AB"/>
    <w:rsid w:val="00DA6393"/>
    <w:rsid w:val="00DA652E"/>
    <w:rsid w:val="00DA6728"/>
    <w:rsid w:val="00DA6988"/>
    <w:rsid w:val="00DA6A75"/>
    <w:rsid w:val="00DA6BD6"/>
    <w:rsid w:val="00DA7296"/>
    <w:rsid w:val="00DA747A"/>
    <w:rsid w:val="00DA78D9"/>
    <w:rsid w:val="00DA7908"/>
    <w:rsid w:val="00DA7AC8"/>
    <w:rsid w:val="00DA7D6C"/>
    <w:rsid w:val="00DA7D6D"/>
    <w:rsid w:val="00DA7F74"/>
    <w:rsid w:val="00DB05CC"/>
    <w:rsid w:val="00DB0CA6"/>
    <w:rsid w:val="00DB105C"/>
    <w:rsid w:val="00DB10D1"/>
    <w:rsid w:val="00DB2897"/>
    <w:rsid w:val="00DB2AB6"/>
    <w:rsid w:val="00DB2D24"/>
    <w:rsid w:val="00DB314E"/>
    <w:rsid w:val="00DB323E"/>
    <w:rsid w:val="00DB32CA"/>
    <w:rsid w:val="00DB3408"/>
    <w:rsid w:val="00DB35BF"/>
    <w:rsid w:val="00DB3E8C"/>
    <w:rsid w:val="00DB42C4"/>
    <w:rsid w:val="00DB4653"/>
    <w:rsid w:val="00DB4795"/>
    <w:rsid w:val="00DB4A72"/>
    <w:rsid w:val="00DB4FB0"/>
    <w:rsid w:val="00DB5B80"/>
    <w:rsid w:val="00DB64CB"/>
    <w:rsid w:val="00DB66D1"/>
    <w:rsid w:val="00DB6701"/>
    <w:rsid w:val="00DB6A12"/>
    <w:rsid w:val="00DB6C29"/>
    <w:rsid w:val="00DB6E74"/>
    <w:rsid w:val="00DB7659"/>
    <w:rsid w:val="00DB7822"/>
    <w:rsid w:val="00DB78D4"/>
    <w:rsid w:val="00DB7C8F"/>
    <w:rsid w:val="00DC0B5C"/>
    <w:rsid w:val="00DC1266"/>
    <w:rsid w:val="00DC1AA2"/>
    <w:rsid w:val="00DC226C"/>
    <w:rsid w:val="00DC2437"/>
    <w:rsid w:val="00DC2755"/>
    <w:rsid w:val="00DC27DA"/>
    <w:rsid w:val="00DC3161"/>
    <w:rsid w:val="00DC34C4"/>
    <w:rsid w:val="00DC34F6"/>
    <w:rsid w:val="00DC3510"/>
    <w:rsid w:val="00DC397E"/>
    <w:rsid w:val="00DC3E43"/>
    <w:rsid w:val="00DC418B"/>
    <w:rsid w:val="00DC4BEA"/>
    <w:rsid w:val="00DC4C42"/>
    <w:rsid w:val="00DC5BA3"/>
    <w:rsid w:val="00DC5C41"/>
    <w:rsid w:val="00DC6399"/>
    <w:rsid w:val="00DC6558"/>
    <w:rsid w:val="00DC665E"/>
    <w:rsid w:val="00DC7995"/>
    <w:rsid w:val="00DC7C2E"/>
    <w:rsid w:val="00DC7FC9"/>
    <w:rsid w:val="00DD1555"/>
    <w:rsid w:val="00DD18C0"/>
    <w:rsid w:val="00DD22B6"/>
    <w:rsid w:val="00DD2369"/>
    <w:rsid w:val="00DD2731"/>
    <w:rsid w:val="00DD3D6D"/>
    <w:rsid w:val="00DD4966"/>
    <w:rsid w:val="00DD4B4F"/>
    <w:rsid w:val="00DD620A"/>
    <w:rsid w:val="00DD67DA"/>
    <w:rsid w:val="00DD6E70"/>
    <w:rsid w:val="00DD734A"/>
    <w:rsid w:val="00DD7E15"/>
    <w:rsid w:val="00DE0128"/>
    <w:rsid w:val="00DE09F3"/>
    <w:rsid w:val="00DE0B86"/>
    <w:rsid w:val="00DE1024"/>
    <w:rsid w:val="00DE1077"/>
    <w:rsid w:val="00DE10FB"/>
    <w:rsid w:val="00DE1367"/>
    <w:rsid w:val="00DE1573"/>
    <w:rsid w:val="00DE1AE5"/>
    <w:rsid w:val="00DE1E09"/>
    <w:rsid w:val="00DE1E1D"/>
    <w:rsid w:val="00DE22C8"/>
    <w:rsid w:val="00DE2313"/>
    <w:rsid w:val="00DE2970"/>
    <w:rsid w:val="00DE37E6"/>
    <w:rsid w:val="00DE385E"/>
    <w:rsid w:val="00DE3D24"/>
    <w:rsid w:val="00DE4F09"/>
    <w:rsid w:val="00DE5182"/>
    <w:rsid w:val="00DE582B"/>
    <w:rsid w:val="00DE5AEA"/>
    <w:rsid w:val="00DE5E40"/>
    <w:rsid w:val="00DE61E0"/>
    <w:rsid w:val="00DE629D"/>
    <w:rsid w:val="00DE637D"/>
    <w:rsid w:val="00DE65BE"/>
    <w:rsid w:val="00DE6D31"/>
    <w:rsid w:val="00DE7371"/>
    <w:rsid w:val="00DE7399"/>
    <w:rsid w:val="00DE7410"/>
    <w:rsid w:val="00DE78E5"/>
    <w:rsid w:val="00DE7ADD"/>
    <w:rsid w:val="00DF0380"/>
    <w:rsid w:val="00DF0B60"/>
    <w:rsid w:val="00DF0DCE"/>
    <w:rsid w:val="00DF1188"/>
    <w:rsid w:val="00DF12DF"/>
    <w:rsid w:val="00DF1391"/>
    <w:rsid w:val="00DF1909"/>
    <w:rsid w:val="00DF1B30"/>
    <w:rsid w:val="00DF2456"/>
    <w:rsid w:val="00DF2AE0"/>
    <w:rsid w:val="00DF2B3B"/>
    <w:rsid w:val="00DF2DB3"/>
    <w:rsid w:val="00DF2E08"/>
    <w:rsid w:val="00DF33BB"/>
    <w:rsid w:val="00DF3FB6"/>
    <w:rsid w:val="00DF5369"/>
    <w:rsid w:val="00DF560F"/>
    <w:rsid w:val="00DF5823"/>
    <w:rsid w:val="00DF5876"/>
    <w:rsid w:val="00DF66E8"/>
    <w:rsid w:val="00DF6765"/>
    <w:rsid w:val="00DF6C5D"/>
    <w:rsid w:val="00DF7DDE"/>
    <w:rsid w:val="00E0005F"/>
    <w:rsid w:val="00E008E4"/>
    <w:rsid w:val="00E00DE2"/>
    <w:rsid w:val="00E011CA"/>
    <w:rsid w:val="00E01A8A"/>
    <w:rsid w:val="00E0204F"/>
    <w:rsid w:val="00E02230"/>
    <w:rsid w:val="00E0246D"/>
    <w:rsid w:val="00E029DC"/>
    <w:rsid w:val="00E04738"/>
    <w:rsid w:val="00E04A14"/>
    <w:rsid w:val="00E04D54"/>
    <w:rsid w:val="00E058AF"/>
    <w:rsid w:val="00E05B7F"/>
    <w:rsid w:val="00E05E05"/>
    <w:rsid w:val="00E0618D"/>
    <w:rsid w:val="00E06358"/>
    <w:rsid w:val="00E06A27"/>
    <w:rsid w:val="00E06AB4"/>
    <w:rsid w:val="00E07750"/>
    <w:rsid w:val="00E07AB1"/>
    <w:rsid w:val="00E07B0E"/>
    <w:rsid w:val="00E1050A"/>
    <w:rsid w:val="00E10811"/>
    <w:rsid w:val="00E10AF3"/>
    <w:rsid w:val="00E116A6"/>
    <w:rsid w:val="00E1173F"/>
    <w:rsid w:val="00E11AE4"/>
    <w:rsid w:val="00E11B6B"/>
    <w:rsid w:val="00E11BEF"/>
    <w:rsid w:val="00E12122"/>
    <w:rsid w:val="00E125A4"/>
    <w:rsid w:val="00E125C0"/>
    <w:rsid w:val="00E126D5"/>
    <w:rsid w:val="00E12A2D"/>
    <w:rsid w:val="00E12E37"/>
    <w:rsid w:val="00E12F26"/>
    <w:rsid w:val="00E14D5A"/>
    <w:rsid w:val="00E15029"/>
    <w:rsid w:val="00E1506D"/>
    <w:rsid w:val="00E150E0"/>
    <w:rsid w:val="00E156DF"/>
    <w:rsid w:val="00E15B39"/>
    <w:rsid w:val="00E16220"/>
    <w:rsid w:val="00E16297"/>
    <w:rsid w:val="00E165F3"/>
    <w:rsid w:val="00E168EF"/>
    <w:rsid w:val="00E16CE6"/>
    <w:rsid w:val="00E16D5B"/>
    <w:rsid w:val="00E16D8D"/>
    <w:rsid w:val="00E17426"/>
    <w:rsid w:val="00E17682"/>
    <w:rsid w:val="00E17AAE"/>
    <w:rsid w:val="00E17F3C"/>
    <w:rsid w:val="00E207BB"/>
    <w:rsid w:val="00E209C1"/>
    <w:rsid w:val="00E20C8B"/>
    <w:rsid w:val="00E2103A"/>
    <w:rsid w:val="00E21687"/>
    <w:rsid w:val="00E21A26"/>
    <w:rsid w:val="00E21D08"/>
    <w:rsid w:val="00E2204F"/>
    <w:rsid w:val="00E2219B"/>
    <w:rsid w:val="00E2250F"/>
    <w:rsid w:val="00E228A0"/>
    <w:rsid w:val="00E229CB"/>
    <w:rsid w:val="00E22A94"/>
    <w:rsid w:val="00E22D20"/>
    <w:rsid w:val="00E231F2"/>
    <w:rsid w:val="00E2336A"/>
    <w:rsid w:val="00E23572"/>
    <w:rsid w:val="00E24064"/>
    <w:rsid w:val="00E2466C"/>
    <w:rsid w:val="00E24A8F"/>
    <w:rsid w:val="00E24EDC"/>
    <w:rsid w:val="00E251CB"/>
    <w:rsid w:val="00E2595C"/>
    <w:rsid w:val="00E25AF1"/>
    <w:rsid w:val="00E26A2B"/>
    <w:rsid w:val="00E26FDF"/>
    <w:rsid w:val="00E279B6"/>
    <w:rsid w:val="00E27C78"/>
    <w:rsid w:val="00E27D7F"/>
    <w:rsid w:val="00E306F0"/>
    <w:rsid w:val="00E30DF3"/>
    <w:rsid w:val="00E30EA5"/>
    <w:rsid w:val="00E31562"/>
    <w:rsid w:val="00E317F0"/>
    <w:rsid w:val="00E318ED"/>
    <w:rsid w:val="00E31A9F"/>
    <w:rsid w:val="00E31BF8"/>
    <w:rsid w:val="00E32139"/>
    <w:rsid w:val="00E32261"/>
    <w:rsid w:val="00E3226E"/>
    <w:rsid w:val="00E322ED"/>
    <w:rsid w:val="00E3238A"/>
    <w:rsid w:val="00E324A8"/>
    <w:rsid w:val="00E324D5"/>
    <w:rsid w:val="00E32637"/>
    <w:rsid w:val="00E326CA"/>
    <w:rsid w:val="00E33156"/>
    <w:rsid w:val="00E33A68"/>
    <w:rsid w:val="00E33E27"/>
    <w:rsid w:val="00E33FED"/>
    <w:rsid w:val="00E343E6"/>
    <w:rsid w:val="00E344ED"/>
    <w:rsid w:val="00E348A5"/>
    <w:rsid w:val="00E348BC"/>
    <w:rsid w:val="00E357BB"/>
    <w:rsid w:val="00E35CD0"/>
    <w:rsid w:val="00E3601E"/>
    <w:rsid w:val="00E36286"/>
    <w:rsid w:val="00E3647C"/>
    <w:rsid w:val="00E36597"/>
    <w:rsid w:val="00E369BC"/>
    <w:rsid w:val="00E36C3E"/>
    <w:rsid w:val="00E4013E"/>
    <w:rsid w:val="00E401C4"/>
    <w:rsid w:val="00E405F7"/>
    <w:rsid w:val="00E41122"/>
    <w:rsid w:val="00E4119E"/>
    <w:rsid w:val="00E4172A"/>
    <w:rsid w:val="00E42A19"/>
    <w:rsid w:val="00E43F4B"/>
    <w:rsid w:val="00E45C96"/>
    <w:rsid w:val="00E45E36"/>
    <w:rsid w:val="00E45EB3"/>
    <w:rsid w:val="00E463D0"/>
    <w:rsid w:val="00E4647F"/>
    <w:rsid w:val="00E46649"/>
    <w:rsid w:val="00E4668E"/>
    <w:rsid w:val="00E47654"/>
    <w:rsid w:val="00E47C9C"/>
    <w:rsid w:val="00E47D88"/>
    <w:rsid w:val="00E503FB"/>
    <w:rsid w:val="00E5063C"/>
    <w:rsid w:val="00E50729"/>
    <w:rsid w:val="00E50CFE"/>
    <w:rsid w:val="00E51010"/>
    <w:rsid w:val="00E51A45"/>
    <w:rsid w:val="00E52EC2"/>
    <w:rsid w:val="00E52F13"/>
    <w:rsid w:val="00E53790"/>
    <w:rsid w:val="00E537B5"/>
    <w:rsid w:val="00E54239"/>
    <w:rsid w:val="00E54500"/>
    <w:rsid w:val="00E5476A"/>
    <w:rsid w:val="00E54967"/>
    <w:rsid w:val="00E55A77"/>
    <w:rsid w:val="00E55C4C"/>
    <w:rsid w:val="00E56416"/>
    <w:rsid w:val="00E56577"/>
    <w:rsid w:val="00E56896"/>
    <w:rsid w:val="00E5721D"/>
    <w:rsid w:val="00E576D0"/>
    <w:rsid w:val="00E577A1"/>
    <w:rsid w:val="00E577E0"/>
    <w:rsid w:val="00E57FF9"/>
    <w:rsid w:val="00E60440"/>
    <w:rsid w:val="00E60A40"/>
    <w:rsid w:val="00E60FEE"/>
    <w:rsid w:val="00E619F5"/>
    <w:rsid w:val="00E619FC"/>
    <w:rsid w:val="00E621BF"/>
    <w:rsid w:val="00E62939"/>
    <w:rsid w:val="00E62A1B"/>
    <w:rsid w:val="00E62C3A"/>
    <w:rsid w:val="00E62FCB"/>
    <w:rsid w:val="00E6476A"/>
    <w:rsid w:val="00E64B7D"/>
    <w:rsid w:val="00E652E8"/>
    <w:rsid w:val="00E6590E"/>
    <w:rsid w:val="00E65DD1"/>
    <w:rsid w:val="00E66098"/>
    <w:rsid w:val="00E660C2"/>
    <w:rsid w:val="00E669C7"/>
    <w:rsid w:val="00E66C3D"/>
    <w:rsid w:val="00E67470"/>
    <w:rsid w:val="00E67621"/>
    <w:rsid w:val="00E700C7"/>
    <w:rsid w:val="00E70975"/>
    <w:rsid w:val="00E7121E"/>
    <w:rsid w:val="00E712DA"/>
    <w:rsid w:val="00E71415"/>
    <w:rsid w:val="00E71B02"/>
    <w:rsid w:val="00E7242A"/>
    <w:rsid w:val="00E72DC8"/>
    <w:rsid w:val="00E72E14"/>
    <w:rsid w:val="00E72FF2"/>
    <w:rsid w:val="00E73002"/>
    <w:rsid w:val="00E734E5"/>
    <w:rsid w:val="00E7378F"/>
    <w:rsid w:val="00E738E0"/>
    <w:rsid w:val="00E73D5C"/>
    <w:rsid w:val="00E74105"/>
    <w:rsid w:val="00E74334"/>
    <w:rsid w:val="00E74520"/>
    <w:rsid w:val="00E74A0A"/>
    <w:rsid w:val="00E74D73"/>
    <w:rsid w:val="00E74D94"/>
    <w:rsid w:val="00E750A8"/>
    <w:rsid w:val="00E750BA"/>
    <w:rsid w:val="00E753FB"/>
    <w:rsid w:val="00E75ADC"/>
    <w:rsid w:val="00E75CAB"/>
    <w:rsid w:val="00E76284"/>
    <w:rsid w:val="00E762E8"/>
    <w:rsid w:val="00E76344"/>
    <w:rsid w:val="00E771CF"/>
    <w:rsid w:val="00E772CC"/>
    <w:rsid w:val="00E7778D"/>
    <w:rsid w:val="00E77B6C"/>
    <w:rsid w:val="00E77D4F"/>
    <w:rsid w:val="00E80869"/>
    <w:rsid w:val="00E808DF"/>
    <w:rsid w:val="00E80EE3"/>
    <w:rsid w:val="00E80FF8"/>
    <w:rsid w:val="00E810E3"/>
    <w:rsid w:val="00E8145C"/>
    <w:rsid w:val="00E8164F"/>
    <w:rsid w:val="00E81903"/>
    <w:rsid w:val="00E82164"/>
    <w:rsid w:val="00E8241A"/>
    <w:rsid w:val="00E82445"/>
    <w:rsid w:val="00E8271C"/>
    <w:rsid w:val="00E82C53"/>
    <w:rsid w:val="00E834CB"/>
    <w:rsid w:val="00E836A8"/>
    <w:rsid w:val="00E83786"/>
    <w:rsid w:val="00E83C82"/>
    <w:rsid w:val="00E83C8E"/>
    <w:rsid w:val="00E84202"/>
    <w:rsid w:val="00E84288"/>
    <w:rsid w:val="00E842A5"/>
    <w:rsid w:val="00E84917"/>
    <w:rsid w:val="00E851BF"/>
    <w:rsid w:val="00E855B7"/>
    <w:rsid w:val="00E85D4B"/>
    <w:rsid w:val="00E862C4"/>
    <w:rsid w:val="00E86673"/>
    <w:rsid w:val="00E86DD3"/>
    <w:rsid w:val="00E87445"/>
    <w:rsid w:val="00E878BF"/>
    <w:rsid w:val="00E87E96"/>
    <w:rsid w:val="00E87F85"/>
    <w:rsid w:val="00E90AC1"/>
    <w:rsid w:val="00E90B15"/>
    <w:rsid w:val="00E90B69"/>
    <w:rsid w:val="00E911A0"/>
    <w:rsid w:val="00E9123B"/>
    <w:rsid w:val="00E91240"/>
    <w:rsid w:val="00E91265"/>
    <w:rsid w:val="00E914B6"/>
    <w:rsid w:val="00E914E5"/>
    <w:rsid w:val="00E91FAA"/>
    <w:rsid w:val="00E92573"/>
    <w:rsid w:val="00E92A68"/>
    <w:rsid w:val="00E930AF"/>
    <w:rsid w:val="00E9310E"/>
    <w:rsid w:val="00E942ED"/>
    <w:rsid w:val="00E946E1"/>
    <w:rsid w:val="00E94CB2"/>
    <w:rsid w:val="00E951A2"/>
    <w:rsid w:val="00E95312"/>
    <w:rsid w:val="00E9557B"/>
    <w:rsid w:val="00E95645"/>
    <w:rsid w:val="00E956C6"/>
    <w:rsid w:val="00E95774"/>
    <w:rsid w:val="00E95BBA"/>
    <w:rsid w:val="00E9678A"/>
    <w:rsid w:val="00E96869"/>
    <w:rsid w:val="00E976C7"/>
    <w:rsid w:val="00E97DE5"/>
    <w:rsid w:val="00EA044B"/>
    <w:rsid w:val="00EA04F4"/>
    <w:rsid w:val="00EA0552"/>
    <w:rsid w:val="00EA0C4C"/>
    <w:rsid w:val="00EA1571"/>
    <w:rsid w:val="00EA15C1"/>
    <w:rsid w:val="00EA1949"/>
    <w:rsid w:val="00EA24F7"/>
    <w:rsid w:val="00EA31B1"/>
    <w:rsid w:val="00EA352C"/>
    <w:rsid w:val="00EA357E"/>
    <w:rsid w:val="00EA35BD"/>
    <w:rsid w:val="00EA3757"/>
    <w:rsid w:val="00EA37C5"/>
    <w:rsid w:val="00EA3B42"/>
    <w:rsid w:val="00EA3CF2"/>
    <w:rsid w:val="00EA4662"/>
    <w:rsid w:val="00EA49AC"/>
    <w:rsid w:val="00EA4DD6"/>
    <w:rsid w:val="00EA4DDA"/>
    <w:rsid w:val="00EA5080"/>
    <w:rsid w:val="00EA53ED"/>
    <w:rsid w:val="00EA5738"/>
    <w:rsid w:val="00EA57CD"/>
    <w:rsid w:val="00EA57D7"/>
    <w:rsid w:val="00EA5BA9"/>
    <w:rsid w:val="00EA5EE4"/>
    <w:rsid w:val="00EA600E"/>
    <w:rsid w:val="00EA6217"/>
    <w:rsid w:val="00EA6673"/>
    <w:rsid w:val="00EA680D"/>
    <w:rsid w:val="00EA6949"/>
    <w:rsid w:val="00EA6B52"/>
    <w:rsid w:val="00EA75D6"/>
    <w:rsid w:val="00EA7C30"/>
    <w:rsid w:val="00EA7DA3"/>
    <w:rsid w:val="00EA7F32"/>
    <w:rsid w:val="00EA7FB8"/>
    <w:rsid w:val="00EB05BB"/>
    <w:rsid w:val="00EB06D0"/>
    <w:rsid w:val="00EB0A33"/>
    <w:rsid w:val="00EB0B47"/>
    <w:rsid w:val="00EB0E54"/>
    <w:rsid w:val="00EB0F00"/>
    <w:rsid w:val="00EB1031"/>
    <w:rsid w:val="00EB1179"/>
    <w:rsid w:val="00EB1618"/>
    <w:rsid w:val="00EB1961"/>
    <w:rsid w:val="00EB19EC"/>
    <w:rsid w:val="00EB24C9"/>
    <w:rsid w:val="00EB2FB3"/>
    <w:rsid w:val="00EB3434"/>
    <w:rsid w:val="00EB3B07"/>
    <w:rsid w:val="00EB3C23"/>
    <w:rsid w:val="00EB438B"/>
    <w:rsid w:val="00EB4F68"/>
    <w:rsid w:val="00EB5163"/>
    <w:rsid w:val="00EB5279"/>
    <w:rsid w:val="00EB52EB"/>
    <w:rsid w:val="00EB54C6"/>
    <w:rsid w:val="00EB5E3B"/>
    <w:rsid w:val="00EB68A5"/>
    <w:rsid w:val="00EB6A9C"/>
    <w:rsid w:val="00EB7A3D"/>
    <w:rsid w:val="00EB7E31"/>
    <w:rsid w:val="00EC0073"/>
    <w:rsid w:val="00EC08D8"/>
    <w:rsid w:val="00EC096F"/>
    <w:rsid w:val="00EC0A08"/>
    <w:rsid w:val="00EC202E"/>
    <w:rsid w:val="00EC209C"/>
    <w:rsid w:val="00EC3A1C"/>
    <w:rsid w:val="00EC456D"/>
    <w:rsid w:val="00EC479A"/>
    <w:rsid w:val="00EC4B8D"/>
    <w:rsid w:val="00EC51AA"/>
    <w:rsid w:val="00EC52F2"/>
    <w:rsid w:val="00EC54DE"/>
    <w:rsid w:val="00EC56AC"/>
    <w:rsid w:val="00EC5DFC"/>
    <w:rsid w:val="00EC5E08"/>
    <w:rsid w:val="00EC6307"/>
    <w:rsid w:val="00EC6739"/>
    <w:rsid w:val="00EC67CA"/>
    <w:rsid w:val="00EC6C1D"/>
    <w:rsid w:val="00EC719E"/>
    <w:rsid w:val="00EC74FC"/>
    <w:rsid w:val="00EC753E"/>
    <w:rsid w:val="00EC7AF8"/>
    <w:rsid w:val="00ED00A9"/>
    <w:rsid w:val="00ED062A"/>
    <w:rsid w:val="00ED066C"/>
    <w:rsid w:val="00ED07FB"/>
    <w:rsid w:val="00ED0A73"/>
    <w:rsid w:val="00ED0B93"/>
    <w:rsid w:val="00ED11AD"/>
    <w:rsid w:val="00ED13E5"/>
    <w:rsid w:val="00ED20FB"/>
    <w:rsid w:val="00ED2944"/>
    <w:rsid w:val="00ED2954"/>
    <w:rsid w:val="00ED31EA"/>
    <w:rsid w:val="00ED323E"/>
    <w:rsid w:val="00ED37B6"/>
    <w:rsid w:val="00ED3967"/>
    <w:rsid w:val="00ED4368"/>
    <w:rsid w:val="00ED460C"/>
    <w:rsid w:val="00ED4DEB"/>
    <w:rsid w:val="00ED50DD"/>
    <w:rsid w:val="00ED57D7"/>
    <w:rsid w:val="00ED62D0"/>
    <w:rsid w:val="00ED68A0"/>
    <w:rsid w:val="00ED695F"/>
    <w:rsid w:val="00ED6C6A"/>
    <w:rsid w:val="00ED6F49"/>
    <w:rsid w:val="00ED7095"/>
    <w:rsid w:val="00ED70FB"/>
    <w:rsid w:val="00EE039A"/>
    <w:rsid w:val="00EE0467"/>
    <w:rsid w:val="00EE0582"/>
    <w:rsid w:val="00EE06F7"/>
    <w:rsid w:val="00EE0A27"/>
    <w:rsid w:val="00EE114D"/>
    <w:rsid w:val="00EE1215"/>
    <w:rsid w:val="00EE147B"/>
    <w:rsid w:val="00EE154D"/>
    <w:rsid w:val="00EE1AC6"/>
    <w:rsid w:val="00EE1BB2"/>
    <w:rsid w:val="00EE1BF9"/>
    <w:rsid w:val="00EE2870"/>
    <w:rsid w:val="00EE2882"/>
    <w:rsid w:val="00EE28A4"/>
    <w:rsid w:val="00EE2970"/>
    <w:rsid w:val="00EE2C85"/>
    <w:rsid w:val="00EE2D13"/>
    <w:rsid w:val="00EE2D3C"/>
    <w:rsid w:val="00EE3947"/>
    <w:rsid w:val="00EE433C"/>
    <w:rsid w:val="00EE4839"/>
    <w:rsid w:val="00EE4EE2"/>
    <w:rsid w:val="00EE51A0"/>
    <w:rsid w:val="00EE5747"/>
    <w:rsid w:val="00EE57C1"/>
    <w:rsid w:val="00EE65A8"/>
    <w:rsid w:val="00EE690A"/>
    <w:rsid w:val="00EE6993"/>
    <w:rsid w:val="00EE6A12"/>
    <w:rsid w:val="00EE7631"/>
    <w:rsid w:val="00EE7665"/>
    <w:rsid w:val="00EF06CE"/>
    <w:rsid w:val="00EF141D"/>
    <w:rsid w:val="00EF1E5B"/>
    <w:rsid w:val="00EF2132"/>
    <w:rsid w:val="00EF2612"/>
    <w:rsid w:val="00EF2847"/>
    <w:rsid w:val="00EF2BB6"/>
    <w:rsid w:val="00EF2CA3"/>
    <w:rsid w:val="00EF3007"/>
    <w:rsid w:val="00EF3444"/>
    <w:rsid w:val="00EF35B2"/>
    <w:rsid w:val="00EF37DD"/>
    <w:rsid w:val="00EF3801"/>
    <w:rsid w:val="00EF38BD"/>
    <w:rsid w:val="00EF409C"/>
    <w:rsid w:val="00EF41C5"/>
    <w:rsid w:val="00EF45CF"/>
    <w:rsid w:val="00EF4A0C"/>
    <w:rsid w:val="00EF514D"/>
    <w:rsid w:val="00EF5152"/>
    <w:rsid w:val="00EF5495"/>
    <w:rsid w:val="00EF6097"/>
    <w:rsid w:val="00EF667E"/>
    <w:rsid w:val="00EF6887"/>
    <w:rsid w:val="00EF6D71"/>
    <w:rsid w:val="00EF6FA3"/>
    <w:rsid w:val="00EF72CD"/>
    <w:rsid w:val="00EF73BA"/>
    <w:rsid w:val="00EF75C6"/>
    <w:rsid w:val="00EF78BE"/>
    <w:rsid w:val="00EF79F7"/>
    <w:rsid w:val="00F00185"/>
    <w:rsid w:val="00F00415"/>
    <w:rsid w:val="00F0090B"/>
    <w:rsid w:val="00F00D1A"/>
    <w:rsid w:val="00F013B2"/>
    <w:rsid w:val="00F015FA"/>
    <w:rsid w:val="00F01677"/>
    <w:rsid w:val="00F01A62"/>
    <w:rsid w:val="00F01C0B"/>
    <w:rsid w:val="00F01C99"/>
    <w:rsid w:val="00F01E3B"/>
    <w:rsid w:val="00F02053"/>
    <w:rsid w:val="00F02213"/>
    <w:rsid w:val="00F024B2"/>
    <w:rsid w:val="00F02628"/>
    <w:rsid w:val="00F029CE"/>
    <w:rsid w:val="00F03751"/>
    <w:rsid w:val="00F04184"/>
    <w:rsid w:val="00F04D89"/>
    <w:rsid w:val="00F056A1"/>
    <w:rsid w:val="00F05A28"/>
    <w:rsid w:val="00F068B2"/>
    <w:rsid w:val="00F06A97"/>
    <w:rsid w:val="00F072CB"/>
    <w:rsid w:val="00F07591"/>
    <w:rsid w:val="00F078ED"/>
    <w:rsid w:val="00F07DA6"/>
    <w:rsid w:val="00F07DDC"/>
    <w:rsid w:val="00F10054"/>
    <w:rsid w:val="00F1055C"/>
    <w:rsid w:val="00F10ADB"/>
    <w:rsid w:val="00F10B5D"/>
    <w:rsid w:val="00F1100A"/>
    <w:rsid w:val="00F118FF"/>
    <w:rsid w:val="00F12551"/>
    <w:rsid w:val="00F128D9"/>
    <w:rsid w:val="00F1318C"/>
    <w:rsid w:val="00F1324D"/>
    <w:rsid w:val="00F13BCB"/>
    <w:rsid w:val="00F13F83"/>
    <w:rsid w:val="00F14B05"/>
    <w:rsid w:val="00F157FA"/>
    <w:rsid w:val="00F160BC"/>
    <w:rsid w:val="00F16179"/>
    <w:rsid w:val="00F165FC"/>
    <w:rsid w:val="00F1691A"/>
    <w:rsid w:val="00F16A8C"/>
    <w:rsid w:val="00F16B06"/>
    <w:rsid w:val="00F17B67"/>
    <w:rsid w:val="00F200DC"/>
    <w:rsid w:val="00F20A7B"/>
    <w:rsid w:val="00F20FE0"/>
    <w:rsid w:val="00F22CC8"/>
    <w:rsid w:val="00F22F19"/>
    <w:rsid w:val="00F23FBD"/>
    <w:rsid w:val="00F24E6A"/>
    <w:rsid w:val="00F251DA"/>
    <w:rsid w:val="00F2525D"/>
    <w:rsid w:val="00F25345"/>
    <w:rsid w:val="00F2550E"/>
    <w:rsid w:val="00F25578"/>
    <w:rsid w:val="00F2575A"/>
    <w:rsid w:val="00F25969"/>
    <w:rsid w:val="00F25B57"/>
    <w:rsid w:val="00F25FB3"/>
    <w:rsid w:val="00F2626F"/>
    <w:rsid w:val="00F266E1"/>
    <w:rsid w:val="00F26C5B"/>
    <w:rsid w:val="00F278B3"/>
    <w:rsid w:val="00F27A96"/>
    <w:rsid w:val="00F30127"/>
    <w:rsid w:val="00F3017D"/>
    <w:rsid w:val="00F302D4"/>
    <w:rsid w:val="00F304EA"/>
    <w:rsid w:val="00F305D5"/>
    <w:rsid w:val="00F307C3"/>
    <w:rsid w:val="00F30FF5"/>
    <w:rsid w:val="00F3107C"/>
    <w:rsid w:val="00F31304"/>
    <w:rsid w:val="00F31986"/>
    <w:rsid w:val="00F325D7"/>
    <w:rsid w:val="00F32765"/>
    <w:rsid w:val="00F327B9"/>
    <w:rsid w:val="00F32B61"/>
    <w:rsid w:val="00F330FE"/>
    <w:rsid w:val="00F334AF"/>
    <w:rsid w:val="00F33DED"/>
    <w:rsid w:val="00F349FA"/>
    <w:rsid w:val="00F34A67"/>
    <w:rsid w:val="00F34D2B"/>
    <w:rsid w:val="00F350BE"/>
    <w:rsid w:val="00F36E97"/>
    <w:rsid w:val="00F3752B"/>
    <w:rsid w:val="00F3773F"/>
    <w:rsid w:val="00F3780F"/>
    <w:rsid w:val="00F378CB"/>
    <w:rsid w:val="00F40505"/>
    <w:rsid w:val="00F408F5"/>
    <w:rsid w:val="00F40B35"/>
    <w:rsid w:val="00F417DF"/>
    <w:rsid w:val="00F41B00"/>
    <w:rsid w:val="00F41C4D"/>
    <w:rsid w:val="00F42439"/>
    <w:rsid w:val="00F42629"/>
    <w:rsid w:val="00F42AF9"/>
    <w:rsid w:val="00F42BA2"/>
    <w:rsid w:val="00F42BC2"/>
    <w:rsid w:val="00F43291"/>
    <w:rsid w:val="00F43552"/>
    <w:rsid w:val="00F435A3"/>
    <w:rsid w:val="00F446BC"/>
    <w:rsid w:val="00F447F7"/>
    <w:rsid w:val="00F44CEE"/>
    <w:rsid w:val="00F45089"/>
    <w:rsid w:val="00F451C9"/>
    <w:rsid w:val="00F45227"/>
    <w:rsid w:val="00F45357"/>
    <w:rsid w:val="00F45636"/>
    <w:rsid w:val="00F45812"/>
    <w:rsid w:val="00F45D4E"/>
    <w:rsid w:val="00F45E4F"/>
    <w:rsid w:val="00F46156"/>
    <w:rsid w:val="00F461EA"/>
    <w:rsid w:val="00F469A5"/>
    <w:rsid w:val="00F46D40"/>
    <w:rsid w:val="00F46F0C"/>
    <w:rsid w:val="00F47418"/>
    <w:rsid w:val="00F47618"/>
    <w:rsid w:val="00F47812"/>
    <w:rsid w:val="00F479A8"/>
    <w:rsid w:val="00F47F04"/>
    <w:rsid w:val="00F5108A"/>
    <w:rsid w:val="00F515EB"/>
    <w:rsid w:val="00F52162"/>
    <w:rsid w:val="00F523F1"/>
    <w:rsid w:val="00F52737"/>
    <w:rsid w:val="00F52765"/>
    <w:rsid w:val="00F52D15"/>
    <w:rsid w:val="00F52EC3"/>
    <w:rsid w:val="00F52ED0"/>
    <w:rsid w:val="00F5425B"/>
    <w:rsid w:val="00F5439B"/>
    <w:rsid w:val="00F54551"/>
    <w:rsid w:val="00F545A1"/>
    <w:rsid w:val="00F5487F"/>
    <w:rsid w:val="00F54888"/>
    <w:rsid w:val="00F54B74"/>
    <w:rsid w:val="00F54D3B"/>
    <w:rsid w:val="00F5539E"/>
    <w:rsid w:val="00F55850"/>
    <w:rsid w:val="00F55F05"/>
    <w:rsid w:val="00F562C1"/>
    <w:rsid w:val="00F565D2"/>
    <w:rsid w:val="00F56EF3"/>
    <w:rsid w:val="00F57334"/>
    <w:rsid w:val="00F5759E"/>
    <w:rsid w:val="00F57AA9"/>
    <w:rsid w:val="00F57AE8"/>
    <w:rsid w:val="00F57BA8"/>
    <w:rsid w:val="00F60438"/>
    <w:rsid w:val="00F605D3"/>
    <w:rsid w:val="00F606BE"/>
    <w:rsid w:val="00F60802"/>
    <w:rsid w:val="00F60979"/>
    <w:rsid w:val="00F60ED9"/>
    <w:rsid w:val="00F61B07"/>
    <w:rsid w:val="00F61E5E"/>
    <w:rsid w:val="00F621C9"/>
    <w:rsid w:val="00F6244E"/>
    <w:rsid w:val="00F634DA"/>
    <w:rsid w:val="00F63A90"/>
    <w:rsid w:val="00F64236"/>
    <w:rsid w:val="00F64FBE"/>
    <w:rsid w:val="00F64FED"/>
    <w:rsid w:val="00F652C8"/>
    <w:rsid w:val="00F65559"/>
    <w:rsid w:val="00F65F33"/>
    <w:rsid w:val="00F66813"/>
    <w:rsid w:val="00F66B08"/>
    <w:rsid w:val="00F66B54"/>
    <w:rsid w:val="00F66E4B"/>
    <w:rsid w:val="00F66E6B"/>
    <w:rsid w:val="00F66FB1"/>
    <w:rsid w:val="00F70259"/>
    <w:rsid w:val="00F70A80"/>
    <w:rsid w:val="00F70A84"/>
    <w:rsid w:val="00F70A99"/>
    <w:rsid w:val="00F70DE9"/>
    <w:rsid w:val="00F70F12"/>
    <w:rsid w:val="00F71298"/>
    <w:rsid w:val="00F71794"/>
    <w:rsid w:val="00F719A5"/>
    <w:rsid w:val="00F71FDB"/>
    <w:rsid w:val="00F723A7"/>
    <w:rsid w:val="00F72895"/>
    <w:rsid w:val="00F73042"/>
    <w:rsid w:val="00F731DA"/>
    <w:rsid w:val="00F736D7"/>
    <w:rsid w:val="00F73B39"/>
    <w:rsid w:val="00F7410A"/>
    <w:rsid w:val="00F75C32"/>
    <w:rsid w:val="00F75F84"/>
    <w:rsid w:val="00F767B3"/>
    <w:rsid w:val="00F76847"/>
    <w:rsid w:val="00F768DA"/>
    <w:rsid w:val="00F76C31"/>
    <w:rsid w:val="00F76CAC"/>
    <w:rsid w:val="00F76E2B"/>
    <w:rsid w:val="00F770ED"/>
    <w:rsid w:val="00F773F4"/>
    <w:rsid w:val="00F778D6"/>
    <w:rsid w:val="00F77966"/>
    <w:rsid w:val="00F77B7E"/>
    <w:rsid w:val="00F77C02"/>
    <w:rsid w:val="00F77D3A"/>
    <w:rsid w:val="00F80B1E"/>
    <w:rsid w:val="00F80CA6"/>
    <w:rsid w:val="00F81227"/>
    <w:rsid w:val="00F816BF"/>
    <w:rsid w:val="00F81887"/>
    <w:rsid w:val="00F81BD7"/>
    <w:rsid w:val="00F81C3D"/>
    <w:rsid w:val="00F82727"/>
    <w:rsid w:val="00F82AED"/>
    <w:rsid w:val="00F82BC4"/>
    <w:rsid w:val="00F832D4"/>
    <w:rsid w:val="00F834DD"/>
    <w:rsid w:val="00F83685"/>
    <w:rsid w:val="00F838BE"/>
    <w:rsid w:val="00F83F3A"/>
    <w:rsid w:val="00F84306"/>
    <w:rsid w:val="00F84DE1"/>
    <w:rsid w:val="00F850ED"/>
    <w:rsid w:val="00F85146"/>
    <w:rsid w:val="00F85564"/>
    <w:rsid w:val="00F8569F"/>
    <w:rsid w:val="00F8573F"/>
    <w:rsid w:val="00F86B31"/>
    <w:rsid w:val="00F873A7"/>
    <w:rsid w:val="00F8788C"/>
    <w:rsid w:val="00F87A26"/>
    <w:rsid w:val="00F87A93"/>
    <w:rsid w:val="00F87B6E"/>
    <w:rsid w:val="00F87EAE"/>
    <w:rsid w:val="00F87FCA"/>
    <w:rsid w:val="00F90E42"/>
    <w:rsid w:val="00F91E27"/>
    <w:rsid w:val="00F922ED"/>
    <w:rsid w:val="00F92754"/>
    <w:rsid w:val="00F92794"/>
    <w:rsid w:val="00F927B4"/>
    <w:rsid w:val="00F93188"/>
    <w:rsid w:val="00F93189"/>
    <w:rsid w:val="00F93D47"/>
    <w:rsid w:val="00F93F2F"/>
    <w:rsid w:val="00F94F67"/>
    <w:rsid w:val="00F95100"/>
    <w:rsid w:val="00F9528A"/>
    <w:rsid w:val="00F95A9A"/>
    <w:rsid w:val="00F95DED"/>
    <w:rsid w:val="00F96449"/>
    <w:rsid w:val="00F96559"/>
    <w:rsid w:val="00F9691A"/>
    <w:rsid w:val="00F96D2B"/>
    <w:rsid w:val="00F97986"/>
    <w:rsid w:val="00F97A3C"/>
    <w:rsid w:val="00F97A89"/>
    <w:rsid w:val="00FA0AE1"/>
    <w:rsid w:val="00FA0E76"/>
    <w:rsid w:val="00FA272B"/>
    <w:rsid w:val="00FA2BC0"/>
    <w:rsid w:val="00FA2C0F"/>
    <w:rsid w:val="00FA2CE9"/>
    <w:rsid w:val="00FA2D54"/>
    <w:rsid w:val="00FA2FB8"/>
    <w:rsid w:val="00FA318D"/>
    <w:rsid w:val="00FA3265"/>
    <w:rsid w:val="00FA3B5A"/>
    <w:rsid w:val="00FA3CDD"/>
    <w:rsid w:val="00FA3E87"/>
    <w:rsid w:val="00FA4459"/>
    <w:rsid w:val="00FA4E66"/>
    <w:rsid w:val="00FA5374"/>
    <w:rsid w:val="00FA5521"/>
    <w:rsid w:val="00FA5683"/>
    <w:rsid w:val="00FA5B87"/>
    <w:rsid w:val="00FA5F66"/>
    <w:rsid w:val="00FA62EC"/>
    <w:rsid w:val="00FA6528"/>
    <w:rsid w:val="00FA6FAD"/>
    <w:rsid w:val="00FA70D8"/>
    <w:rsid w:val="00FA7845"/>
    <w:rsid w:val="00FB0A1C"/>
    <w:rsid w:val="00FB189F"/>
    <w:rsid w:val="00FB1972"/>
    <w:rsid w:val="00FB1A4A"/>
    <w:rsid w:val="00FB1D2A"/>
    <w:rsid w:val="00FB1F1F"/>
    <w:rsid w:val="00FB242D"/>
    <w:rsid w:val="00FB2753"/>
    <w:rsid w:val="00FB2774"/>
    <w:rsid w:val="00FB2BC4"/>
    <w:rsid w:val="00FB2C74"/>
    <w:rsid w:val="00FB31C5"/>
    <w:rsid w:val="00FB4EAA"/>
    <w:rsid w:val="00FB6181"/>
    <w:rsid w:val="00FB6381"/>
    <w:rsid w:val="00FB65E4"/>
    <w:rsid w:val="00FB7A1D"/>
    <w:rsid w:val="00FC024E"/>
    <w:rsid w:val="00FC09D9"/>
    <w:rsid w:val="00FC1795"/>
    <w:rsid w:val="00FC1EA5"/>
    <w:rsid w:val="00FC1EC7"/>
    <w:rsid w:val="00FC1FC4"/>
    <w:rsid w:val="00FC28A4"/>
    <w:rsid w:val="00FC2F83"/>
    <w:rsid w:val="00FC2FC2"/>
    <w:rsid w:val="00FC34C5"/>
    <w:rsid w:val="00FC35D9"/>
    <w:rsid w:val="00FC3943"/>
    <w:rsid w:val="00FC3AFE"/>
    <w:rsid w:val="00FC4687"/>
    <w:rsid w:val="00FC46A1"/>
    <w:rsid w:val="00FC4769"/>
    <w:rsid w:val="00FC4A53"/>
    <w:rsid w:val="00FC4D11"/>
    <w:rsid w:val="00FC4D73"/>
    <w:rsid w:val="00FC4DC1"/>
    <w:rsid w:val="00FC4EA9"/>
    <w:rsid w:val="00FC522B"/>
    <w:rsid w:val="00FC5478"/>
    <w:rsid w:val="00FC55B3"/>
    <w:rsid w:val="00FC58BB"/>
    <w:rsid w:val="00FC6390"/>
    <w:rsid w:val="00FC6DCD"/>
    <w:rsid w:val="00FC7273"/>
    <w:rsid w:val="00FC7921"/>
    <w:rsid w:val="00FD0560"/>
    <w:rsid w:val="00FD1F52"/>
    <w:rsid w:val="00FD216A"/>
    <w:rsid w:val="00FD227D"/>
    <w:rsid w:val="00FD2534"/>
    <w:rsid w:val="00FD2A57"/>
    <w:rsid w:val="00FD3BF5"/>
    <w:rsid w:val="00FD4059"/>
    <w:rsid w:val="00FD43B1"/>
    <w:rsid w:val="00FD4691"/>
    <w:rsid w:val="00FD4AC8"/>
    <w:rsid w:val="00FD59E0"/>
    <w:rsid w:val="00FD5E63"/>
    <w:rsid w:val="00FD6026"/>
    <w:rsid w:val="00FD67F7"/>
    <w:rsid w:val="00FD6C6A"/>
    <w:rsid w:val="00FD723F"/>
    <w:rsid w:val="00FD7285"/>
    <w:rsid w:val="00FD7B66"/>
    <w:rsid w:val="00FE01F1"/>
    <w:rsid w:val="00FE0B74"/>
    <w:rsid w:val="00FE13D2"/>
    <w:rsid w:val="00FE1EE7"/>
    <w:rsid w:val="00FE22A1"/>
    <w:rsid w:val="00FE2518"/>
    <w:rsid w:val="00FE302B"/>
    <w:rsid w:val="00FE3054"/>
    <w:rsid w:val="00FE361E"/>
    <w:rsid w:val="00FE3869"/>
    <w:rsid w:val="00FE3A5B"/>
    <w:rsid w:val="00FE3B08"/>
    <w:rsid w:val="00FE3B14"/>
    <w:rsid w:val="00FE3C75"/>
    <w:rsid w:val="00FE4199"/>
    <w:rsid w:val="00FE4586"/>
    <w:rsid w:val="00FE4685"/>
    <w:rsid w:val="00FE64FD"/>
    <w:rsid w:val="00FE71DC"/>
    <w:rsid w:val="00FE72A0"/>
    <w:rsid w:val="00FE7FA5"/>
    <w:rsid w:val="00FF0BD2"/>
    <w:rsid w:val="00FF15DE"/>
    <w:rsid w:val="00FF183A"/>
    <w:rsid w:val="00FF1B11"/>
    <w:rsid w:val="00FF1CB0"/>
    <w:rsid w:val="00FF1DDA"/>
    <w:rsid w:val="00FF1F64"/>
    <w:rsid w:val="00FF22FC"/>
    <w:rsid w:val="00FF2320"/>
    <w:rsid w:val="00FF29E0"/>
    <w:rsid w:val="00FF3AEB"/>
    <w:rsid w:val="00FF400F"/>
    <w:rsid w:val="00FF48CE"/>
    <w:rsid w:val="00FF4B03"/>
    <w:rsid w:val="00FF58B4"/>
    <w:rsid w:val="00FF5A6F"/>
    <w:rsid w:val="00FF5ADE"/>
    <w:rsid w:val="00FF66B5"/>
    <w:rsid w:val="00FF6862"/>
    <w:rsid w:val="00FF6C1E"/>
    <w:rsid w:val="00FF6E50"/>
    <w:rsid w:val="00FF6ECA"/>
    <w:rsid w:val="00FF70E0"/>
    <w:rsid w:val="00FF7655"/>
    <w:rsid w:val="00FF76B8"/>
    <w:rsid w:val="00FF79C4"/>
    <w:rsid w:val="00FF7C50"/>
    <w:rsid w:val="00FF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1AB"/>
    <w:pPr>
      <w:adjustRightInd w:val="0"/>
      <w:spacing w:after="240" w:line="260" w:lineRule="atLeast"/>
      <w:textAlignment w:val="baseline"/>
    </w:pPr>
    <w:rPr>
      <w:rFonts w:ascii="Cambria" w:hAnsi="Cambria"/>
      <w:szCs w:val="22"/>
    </w:rPr>
  </w:style>
  <w:style w:type="paragraph" w:styleId="Heading1">
    <w:name w:val="heading 1"/>
    <w:basedOn w:val="Normal"/>
    <w:next w:val="Normal"/>
    <w:link w:val="Heading1Char"/>
    <w:autoRedefine/>
    <w:qFormat/>
    <w:rsid w:val="00623F88"/>
    <w:pPr>
      <w:keepNext/>
      <w:keepLines/>
      <w:pageBreakBefore/>
      <w:numPr>
        <w:numId w:val="7"/>
      </w:numPr>
      <w:adjustRightInd/>
      <w:textAlignment w:val="auto"/>
      <w:outlineLvl w:val="0"/>
    </w:pPr>
    <w:rPr>
      <w:rFonts w:ascii="Calibri" w:hAnsi="Calibri"/>
      <w:b/>
      <w:bCs/>
      <w:color w:val="1795D2" w:themeColor="accent1"/>
      <w:sz w:val="36"/>
      <w:szCs w:val="36"/>
    </w:rPr>
  </w:style>
  <w:style w:type="paragraph" w:styleId="Heading2">
    <w:name w:val="heading 2"/>
    <w:basedOn w:val="Normal"/>
    <w:next w:val="Normal"/>
    <w:link w:val="Heading2Char"/>
    <w:autoRedefine/>
    <w:qFormat/>
    <w:rsid w:val="00B8270A"/>
    <w:pPr>
      <w:keepNext/>
      <w:keepLines/>
      <w:numPr>
        <w:ilvl w:val="1"/>
        <w:numId w:val="7"/>
      </w:numPr>
      <w:pBdr>
        <w:bottom w:val="single" w:sz="2" w:space="1" w:color="auto"/>
      </w:pBdr>
      <w:spacing w:after="120"/>
      <w:outlineLvl w:val="1"/>
    </w:pPr>
    <w:rPr>
      <w:rFonts w:ascii="Calibri" w:hAnsi="Calibri"/>
      <w:b/>
      <w:bCs/>
      <w:sz w:val="24"/>
      <w:szCs w:val="24"/>
    </w:rPr>
  </w:style>
  <w:style w:type="paragraph" w:styleId="Heading3">
    <w:name w:val="heading 3"/>
    <w:basedOn w:val="Normal"/>
    <w:next w:val="Normal"/>
    <w:link w:val="Heading3Char"/>
    <w:autoRedefine/>
    <w:qFormat/>
    <w:rsid w:val="00912A17"/>
    <w:pPr>
      <w:keepNext/>
      <w:keepLines/>
      <w:numPr>
        <w:ilvl w:val="2"/>
        <w:numId w:val="7"/>
      </w:numPr>
      <w:spacing w:after="120" w:line="240" w:lineRule="auto"/>
      <w:ind w:left="0"/>
      <w:outlineLvl w:val="2"/>
    </w:pPr>
    <w:rPr>
      <w:rFonts w:ascii="Calibri" w:hAnsi="Calibri"/>
      <w:b/>
      <w:iCs/>
      <w:color w:val="000000"/>
      <w:szCs w:val="18"/>
    </w:rPr>
  </w:style>
  <w:style w:type="paragraph" w:styleId="Heading4">
    <w:name w:val="heading 4"/>
    <w:basedOn w:val="Normal"/>
    <w:next w:val="Normal"/>
    <w:link w:val="Heading4Char"/>
    <w:autoRedefine/>
    <w:qFormat/>
    <w:rsid w:val="00F30127"/>
    <w:pPr>
      <w:keepNext/>
      <w:keepLines/>
      <w:numPr>
        <w:ilvl w:val="3"/>
        <w:numId w:val="7"/>
      </w:numPr>
      <w:spacing w:after="120"/>
      <w:outlineLvl w:val="3"/>
    </w:pPr>
    <w:rPr>
      <w:rFonts w:ascii="Calibri" w:hAnsi="Calibri"/>
      <w:bCs/>
      <w:i/>
      <w:szCs w:val="20"/>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sz w:val="44"/>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ind w:right="-147"/>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8ptLeftText">
    <w:name w:val="Table 8 pt Left Text"/>
    <w:basedOn w:val="Normal"/>
    <w:rPr>
      <w:rFonts w:ascii="Arial" w:hAnsi="Arial"/>
      <w:sz w:val="16"/>
    </w:rPr>
  </w:style>
  <w:style w:type="paragraph" w:styleId="Caption">
    <w:name w:val="caption"/>
    <w:basedOn w:val="Normal"/>
    <w:next w:val="Normal"/>
    <w:link w:val="CaptionChar"/>
    <w:qFormat/>
    <w:rsid w:val="00EB3C23"/>
    <w:pPr>
      <w:keepNext/>
      <w:keepLines/>
      <w:tabs>
        <w:tab w:val="left" w:pos="1260"/>
        <w:tab w:val="left" w:pos="9000"/>
      </w:tabs>
      <w:spacing w:after="120" w:line="240" w:lineRule="auto"/>
    </w:pPr>
    <w:rPr>
      <w:rFonts w:ascii="Calibri" w:hAnsi="Calibri"/>
      <w:b/>
      <w:bCs/>
      <w:szCs w:val="20"/>
    </w:rPr>
  </w:style>
  <w:style w:type="paragraph" w:styleId="Header">
    <w:name w:val="header"/>
    <w:basedOn w:val="Normal"/>
    <w:link w:val="HeaderChar"/>
    <w:uiPriority w:val="99"/>
    <w:pPr>
      <w:tabs>
        <w:tab w:val="center" w:pos="4320"/>
        <w:tab w:val="right" w:pos="8640"/>
      </w:tabs>
    </w:pPr>
  </w:style>
  <w:style w:type="paragraph" w:styleId="TableofFigures">
    <w:name w:val="table of figures"/>
    <w:basedOn w:val="Normal"/>
    <w:next w:val="Normal"/>
    <w:autoRedefine/>
    <w:uiPriority w:val="99"/>
    <w:rsid w:val="001F5E1A"/>
    <w:pPr>
      <w:tabs>
        <w:tab w:val="right" w:leader="dot" w:pos="8990"/>
      </w:tabs>
      <w:spacing w:after="120" w:line="240" w:lineRule="auto"/>
      <w:ind w:left="1260" w:hanging="1260"/>
    </w:pPr>
    <w:rPr>
      <w:rFonts w:ascii="Calibri" w:hAnsi="Calibri" w:cstheme="minorHAnsi"/>
      <w:b/>
      <w:noProof/>
      <w:szCs w:val="20"/>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uiPriority w:val="99"/>
    <w:qFormat/>
    <w:rsid w:val="009C2B5B"/>
    <w:pPr>
      <w:keepLines/>
      <w:spacing w:after="80" w:line="240" w:lineRule="auto"/>
    </w:pPr>
    <w:rPr>
      <w:sz w:val="18"/>
      <w:szCs w:val="18"/>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autoRedefine/>
    <w:uiPriority w:val="99"/>
    <w:qFormat/>
    <w:rPr>
      <w:sz w:val="22"/>
      <w:szCs w:val="22"/>
      <w:vertAlign w:val="superscript"/>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C2">
    <w:name w:val="toc 2"/>
    <w:basedOn w:val="Normal"/>
    <w:next w:val="Normal"/>
    <w:autoRedefine/>
    <w:uiPriority w:val="39"/>
    <w:rsid w:val="005D20DB"/>
    <w:pPr>
      <w:keepNext/>
      <w:tabs>
        <w:tab w:val="right" w:leader="dot" w:pos="8990"/>
      </w:tabs>
      <w:spacing w:after="120" w:line="240" w:lineRule="auto"/>
      <w:ind w:left="331" w:hanging="331"/>
    </w:pPr>
    <w:rPr>
      <w:rFonts w:asciiTheme="minorHAnsi" w:hAnsiTheme="minorHAnsi"/>
      <w:bCs/>
      <w:noProof/>
      <w:szCs w:val="20"/>
    </w:rPr>
  </w:style>
  <w:style w:type="paragraph" w:styleId="TOC1">
    <w:name w:val="toc 1"/>
    <w:basedOn w:val="Normal"/>
    <w:next w:val="Normal"/>
    <w:autoRedefine/>
    <w:uiPriority w:val="39"/>
    <w:qFormat/>
    <w:rsid w:val="005D20DB"/>
    <w:pPr>
      <w:tabs>
        <w:tab w:val="right" w:leader="dot" w:pos="8990"/>
      </w:tabs>
      <w:spacing w:after="120" w:line="240" w:lineRule="auto"/>
    </w:pPr>
    <w:rPr>
      <w:rFonts w:asciiTheme="minorHAnsi" w:hAnsiTheme="minorHAnsi" w:cs="Arial"/>
      <w:b/>
      <w:bCs/>
      <w:noProof/>
      <w:szCs w:val="20"/>
    </w:rPr>
  </w:style>
  <w:style w:type="paragraph" w:styleId="TOC3">
    <w:name w:val="toc 3"/>
    <w:basedOn w:val="Normal"/>
    <w:next w:val="Normal"/>
    <w:uiPriority w:val="39"/>
    <w:pPr>
      <w:tabs>
        <w:tab w:val="right" w:leader="dot" w:pos="8990"/>
      </w:tabs>
      <w:ind w:left="216"/>
    </w:pPr>
    <w:rPr>
      <w:szCs w:val="20"/>
    </w:rPr>
  </w:style>
  <w:style w:type="paragraph" w:styleId="TOC4">
    <w:name w:val="toc 4"/>
    <w:basedOn w:val="Normal"/>
    <w:next w:val="Normal"/>
    <w:autoRedefine/>
    <w:semiHidden/>
    <w:pPr>
      <w:ind w:left="440"/>
    </w:pPr>
    <w:rPr>
      <w:szCs w:val="20"/>
    </w:rPr>
  </w:style>
  <w:style w:type="character" w:styleId="Hyperlink">
    <w:name w:val="Hyperlink"/>
    <w:uiPriority w:val="99"/>
    <w:qFormat/>
    <w:rPr>
      <w:color w:val="0000FF"/>
      <w:u w:val="single"/>
    </w:rPr>
  </w:style>
  <w:style w:type="paragraph" w:customStyle="1" w:styleId="Table-a-b-c">
    <w:name w:val="Table-a-b-c"/>
    <w:basedOn w:val="Normal"/>
    <w:pPr>
      <w:spacing w:after="80" w:line="240" w:lineRule="auto"/>
      <w:ind w:left="-720"/>
    </w:pPr>
    <w:rPr>
      <w:rFonts w:ascii="Arial" w:hAnsi="Arial" w:cs="Arial"/>
      <w:sz w:val="16"/>
      <w:szCs w:val="16"/>
    </w:rPr>
  </w:style>
  <w:style w:type="paragraph" w:styleId="TOC5">
    <w:name w:val="toc 5"/>
    <w:basedOn w:val="Normal"/>
    <w:next w:val="Normal"/>
    <w:autoRedefine/>
    <w:semiHidden/>
    <w:pPr>
      <w:ind w:left="660"/>
    </w:pPr>
    <w:rPr>
      <w:szCs w:val="20"/>
    </w:rPr>
  </w:style>
  <w:style w:type="paragraph" w:styleId="TOC6">
    <w:name w:val="toc 6"/>
    <w:basedOn w:val="Normal"/>
    <w:next w:val="Normal"/>
    <w:autoRedefine/>
    <w:semiHidden/>
    <w:pPr>
      <w:ind w:left="880"/>
    </w:pPr>
    <w:rPr>
      <w:szCs w:val="20"/>
    </w:rPr>
  </w:style>
  <w:style w:type="paragraph" w:styleId="TOC7">
    <w:name w:val="toc 7"/>
    <w:basedOn w:val="Normal"/>
    <w:next w:val="Normal"/>
    <w:autoRedefine/>
    <w:semiHidden/>
    <w:pPr>
      <w:ind w:left="1100"/>
    </w:pPr>
    <w:rPr>
      <w:szCs w:val="20"/>
    </w:rPr>
  </w:style>
  <w:style w:type="paragraph" w:styleId="TOC8">
    <w:name w:val="toc 8"/>
    <w:basedOn w:val="Normal"/>
    <w:next w:val="Normal"/>
    <w:autoRedefine/>
    <w:semiHidden/>
    <w:pPr>
      <w:ind w:left="1320"/>
    </w:pPr>
    <w:rPr>
      <w:szCs w:val="20"/>
    </w:rPr>
  </w:style>
  <w:style w:type="paragraph" w:styleId="TOC9">
    <w:name w:val="toc 9"/>
    <w:basedOn w:val="Normal"/>
    <w:next w:val="Normal"/>
    <w:autoRedefine/>
    <w:semiHidden/>
    <w:pPr>
      <w:ind w:left="1540"/>
    </w:pPr>
    <w:rPr>
      <w:szCs w:val="20"/>
    </w:rPr>
  </w:style>
  <w:style w:type="paragraph" w:customStyle="1" w:styleId="TableTextCentered">
    <w:name w:val="Table Text Centered"/>
    <w:basedOn w:val="Normal"/>
    <w:pPr>
      <w:tabs>
        <w:tab w:val="left" w:pos="-720"/>
      </w:tabs>
      <w:suppressAutoHyphens/>
      <w:spacing w:before="60" w:after="60" w:line="180" w:lineRule="exact"/>
      <w:jc w:val="center"/>
    </w:pPr>
    <w:rPr>
      <w:sz w:val="18"/>
    </w:r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rPr>
      <w:b/>
      <w:bCs/>
    </w:rPr>
  </w:style>
  <w:style w:type="paragraph" w:customStyle="1" w:styleId="TableCaption">
    <w:name w:val="Table Caption"/>
    <w:basedOn w:val="Caption"/>
    <w:autoRedefine/>
    <w:rsid w:val="004315EE"/>
    <w:pPr>
      <w:tabs>
        <w:tab w:val="left" w:pos="7740"/>
      </w:tabs>
      <w:ind w:left="1267" w:right="1267"/>
    </w:pPr>
  </w:style>
  <w:style w:type="paragraph" w:customStyle="1" w:styleId="Table8ptTextCentered">
    <w:name w:val="Table 8 pt Text Centered"/>
    <w:basedOn w:val="Normal"/>
    <w:pPr>
      <w:adjustRightInd/>
      <w:spacing w:line="240" w:lineRule="auto"/>
      <w:jc w:val="center"/>
      <w:textAlignment w:val="auto"/>
    </w:pPr>
    <w:rPr>
      <w:rFonts w:ascii="Arial" w:hAnsi="Arial" w:cs="Arial"/>
      <w:sz w:val="16"/>
      <w:szCs w:val="16"/>
    </w:rPr>
  </w:style>
  <w:style w:type="paragraph" w:customStyle="1" w:styleId="Table8ptCtrBoldText">
    <w:name w:val="Table 8 pt Ctr Bold Text"/>
    <w:basedOn w:val="Normal"/>
    <w:autoRedefine/>
    <w:pPr>
      <w:keepNext/>
      <w:keepLines/>
      <w:adjustRightInd/>
      <w:spacing w:line="240" w:lineRule="auto"/>
      <w:jc w:val="center"/>
      <w:textAlignment w:val="auto"/>
    </w:pPr>
    <w:rPr>
      <w:rFonts w:ascii="Arial" w:hAnsi="Arial" w:cs="Arial"/>
      <w:b/>
      <w:bCs/>
      <w:sz w:val="16"/>
      <w:szCs w:val="16"/>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Table8ptLeftBoldText">
    <w:name w:val="Table 8 pt Left Bold Text"/>
    <w:basedOn w:val="Normal"/>
    <w:pPr>
      <w:adjustRightInd/>
      <w:spacing w:line="240" w:lineRule="auto"/>
      <w:textAlignment w:val="auto"/>
    </w:pPr>
    <w:rPr>
      <w:rFonts w:ascii="Arial" w:hAnsi="Arial" w:cs="Arial"/>
      <w:b/>
      <w:bCs/>
      <w:sz w:val="16"/>
      <w:szCs w:val="16"/>
    </w:rPr>
  </w:style>
  <w:style w:type="paragraph" w:customStyle="1" w:styleId="Table9ptLeftText">
    <w:name w:val="Table 9 pt Left Text"/>
    <w:basedOn w:val="Normal"/>
    <w:pPr>
      <w:keepNext/>
      <w:keepLines/>
      <w:spacing w:line="240" w:lineRule="auto"/>
    </w:pPr>
    <w:rPr>
      <w:rFonts w:ascii="Arial" w:hAnsi="Arial" w:cs="Arial"/>
      <w:sz w:val="18"/>
      <w:szCs w:val="18"/>
    </w:rPr>
  </w:style>
  <w:style w:type="paragraph" w:customStyle="1" w:styleId="Table9ptCtrBoldText">
    <w:name w:val="Table 9 pt Ctr Bold Text"/>
    <w:basedOn w:val="Normal"/>
    <w:pPr>
      <w:jc w:val="center"/>
    </w:pPr>
    <w:rPr>
      <w:rFonts w:ascii="Arial" w:hAnsi="Arial"/>
      <w:b/>
      <w:sz w:val="18"/>
      <w:szCs w:val="18"/>
    </w:rPr>
  </w:style>
  <w:style w:type="paragraph" w:customStyle="1" w:styleId="StyleTable9ptCtrBoldText">
    <w:name w:val="Style Table 9 pt Ctr Bold Text"/>
    <w:basedOn w:val="Table9ptCtrBoldText"/>
    <w:rPr>
      <w:b w:val="0"/>
      <w:bCs/>
    </w:rPr>
  </w:style>
  <w:style w:type="paragraph" w:customStyle="1" w:styleId="Table9ptCtrText">
    <w:name w:val="Table 9 pt Ctr Text"/>
    <w:basedOn w:val="Table9ptCtrBoldText"/>
    <w:rPr>
      <w:b w:val="0"/>
    </w:rPr>
  </w:style>
  <w:style w:type="character" w:styleId="Strong">
    <w:name w:val="Strong"/>
    <w:qFormat/>
    <w:rPr>
      <w:b/>
      <w:bCs/>
    </w:rPr>
  </w:style>
  <w:style w:type="character" w:styleId="PageNumber">
    <w:name w:val="page number"/>
    <w:basedOn w:val="DefaultParagraphFont"/>
  </w:style>
  <w:style w:type="paragraph" w:customStyle="1" w:styleId="Table9ptLeftBoldText">
    <w:name w:val="Table 9 pt Left Bold Text"/>
    <w:basedOn w:val="Table9ptLeftText"/>
  </w:style>
  <w:style w:type="paragraph" w:customStyle="1" w:styleId="FigureCaption">
    <w:name w:val="Figure Caption"/>
    <w:basedOn w:val="Caption"/>
  </w:style>
  <w:style w:type="paragraph" w:customStyle="1" w:styleId="BulletedList">
    <w:name w:val="Bulleted List"/>
    <w:basedOn w:val="Normal"/>
    <w:pPr>
      <w:numPr>
        <w:ilvl w:val="2"/>
        <w:numId w:val="2"/>
      </w:numPr>
    </w:pPr>
  </w:style>
  <w:style w:type="paragraph" w:customStyle="1" w:styleId="StyleBulletedListBefore0ptAfter13pt">
    <w:name w:val="Style Bulleted List + Before:  0 pt After:  13 pt"/>
    <w:basedOn w:val="BulletedList"/>
    <w:autoRedefine/>
    <w:pPr>
      <w:numPr>
        <w:ilvl w:val="0"/>
        <w:numId w:val="0"/>
      </w:numPr>
    </w:pPr>
    <w:rPr>
      <w:szCs w:val="20"/>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Left">
    <w:name w:val="Style Left"/>
    <w:basedOn w:val="Normal"/>
    <w:autoRedefine/>
    <w:rPr>
      <w:rFonts w:ascii="Arial" w:hAnsi="Arial" w:cs="Arial"/>
      <w:b/>
      <w:sz w:val="36"/>
      <w:szCs w:val="36"/>
    </w:rPr>
  </w:style>
  <w:style w:type="character" w:customStyle="1" w:styleId="StyleLeftChar">
    <w:name w:val="Style Left Char"/>
    <w:rPr>
      <w:rFonts w:ascii="Arial" w:hAnsi="Arial" w:cs="Arial"/>
      <w:b/>
      <w:sz w:val="36"/>
      <w:szCs w:val="36"/>
      <w:lang w:val="en-US" w:eastAsia="en-US" w:bidi="ar-SA"/>
    </w:rPr>
  </w:style>
  <w:style w:type="paragraph" w:customStyle="1" w:styleId="StyleNormalBefore0pt">
    <w:name w:val="Style Normal + Before:  0 pt"/>
    <w:basedOn w:val="Normal"/>
    <w:pPr>
      <w:tabs>
        <w:tab w:val="num" w:pos="720"/>
      </w:tabs>
      <w:spacing w:after="120"/>
      <w:ind w:left="720" w:hanging="360"/>
    </w:pPr>
  </w:style>
  <w:style w:type="paragraph" w:styleId="ListBullet">
    <w:name w:val="List Bullet"/>
    <w:basedOn w:val="Normal"/>
    <w:pPr>
      <w:numPr>
        <w:numId w:val="1"/>
      </w:numPr>
    </w:pPr>
  </w:style>
  <w:style w:type="character" w:customStyle="1" w:styleId="StyleNormalBefore0ptChar">
    <w:name w:val="Style Normal + Before:  0 pt Char"/>
    <w:rPr>
      <w:sz w:val="22"/>
      <w:szCs w:val="22"/>
      <w:lang w:val="en-US" w:eastAsia="en-US" w:bidi="ar-SA"/>
    </w:rPr>
  </w:style>
  <w:style w:type="paragraph" w:styleId="CommentSubject">
    <w:name w:val="annotation subject"/>
    <w:basedOn w:val="CommentText"/>
    <w:next w:val="CommentText"/>
    <w:semiHidden/>
    <w:rPr>
      <w:b/>
      <w:bCs/>
      <w:szCs w:val="20"/>
    </w:rPr>
  </w:style>
  <w:style w:type="paragraph" w:customStyle="1" w:styleId="StyleAfter6pt">
    <w:name w:val="Style After:  6 pt"/>
    <w:basedOn w:val="StyleLeft"/>
    <w:pPr>
      <w:tabs>
        <w:tab w:val="num" w:pos="360"/>
      </w:tabs>
      <w:spacing w:after="120"/>
    </w:pPr>
    <w:rPr>
      <w:rFonts w:ascii="Times New Roman" w:hAnsi="Times New Roman"/>
      <w:b w:val="0"/>
      <w:sz w:val="22"/>
      <w:szCs w:val="20"/>
    </w:rPr>
  </w:style>
  <w:style w:type="character" w:customStyle="1" w:styleId="msoins0">
    <w:name w:val="msoins"/>
    <w:basedOn w:val="DefaultParagraphFont"/>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uiPriority w:val="99"/>
    <w:pPr>
      <w:adjustRightInd/>
      <w:spacing w:before="100" w:beforeAutospacing="1" w:after="100" w:afterAutospacing="1" w:line="240" w:lineRule="auto"/>
      <w:textAlignment w:val="auto"/>
    </w:pPr>
    <w:rPr>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Courier New" w:hAnsi="Courier New" w:cs="Courier New"/>
      <w:szCs w:val="20"/>
    </w:rPr>
  </w:style>
  <w:style w:type="paragraph" w:customStyle="1" w:styleId="FoonoteText">
    <w:name w:val="Foonote Text"/>
    <w:basedOn w:val="FootnoteText"/>
  </w:style>
  <w:style w:type="table" w:styleId="TableGrid">
    <w:name w:val="Table Grid"/>
    <w:basedOn w:val="TableNormal"/>
    <w:rsid w:val="005A5A02"/>
    <w:pPr>
      <w:widowControl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53E17"/>
    <w:pPr>
      <w:widowControl w:val="0"/>
      <w:suppressAutoHyphens/>
      <w:autoSpaceDE w:val="0"/>
      <w:autoSpaceDN w:val="0"/>
      <w:spacing w:before="260"/>
      <w:textAlignment w:val="center"/>
    </w:pPr>
    <w:rPr>
      <w:rFonts w:ascii="Whitney-Book" w:hAnsi="Whitney-Book" w:cs="Whitney-Book"/>
      <w:color w:val="000000"/>
      <w:sz w:val="18"/>
      <w:szCs w:val="18"/>
    </w:rPr>
  </w:style>
  <w:style w:type="paragraph" w:styleId="ListParagraph">
    <w:name w:val="List Paragraph"/>
    <w:basedOn w:val="Normal"/>
    <w:uiPriority w:val="34"/>
    <w:qFormat/>
    <w:rsid w:val="008A5837"/>
    <w:pPr>
      <w:adjustRightInd/>
      <w:spacing w:after="120"/>
      <w:ind w:left="720"/>
      <w:textAlignment w:val="auto"/>
    </w:pPr>
  </w:style>
  <w:style w:type="character" w:customStyle="1" w:styleId="Heading1Char">
    <w:name w:val="Heading 1 Char"/>
    <w:link w:val="Heading1"/>
    <w:rsid w:val="00623F88"/>
    <w:rPr>
      <w:rFonts w:ascii="Calibri" w:hAnsi="Calibri"/>
      <w:b/>
      <w:bCs/>
      <w:color w:val="1795D2" w:themeColor="accent1"/>
      <w:sz w:val="36"/>
      <w:szCs w:val="36"/>
    </w:rPr>
  </w:style>
  <w:style w:type="character" w:customStyle="1" w:styleId="Heading2Char">
    <w:name w:val="Heading 2 Char"/>
    <w:link w:val="Heading2"/>
    <w:rsid w:val="00B8270A"/>
    <w:rPr>
      <w:rFonts w:ascii="Calibri" w:hAnsi="Calibri"/>
      <w:b/>
      <w:bCs/>
      <w:sz w:val="24"/>
      <w:szCs w:val="24"/>
    </w:rPr>
  </w:style>
  <w:style w:type="paragraph" w:styleId="BodyText">
    <w:name w:val="Body Text"/>
    <w:basedOn w:val="Normal"/>
    <w:link w:val="BodyTextChar"/>
    <w:uiPriority w:val="1"/>
    <w:qFormat/>
    <w:rsid w:val="008E3011"/>
    <w:pPr>
      <w:widowControl w:val="0"/>
      <w:autoSpaceDE w:val="0"/>
      <w:autoSpaceDN w:val="0"/>
      <w:spacing w:before="232" w:after="0" w:line="240" w:lineRule="auto"/>
      <w:ind w:left="2123" w:hanging="540"/>
      <w:textAlignment w:val="auto"/>
    </w:pPr>
    <w:rPr>
      <w:rFonts w:ascii="Calibri" w:hAnsi="Calibri" w:cs="Calibri"/>
      <w:sz w:val="36"/>
      <w:szCs w:val="36"/>
    </w:rPr>
  </w:style>
  <w:style w:type="character" w:customStyle="1" w:styleId="BodyTextChar">
    <w:name w:val="Body Text Char"/>
    <w:link w:val="BodyText"/>
    <w:uiPriority w:val="1"/>
    <w:rsid w:val="008E3011"/>
    <w:rPr>
      <w:rFonts w:ascii="Calibri" w:hAnsi="Calibri" w:cs="Calibri"/>
      <w:sz w:val="36"/>
      <w:szCs w:val="36"/>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link w:val="FootnoteText"/>
    <w:uiPriority w:val="99"/>
    <w:qFormat/>
    <w:rsid w:val="009C2B5B"/>
    <w:rPr>
      <w:rFonts w:ascii="Cambria" w:hAnsi="Cambria"/>
      <w:sz w:val="18"/>
      <w:szCs w:val="18"/>
    </w:rPr>
  </w:style>
  <w:style w:type="paragraph" w:customStyle="1" w:styleId="TableParagraph">
    <w:name w:val="Table Paragraph"/>
    <w:basedOn w:val="Normal"/>
    <w:uiPriority w:val="1"/>
    <w:qFormat/>
    <w:rsid w:val="00035C76"/>
    <w:pPr>
      <w:widowControl w:val="0"/>
      <w:adjustRightInd/>
      <w:spacing w:after="0" w:line="240" w:lineRule="auto"/>
      <w:textAlignment w:val="auto"/>
    </w:pPr>
    <w:rPr>
      <w:rFonts w:ascii="Calibri" w:eastAsia="Calibri" w:hAnsi="Calibri"/>
      <w:sz w:val="22"/>
    </w:rPr>
  </w:style>
  <w:style w:type="character" w:customStyle="1" w:styleId="Heading3Char">
    <w:name w:val="Heading 3 Char"/>
    <w:link w:val="Heading3"/>
    <w:rsid w:val="00912A17"/>
    <w:rPr>
      <w:rFonts w:ascii="Calibri" w:hAnsi="Calibri"/>
      <w:b/>
      <w:iCs/>
      <w:color w:val="000000"/>
      <w:szCs w:val="18"/>
    </w:rPr>
  </w:style>
  <w:style w:type="paragraph" w:styleId="Revision">
    <w:name w:val="Revision"/>
    <w:hidden/>
    <w:uiPriority w:val="99"/>
    <w:semiHidden/>
    <w:rsid w:val="000F140B"/>
    <w:rPr>
      <w:rFonts w:ascii="Cambria" w:hAnsi="Cambria"/>
      <w:szCs w:val="22"/>
    </w:rPr>
  </w:style>
  <w:style w:type="character" w:customStyle="1" w:styleId="FooterChar">
    <w:name w:val="Footer Char"/>
    <w:basedOn w:val="DefaultParagraphFont"/>
    <w:link w:val="Footer"/>
    <w:uiPriority w:val="99"/>
    <w:rsid w:val="00C368EB"/>
    <w:rPr>
      <w:rFonts w:ascii="Cambria" w:hAnsi="Cambria"/>
      <w:szCs w:val="22"/>
    </w:rPr>
  </w:style>
  <w:style w:type="paragraph" w:styleId="EndnoteText">
    <w:name w:val="endnote text"/>
    <w:basedOn w:val="Normal"/>
    <w:link w:val="EndnoteTextChar"/>
    <w:rsid w:val="0028767E"/>
    <w:pPr>
      <w:spacing w:after="0" w:line="240" w:lineRule="auto"/>
    </w:pPr>
    <w:rPr>
      <w:szCs w:val="20"/>
    </w:rPr>
  </w:style>
  <w:style w:type="character" w:customStyle="1" w:styleId="EndnoteTextChar">
    <w:name w:val="Endnote Text Char"/>
    <w:basedOn w:val="DefaultParagraphFont"/>
    <w:link w:val="EndnoteText"/>
    <w:rsid w:val="0028767E"/>
    <w:rPr>
      <w:rFonts w:ascii="Cambria" w:hAnsi="Cambria"/>
    </w:rPr>
  </w:style>
  <w:style w:type="character" w:styleId="EndnoteReference">
    <w:name w:val="endnote reference"/>
    <w:basedOn w:val="DefaultParagraphFont"/>
    <w:rsid w:val="0028767E"/>
    <w:rPr>
      <w:vertAlign w:val="superscript"/>
    </w:rPr>
  </w:style>
  <w:style w:type="character" w:customStyle="1" w:styleId="HeaderChar">
    <w:name w:val="Header Char"/>
    <w:basedOn w:val="DefaultParagraphFont"/>
    <w:link w:val="Header"/>
    <w:uiPriority w:val="99"/>
    <w:rsid w:val="00A4310D"/>
    <w:rPr>
      <w:rFonts w:ascii="Cambria" w:hAnsi="Cambria"/>
      <w:szCs w:val="22"/>
    </w:rPr>
  </w:style>
  <w:style w:type="paragraph" w:styleId="NoSpacing">
    <w:name w:val="No Spacing"/>
    <w:uiPriority w:val="1"/>
    <w:qFormat/>
    <w:rsid w:val="00A4310D"/>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semiHidden/>
    <w:rsid w:val="007175D2"/>
    <w:rPr>
      <w:rFonts w:ascii="Cambria" w:hAnsi="Cambria"/>
      <w:szCs w:val="22"/>
    </w:rPr>
  </w:style>
  <w:style w:type="character" w:customStyle="1" w:styleId="Heading4Char">
    <w:name w:val="Heading 4 Char"/>
    <w:basedOn w:val="DefaultParagraphFont"/>
    <w:link w:val="Heading4"/>
    <w:rsid w:val="00F30127"/>
    <w:rPr>
      <w:rFonts w:ascii="Calibri" w:hAnsi="Calibri"/>
      <w:bCs/>
      <w:i/>
    </w:rPr>
  </w:style>
  <w:style w:type="paragraph" w:styleId="IntenseQuote">
    <w:name w:val="Intense Quote"/>
    <w:basedOn w:val="Normal"/>
    <w:next w:val="Normal"/>
    <w:link w:val="IntenseQuoteChar"/>
    <w:uiPriority w:val="30"/>
    <w:qFormat/>
    <w:rsid w:val="009C435E"/>
    <w:pPr>
      <w:pBdr>
        <w:bottom w:val="single" w:sz="4" w:space="4" w:color="1795D2" w:themeColor="accent1"/>
      </w:pBdr>
      <w:spacing w:before="200" w:after="280"/>
      <w:ind w:left="936" w:right="936"/>
    </w:pPr>
    <w:rPr>
      <w:b/>
      <w:bCs/>
      <w:i/>
      <w:iCs/>
      <w:color w:val="1795D2" w:themeColor="accent1"/>
    </w:rPr>
  </w:style>
  <w:style w:type="character" w:customStyle="1" w:styleId="IntenseQuoteChar">
    <w:name w:val="Intense Quote Char"/>
    <w:basedOn w:val="DefaultParagraphFont"/>
    <w:link w:val="IntenseQuote"/>
    <w:uiPriority w:val="30"/>
    <w:rsid w:val="009C435E"/>
    <w:rPr>
      <w:rFonts w:ascii="Cambria" w:hAnsi="Cambria"/>
      <w:b/>
      <w:bCs/>
      <w:i/>
      <w:iCs/>
      <w:color w:val="1795D2" w:themeColor="accent1"/>
      <w:szCs w:val="22"/>
    </w:rPr>
  </w:style>
  <w:style w:type="character" w:customStyle="1" w:styleId="CaptionChar">
    <w:name w:val="Caption Char"/>
    <w:basedOn w:val="DefaultParagraphFont"/>
    <w:link w:val="Caption"/>
    <w:locked/>
    <w:rsid w:val="00EB3C23"/>
    <w:rPr>
      <w:rFonts w:ascii="Calibri" w:hAnsi="Calibri"/>
      <w:b/>
      <w:bCs/>
    </w:rPr>
  </w:style>
  <w:style w:type="character" w:customStyle="1" w:styleId="ftChar3">
    <w:name w:val="ft Char3"/>
    <w:aliases w:val="Footnote Text Char Char Char2,fn Char Char Char2,Footnote Text Char1 Char1 Char Char2,Footnote Text Char Char Char1 Char Char2,Footnote Text Char1 Char Char Char Char2,Footnote Text Char Char Char Char Char Char,fn Char1"/>
    <w:basedOn w:val="DefaultParagraphFont"/>
    <w:uiPriority w:val="99"/>
    <w:rsid w:val="00C24000"/>
    <w:rPr>
      <w:rFonts w:ascii="Cambria" w:hAnsi="Cambria"/>
      <w:color w:val="auto"/>
      <w:sz w:val="18"/>
    </w:rPr>
  </w:style>
  <w:style w:type="paragraph" w:styleId="PlainText">
    <w:name w:val="Plain Text"/>
    <w:basedOn w:val="Normal"/>
    <w:link w:val="PlainTextChar"/>
    <w:uiPriority w:val="99"/>
    <w:semiHidden/>
    <w:unhideWhenUsed/>
    <w:rsid w:val="00300BFD"/>
    <w:pPr>
      <w:adjustRightInd/>
      <w:spacing w:after="0" w:line="240" w:lineRule="auto"/>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00BFD"/>
    <w:rPr>
      <w:rFonts w:ascii="Calibri" w:eastAsiaTheme="minorHAnsi" w:hAnsi="Calibri" w:cstheme="minorBidi"/>
      <w:sz w:val="22"/>
      <w:szCs w:val="21"/>
    </w:rPr>
  </w:style>
  <w:style w:type="character" w:styleId="Emphasis">
    <w:name w:val="Emphasis"/>
    <w:basedOn w:val="DefaultParagraphFont"/>
    <w:uiPriority w:val="20"/>
    <w:qFormat/>
    <w:rsid w:val="00D01C55"/>
    <w:rPr>
      <w:b w:val="0"/>
      <w:bCs w:val="0"/>
      <w:i/>
      <w:iCs/>
    </w:rPr>
  </w:style>
  <w:style w:type="paragraph" w:customStyle="1" w:styleId="NESCOEfn">
    <w:name w:val="NESCOE_fn"/>
    <w:basedOn w:val="FootnoteText"/>
    <w:autoRedefine/>
    <w:qFormat/>
    <w:rsid w:val="00BA6C20"/>
    <w:pPr>
      <w:keepLines w:val="0"/>
      <w:tabs>
        <w:tab w:val="left" w:pos="432"/>
      </w:tabs>
      <w:adjustRightInd/>
      <w:spacing w:after="120"/>
      <w:ind w:left="432" w:hanging="432"/>
      <w:textAlignment w:val="auto"/>
    </w:pPr>
    <w:rPr>
      <w:rFonts w:ascii="Times New Roman" w:eastAsiaTheme="minorEastAsia" w:hAnsi="Times New Roman"/>
      <w:color w:val="62777F"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19494">
      <w:bodyDiv w:val="1"/>
      <w:marLeft w:val="0"/>
      <w:marRight w:val="0"/>
      <w:marTop w:val="0"/>
      <w:marBottom w:val="0"/>
      <w:divBdr>
        <w:top w:val="none" w:sz="0" w:space="0" w:color="auto"/>
        <w:left w:val="none" w:sz="0" w:space="0" w:color="auto"/>
        <w:bottom w:val="none" w:sz="0" w:space="0" w:color="auto"/>
        <w:right w:val="none" w:sz="0" w:space="0" w:color="auto"/>
      </w:divBdr>
      <w:divsChild>
        <w:div w:id="1537624538">
          <w:marLeft w:val="0"/>
          <w:marRight w:val="0"/>
          <w:marTop w:val="0"/>
          <w:marBottom w:val="0"/>
          <w:divBdr>
            <w:top w:val="none" w:sz="0" w:space="0" w:color="auto"/>
            <w:left w:val="none" w:sz="0" w:space="0" w:color="auto"/>
            <w:bottom w:val="none" w:sz="0" w:space="0" w:color="auto"/>
            <w:right w:val="none" w:sz="0" w:space="0" w:color="auto"/>
          </w:divBdr>
        </w:div>
        <w:div w:id="1564875504">
          <w:marLeft w:val="0"/>
          <w:marRight w:val="0"/>
          <w:marTop w:val="0"/>
          <w:marBottom w:val="0"/>
          <w:divBdr>
            <w:top w:val="none" w:sz="0" w:space="0" w:color="auto"/>
            <w:left w:val="none" w:sz="0" w:space="0" w:color="auto"/>
            <w:bottom w:val="none" w:sz="0" w:space="0" w:color="auto"/>
            <w:right w:val="none" w:sz="0" w:space="0" w:color="auto"/>
          </w:divBdr>
        </w:div>
      </w:divsChild>
    </w:div>
    <w:div w:id="30611459">
      <w:bodyDiv w:val="1"/>
      <w:marLeft w:val="0"/>
      <w:marRight w:val="0"/>
      <w:marTop w:val="0"/>
      <w:marBottom w:val="0"/>
      <w:divBdr>
        <w:top w:val="none" w:sz="0" w:space="0" w:color="auto"/>
        <w:left w:val="none" w:sz="0" w:space="0" w:color="auto"/>
        <w:bottom w:val="none" w:sz="0" w:space="0" w:color="auto"/>
        <w:right w:val="none" w:sz="0" w:space="0" w:color="auto"/>
      </w:divBdr>
      <w:divsChild>
        <w:div w:id="967978734">
          <w:marLeft w:val="547"/>
          <w:marRight w:val="0"/>
          <w:marTop w:val="240"/>
          <w:marBottom w:val="0"/>
          <w:divBdr>
            <w:top w:val="none" w:sz="0" w:space="0" w:color="auto"/>
            <w:left w:val="none" w:sz="0" w:space="0" w:color="auto"/>
            <w:bottom w:val="none" w:sz="0" w:space="0" w:color="auto"/>
            <w:right w:val="none" w:sz="0" w:space="0" w:color="auto"/>
          </w:divBdr>
        </w:div>
      </w:divsChild>
    </w:div>
    <w:div w:id="44765850">
      <w:bodyDiv w:val="1"/>
      <w:marLeft w:val="0"/>
      <w:marRight w:val="0"/>
      <w:marTop w:val="0"/>
      <w:marBottom w:val="0"/>
      <w:divBdr>
        <w:top w:val="none" w:sz="0" w:space="0" w:color="auto"/>
        <w:left w:val="none" w:sz="0" w:space="0" w:color="auto"/>
        <w:bottom w:val="none" w:sz="0" w:space="0" w:color="auto"/>
        <w:right w:val="none" w:sz="0" w:space="0" w:color="auto"/>
      </w:divBdr>
    </w:div>
    <w:div w:id="45031356">
      <w:bodyDiv w:val="1"/>
      <w:marLeft w:val="0"/>
      <w:marRight w:val="0"/>
      <w:marTop w:val="0"/>
      <w:marBottom w:val="0"/>
      <w:divBdr>
        <w:top w:val="none" w:sz="0" w:space="0" w:color="auto"/>
        <w:left w:val="none" w:sz="0" w:space="0" w:color="auto"/>
        <w:bottom w:val="none" w:sz="0" w:space="0" w:color="auto"/>
        <w:right w:val="none" w:sz="0" w:space="0" w:color="auto"/>
      </w:divBdr>
      <w:divsChild>
        <w:div w:id="97913941">
          <w:marLeft w:val="547"/>
          <w:marRight w:val="0"/>
          <w:marTop w:val="240"/>
          <w:marBottom w:val="0"/>
          <w:divBdr>
            <w:top w:val="none" w:sz="0" w:space="0" w:color="auto"/>
            <w:left w:val="none" w:sz="0" w:space="0" w:color="auto"/>
            <w:bottom w:val="none" w:sz="0" w:space="0" w:color="auto"/>
            <w:right w:val="none" w:sz="0" w:space="0" w:color="auto"/>
          </w:divBdr>
        </w:div>
        <w:div w:id="836187683">
          <w:marLeft w:val="1166"/>
          <w:marRight w:val="0"/>
          <w:marTop w:val="0"/>
          <w:marBottom w:val="0"/>
          <w:divBdr>
            <w:top w:val="none" w:sz="0" w:space="0" w:color="auto"/>
            <w:left w:val="none" w:sz="0" w:space="0" w:color="auto"/>
            <w:bottom w:val="none" w:sz="0" w:space="0" w:color="auto"/>
            <w:right w:val="none" w:sz="0" w:space="0" w:color="auto"/>
          </w:divBdr>
        </w:div>
        <w:div w:id="2021353114">
          <w:marLeft w:val="1166"/>
          <w:marRight w:val="0"/>
          <w:marTop w:val="0"/>
          <w:marBottom w:val="0"/>
          <w:divBdr>
            <w:top w:val="none" w:sz="0" w:space="0" w:color="auto"/>
            <w:left w:val="none" w:sz="0" w:space="0" w:color="auto"/>
            <w:bottom w:val="none" w:sz="0" w:space="0" w:color="auto"/>
            <w:right w:val="none" w:sz="0" w:space="0" w:color="auto"/>
          </w:divBdr>
        </w:div>
        <w:div w:id="2093312485">
          <w:marLeft w:val="1166"/>
          <w:marRight w:val="0"/>
          <w:marTop w:val="0"/>
          <w:marBottom w:val="0"/>
          <w:divBdr>
            <w:top w:val="none" w:sz="0" w:space="0" w:color="auto"/>
            <w:left w:val="none" w:sz="0" w:space="0" w:color="auto"/>
            <w:bottom w:val="none" w:sz="0" w:space="0" w:color="auto"/>
            <w:right w:val="none" w:sz="0" w:space="0" w:color="auto"/>
          </w:divBdr>
        </w:div>
      </w:divsChild>
    </w:div>
    <w:div w:id="54203941">
      <w:bodyDiv w:val="1"/>
      <w:marLeft w:val="0"/>
      <w:marRight w:val="0"/>
      <w:marTop w:val="0"/>
      <w:marBottom w:val="0"/>
      <w:divBdr>
        <w:top w:val="none" w:sz="0" w:space="0" w:color="auto"/>
        <w:left w:val="none" w:sz="0" w:space="0" w:color="auto"/>
        <w:bottom w:val="none" w:sz="0" w:space="0" w:color="auto"/>
        <w:right w:val="none" w:sz="0" w:space="0" w:color="auto"/>
      </w:divBdr>
    </w:div>
    <w:div w:id="69236301">
      <w:bodyDiv w:val="1"/>
      <w:marLeft w:val="0"/>
      <w:marRight w:val="0"/>
      <w:marTop w:val="0"/>
      <w:marBottom w:val="0"/>
      <w:divBdr>
        <w:top w:val="none" w:sz="0" w:space="0" w:color="auto"/>
        <w:left w:val="none" w:sz="0" w:space="0" w:color="auto"/>
        <w:bottom w:val="none" w:sz="0" w:space="0" w:color="auto"/>
        <w:right w:val="none" w:sz="0" w:space="0" w:color="auto"/>
      </w:divBdr>
      <w:divsChild>
        <w:div w:id="1229532393">
          <w:marLeft w:val="1166"/>
          <w:marRight w:val="0"/>
          <w:marTop w:val="0"/>
          <w:marBottom w:val="0"/>
          <w:divBdr>
            <w:top w:val="none" w:sz="0" w:space="0" w:color="auto"/>
            <w:left w:val="none" w:sz="0" w:space="0" w:color="auto"/>
            <w:bottom w:val="none" w:sz="0" w:space="0" w:color="auto"/>
            <w:right w:val="none" w:sz="0" w:space="0" w:color="auto"/>
          </w:divBdr>
        </w:div>
      </w:divsChild>
    </w:div>
    <w:div w:id="84542275">
      <w:bodyDiv w:val="1"/>
      <w:marLeft w:val="0"/>
      <w:marRight w:val="0"/>
      <w:marTop w:val="0"/>
      <w:marBottom w:val="0"/>
      <w:divBdr>
        <w:top w:val="none" w:sz="0" w:space="0" w:color="auto"/>
        <w:left w:val="none" w:sz="0" w:space="0" w:color="auto"/>
        <w:bottom w:val="none" w:sz="0" w:space="0" w:color="auto"/>
        <w:right w:val="none" w:sz="0" w:space="0" w:color="auto"/>
      </w:divBdr>
    </w:div>
    <w:div w:id="91777577">
      <w:bodyDiv w:val="1"/>
      <w:marLeft w:val="0"/>
      <w:marRight w:val="0"/>
      <w:marTop w:val="0"/>
      <w:marBottom w:val="0"/>
      <w:divBdr>
        <w:top w:val="none" w:sz="0" w:space="0" w:color="auto"/>
        <w:left w:val="none" w:sz="0" w:space="0" w:color="auto"/>
        <w:bottom w:val="none" w:sz="0" w:space="0" w:color="auto"/>
        <w:right w:val="none" w:sz="0" w:space="0" w:color="auto"/>
      </w:divBdr>
    </w:div>
    <w:div w:id="100683380">
      <w:bodyDiv w:val="1"/>
      <w:marLeft w:val="0"/>
      <w:marRight w:val="0"/>
      <w:marTop w:val="0"/>
      <w:marBottom w:val="0"/>
      <w:divBdr>
        <w:top w:val="none" w:sz="0" w:space="0" w:color="auto"/>
        <w:left w:val="none" w:sz="0" w:space="0" w:color="auto"/>
        <w:bottom w:val="none" w:sz="0" w:space="0" w:color="auto"/>
        <w:right w:val="none" w:sz="0" w:space="0" w:color="auto"/>
      </w:divBdr>
    </w:div>
    <w:div w:id="101732731">
      <w:bodyDiv w:val="1"/>
      <w:marLeft w:val="0"/>
      <w:marRight w:val="0"/>
      <w:marTop w:val="0"/>
      <w:marBottom w:val="0"/>
      <w:divBdr>
        <w:top w:val="none" w:sz="0" w:space="0" w:color="auto"/>
        <w:left w:val="none" w:sz="0" w:space="0" w:color="auto"/>
        <w:bottom w:val="none" w:sz="0" w:space="0" w:color="auto"/>
        <w:right w:val="none" w:sz="0" w:space="0" w:color="auto"/>
      </w:divBdr>
    </w:div>
    <w:div w:id="107050295">
      <w:bodyDiv w:val="1"/>
      <w:marLeft w:val="0"/>
      <w:marRight w:val="0"/>
      <w:marTop w:val="0"/>
      <w:marBottom w:val="0"/>
      <w:divBdr>
        <w:top w:val="none" w:sz="0" w:space="0" w:color="auto"/>
        <w:left w:val="none" w:sz="0" w:space="0" w:color="auto"/>
        <w:bottom w:val="none" w:sz="0" w:space="0" w:color="auto"/>
        <w:right w:val="none" w:sz="0" w:space="0" w:color="auto"/>
      </w:divBdr>
    </w:div>
    <w:div w:id="110169592">
      <w:bodyDiv w:val="1"/>
      <w:marLeft w:val="0"/>
      <w:marRight w:val="0"/>
      <w:marTop w:val="0"/>
      <w:marBottom w:val="0"/>
      <w:divBdr>
        <w:top w:val="none" w:sz="0" w:space="0" w:color="auto"/>
        <w:left w:val="none" w:sz="0" w:space="0" w:color="auto"/>
        <w:bottom w:val="none" w:sz="0" w:space="0" w:color="auto"/>
        <w:right w:val="none" w:sz="0" w:space="0" w:color="auto"/>
      </w:divBdr>
    </w:div>
    <w:div w:id="121458343">
      <w:bodyDiv w:val="1"/>
      <w:marLeft w:val="0"/>
      <w:marRight w:val="0"/>
      <w:marTop w:val="0"/>
      <w:marBottom w:val="0"/>
      <w:divBdr>
        <w:top w:val="none" w:sz="0" w:space="0" w:color="auto"/>
        <w:left w:val="none" w:sz="0" w:space="0" w:color="auto"/>
        <w:bottom w:val="none" w:sz="0" w:space="0" w:color="auto"/>
        <w:right w:val="none" w:sz="0" w:space="0" w:color="auto"/>
      </w:divBdr>
      <w:divsChild>
        <w:div w:id="62531518">
          <w:marLeft w:val="547"/>
          <w:marRight w:val="0"/>
          <w:marTop w:val="240"/>
          <w:marBottom w:val="0"/>
          <w:divBdr>
            <w:top w:val="none" w:sz="0" w:space="0" w:color="auto"/>
            <w:left w:val="none" w:sz="0" w:space="0" w:color="auto"/>
            <w:bottom w:val="none" w:sz="0" w:space="0" w:color="auto"/>
            <w:right w:val="none" w:sz="0" w:space="0" w:color="auto"/>
          </w:divBdr>
        </w:div>
        <w:div w:id="278343131">
          <w:marLeft w:val="1166"/>
          <w:marRight w:val="0"/>
          <w:marTop w:val="0"/>
          <w:marBottom w:val="0"/>
          <w:divBdr>
            <w:top w:val="none" w:sz="0" w:space="0" w:color="auto"/>
            <w:left w:val="none" w:sz="0" w:space="0" w:color="auto"/>
            <w:bottom w:val="none" w:sz="0" w:space="0" w:color="auto"/>
            <w:right w:val="none" w:sz="0" w:space="0" w:color="auto"/>
          </w:divBdr>
        </w:div>
        <w:div w:id="1104614952">
          <w:marLeft w:val="547"/>
          <w:marRight w:val="0"/>
          <w:marTop w:val="240"/>
          <w:marBottom w:val="0"/>
          <w:divBdr>
            <w:top w:val="none" w:sz="0" w:space="0" w:color="auto"/>
            <w:left w:val="none" w:sz="0" w:space="0" w:color="auto"/>
            <w:bottom w:val="none" w:sz="0" w:space="0" w:color="auto"/>
            <w:right w:val="none" w:sz="0" w:space="0" w:color="auto"/>
          </w:divBdr>
        </w:div>
        <w:div w:id="1170487365">
          <w:marLeft w:val="1166"/>
          <w:marRight w:val="0"/>
          <w:marTop w:val="0"/>
          <w:marBottom w:val="0"/>
          <w:divBdr>
            <w:top w:val="none" w:sz="0" w:space="0" w:color="auto"/>
            <w:left w:val="none" w:sz="0" w:space="0" w:color="auto"/>
            <w:bottom w:val="none" w:sz="0" w:space="0" w:color="auto"/>
            <w:right w:val="none" w:sz="0" w:space="0" w:color="auto"/>
          </w:divBdr>
        </w:div>
        <w:div w:id="1354302771">
          <w:marLeft w:val="1166"/>
          <w:marRight w:val="0"/>
          <w:marTop w:val="0"/>
          <w:marBottom w:val="0"/>
          <w:divBdr>
            <w:top w:val="none" w:sz="0" w:space="0" w:color="auto"/>
            <w:left w:val="none" w:sz="0" w:space="0" w:color="auto"/>
            <w:bottom w:val="none" w:sz="0" w:space="0" w:color="auto"/>
            <w:right w:val="none" w:sz="0" w:space="0" w:color="auto"/>
          </w:divBdr>
        </w:div>
        <w:div w:id="1396709099">
          <w:marLeft w:val="547"/>
          <w:marRight w:val="0"/>
          <w:marTop w:val="240"/>
          <w:marBottom w:val="0"/>
          <w:divBdr>
            <w:top w:val="none" w:sz="0" w:space="0" w:color="auto"/>
            <w:left w:val="none" w:sz="0" w:space="0" w:color="auto"/>
            <w:bottom w:val="none" w:sz="0" w:space="0" w:color="auto"/>
            <w:right w:val="none" w:sz="0" w:space="0" w:color="auto"/>
          </w:divBdr>
        </w:div>
        <w:div w:id="1685325614">
          <w:marLeft w:val="547"/>
          <w:marRight w:val="0"/>
          <w:marTop w:val="240"/>
          <w:marBottom w:val="0"/>
          <w:divBdr>
            <w:top w:val="none" w:sz="0" w:space="0" w:color="auto"/>
            <w:left w:val="none" w:sz="0" w:space="0" w:color="auto"/>
            <w:bottom w:val="none" w:sz="0" w:space="0" w:color="auto"/>
            <w:right w:val="none" w:sz="0" w:space="0" w:color="auto"/>
          </w:divBdr>
        </w:div>
      </w:divsChild>
    </w:div>
    <w:div w:id="122695178">
      <w:bodyDiv w:val="1"/>
      <w:marLeft w:val="0"/>
      <w:marRight w:val="0"/>
      <w:marTop w:val="0"/>
      <w:marBottom w:val="0"/>
      <w:divBdr>
        <w:top w:val="none" w:sz="0" w:space="0" w:color="auto"/>
        <w:left w:val="none" w:sz="0" w:space="0" w:color="auto"/>
        <w:bottom w:val="none" w:sz="0" w:space="0" w:color="auto"/>
        <w:right w:val="none" w:sz="0" w:space="0" w:color="auto"/>
      </w:divBdr>
    </w:div>
    <w:div w:id="126239703">
      <w:bodyDiv w:val="1"/>
      <w:marLeft w:val="0"/>
      <w:marRight w:val="0"/>
      <w:marTop w:val="0"/>
      <w:marBottom w:val="0"/>
      <w:divBdr>
        <w:top w:val="none" w:sz="0" w:space="0" w:color="auto"/>
        <w:left w:val="none" w:sz="0" w:space="0" w:color="auto"/>
        <w:bottom w:val="none" w:sz="0" w:space="0" w:color="auto"/>
        <w:right w:val="none" w:sz="0" w:space="0" w:color="auto"/>
      </w:divBdr>
    </w:div>
    <w:div w:id="155153729">
      <w:bodyDiv w:val="1"/>
      <w:marLeft w:val="0"/>
      <w:marRight w:val="0"/>
      <w:marTop w:val="0"/>
      <w:marBottom w:val="0"/>
      <w:divBdr>
        <w:top w:val="none" w:sz="0" w:space="0" w:color="auto"/>
        <w:left w:val="none" w:sz="0" w:space="0" w:color="auto"/>
        <w:bottom w:val="none" w:sz="0" w:space="0" w:color="auto"/>
        <w:right w:val="none" w:sz="0" w:space="0" w:color="auto"/>
      </w:divBdr>
    </w:div>
    <w:div w:id="178086445">
      <w:bodyDiv w:val="1"/>
      <w:marLeft w:val="0"/>
      <w:marRight w:val="0"/>
      <w:marTop w:val="0"/>
      <w:marBottom w:val="0"/>
      <w:divBdr>
        <w:top w:val="none" w:sz="0" w:space="0" w:color="auto"/>
        <w:left w:val="none" w:sz="0" w:space="0" w:color="auto"/>
        <w:bottom w:val="none" w:sz="0" w:space="0" w:color="auto"/>
        <w:right w:val="none" w:sz="0" w:space="0" w:color="auto"/>
      </w:divBdr>
    </w:div>
    <w:div w:id="181356513">
      <w:bodyDiv w:val="1"/>
      <w:marLeft w:val="0"/>
      <w:marRight w:val="0"/>
      <w:marTop w:val="0"/>
      <w:marBottom w:val="0"/>
      <w:divBdr>
        <w:top w:val="none" w:sz="0" w:space="0" w:color="auto"/>
        <w:left w:val="none" w:sz="0" w:space="0" w:color="auto"/>
        <w:bottom w:val="none" w:sz="0" w:space="0" w:color="auto"/>
        <w:right w:val="none" w:sz="0" w:space="0" w:color="auto"/>
      </w:divBdr>
    </w:div>
    <w:div w:id="198709180">
      <w:bodyDiv w:val="1"/>
      <w:marLeft w:val="0"/>
      <w:marRight w:val="0"/>
      <w:marTop w:val="0"/>
      <w:marBottom w:val="0"/>
      <w:divBdr>
        <w:top w:val="none" w:sz="0" w:space="0" w:color="auto"/>
        <w:left w:val="none" w:sz="0" w:space="0" w:color="auto"/>
        <w:bottom w:val="none" w:sz="0" w:space="0" w:color="auto"/>
        <w:right w:val="none" w:sz="0" w:space="0" w:color="auto"/>
      </w:divBdr>
    </w:div>
    <w:div w:id="206113332">
      <w:marLeft w:val="0"/>
      <w:marRight w:val="0"/>
      <w:marTop w:val="0"/>
      <w:marBottom w:val="0"/>
      <w:divBdr>
        <w:top w:val="none" w:sz="0" w:space="0" w:color="auto"/>
        <w:left w:val="none" w:sz="0" w:space="0" w:color="auto"/>
        <w:bottom w:val="none" w:sz="0" w:space="0" w:color="auto"/>
        <w:right w:val="none" w:sz="0" w:space="0" w:color="auto"/>
      </w:divBdr>
      <w:divsChild>
        <w:div w:id="860976510">
          <w:marLeft w:val="0"/>
          <w:marRight w:val="0"/>
          <w:marTop w:val="0"/>
          <w:marBottom w:val="0"/>
          <w:divBdr>
            <w:top w:val="none" w:sz="0" w:space="0" w:color="auto"/>
            <w:left w:val="none" w:sz="0" w:space="0" w:color="auto"/>
            <w:bottom w:val="none" w:sz="0" w:space="0" w:color="auto"/>
            <w:right w:val="none" w:sz="0" w:space="0" w:color="auto"/>
          </w:divBdr>
          <w:divsChild>
            <w:div w:id="941953810">
              <w:marLeft w:val="0"/>
              <w:marRight w:val="0"/>
              <w:marTop w:val="0"/>
              <w:marBottom w:val="0"/>
              <w:divBdr>
                <w:top w:val="none" w:sz="0" w:space="0" w:color="auto"/>
                <w:left w:val="none" w:sz="0" w:space="0" w:color="auto"/>
                <w:bottom w:val="none" w:sz="0" w:space="0" w:color="auto"/>
                <w:right w:val="none" w:sz="0" w:space="0" w:color="auto"/>
              </w:divBdr>
              <w:divsChild>
                <w:div w:id="2031293102">
                  <w:marLeft w:val="0"/>
                  <w:marRight w:val="-150"/>
                  <w:marTop w:val="0"/>
                  <w:marBottom w:val="0"/>
                  <w:divBdr>
                    <w:top w:val="none" w:sz="0" w:space="0" w:color="auto"/>
                    <w:left w:val="none" w:sz="0" w:space="0" w:color="auto"/>
                    <w:bottom w:val="none" w:sz="0" w:space="0" w:color="auto"/>
                    <w:right w:val="none" w:sz="0" w:space="0" w:color="auto"/>
                  </w:divBdr>
                  <w:divsChild>
                    <w:div w:id="195897184">
                      <w:marLeft w:val="0"/>
                      <w:marRight w:val="0"/>
                      <w:marTop w:val="0"/>
                      <w:marBottom w:val="0"/>
                      <w:divBdr>
                        <w:top w:val="none" w:sz="0" w:space="0" w:color="auto"/>
                        <w:left w:val="none" w:sz="0" w:space="0" w:color="auto"/>
                        <w:bottom w:val="none" w:sz="0" w:space="0" w:color="auto"/>
                        <w:right w:val="none" w:sz="0" w:space="0" w:color="auto"/>
                      </w:divBdr>
                      <w:divsChild>
                        <w:div w:id="31855064">
                          <w:marLeft w:val="0"/>
                          <w:marRight w:val="0"/>
                          <w:marTop w:val="0"/>
                          <w:marBottom w:val="0"/>
                          <w:divBdr>
                            <w:top w:val="none" w:sz="0" w:space="0" w:color="auto"/>
                            <w:left w:val="none" w:sz="0" w:space="0" w:color="auto"/>
                            <w:bottom w:val="none" w:sz="0" w:space="0" w:color="auto"/>
                            <w:right w:val="none" w:sz="0" w:space="0" w:color="auto"/>
                          </w:divBdr>
                          <w:divsChild>
                            <w:div w:id="17257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9715">
                      <w:marLeft w:val="0"/>
                      <w:marRight w:val="0"/>
                      <w:marTop w:val="0"/>
                      <w:marBottom w:val="0"/>
                      <w:divBdr>
                        <w:top w:val="none" w:sz="0" w:space="0" w:color="auto"/>
                        <w:left w:val="none" w:sz="0" w:space="0" w:color="auto"/>
                        <w:bottom w:val="none" w:sz="0" w:space="0" w:color="auto"/>
                        <w:right w:val="none" w:sz="0" w:space="0" w:color="auto"/>
                      </w:divBdr>
                      <w:divsChild>
                        <w:div w:id="545917044">
                          <w:marLeft w:val="0"/>
                          <w:marRight w:val="0"/>
                          <w:marTop w:val="0"/>
                          <w:marBottom w:val="0"/>
                          <w:divBdr>
                            <w:top w:val="none" w:sz="0" w:space="0" w:color="auto"/>
                            <w:left w:val="none" w:sz="0" w:space="0" w:color="auto"/>
                            <w:bottom w:val="none" w:sz="0" w:space="0" w:color="auto"/>
                            <w:right w:val="none" w:sz="0" w:space="0" w:color="auto"/>
                          </w:divBdr>
                        </w:div>
                        <w:div w:id="12427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77641">
      <w:bodyDiv w:val="1"/>
      <w:marLeft w:val="0"/>
      <w:marRight w:val="0"/>
      <w:marTop w:val="0"/>
      <w:marBottom w:val="0"/>
      <w:divBdr>
        <w:top w:val="none" w:sz="0" w:space="0" w:color="auto"/>
        <w:left w:val="none" w:sz="0" w:space="0" w:color="auto"/>
        <w:bottom w:val="none" w:sz="0" w:space="0" w:color="auto"/>
        <w:right w:val="none" w:sz="0" w:space="0" w:color="auto"/>
      </w:divBdr>
      <w:divsChild>
        <w:div w:id="453796432">
          <w:marLeft w:val="1166"/>
          <w:marRight w:val="0"/>
          <w:marTop w:val="0"/>
          <w:marBottom w:val="0"/>
          <w:divBdr>
            <w:top w:val="none" w:sz="0" w:space="0" w:color="auto"/>
            <w:left w:val="none" w:sz="0" w:space="0" w:color="auto"/>
            <w:bottom w:val="none" w:sz="0" w:space="0" w:color="auto"/>
            <w:right w:val="none" w:sz="0" w:space="0" w:color="auto"/>
          </w:divBdr>
        </w:div>
        <w:div w:id="403574865">
          <w:marLeft w:val="1800"/>
          <w:marRight w:val="0"/>
          <w:marTop w:val="0"/>
          <w:marBottom w:val="0"/>
          <w:divBdr>
            <w:top w:val="none" w:sz="0" w:space="0" w:color="auto"/>
            <w:left w:val="none" w:sz="0" w:space="0" w:color="auto"/>
            <w:bottom w:val="none" w:sz="0" w:space="0" w:color="auto"/>
            <w:right w:val="none" w:sz="0" w:space="0" w:color="auto"/>
          </w:divBdr>
        </w:div>
        <w:div w:id="323242078">
          <w:marLeft w:val="2520"/>
          <w:marRight w:val="0"/>
          <w:marTop w:val="0"/>
          <w:marBottom w:val="0"/>
          <w:divBdr>
            <w:top w:val="none" w:sz="0" w:space="0" w:color="auto"/>
            <w:left w:val="none" w:sz="0" w:space="0" w:color="auto"/>
            <w:bottom w:val="none" w:sz="0" w:space="0" w:color="auto"/>
            <w:right w:val="none" w:sz="0" w:space="0" w:color="auto"/>
          </w:divBdr>
        </w:div>
        <w:div w:id="524949564">
          <w:marLeft w:val="2520"/>
          <w:marRight w:val="0"/>
          <w:marTop w:val="0"/>
          <w:marBottom w:val="0"/>
          <w:divBdr>
            <w:top w:val="none" w:sz="0" w:space="0" w:color="auto"/>
            <w:left w:val="none" w:sz="0" w:space="0" w:color="auto"/>
            <w:bottom w:val="none" w:sz="0" w:space="0" w:color="auto"/>
            <w:right w:val="none" w:sz="0" w:space="0" w:color="auto"/>
          </w:divBdr>
        </w:div>
        <w:div w:id="125895534">
          <w:marLeft w:val="2520"/>
          <w:marRight w:val="0"/>
          <w:marTop w:val="0"/>
          <w:marBottom w:val="0"/>
          <w:divBdr>
            <w:top w:val="none" w:sz="0" w:space="0" w:color="auto"/>
            <w:left w:val="none" w:sz="0" w:space="0" w:color="auto"/>
            <w:bottom w:val="none" w:sz="0" w:space="0" w:color="auto"/>
            <w:right w:val="none" w:sz="0" w:space="0" w:color="auto"/>
          </w:divBdr>
        </w:div>
      </w:divsChild>
    </w:div>
    <w:div w:id="215511286">
      <w:bodyDiv w:val="1"/>
      <w:marLeft w:val="0"/>
      <w:marRight w:val="0"/>
      <w:marTop w:val="0"/>
      <w:marBottom w:val="0"/>
      <w:divBdr>
        <w:top w:val="none" w:sz="0" w:space="0" w:color="auto"/>
        <w:left w:val="none" w:sz="0" w:space="0" w:color="auto"/>
        <w:bottom w:val="none" w:sz="0" w:space="0" w:color="auto"/>
        <w:right w:val="none" w:sz="0" w:space="0" w:color="auto"/>
      </w:divBdr>
    </w:div>
    <w:div w:id="229460076">
      <w:marLeft w:val="0"/>
      <w:marRight w:val="0"/>
      <w:marTop w:val="0"/>
      <w:marBottom w:val="0"/>
      <w:divBdr>
        <w:top w:val="none" w:sz="0" w:space="0" w:color="auto"/>
        <w:left w:val="none" w:sz="0" w:space="0" w:color="auto"/>
        <w:bottom w:val="none" w:sz="0" w:space="0" w:color="auto"/>
        <w:right w:val="none" w:sz="0" w:space="0" w:color="auto"/>
      </w:divBdr>
      <w:divsChild>
        <w:div w:id="1157765509">
          <w:marLeft w:val="0"/>
          <w:marRight w:val="0"/>
          <w:marTop w:val="0"/>
          <w:marBottom w:val="0"/>
          <w:divBdr>
            <w:top w:val="none" w:sz="0" w:space="0" w:color="auto"/>
            <w:left w:val="none" w:sz="0" w:space="0" w:color="auto"/>
            <w:bottom w:val="none" w:sz="0" w:space="0" w:color="auto"/>
            <w:right w:val="none" w:sz="0" w:space="0" w:color="auto"/>
          </w:divBdr>
          <w:divsChild>
            <w:div w:id="161360822">
              <w:marLeft w:val="0"/>
              <w:marRight w:val="0"/>
              <w:marTop w:val="0"/>
              <w:marBottom w:val="0"/>
              <w:divBdr>
                <w:top w:val="none" w:sz="0" w:space="0" w:color="auto"/>
                <w:left w:val="none" w:sz="0" w:space="0" w:color="auto"/>
                <w:bottom w:val="none" w:sz="0" w:space="0" w:color="auto"/>
                <w:right w:val="none" w:sz="0" w:space="0" w:color="auto"/>
              </w:divBdr>
              <w:divsChild>
                <w:div w:id="1611544887">
                  <w:marLeft w:val="0"/>
                  <w:marRight w:val="0"/>
                  <w:marTop w:val="0"/>
                  <w:marBottom w:val="0"/>
                  <w:divBdr>
                    <w:top w:val="none" w:sz="0" w:space="0" w:color="auto"/>
                    <w:left w:val="none" w:sz="0" w:space="0" w:color="auto"/>
                    <w:bottom w:val="none" w:sz="0" w:space="0" w:color="auto"/>
                    <w:right w:val="none" w:sz="0" w:space="0" w:color="auto"/>
                  </w:divBdr>
                </w:div>
              </w:divsChild>
            </w:div>
            <w:div w:id="731274155">
              <w:marLeft w:val="0"/>
              <w:marRight w:val="0"/>
              <w:marTop w:val="0"/>
              <w:marBottom w:val="0"/>
              <w:divBdr>
                <w:top w:val="none" w:sz="0" w:space="0" w:color="auto"/>
                <w:left w:val="none" w:sz="0" w:space="0" w:color="auto"/>
                <w:bottom w:val="none" w:sz="0" w:space="0" w:color="auto"/>
                <w:right w:val="none" w:sz="0" w:space="0" w:color="auto"/>
              </w:divBdr>
            </w:div>
            <w:div w:id="953513975">
              <w:marLeft w:val="0"/>
              <w:marRight w:val="0"/>
              <w:marTop w:val="0"/>
              <w:marBottom w:val="0"/>
              <w:divBdr>
                <w:top w:val="none" w:sz="0" w:space="0" w:color="auto"/>
                <w:left w:val="none" w:sz="0" w:space="0" w:color="auto"/>
                <w:bottom w:val="none" w:sz="0" w:space="0" w:color="auto"/>
                <w:right w:val="none" w:sz="0" w:space="0" w:color="auto"/>
              </w:divBdr>
            </w:div>
            <w:div w:id="963772838">
              <w:marLeft w:val="0"/>
              <w:marRight w:val="0"/>
              <w:marTop w:val="0"/>
              <w:marBottom w:val="0"/>
              <w:divBdr>
                <w:top w:val="none" w:sz="0" w:space="0" w:color="auto"/>
                <w:left w:val="none" w:sz="0" w:space="0" w:color="auto"/>
                <w:bottom w:val="none" w:sz="0" w:space="0" w:color="auto"/>
                <w:right w:val="none" w:sz="0" w:space="0" w:color="auto"/>
              </w:divBdr>
            </w:div>
            <w:div w:id="1189753930">
              <w:marLeft w:val="0"/>
              <w:marRight w:val="0"/>
              <w:marTop w:val="0"/>
              <w:marBottom w:val="0"/>
              <w:divBdr>
                <w:top w:val="none" w:sz="0" w:space="0" w:color="auto"/>
                <w:left w:val="none" w:sz="0" w:space="0" w:color="auto"/>
                <w:bottom w:val="none" w:sz="0" w:space="0" w:color="auto"/>
                <w:right w:val="none" w:sz="0" w:space="0" w:color="auto"/>
              </w:divBdr>
            </w:div>
            <w:div w:id="1218935689">
              <w:marLeft w:val="0"/>
              <w:marRight w:val="0"/>
              <w:marTop w:val="0"/>
              <w:marBottom w:val="0"/>
              <w:divBdr>
                <w:top w:val="none" w:sz="0" w:space="0" w:color="auto"/>
                <w:left w:val="none" w:sz="0" w:space="0" w:color="auto"/>
                <w:bottom w:val="none" w:sz="0" w:space="0" w:color="auto"/>
                <w:right w:val="none" w:sz="0" w:space="0" w:color="auto"/>
              </w:divBdr>
            </w:div>
            <w:div w:id="1242301744">
              <w:marLeft w:val="0"/>
              <w:marRight w:val="0"/>
              <w:marTop w:val="0"/>
              <w:marBottom w:val="0"/>
              <w:divBdr>
                <w:top w:val="none" w:sz="0" w:space="0" w:color="auto"/>
                <w:left w:val="none" w:sz="0" w:space="0" w:color="auto"/>
                <w:bottom w:val="none" w:sz="0" w:space="0" w:color="auto"/>
                <w:right w:val="none" w:sz="0" w:space="0" w:color="auto"/>
              </w:divBdr>
            </w:div>
            <w:div w:id="1306853958">
              <w:marLeft w:val="0"/>
              <w:marRight w:val="0"/>
              <w:marTop w:val="0"/>
              <w:marBottom w:val="0"/>
              <w:divBdr>
                <w:top w:val="none" w:sz="0" w:space="0" w:color="auto"/>
                <w:left w:val="none" w:sz="0" w:space="0" w:color="auto"/>
                <w:bottom w:val="none" w:sz="0" w:space="0" w:color="auto"/>
                <w:right w:val="none" w:sz="0" w:space="0" w:color="auto"/>
              </w:divBdr>
            </w:div>
            <w:div w:id="1550141036">
              <w:marLeft w:val="0"/>
              <w:marRight w:val="0"/>
              <w:marTop w:val="0"/>
              <w:marBottom w:val="0"/>
              <w:divBdr>
                <w:top w:val="none" w:sz="0" w:space="0" w:color="auto"/>
                <w:left w:val="none" w:sz="0" w:space="0" w:color="auto"/>
                <w:bottom w:val="none" w:sz="0" w:space="0" w:color="auto"/>
                <w:right w:val="none" w:sz="0" w:space="0" w:color="auto"/>
              </w:divBdr>
            </w:div>
            <w:div w:id="1745756725">
              <w:marLeft w:val="0"/>
              <w:marRight w:val="0"/>
              <w:marTop w:val="0"/>
              <w:marBottom w:val="0"/>
              <w:divBdr>
                <w:top w:val="none" w:sz="0" w:space="0" w:color="auto"/>
                <w:left w:val="none" w:sz="0" w:space="0" w:color="auto"/>
                <w:bottom w:val="none" w:sz="0" w:space="0" w:color="auto"/>
                <w:right w:val="none" w:sz="0" w:space="0" w:color="auto"/>
              </w:divBdr>
            </w:div>
            <w:div w:id="1878815133">
              <w:marLeft w:val="0"/>
              <w:marRight w:val="0"/>
              <w:marTop w:val="0"/>
              <w:marBottom w:val="0"/>
              <w:divBdr>
                <w:top w:val="none" w:sz="0" w:space="0" w:color="auto"/>
                <w:left w:val="none" w:sz="0" w:space="0" w:color="auto"/>
                <w:bottom w:val="none" w:sz="0" w:space="0" w:color="auto"/>
                <w:right w:val="none" w:sz="0" w:space="0" w:color="auto"/>
              </w:divBdr>
            </w:div>
            <w:div w:id="2049524048">
              <w:marLeft w:val="0"/>
              <w:marRight w:val="0"/>
              <w:marTop w:val="0"/>
              <w:marBottom w:val="0"/>
              <w:divBdr>
                <w:top w:val="none" w:sz="0" w:space="0" w:color="auto"/>
                <w:left w:val="none" w:sz="0" w:space="0" w:color="auto"/>
                <w:bottom w:val="none" w:sz="0" w:space="0" w:color="auto"/>
                <w:right w:val="none" w:sz="0" w:space="0" w:color="auto"/>
              </w:divBdr>
              <w:divsChild>
                <w:div w:id="970137061">
                  <w:marLeft w:val="0"/>
                  <w:marRight w:val="0"/>
                  <w:marTop w:val="0"/>
                  <w:marBottom w:val="0"/>
                  <w:divBdr>
                    <w:top w:val="none" w:sz="0" w:space="0" w:color="auto"/>
                    <w:left w:val="none" w:sz="0" w:space="0" w:color="auto"/>
                    <w:bottom w:val="none" w:sz="0" w:space="0" w:color="auto"/>
                    <w:right w:val="none" w:sz="0" w:space="0" w:color="auto"/>
                  </w:divBdr>
                  <w:divsChild>
                    <w:div w:id="436563327">
                      <w:marLeft w:val="0"/>
                      <w:marRight w:val="0"/>
                      <w:marTop w:val="0"/>
                      <w:marBottom w:val="0"/>
                      <w:divBdr>
                        <w:top w:val="none" w:sz="0" w:space="0" w:color="auto"/>
                        <w:left w:val="none" w:sz="0" w:space="0" w:color="auto"/>
                        <w:bottom w:val="none" w:sz="0" w:space="0" w:color="auto"/>
                        <w:right w:val="none" w:sz="0" w:space="0" w:color="auto"/>
                      </w:divBdr>
                    </w:div>
                    <w:div w:id="577787273">
                      <w:marLeft w:val="0"/>
                      <w:marRight w:val="0"/>
                      <w:marTop w:val="0"/>
                      <w:marBottom w:val="0"/>
                      <w:divBdr>
                        <w:top w:val="none" w:sz="0" w:space="0" w:color="auto"/>
                        <w:left w:val="none" w:sz="0" w:space="0" w:color="auto"/>
                        <w:bottom w:val="none" w:sz="0" w:space="0" w:color="auto"/>
                        <w:right w:val="none" w:sz="0" w:space="0" w:color="auto"/>
                      </w:divBdr>
                    </w:div>
                  </w:divsChild>
                </w:div>
                <w:div w:id="1605990663">
                  <w:marLeft w:val="0"/>
                  <w:marRight w:val="0"/>
                  <w:marTop w:val="0"/>
                  <w:marBottom w:val="0"/>
                  <w:divBdr>
                    <w:top w:val="none" w:sz="0" w:space="0" w:color="auto"/>
                    <w:left w:val="none" w:sz="0" w:space="0" w:color="auto"/>
                    <w:bottom w:val="none" w:sz="0" w:space="0" w:color="auto"/>
                    <w:right w:val="none" w:sz="0" w:space="0" w:color="auto"/>
                  </w:divBdr>
                </w:div>
                <w:div w:id="20260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76117">
      <w:bodyDiv w:val="1"/>
      <w:marLeft w:val="0"/>
      <w:marRight w:val="0"/>
      <w:marTop w:val="0"/>
      <w:marBottom w:val="0"/>
      <w:divBdr>
        <w:top w:val="none" w:sz="0" w:space="0" w:color="auto"/>
        <w:left w:val="none" w:sz="0" w:space="0" w:color="auto"/>
        <w:bottom w:val="none" w:sz="0" w:space="0" w:color="auto"/>
        <w:right w:val="none" w:sz="0" w:space="0" w:color="auto"/>
      </w:divBdr>
      <w:divsChild>
        <w:div w:id="286589722">
          <w:marLeft w:val="1166"/>
          <w:marRight w:val="0"/>
          <w:marTop w:val="0"/>
          <w:marBottom w:val="0"/>
          <w:divBdr>
            <w:top w:val="none" w:sz="0" w:space="0" w:color="auto"/>
            <w:left w:val="none" w:sz="0" w:space="0" w:color="auto"/>
            <w:bottom w:val="none" w:sz="0" w:space="0" w:color="auto"/>
            <w:right w:val="none" w:sz="0" w:space="0" w:color="auto"/>
          </w:divBdr>
        </w:div>
      </w:divsChild>
    </w:div>
    <w:div w:id="268389143">
      <w:bodyDiv w:val="1"/>
      <w:marLeft w:val="0"/>
      <w:marRight w:val="0"/>
      <w:marTop w:val="0"/>
      <w:marBottom w:val="0"/>
      <w:divBdr>
        <w:top w:val="none" w:sz="0" w:space="0" w:color="auto"/>
        <w:left w:val="none" w:sz="0" w:space="0" w:color="auto"/>
        <w:bottom w:val="none" w:sz="0" w:space="0" w:color="auto"/>
        <w:right w:val="none" w:sz="0" w:space="0" w:color="auto"/>
      </w:divBdr>
      <w:divsChild>
        <w:div w:id="29451894">
          <w:marLeft w:val="0"/>
          <w:marRight w:val="0"/>
          <w:marTop w:val="0"/>
          <w:marBottom w:val="0"/>
          <w:divBdr>
            <w:top w:val="none" w:sz="0" w:space="0" w:color="auto"/>
            <w:left w:val="none" w:sz="0" w:space="0" w:color="auto"/>
            <w:bottom w:val="none" w:sz="0" w:space="0" w:color="auto"/>
            <w:right w:val="none" w:sz="0" w:space="0" w:color="auto"/>
          </w:divBdr>
        </w:div>
        <w:div w:id="31879472">
          <w:marLeft w:val="0"/>
          <w:marRight w:val="0"/>
          <w:marTop w:val="0"/>
          <w:marBottom w:val="0"/>
          <w:divBdr>
            <w:top w:val="none" w:sz="0" w:space="0" w:color="auto"/>
            <w:left w:val="none" w:sz="0" w:space="0" w:color="auto"/>
            <w:bottom w:val="none" w:sz="0" w:space="0" w:color="auto"/>
            <w:right w:val="none" w:sz="0" w:space="0" w:color="auto"/>
          </w:divBdr>
        </w:div>
        <w:div w:id="88697990">
          <w:marLeft w:val="0"/>
          <w:marRight w:val="0"/>
          <w:marTop w:val="0"/>
          <w:marBottom w:val="0"/>
          <w:divBdr>
            <w:top w:val="none" w:sz="0" w:space="0" w:color="auto"/>
            <w:left w:val="none" w:sz="0" w:space="0" w:color="auto"/>
            <w:bottom w:val="none" w:sz="0" w:space="0" w:color="auto"/>
            <w:right w:val="none" w:sz="0" w:space="0" w:color="auto"/>
          </w:divBdr>
        </w:div>
        <w:div w:id="207185679">
          <w:marLeft w:val="0"/>
          <w:marRight w:val="0"/>
          <w:marTop w:val="0"/>
          <w:marBottom w:val="0"/>
          <w:divBdr>
            <w:top w:val="none" w:sz="0" w:space="0" w:color="auto"/>
            <w:left w:val="none" w:sz="0" w:space="0" w:color="auto"/>
            <w:bottom w:val="none" w:sz="0" w:space="0" w:color="auto"/>
            <w:right w:val="none" w:sz="0" w:space="0" w:color="auto"/>
          </w:divBdr>
        </w:div>
        <w:div w:id="362488163">
          <w:marLeft w:val="0"/>
          <w:marRight w:val="0"/>
          <w:marTop w:val="0"/>
          <w:marBottom w:val="0"/>
          <w:divBdr>
            <w:top w:val="none" w:sz="0" w:space="0" w:color="auto"/>
            <w:left w:val="none" w:sz="0" w:space="0" w:color="auto"/>
            <w:bottom w:val="none" w:sz="0" w:space="0" w:color="auto"/>
            <w:right w:val="none" w:sz="0" w:space="0" w:color="auto"/>
          </w:divBdr>
        </w:div>
        <w:div w:id="385104547">
          <w:marLeft w:val="0"/>
          <w:marRight w:val="0"/>
          <w:marTop w:val="0"/>
          <w:marBottom w:val="0"/>
          <w:divBdr>
            <w:top w:val="none" w:sz="0" w:space="0" w:color="auto"/>
            <w:left w:val="none" w:sz="0" w:space="0" w:color="auto"/>
            <w:bottom w:val="none" w:sz="0" w:space="0" w:color="auto"/>
            <w:right w:val="none" w:sz="0" w:space="0" w:color="auto"/>
          </w:divBdr>
        </w:div>
        <w:div w:id="389035035">
          <w:marLeft w:val="0"/>
          <w:marRight w:val="0"/>
          <w:marTop w:val="0"/>
          <w:marBottom w:val="0"/>
          <w:divBdr>
            <w:top w:val="none" w:sz="0" w:space="0" w:color="auto"/>
            <w:left w:val="none" w:sz="0" w:space="0" w:color="auto"/>
            <w:bottom w:val="none" w:sz="0" w:space="0" w:color="auto"/>
            <w:right w:val="none" w:sz="0" w:space="0" w:color="auto"/>
          </w:divBdr>
        </w:div>
        <w:div w:id="425001163">
          <w:marLeft w:val="0"/>
          <w:marRight w:val="0"/>
          <w:marTop w:val="0"/>
          <w:marBottom w:val="0"/>
          <w:divBdr>
            <w:top w:val="none" w:sz="0" w:space="0" w:color="auto"/>
            <w:left w:val="none" w:sz="0" w:space="0" w:color="auto"/>
            <w:bottom w:val="none" w:sz="0" w:space="0" w:color="auto"/>
            <w:right w:val="none" w:sz="0" w:space="0" w:color="auto"/>
          </w:divBdr>
        </w:div>
        <w:div w:id="435832945">
          <w:marLeft w:val="0"/>
          <w:marRight w:val="0"/>
          <w:marTop w:val="0"/>
          <w:marBottom w:val="0"/>
          <w:divBdr>
            <w:top w:val="none" w:sz="0" w:space="0" w:color="auto"/>
            <w:left w:val="none" w:sz="0" w:space="0" w:color="auto"/>
            <w:bottom w:val="none" w:sz="0" w:space="0" w:color="auto"/>
            <w:right w:val="none" w:sz="0" w:space="0" w:color="auto"/>
          </w:divBdr>
        </w:div>
        <w:div w:id="475614214">
          <w:marLeft w:val="0"/>
          <w:marRight w:val="0"/>
          <w:marTop w:val="0"/>
          <w:marBottom w:val="0"/>
          <w:divBdr>
            <w:top w:val="none" w:sz="0" w:space="0" w:color="auto"/>
            <w:left w:val="none" w:sz="0" w:space="0" w:color="auto"/>
            <w:bottom w:val="none" w:sz="0" w:space="0" w:color="auto"/>
            <w:right w:val="none" w:sz="0" w:space="0" w:color="auto"/>
          </w:divBdr>
        </w:div>
        <w:div w:id="479886627">
          <w:marLeft w:val="0"/>
          <w:marRight w:val="0"/>
          <w:marTop w:val="0"/>
          <w:marBottom w:val="0"/>
          <w:divBdr>
            <w:top w:val="none" w:sz="0" w:space="0" w:color="auto"/>
            <w:left w:val="none" w:sz="0" w:space="0" w:color="auto"/>
            <w:bottom w:val="none" w:sz="0" w:space="0" w:color="auto"/>
            <w:right w:val="none" w:sz="0" w:space="0" w:color="auto"/>
          </w:divBdr>
        </w:div>
        <w:div w:id="490752644">
          <w:marLeft w:val="0"/>
          <w:marRight w:val="0"/>
          <w:marTop w:val="0"/>
          <w:marBottom w:val="0"/>
          <w:divBdr>
            <w:top w:val="none" w:sz="0" w:space="0" w:color="auto"/>
            <w:left w:val="none" w:sz="0" w:space="0" w:color="auto"/>
            <w:bottom w:val="none" w:sz="0" w:space="0" w:color="auto"/>
            <w:right w:val="none" w:sz="0" w:space="0" w:color="auto"/>
          </w:divBdr>
        </w:div>
        <w:div w:id="494881304">
          <w:marLeft w:val="0"/>
          <w:marRight w:val="0"/>
          <w:marTop w:val="0"/>
          <w:marBottom w:val="0"/>
          <w:divBdr>
            <w:top w:val="none" w:sz="0" w:space="0" w:color="auto"/>
            <w:left w:val="none" w:sz="0" w:space="0" w:color="auto"/>
            <w:bottom w:val="none" w:sz="0" w:space="0" w:color="auto"/>
            <w:right w:val="none" w:sz="0" w:space="0" w:color="auto"/>
          </w:divBdr>
        </w:div>
        <w:div w:id="510029531">
          <w:marLeft w:val="0"/>
          <w:marRight w:val="0"/>
          <w:marTop w:val="0"/>
          <w:marBottom w:val="0"/>
          <w:divBdr>
            <w:top w:val="none" w:sz="0" w:space="0" w:color="auto"/>
            <w:left w:val="none" w:sz="0" w:space="0" w:color="auto"/>
            <w:bottom w:val="none" w:sz="0" w:space="0" w:color="auto"/>
            <w:right w:val="none" w:sz="0" w:space="0" w:color="auto"/>
          </w:divBdr>
        </w:div>
        <w:div w:id="788281632">
          <w:marLeft w:val="0"/>
          <w:marRight w:val="0"/>
          <w:marTop w:val="0"/>
          <w:marBottom w:val="0"/>
          <w:divBdr>
            <w:top w:val="none" w:sz="0" w:space="0" w:color="auto"/>
            <w:left w:val="none" w:sz="0" w:space="0" w:color="auto"/>
            <w:bottom w:val="none" w:sz="0" w:space="0" w:color="auto"/>
            <w:right w:val="none" w:sz="0" w:space="0" w:color="auto"/>
          </w:divBdr>
        </w:div>
        <w:div w:id="828712255">
          <w:marLeft w:val="0"/>
          <w:marRight w:val="0"/>
          <w:marTop w:val="0"/>
          <w:marBottom w:val="0"/>
          <w:divBdr>
            <w:top w:val="none" w:sz="0" w:space="0" w:color="auto"/>
            <w:left w:val="none" w:sz="0" w:space="0" w:color="auto"/>
            <w:bottom w:val="none" w:sz="0" w:space="0" w:color="auto"/>
            <w:right w:val="none" w:sz="0" w:space="0" w:color="auto"/>
          </w:divBdr>
        </w:div>
        <w:div w:id="885609061">
          <w:marLeft w:val="0"/>
          <w:marRight w:val="0"/>
          <w:marTop w:val="0"/>
          <w:marBottom w:val="0"/>
          <w:divBdr>
            <w:top w:val="none" w:sz="0" w:space="0" w:color="auto"/>
            <w:left w:val="none" w:sz="0" w:space="0" w:color="auto"/>
            <w:bottom w:val="none" w:sz="0" w:space="0" w:color="auto"/>
            <w:right w:val="none" w:sz="0" w:space="0" w:color="auto"/>
          </w:divBdr>
        </w:div>
        <w:div w:id="902638496">
          <w:marLeft w:val="0"/>
          <w:marRight w:val="0"/>
          <w:marTop w:val="0"/>
          <w:marBottom w:val="0"/>
          <w:divBdr>
            <w:top w:val="none" w:sz="0" w:space="0" w:color="auto"/>
            <w:left w:val="none" w:sz="0" w:space="0" w:color="auto"/>
            <w:bottom w:val="none" w:sz="0" w:space="0" w:color="auto"/>
            <w:right w:val="none" w:sz="0" w:space="0" w:color="auto"/>
          </w:divBdr>
        </w:div>
        <w:div w:id="907299834">
          <w:marLeft w:val="0"/>
          <w:marRight w:val="0"/>
          <w:marTop w:val="0"/>
          <w:marBottom w:val="0"/>
          <w:divBdr>
            <w:top w:val="none" w:sz="0" w:space="0" w:color="auto"/>
            <w:left w:val="none" w:sz="0" w:space="0" w:color="auto"/>
            <w:bottom w:val="none" w:sz="0" w:space="0" w:color="auto"/>
            <w:right w:val="none" w:sz="0" w:space="0" w:color="auto"/>
          </w:divBdr>
        </w:div>
        <w:div w:id="1027366894">
          <w:marLeft w:val="0"/>
          <w:marRight w:val="0"/>
          <w:marTop w:val="0"/>
          <w:marBottom w:val="0"/>
          <w:divBdr>
            <w:top w:val="none" w:sz="0" w:space="0" w:color="auto"/>
            <w:left w:val="none" w:sz="0" w:space="0" w:color="auto"/>
            <w:bottom w:val="none" w:sz="0" w:space="0" w:color="auto"/>
            <w:right w:val="none" w:sz="0" w:space="0" w:color="auto"/>
          </w:divBdr>
        </w:div>
        <w:div w:id="1052458513">
          <w:marLeft w:val="0"/>
          <w:marRight w:val="0"/>
          <w:marTop w:val="0"/>
          <w:marBottom w:val="0"/>
          <w:divBdr>
            <w:top w:val="none" w:sz="0" w:space="0" w:color="auto"/>
            <w:left w:val="none" w:sz="0" w:space="0" w:color="auto"/>
            <w:bottom w:val="none" w:sz="0" w:space="0" w:color="auto"/>
            <w:right w:val="none" w:sz="0" w:space="0" w:color="auto"/>
          </w:divBdr>
        </w:div>
        <w:div w:id="1095981116">
          <w:marLeft w:val="0"/>
          <w:marRight w:val="0"/>
          <w:marTop w:val="0"/>
          <w:marBottom w:val="0"/>
          <w:divBdr>
            <w:top w:val="none" w:sz="0" w:space="0" w:color="auto"/>
            <w:left w:val="none" w:sz="0" w:space="0" w:color="auto"/>
            <w:bottom w:val="none" w:sz="0" w:space="0" w:color="auto"/>
            <w:right w:val="none" w:sz="0" w:space="0" w:color="auto"/>
          </w:divBdr>
        </w:div>
        <w:div w:id="1116292613">
          <w:marLeft w:val="0"/>
          <w:marRight w:val="0"/>
          <w:marTop w:val="0"/>
          <w:marBottom w:val="0"/>
          <w:divBdr>
            <w:top w:val="none" w:sz="0" w:space="0" w:color="auto"/>
            <w:left w:val="none" w:sz="0" w:space="0" w:color="auto"/>
            <w:bottom w:val="none" w:sz="0" w:space="0" w:color="auto"/>
            <w:right w:val="none" w:sz="0" w:space="0" w:color="auto"/>
          </w:divBdr>
        </w:div>
        <w:div w:id="1162115659">
          <w:marLeft w:val="0"/>
          <w:marRight w:val="0"/>
          <w:marTop w:val="0"/>
          <w:marBottom w:val="0"/>
          <w:divBdr>
            <w:top w:val="none" w:sz="0" w:space="0" w:color="auto"/>
            <w:left w:val="none" w:sz="0" w:space="0" w:color="auto"/>
            <w:bottom w:val="none" w:sz="0" w:space="0" w:color="auto"/>
            <w:right w:val="none" w:sz="0" w:space="0" w:color="auto"/>
          </w:divBdr>
        </w:div>
        <w:div w:id="1172180590">
          <w:marLeft w:val="0"/>
          <w:marRight w:val="0"/>
          <w:marTop w:val="0"/>
          <w:marBottom w:val="0"/>
          <w:divBdr>
            <w:top w:val="none" w:sz="0" w:space="0" w:color="auto"/>
            <w:left w:val="none" w:sz="0" w:space="0" w:color="auto"/>
            <w:bottom w:val="none" w:sz="0" w:space="0" w:color="auto"/>
            <w:right w:val="none" w:sz="0" w:space="0" w:color="auto"/>
          </w:divBdr>
        </w:div>
        <w:div w:id="1202326178">
          <w:marLeft w:val="0"/>
          <w:marRight w:val="0"/>
          <w:marTop w:val="0"/>
          <w:marBottom w:val="0"/>
          <w:divBdr>
            <w:top w:val="none" w:sz="0" w:space="0" w:color="auto"/>
            <w:left w:val="none" w:sz="0" w:space="0" w:color="auto"/>
            <w:bottom w:val="none" w:sz="0" w:space="0" w:color="auto"/>
            <w:right w:val="none" w:sz="0" w:space="0" w:color="auto"/>
          </w:divBdr>
        </w:div>
        <w:div w:id="1221987085">
          <w:marLeft w:val="0"/>
          <w:marRight w:val="0"/>
          <w:marTop w:val="0"/>
          <w:marBottom w:val="0"/>
          <w:divBdr>
            <w:top w:val="none" w:sz="0" w:space="0" w:color="auto"/>
            <w:left w:val="none" w:sz="0" w:space="0" w:color="auto"/>
            <w:bottom w:val="none" w:sz="0" w:space="0" w:color="auto"/>
            <w:right w:val="none" w:sz="0" w:space="0" w:color="auto"/>
          </w:divBdr>
        </w:div>
        <w:div w:id="1237089520">
          <w:marLeft w:val="0"/>
          <w:marRight w:val="0"/>
          <w:marTop w:val="0"/>
          <w:marBottom w:val="0"/>
          <w:divBdr>
            <w:top w:val="none" w:sz="0" w:space="0" w:color="auto"/>
            <w:left w:val="none" w:sz="0" w:space="0" w:color="auto"/>
            <w:bottom w:val="none" w:sz="0" w:space="0" w:color="auto"/>
            <w:right w:val="none" w:sz="0" w:space="0" w:color="auto"/>
          </w:divBdr>
        </w:div>
        <w:div w:id="1317419737">
          <w:marLeft w:val="0"/>
          <w:marRight w:val="0"/>
          <w:marTop w:val="0"/>
          <w:marBottom w:val="0"/>
          <w:divBdr>
            <w:top w:val="none" w:sz="0" w:space="0" w:color="auto"/>
            <w:left w:val="none" w:sz="0" w:space="0" w:color="auto"/>
            <w:bottom w:val="none" w:sz="0" w:space="0" w:color="auto"/>
            <w:right w:val="none" w:sz="0" w:space="0" w:color="auto"/>
          </w:divBdr>
        </w:div>
        <w:div w:id="1342077422">
          <w:marLeft w:val="0"/>
          <w:marRight w:val="0"/>
          <w:marTop w:val="0"/>
          <w:marBottom w:val="0"/>
          <w:divBdr>
            <w:top w:val="none" w:sz="0" w:space="0" w:color="auto"/>
            <w:left w:val="none" w:sz="0" w:space="0" w:color="auto"/>
            <w:bottom w:val="none" w:sz="0" w:space="0" w:color="auto"/>
            <w:right w:val="none" w:sz="0" w:space="0" w:color="auto"/>
          </w:divBdr>
        </w:div>
        <w:div w:id="1351565378">
          <w:marLeft w:val="0"/>
          <w:marRight w:val="0"/>
          <w:marTop w:val="0"/>
          <w:marBottom w:val="0"/>
          <w:divBdr>
            <w:top w:val="none" w:sz="0" w:space="0" w:color="auto"/>
            <w:left w:val="none" w:sz="0" w:space="0" w:color="auto"/>
            <w:bottom w:val="none" w:sz="0" w:space="0" w:color="auto"/>
            <w:right w:val="none" w:sz="0" w:space="0" w:color="auto"/>
          </w:divBdr>
        </w:div>
        <w:div w:id="1362903271">
          <w:marLeft w:val="0"/>
          <w:marRight w:val="0"/>
          <w:marTop w:val="0"/>
          <w:marBottom w:val="0"/>
          <w:divBdr>
            <w:top w:val="none" w:sz="0" w:space="0" w:color="auto"/>
            <w:left w:val="none" w:sz="0" w:space="0" w:color="auto"/>
            <w:bottom w:val="none" w:sz="0" w:space="0" w:color="auto"/>
            <w:right w:val="none" w:sz="0" w:space="0" w:color="auto"/>
          </w:divBdr>
        </w:div>
        <w:div w:id="1383286829">
          <w:marLeft w:val="0"/>
          <w:marRight w:val="0"/>
          <w:marTop w:val="0"/>
          <w:marBottom w:val="0"/>
          <w:divBdr>
            <w:top w:val="none" w:sz="0" w:space="0" w:color="auto"/>
            <w:left w:val="none" w:sz="0" w:space="0" w:color="auto"/>
            <w:bottom w:val="none" w:sz="0" w:space="0" w:color="auto"/>
            <w:right w:val="none" w:sz="0" w:space="0" w:color="auto"/>
          </w:divBdr>
        </w:div>
        <w:div w:id="1399867247">
          <w:marLeft w:val="0"/>
          <w:marRight w:val="0"/>
          <w:marTop w:val="0"/>
          <w:marBottom w:val="0"/>
          <w:divBdr>
            <w:top w:val="none" w:sz="0" w:space="0" w:color="auto"/>
            <w:left w:val="none" w:sz="0" w:space="0" w:color="auto"/>
            <w:bottom w:val="none" w:sz="0" w:space="0" w:color="auto"/>
            <w:right w:val="none" w:sz="0" w:space="0" w:color="auto"/>
          </w:divBdr>
        </w:div>
        <w:div w:id="1465392363">
          <w:marLeft w:val="0"/>
          <w:marRight w:val="0"/>
          <w:marTop w:val="0"/>
          <w:marBottom w:val="0"/>
          <w:divBdr>
            <w:top w:val="none" w:sz="0" w:space="0" w:color="auto"/>
            <w:left w:val="none" w:sz="0" w:space="0" w:color="auto"/>
            <w:bottom w:val="none" w:sz="0" w:space="0" w:color="auto"/>
            <w:right w:val="none" w:sz="0" w:space="0" w:color="auto"/>
          </w:divBdr>
        </w:div>
        <w:div w:id="1563558410">
          <w:marLeft w:val="0"/>
          <w:marRight w:val="0"/>
          <w:marTop w:val="0"/>
          <w:marBottom w:val="0"/>
          <w:divBdr>
            <w:top w:val="none" w:sz="0" w:space="0" w:color="auto"/>
            <w:left w:val="none" w:sz="0" w:space="0" w:color="auto"/>
            <w:bottom w:val="none" w:sz="0" w:space="0" w:color="auto"/>
            <w:right w:val="none" w:sz="0" w:space="0" w:color="auto"/>
          </w:divBdr>
        </w:div>
        <w:div w:id="1587499172">
          <w:marLeft w:val="0"/>
          <w:marRight w:val="0"/>
          <w:marTop w:val="0"/>
          <w:marBottom w:val="0"/>
          <w:divBdr>
            <w:top w:val="none" w:sz="0" w:space="0" w:color="auto"/>
            <w:left w:val="none" w:sz="0" w:space="0" w:color="auto"/>
            <w:bottom w:val="none" w:sz="0" w:space="0" w:color="auto"/>
            <w:right w:val="none" w:sz="0" w:space="0" w:color="auto"/>
          </w:divBdr>
        </w:div>
        <w:div w:id="1641302213">
          <w:marLeft w:val="0"/>
          <w:marRight w:val="0"/>
          <w:marTop w:val="0"/>
          <w:marBottom w:val="0"/>
          <w:divBdr>
            <w:top w:val="none" w:sz="0" w:space="0" w:color="auto"/>
            <w:left w:val="none" w:sz="0" w:space="0" w:color="auto"/>
            <w:bottom w:val="none" w:sz="0" w:space="0" w:color="auto"/>
            <w:right w:val="none" w:sz="0" w:space="0" w:color="auto"/>
          </w:divBdr>
        </w:div>
        <w:div w:id="1687054879">
          <w:marLeft w:val="0"/>
          <w:marRight w:val="0"/>
          <w:marTop w:val="0"/>
          <w:marBottom w:val="0"/>
          <w:divBdr>
            <w:top w:val="none" w:sz="0" w:space="0" w:color="auto"/>
            <w:left w:val="none" w:sz="0" w:space="0" w:color="auto"/>
            <w:bottom w:val="none" w:sz="0" w:space="0" w:color="auto"/>
            <w:right w:val="none" w:sz="0" w:space="0" w:color="auto"/>
          </w:divBdr>
        </w:div>
        <w:div w:id="1695494732">
          <w:marLeft w:val="0"/>
          <w:marRight w:val="0"/>
          <w:marTop w:val="0"/>
          <w:marBottom w:val="0"/>
          <w:divBdr>
            <w:top w:val="none" w:sz="0" w:space="0" w:color="auto"/>
            <w:left w:val="none" w:sz="0" w:space="0" w:color="auto"/>
            <w:bottom w:val="none" w:sz="0" w:space="0" w:color="auto"/>
            <w:right w:val="none" w:sz="0" w:space="0" w:color="auto"/>
          </w:divBdr>
        </w:div>
        <w:div w:id="1860966955">
          <w:marLeft w:val="0"/>
          <w:marRight w:val="0"/>
          <w:marTop w:val="0"/>
          <w:marBottom w:val="0"/>
          <w:divBdr>
            <w:top w:val="none" w:sz="0" w:space="0" w:color="auto"/>
            <w:left w:val="none" w:sz="0" w:space="0" w:color="auto"/>
            <w:bottom w:val="none" w:sz="0" w:space="0" w:color="auto"/>
            <w:right w:val="none" w:sz="0" w:space="0" w:color="auto"/>
          </w:divBdr>
        </w:div>
        <w:div w:id="1862742219">
          <w:marLeft w:val="0"/>
          <w:marRight w:val="0"/>
          <w:marTop w:val="0"/>
          <w:marBottom w:val="0"/>
          <w:divBdr>
            <w:top w:val="none" w:sz="0" w:space="0" w:color="auto"/>
            <w:left w:val="none" w:sz="0" w:space="0" w:color="auto"/>
            <w:bottom w:val="none" w:sz="0" w:space="0" w:color="auto"/>
            <w:right w:val="none" w:sz="0" w:space="0" w:color="auto"/>
          </w:divBdr>
        </w:div>
        <w:div w:id="1891332859">
          <w:marLeft w:val="0"/>
          <w:marRight w:val="0"/>
          <w:marTop w:val="0"/>
          <w:marBottom w:val="0"/>
          <w:divBdr>
            <w:top w:val="none" w:sz="0" w:space="0" w:color="auto"/>
            <w:left w:val="none" w:sz="0" w:space="0" w:color="auto"/>
            <w:bottom w:val="none" w:sz="0" w:space="0" w:color="auto"/>
            <w:right w:val="none" w:sz="0" w:space="0" w:color="auto"/>
          </w:divBdr>
        </w:div>
        <w:div w:id="1903367126">
          <w:marLeft w:val="0"/>
          <w:marRight w:val="0"/>
          <w:marTop w:val="0"/>
          <w:marBottom w:val="0"/>
          <w:divBdr>
            <w:top w:val="none" w:sz="0" w:space="0" w:color="auto"/>
            <w:left w:val="none" w:sz="0" w:space="0" w:color="auto"/>
            <w:bottom w:val="none" w:sz="0" w:space="0" w:color="auto"/>
            <w:right w:val="none" w:sz="0" w:space="0" w:color="auto"/>
          </w:divBdr>
        </w:div>
        <w:div w:id="1922713283">
          <w:marLeft w:val="0"/>
          <w:marRight w:val="0"/>
          <w:marTop w:val="0"/>
          <w:marBottom w:val="0"/>
          <w:divBdr>
            <w:top w:val="none" w:sz="0" w:space="0" w:color="auto"/>
            <w:left w:val="none" w:sz="0" w:space="0" w:color="auto"/>
            <w:bottom w:val="none" w:sz="0" w:space="0" w:color="auto"/>
            <w:right w:val="none" w:sz="0" w:space="0" w:color="auto"/>
          </w:divBdr>
        </w:div>
        <w:div w:id="1933736000">
          <w:marLeft w:val="0"/>
          <w:marRight w:val="0"/>
          <w:marTop w:val="0"/>
          <w:marBottom w:val="0"/>
          <w:divBdr>
            <w:top w:val="none" w:sz="0" w:space="0" w:color="auto"/>
            <w:left w:val="none" w:sz="0" w:space="0" w:color="auto"/>
            <w:bottom w:val="none" w:sz="0" w:space="0" w:color="auto"/>
            <w:right w:val="none" w:sz="0" w:space="0" w:color="auto"/>
          </w:divBdr>
        </w:div>
        <w:div w:id="1984115143">
          <w:marLeft w:val="0"/>
          <w:marRight w:val="0"/>
          <w:marTop w:val="0"/>
          <w:marBottom w:val="0"/>
          <w:divBdr>
            <w:top w:val="none" w:sz="0" w:space="0" w:color="auto"/>
            <w:left w:val="none" w:sz="0" w:space="0" w:color="auto"/>
            <w:bottom w:val="none" w:sz="0" w:space="0" w:color="auto"/>
            <w:right w:val="none" w:sz="0" w:space="0" w:color="auto"/>
          </w:divBdr>
        </w:div>
        <w:div w:id="2073498171">
          <w:marLeft w:val="0"/>
          <w:marRight w:val="0"/>
          <w:marTop w:val="0"/>
          <w:marBottom w:val="0"/>
          <w:divBdr>
            <w:top w:val="none" w:sz="0" w:space="0" w:color="auto"/>
            <w:left w:val="none" w:sz="0" w:space="0" w:color="auto"/>
            <w:bottom w:val="none" w:sz="0" w:space="0" w:color="auto"/>
            <w:right w:val="none" w:sz="0" w:space="0" w:color="auto"/>
          </w:divBdr>
        </w:div>
        <w:div w:id="2095936255">
          <w:marLeft w:val="0"/>
          <w:marRight w:val="0"/>
          <w:marTop w:val="0"/>
          <w:marBottom w:val="0"/>
          <w:divBdr>
            <w:top w:val="none" w:sz="0" w:space="0" w:color="auto"/>
            <w:left w:val="none" w:sz="0" w:space="0" w:color="auto"/>
            <w:bottom w:val="none" w:sz="0" w:space="0" w:color="auto"/>
            <w:right w:val="none" w:sz="0" w:space="0" w:color="auto"/>
          </w:divBdr>
        </w:div>
      </w:divsChild>
    </w:div>
    <w:div w:id="271671032">
      <w:bodyDiv w:val="1"/>
      <w:marLeft w:val="0"/>
      <w:marRight w:val="0"/>
      <w:marTop w:val="0"/>
      <w:marBottom w:val="0"/>
      <w:divBdr>
        <w:top w:val="none" w:sz="0" w:space="0" w:color="auto"/>
        <w:left w:val="none" w:sz="0" w:space="0" w:color="auto"/>
        <w:bottom w:val="none" w:sz="0" w:space="0" w:color="auto"/>
        <w:right w:val="none" w:sz="0" w:space="0" w:color="auto"/>
      </w:divBdr>
    </w:div>
    <w:div w:id="278222052">
      <w:bodyDiv w:val="1"/>
      <w:marLeft w:val="0"/>
      <w:marRight w:val="0"/>
      <w:marTop w:val="0"/>
      <w:marBottom w:val="0"/>
      <w:divBdr>
        <w:top w:val="none" w:sz="0" w:space="0" w:color="auto"/>
        <w:left w:val="none" w:sz="0" w:space="0" w:color="auto"/>
        <w:bottom w:val="none" w:sz="0" w:space="0" w:color="auto"/>
        <w:right w:val="none" w:sz="0" w:space="0" w:color="auto"/>
      </w:divBdr>
    </w:div>
    <w:div w:id="279383296">
      <w:bodyDiv w:val="1"/>
      <w:marLeft w:val="0"/>
      <w:marRight w:val="0"/>
      <w:marTop w:val="0"/>
      <w:marBottom w:val="0"/>
      <w:divBdr>
        <w:top w:val="none" w:sz="0" w:space="0" w:color="auto"/>
        <w:left w:val="none" w:sz="0" w:space="0" w:color="auto"/>
        <w:bottom w:val="none" w:sz="0" w:space="0" w:color="auto"/>
        <w:right w:val="none" w:sz="0" w:space="0" w:color="auto"/>
      </w:divBdr>
    </w:div>
    <w:div w:id="291061643">
      <w:bodyDiv w:val="1"/>
      <w:marLeft w:val="0"/>
      <w:marRight w:val="0"/>
      <w:marTop w:val="0"/>
      <w:marBottom w:val="0"/>
      <w:divBdr>
        <w:top w:val="none" w:sz="0" w:space="0" w:color="auto"/>
        <w:left w:val="none" w:sz="0" w:space="0" w:color="auto"/>
        <w:bottom w:val="none" w:sz="0" w:space="0" w:color="auto"/>
        <w:right w:val="none" w:sz="0" w:space="0" w:color="auto"/>
      </w:divBdr>
    </w:div>
    <w:div w:id="322587086">
      <w:bodyDiv w:val="1"/>
      <w:marLeft w:val="0"/>
      <w:marRight w:val="0"/>
      <w:marTop w:val="0"/>
      <w:marBottom w:val="0"/>
      <w:divBdr>
        <w:top w:val="none" w:sz="0" w:space="0" w:color="auto"/>
        <w:left w:val="none" w:sz="0" w:space="0" w:color="auto"/>
        <w:bottom w:val="none" w:sz="0" w:space="0" w:color="auto"/>
        <w:right w:val="none" w:sz="0" w:space="0" w:color="auto"/>
      </w:divBdr>
    </w:div>
    <w:div w:id="341318246">
      <w:bodyDiv w:val="1"/>
      <w:marLeft w:val="0"/>
      <w:marRight w:val="0"/>
      <w:marTop w:val="0"/>
      <w:marBottom w:val="0"/>
      <w:divBdr>
        <w:top w:val="none" w:sz="0" w:space="0" w:color="auto"/>
        <w:left w:val="none" w:sz="0" w:space="0" w:color="auto"/>
        <w:bottom w:val="none" w:sz="0" w:space="0" w:color="auto"/>
        <w:right w:val="none" w:sz="0" w:space="0" w:color="auto"/>
      </w:divBdr>
    </w:div>
    <w:div w:id="355817710">
      <w:bodyDiv w:val="1"/>
      <w:marLeft w:val="0"/>
      <w:marRight w:val="0"/>
      <w:marTop w:val="0"/>
      <w:marBottom w:val="0"/>
      <w:divBdr>
        <w:top w:val="none" w:sz="0" w:space="0" w:color="auto"/>
        <w:left w:val="none" w:sz="0" w:space="0" w:color="auto"/>
        <w:bottom w:val="none" w:sz="0" w:space="0" w:color="auto"/>
        <w:right w:val="none" w:sz="0" w:space="0" w:color="auto"/>
      </w:divBdr>
    </w:div>
    <w:div w:id="361712613">
      <w:bodyDiv w:val="1"/>
      <w:marLeft w:val="0"/>
      <w:marRight w:val="0"/>
      <w:marTop w:val="0"/>
      <w:marBottom w:val="0"/>
      <w:divBdr>
        <w:top w:val="none" w:sz="0" w:space="0" w:color="auto"/>
        <w:left w:val="none" w:sz="0" w:space="0" w:color="auto"/>
        <w:bottom w:val="none" w:sz="0" w:space="0" w:color="auto"/>
        <w:right w:val="none" w:sz="0" w:space="0" w:color="auto"/>
      </w:divBdr>
      <w:divsChild>
        <w:div w:id="341592353">
          <w:marLeft w:val="1166"/>
          <w:marRight w:val="0"/>
          <w:marTop w:val="0"/>
          <w:marBottom w:val="0"/>
          <w:divBdr>
            <w:top w:val="none" w:sz="0" w:space="0" w:color="auto"/>
            <w:left w:val="none" w:sz="0" w:space="0" w:color="auto"/>
            <w:bottom w:val="none" w:sz="0" w:space="0" w:color="auto"/>
            <w:right w:val="none" w:sz="0" w:space="0" w:color="auto"/>
          </w:divBdr>
        </w:div>
        <w:div w:id="714500602">
          <w:marLeft w:val="547"/>
          <w:marRight w:val="0"/>
          <w:marTop w:val="240"/>
          <w:marBottom w:val="0"/>
          <w:divBdr>
            <w:top w:val="none" w:sz="0" w:space="0" w:color="auto"/>
            <w:left w:val="none" w:sz="0" w:space="0" w:color="auto"/>
            <w:bottom w:val="none" w:sz="0" w:space="0" w:color="auto"/>
            <w:right w:val="none" w:sz="0" w:space="0" w:color="auto"/>
          </w:divBdr>
        </w:div>
      </w:divsChild>
    </w:div>
    <w:div w:id="372119455">
      <w:bodyDiv w:val="1"/>
      <w:marLeft w:val="0"/>
      <w:marRight w:val="0"/>
      <w:marTop w:val="0"/>
      <w:marBottom w:val="0"/>
      <w:divBdr>
        <w:top w:val="none" w:sz="0" w:space="0" w:color="auto"/>
        <w:left w:val="none" w:sz="0" w:space="0" w:color="auto"/>
        <w:bottom w:val="none" w:sz="0" w:space="0" w:color="auto"/>
        <w:right w:val="none" w:sz="0" w:space="0" w:color="auto"/>
      </w:divBdr>
      <w:divsChild>
        <w:div w:id="652562321">
          <w:marLeft w:val="547"/>
          <w:marRight w:val="0"/>
          <w:marTop w:val="240"/>
          <w:marBottom w:val="0"/>
          <w:divBdr>
            <w:top w:val="none" w:sz="0" w:space="0" w:color="auto"/>
            <w:left w:val="none" w:sz="0" w:space="0" w:color="auto"/>
            <w:bottom w:val="none" w:sz="0" w:space="0" w:color="auto"/>
            <w:right w:val="none" w:sz="0" w:space="0" w:color="auto"/>
          </w:divBdr>
        </w:div>
      </w:divsChild>
    </w:div>
    <w:div w:id="381245741">
      <w:bodyDiv w:val="1"/>
      <w:marLeft w:val="0"/>
      <w:marRight w:val="0"/>
      <w:marTop w:val="0"/>
      <w:marBottom w:val="0"/>
      <w:divBdr>
        <w:top w:val="none" w:sz="0" w:space="0" w:color="auto"/>
        <w:left w:val="none" w:sz="0" w:space="0" w:color="auto"/>
        <w:bottom w:val="none" w:sz="0" w:space="0" w:color="auto"/>
        <w:right w:val="none" w:sz="0" w:space="0" w:color="auto"/>
      </w:divBdr>
    </w:div>
    <w:div w:id="381833048">
      <w:bodyDiv w:val="1"/>
      <w:marLeft w:val="0"/>
      <w:marRight w:val="0"/>
      <w:marTop w:val="0"/>
      <w:marBottom w:val="0"/>
      <w:divBdr>
        <w:top w:val="none" w:sz="0" w:space="0" w:color="auto"/>
        <w:left w:val="none" w:sz="0" w:space="0" w:color="auto"/>
        <w:bottom w:val="none" w:sz="0" w:space="0" w:color="auto"/>
        <w:right w:val="none" w:sz="0" w:space="0" w:color="auto"/>
      </w:divBdr>
    </w:div>
    <w:div w:id="399136102">
      <w:bodyDiv w:val="1"/>
      <w:marLeft w:val="0"/>
      <w:marRight w:val="0"/>
      <w:marTop w:val="0"/>
      <w:marBottom w:val="0"/>
      <w:divBdr>
        <w:top w:val="none" w:sz="0" w:space="0" w:color="auto"/>
        <w:left w:val="none" w:sz="0" w:space="0" w:color="auto"/>
        <w:bottom w:val="none" w:sz="0" w:space="0" w:color="auto"/>
        <w:right w:val="none" w:sz="0" w:space="0" w:color="auto"/>
      </w:divBdr>
      <w:divsChild>
        <w:div w:id="126053834">
          <w:marLeft w:val="446"/>
          <w:marRight w:val="0"/>
          <w:marTop w:val="0"/>
          <w:marBottom w:val="0"/>
          <w:divBdr>
            <w:top w:val="none" w:sz="0" w:space="0" w:color="auto"/>
            <w:left w:val="none" w:sz="0" w:space="0" w:color="auto"/>
            <w:bottom w:val="none" w:sz="0" w:space="0" w:color="auto"/>
            <w:right w:val="none" w:sz="0" w:space="0" w:color="auto"/>
          </w:divBdr>
        </w:div>
        <w:div w:id="1092625813">
          <w:marLeft w:val="446"/>
          <w:marRight w:val="0"/>
          <w:marTop w:val="0"/>
          <w:marBottom w:val="0"/>
          <w:divBdr>
            <w:top w:val="none" w:sz="0" w:space="0" w:color="auto"/>
            <w:left w:val="none" w:sz="0" w:space="0" w:color="auto"/>
            <w:bottom w:val="none" w:sz="0" w:space="0" w:color="auto"/>
            <w:right w:val="none" w:sz="0" w:space="0" w:color="auto"/>
          </w:divBdr>
        </w:div>
      </w:divsChild>
    </w:div>
    <w:div w:id="403265979">
      <w:bodyDiv w:val="1"/>
      <w:marLeft w:val="0"/>
      <w:marRight w:val="0"/>
      <w:marTop w:val="0"/>
      <w:marBottom w:val="0"/>
      <w:divBdr>
        <w:top w:val="none" w:sz="0" w:space="0" w:color="auto"/>
        <w:left w:val="none" w:sz="0" w:space="0" w:color="auto"/>
        <w:bottom w:val="none" w:sz="0" w:space="0" w:color="auto"/>
        <w:right w:val="none" w:sz="0" w:space="0" w:color="auto"/>
      </w:divBdr>
    </w:div>
    <w:div w:id="421681623">
      <w:bodyDiv w:val="1"/>
      <w:marLeft w:val="0"/>
      <w:marRight w:val="0"/>
      <w:marTop w:val="0"/>
      <w:marBottom w:val="0"/>
      <w:divBdr>
        <w:top w:val="none" w:sz="0" w:space="0" w:color="auto"/>
        <w:left w:val="none" w:sz="0" w:space="0" w:color="auto"/>
        <w:bottom w:val="none" w:sz="0" w:space="0" w:color="auto"/>
        <w:right w:val="none" w:sz="0" w:space="0" w:color="auto"/>
      </w:divBdr>
    </w:div>
    <w:div w:id="424617327">
      <w:bodyDiv w:val="1"/>
      <w:marLeft w:val="0"/>
      <w:marRight w:val="0"/>
      <w:marTop w:val="0"/>
      <w:marBottom w:val="0"/>
      <w:divBdr>
        <w:top w:val="none" w:sz="0" w:space="0" w:color="auto"/>
        <w:left w:val="none" w:sz="0" w:space="0" w:color="auto"/>
        <w:bottom w:val="none" w:sz="0" w:space="0" w:color="auto"/>
        <w:right w:val="none" w:sz="0" w:space="0" w:color="auto"/>
      </w:divBdr>
      <w:divsChild>
        <w:div w:id="713045447">
          <w:marLeft w:val="547"/>
          <w:marRight w:val="0"/>
          <w:marTop w:val="240"/>
          <w:marBottom w:val="0"/>
          <w:divBdr>
            <w:top w:val="none" w:sz="0" w:space="0" w:color="auto"/>
            <w:left w:val="none" w:sz="0" w:space="0" w:color="auto"/>
            <w:bottom w:val="none" w:sz="0" w:space="0" w:color="auto"/>
            <w:right w:val="none" w:sz="0" w:space="0" w:color="auto"/>
          </w:divBdr>
        </w:div>
      </w:divsChild>
    </w:div>
    <w:div w:id="459767760">
      <w:bodyDiv w:val="1"/>
      <w:marLeft w:val="0"/>
      <w:marRight w:val="0"/>
      <w:marTop w:val="0"/>
      <w:marBottom w:val="0"/>
      <w:divBdr>
        <w:top w:val="none" w:sz="0" w:space="0" w:color="auto"/>
        <w:left w:val="none" w:sz="0" w:space="0" w:color="auto"/>
        <w:bottom w:val="none" w:sz="0" w:space="0" w:color="auto"/>
        <w:right w:val="none" w:sz="0" w:space="0" w:color="auto"/>
      </w:divBdr>
    </w:div>
    <w:div w:id="501551539">
      <w:marLeft w:val="0"/>
      <w:marRight w:val="0"/>
      <w:marTop w:val="0"/>
      <w:marBottom w:val="0"/>
      <w:divBdr>
        <w:top w:val="none" w:sz="0" w:space="0" w:color="auto"/>
        <w:left w:val="none" w:sz="0" w:space="0" w:color="auto"/>
        <w:bottom w:val="none" w:sz="0" w:space="0" w:color="auto"/>
        <w:right w:val="none" w:sz="0" w:space="0" w:color="auto"/>
      </w:divBdr>
      <w:divsChild>
        <w:div w:id="939681283">
          <w:marLeft w:val="0"/>
          <w:marRight w:val="0"/>
          <w:marTop w:val="0"/>
          <w:marBottom w:val="0"/>
          <w:divBdr>
            <w:top w:val="none" w:sz="0" w:space="0" w:color="auto"/>
            <w:left w:val="none" w:sz="0" w:space="0" w:color="auto"/>
            <w:bottom w:val="none" w:sz="0" w:space="0" w:color="auto"/>
            <w:right w:val="none" w:sz="0" w:space="0" w:color="auto"/>
          </w:divBdr>
          <w:divsChild>
            <w:div w:id="494343097">
              <w:marLeft w:val="0"/>
              <w:marRight w:val="0"/>
              <w:marTop w:val="0"/>
              <w:marBottom w:val="0"/>
              <w:divBdr>
                <w:top w:val="none" w:sz="0" w:space="0" w:color="auto"/>
                <w:left w:val="none" w:sz="0" w:space="0" w:color="auto"/>
                <w:bottom w:val="none" w:sz="0" w:space="0" w:color="auto"/>
                <w:right w:val="none" w:sz="0" w:space="0" w:color="auto"/>
              </w:divBdr>
              <w:divsChild>
                <w:div w:id="535851854">
                  <w:marLeft w:val="0"/>
                  <w:marRight w:val="0"/>
                  <w:marTop w:val="0"/>
                  <w:marBottom w:val="0"/>
                  <w:divBdr>
                    <w:top w:val="none" w:sz="0" w:space="0" w:color="auto"/>
                    <w:left w:val="none" w:sz="0" w:space="0" w:color="auto"/>
                    <w:bottom w:val="none" w:sz="0" w:space="0" w:color="auto"/>
                    <w:right w:val="none" w:sz="0" w:space="0" w:color="auto"/>
                  </w:divBdr>
                  <w:divsChild>
                    <w:div w:id="646595386">
                      <w:marLeft w:val="0"/>
                      <w:marRight w:val="0"/>
                      <w:marTop w:val="0"/>
                      <w:marBottom w:val="0"/>
                      <w:divBdr>
                        <w:top w:val="none" w:sz="0" w:space="0" w:color="auto"/>
                        <w:left w:val="none" w:sz="0" w:space="0" w:color="auto"/>
                        <w:bottom w:val="none" w:sz="0" w:space="0" w:color="auto"/>
                        <w:right w:val="none" w:sz="0" w:space="0" w:color="auto"/>
                      </w:divBdr>
                    </w:div>
                  </w:divsChild>
                </w:div>
                <w:div w:id="756558712">
                  <w:marLeft w:val="0"/>
                  <w:marRight w:val="0"/>
                  <w:marTop w:val="0"/>
                  <w:marBottom w:val="0"/>
                  <w:divBdr>
                    <w:top w:val="none" w:sz="0" w:space="0" w:color="auto"/>
                    <w:left w:val="none" w:sz="0" w:space="0" w:color="auto"/>
                    <w:bottom w:val="none" w:sz="0" w:space="0" w:color="auto"/>
                    <w:right w:val="none" w:sz="0" w:space="0" w:color="auto"/>
                  </w:divBdr>
                </w:div>
                <w:div w:id="965621721">
                  <w:marLeft w:val="0"/>
                  <w:marRight w:val="0"/>
                  <w:marTop w:val="0"/>
                  <w:marBottom w:val="0"/>
                  <w:divBdr>
                    <w:top w:val="none" w:sz="0" w:space="0" w:color="auto"/>
                    <w:left w:val="none" w:sz="0" w:space="0" w:color="auto"/>
                    <w:bottom w:val="none" w:sz="0" w:space="0" w:color="auto"/>
                    <w:right w:val="none" w:sz="0" w:space="0" w:color="auto"/>
                  </w:divBdr>
                </w:div>
              </w:divsChild>
            </w:div>
            <w:div w:id="1306279905">
              <w:marLeft w:val="0"/>
              <w:marRight w:val="0"/>
              <w:marTop w:val="0"/>
              <w:marBottom w:val="0"/>
              <w:divBdr>
                <w:top w:val="none" w:sz="0" w:space="0" w:color="auto"/>
                <w:left w:val="none" w:sz="0" w:space="0" w:color="auto"/>
                <w:bottom w:val="none" w:sz="0" w:space="0" w:color="auto"/>
                <w:right w:val="none" w:sz="0" w:space="0" w:color="auto"/>
              </w:divBdr>
              <w:divsChild>
                <w:div w:id="623388424">
                  <w:marLeft w:val="0"/>
                  <w:marRight w:val="0"/>
                  <w:marTop w:val="0"/>
                  <w:marBottom w:val="0"/>
                  <w:divBdr>
                    <w:top w:val="none" w:sz="0" w:space="0" w:color="auto"/>
                    <w:left w:val="none" w:sz="0" w:space="0" w:color="auto"/>
                    <w:bottom w:val="none" w:sz="0" w:space="0" w:color="auto"/>
                    <w:right w:val="none" w:sz="0" w:space="0" w:color="auto"/>
                  </w:divBdr>
                </w:div>
                <w:div w:id="1462386893">
                  <w:marLeft w:val="0"/>
                  <w:marRight w:val="0"/>
                  <w:marTop w:val="0"/>
                  <w:marBottom w:val="0"/>
                  <w:divBdr>
                    <w:top w:val="none" w:sz="0" w:space="0" w:color="auto"/>
                    <w:left w:val="none" w:sz="0" w:space="0" w:color="auto"/>
                    <w:bottom w:val="none" w:sz="0" w:space="0" w:color="auto"/>
                    <w:right w:val="none" w:sz="0" w:space="0" w:color="auto"/>
                  </w:divBdr>
                </w:div>
                <w:div w:id="2071146274">
                  <w:marLeft w:val="0"/>
                  <w:marRight w:val="0"/>
                  <w:marTop w:val="0"/>
                  <w:marBottom w:val="0"/>
                  <w:divBdr>
                    <w:top w:val="none" w:sz="0" w:space="0" w:color="auto"/>
                    <w:left w:val="none" w:sz="0" w:space="0" w:color="auto"/>
                    <w:bottom w:val="none" w:sz="0" w:space="0" w:color="auto"/>
                    <w:right w:val="none" w:sz="0" w:space="0" w:color="auto"/>
                  </w:divBdr>
                </w:div>
              </w:divsChild>
            </w:div>
            <w:div w:id="1549797279">
              <w:marLeft w:val="0"/>
              <w:marRight w:val="0"/>
              <w:marTop w:val="0"/>
              <w:marBottom w:val="0"/>
              <w:divBdr>
                <w:top w:val="none" w:sz="0" w:space="0" w:color="auto"/>
                <w:left w:val="none" w:sz="0" w:space="0" w:color="auto"/>
                <w:bottom w:val="none" w:sz="0" w:space="0" w:color="auto"/>
                <w:right w:val="none" w:sz="0" w:space="0" w:color="auto"/>
              </w:divBdr>
            </w:div>
          </w:divsChild>
        </w:div>
        <w:div w:id="1174882288">
          <w:marLeft w:val="0"/>
          <w:marRight w:val="0"/>
          <w:marTop w:val="0"/>
          <w:marBottom w:val="0"/>
          <w:divBdr>
            <w:top w:val="none" w:sz="0" w:space="0" w:color="auto"/>
            <w:left w:val="none" w:sz="0" w:space="0" w:color="auto"/>
            <w:bottom w:val="none" w:sz="0" w:space="0" w:color="auto"/>
            <w:right w:val="none" w:sz="0" w:space="0" w:color="auto"/>
          </w:divBdr>
          <w:divsChild>
            <w:div w:id="433477623">
              <w:marLeft w:val="0"/>
              <w:marRight w:val="0"/>
              <w:marTop w:val="0"/>
              <w:marBottom w:val="0"/>
              <w:divBdr>
                <w:top w:val="none" w:sz="0" w:space="0" w:color="auto"/>
                <w:left w:val="none" w:sz="0" w:space="0" w:color="auto"/>
                <w:bottom w:val="none" w:sz="0" w:space="0" w:color="auto"/>
                <w:right w:val="none" w:sz="0" w:space="0" w:color="auto"/>
              </w:divBdr>
              <w:divsChild>
                <w:div w:id="629938318">
                  <w:marLeft w:val="0"/>
                  <w:marRight w:val="0"/>
                  <w:marTop w:val="0"/>
                  <w:marBottom w:val="0"/>
                  <w:divBdr>
                    <w:top w:val="none" w:sz="0" w:space="0" w:color="auto"/>
                    <w:left w:val="none" w:sz="0" w:space="0" w:color="auto"/>
                    <w:bottom w:val="none" w:sz="0" w:space="0" w:color="auto"/>
                    <w:right w:val="none" w:sz="0" w:space="0" w:color="auto"/>
                  </w:divBdr>
                  <w:divsChild>
                    <w:div w:id="249315447">
                      <w:marLeft w:val="0"/>
                      <w:marRight w:val="0"/>
                      <w:marTop w:val="0"/>
                      <w:marBottom w:val="0"/>
                      <w:divBdr>
                        <w:top w:val="none" w:sz="0" w:space="0" w:color="auto"/>
                        <w:left w:val="none" w:sz="0" w:space="0" w:color="auto"/>
                        <w:bottom w:val="none" w:sz="0" w:space="0" w:color="auto"/>
                        <w:right w:val="none" w:sz="0" w:space="0" w:color="auto"/>
                      </w:divBdr>
                    </w:div>
                  </w:divsChild>
                </w:div>
                <w:div w:id="95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8895">
      <w:bodyDiv w:val="1"/>
      <w:marLeft w:val="0"/>
      <w:marRight w:val="0"/>
      <w:marTop w:val="0"/>
      <w:marBottom w:val="0"/>
      <w:divBdr>
        <w:top w:val="none" w:sz="0" w:space="0" w:color="auto"/>
        <w:left w:val="none" w:sz="0" w:space="0" w:color="auto"/>
        <w:bottom w:val="none" w:sz="0" w:space="0" w:color="auto"/>
        <w:right w:val="none" w:sz="0" w:space="0" w:color="auto"/>
      </w:divBdr>
    </w:div>
    <w:div w:id="514344492">
      <w:bodyDiv w:val="1"/>
      <w:marLeft w:val="0"/>
      <w:marRight w:val="0"/>
      <w:marTop w:val="0"/>
      <w:marBottom w:val="0"/>
      <w:divBdr>
        <w:top w:val="none" w:sz="0" w:space="0" w:color="auto"/>
        <w:left w:val="none" w:sz="0" w:space="0" w:color="auto"/>
        <w:bottom w:val="none" w:sz="0" w:space="0" w:color="auto"/>
        <w:right w:val="none" w:sz="0" w:space="0" w:color="auto"/>
      </w:divBdr>
    </w:div>
    <w:div w:id="515117125">
      <w:bodyDiv w:val="1"/>
      <w:marLeft w:val="0"/>
      <w:marRight w:val="0"/>
      <w:marTop w:val="0"/>
      <w:marBottom w:val="0"/>
      <w:divBdr>
        <w:top w:val="none" w:sz="0" w:space="0" w:color="auto"/>
        <w:left w:val="none" w:sz="0" w:space="0" w:color="auto"/>
        <w:bottom w:val="none" w:sz="0" w:space="0" w:color="auto"/>
        <w:right w:val="none" w:sz="0" w:space="0" w:color="auto"/>
      </w:divBdr>
      <w:divsChild>
        <w:div w:id="1791779600">
          <w:marLeft w:val="547"/>
          <w:marRight w:val="0"/>
          <w:marTop w:val="240"/>
          <w:marBottom w:val="0"/>
          <w:divBdr>
            <w:top w:val="none" w:sz="0" w:space="0" w:color="auto"/>
            <w:left w:val="none" w:sz="0" w:space="0" w:color="auto"/>
            <w:bottom w:val="none" w:sz="0" w:space="0" w:color="auto"/>
            <w:right w:val="none" w:sz="0" w:space="0" w:color="auto"/>
          </w:divBdr>
        </w:div>
        <w:div w:id="1326860701">
          <w:marLeft w:val="1166"/>
          <w:marRight w:val="0"/>
          <w:marTop w:val="0"/>
          <w:marBottom w:val="0"/>
          <w:divBdr>
            <w:top w:val="none" w:sz="0" w:space="0" w:color="auto"/>
            <w:left w:val="none" w:sz="0" w:space="0" w:color="auto"/>
            <w:bottom w:val="none" w:sz="0" w:space="0" w:color="auto"/>
            <w:right w:val="none" w:sz="0" w:space="0" w:color="auto"/>
          </w:divBdr>
        </w:div>
      </w:divsChild>
    </w:div>
    <w:div w:id="516967329">
      <w:bodyDiv w:val="1"/>
      <w:marLeft w:val="0"/>
      <w:marRight w:val="0"/>
      <w:marTop w:val="0"/>
      <w:marBottom w:val="0"/>
      <w:divBdr>
        <w:top w:val="none" w:sz="0" w:space="0" w:color="auto"/>
        <w:left w:val="none" w:sz="0" w:space="0" w:color="auto"/>
        <w:bottom w:val="none" w:sz="0" w:space="0" w:color="auto"/>
        <w:right w:val="none" w:sz="0" w:space="0" w:color="auto"/>
      </w:divBdr>
    </w:div>
    <w:div w:id="524053977">
      <w:bodyDiv w:val="1"/>
      <w:marLeft w:val="0"/>
      <w:marRight w:val="0"/>
      <w:marTop w:val="0"/>
      <w:marBottom w:val="0"/>
      <w:divBdr>
        <w:top w:val="none" w:sz="0" w:space="0" w:color="auto"/>
        <w:left w:val="none" w:sz="0" w:space="0" w:color="auto"/>
        <w:bottom w:val="none" w:sz="0" w:space="0" w:color="auto"/>
        <w:right w:val="none" w:sz="0" w:space="0" w:color="auto"/>
      </w:divBdr>
    </w:div>
    <w:div w:id="543564287">
      <w:bodyDiv w:val="1"/>
      <w:marLeft w:val="0"/>
      <w:marRight w:val="0"/>
      <w:marTop w:val="0"/>
      <w:marBottom w:val="0"/>
      <w:divBdr>
        <w:top w:val="none" w:sz="0" w:space="0" w:color="auto"/>
        <w:left w:val="none" w:sz="0" w:space="0" w:color="auto"/>
        <w:bottom w:val="none" w:sz="0" w:space="0" w:color="auto"/>
        <w:right w:val="none" w:sz="0" w:space="0" w:color="auto"/>
      </w:divBdr>
    </w:div>
    <w:div w:id="551188538">
      <w:bodyDiv w:val="1"/>
      <w:marLeft w:val="0"/>
      <w:marRight w:val="0"/>
      <w:marTop w:val="0"/>
      <w:marBottom w:val="0"/>
      <w:divBdr>
        <w:top w:val="none" w:sz="0" w:space="0" w:color="auto"/>
        <w:left w:val="none" w:sz="0" w:space="0" w:color="auto"/>
        <w:bottom w:val="none" w:sz="0" w:space="0" w:color="auto"/>
        <w:right w:val="none" w:sz="0" w:space="0" w:color="auto"/>
      </w:divBdr>
    </w:div>
    <w:div w:id="556357140">
      <w:bodyDiv w:val="1"/>
      <w:marLeft w:val="0"/>
      <w:marRight w:val="0"/>
      <w:marTop w:val="0"/>
      <w:marBottom w:val="0"/>
      <w:divBdr>
        <w:top w:val="none" w:sz="0" w:space="0" w:color="auto"/>
        <w:left w:val="none" w:sz="0" w:space="0" w:color="auto"/>
        <w:bottom w:val="none" w:sz="0" w:space="0" w:color="auto"/>
        <w:right w:val="none" w:sz="0" w:space="0" w:color="auto"/>
      </w:divBdr>
    </w:div>
    <w:div w:id="567884084">
      <w:bodyDiv w:val="1"/>
      <w:marLeft w:val="0"/>
      <w:marRight w:val="0"/>
      <w:marTop w:val="0"/>
      <w:marBottom w:val="0"/>
      <w:divBdr>
        <w:top w:val="none" w:sz="0" w:space="0" w:color="auto"/>
        <w:left w:val="none" w:sz="0" w:space="0" w:color="auto"/>
        <w:bottom w:val="none" w:sz="0" w:space="0" w:color="auto"/>
        <w:right w:val="none" w:sz="0" w:space="0" w:color="auto"/>
      </w:divBdr>
    </w:div>
    <w:div w:id="588739021">
      <w:bodyDiv w:val="1"/>
      <w:marLeft w:val="0"/>
      <w:marRight w:val="0"/>
      <w:marTop w:val="0"/>
      <w:marBottom w:val="0"/>
      <w:divBdr>
        <w:top w:val="none" w:sz="0" w:space="0" w:color="auto"/>
        <w:left w:val="none" w:sz="0" w:space="0" w:color="auto"/>
        <w:bottom w:val="none" w:sz="0" w:space="0" w:color="auto"/>
        <w:right w:val="none" w:sz="0" w:space="0" w:color="auto"/>
      </w:divBdr>
    </w:div>
    <w:div w:id="594242954">
      <w:bodyDiv w:val="1"/>
      <w:marLeft w:val="0"/>
      <w:marRight w:val="0"/>
      <w:marTop w:val="0"/>
      <w:marBottom w:val="0"/>
      <w:divBdr>
        <w:top w:val="none" w:sz="0" w:space="0" w:color="auto"/>
        <w:left w:val="none" w:sz="0" w:space="0" w:color="auto"/>
        <w:bottom w:val="none" w:sz="0" w:space="0" w:color="auto"/>
        <w:right w:val="none" w:sz="0" w:space="0" w:color="auto"/>
      </w:divBdr>
      <w:divsChild>
        <w:div w:id="1124999591">
          <w:marLeft w:val="547"/>
          <w:marRight w:val="0"/>
          <w:marTop w:val="240"/>
          <w:marBottom w:val="0"/>
          <w:divBdr>
            <w:top w:val="none" w:sz="0" w:space="0" w:color="auto"/>
            <w:left w:val="none" w:sz="0" w:space="0" w:color="auto"/>
            <w:bottom w:val="none" w:sz="0" w:space="0" w:color="auto"/>
            <w:right w:val="none" w:sz="0" w:space="0" w:color="auto"/>
          </w:divBdr>
        </w:div>
        <w:div w:id="1048069268">
          <w:marLeft w:val="1166"/>
          <w:marRight w:val="0"/>
          <w:marTop w:val="0"/>
          <w:marBottom w:val="0"/>
          <w:divBdr>
            <w:top w:val="none" w:sz="0" w:space="0" w:color="auto"/>
            <w:left w:val="none" w:sz="0" w:space="0" w:color="auto"/>
            <w:bottom w:val="none" w:sz="0" w:space="0" w:color="auto"/>
            <w:right w:val="none" w:sz="0" w:space="0" w:color="auto"/>
          </w:divBdr>
        </w:div>
        <w:div w:id="168713465">
          <w:marLeft w:val="1166"/>
          <w:marRight w:val="0"/>
          <w:marTop w:val="0"/>
          <w:marBottom w:val="0"/>
          <w:divBdr>
            <w:top w:val="none" w:sz="0" w:space="0" w:color="auto"/>
            <w:left w:val="none" w:sz="0" w:space="0" w:color="auto"/>
            <w:bottom w:val="none" w:sz="0" w:space="0" w:color="auto"/>
            <w:right w:val="none" w:sz="0" w:space="0" w:color="auto"/>
          </w:divBdr>
        </w:div>
        <w:div w:id="34744089">
          <w:marLeft w:val="547"/>
          <w:marRight w:val="0"/>
          <w:marTop w:val="240"/>
          <w:marBottom w:val="0"/>
          <w:divBdr>
            <w:top w:val="none" w:sz="0" w:space="0" w:color="auto"/>
            <w:left w:val="none" w:sz="0" w:space="0" w:color="auto"/>
            <w:bottom w:val="none" w:sz="0" w:space="0" w:color="auto"/>
            <w:right w:val="none" w:sz="0" w:space="0" w:color="auto"/>
          </w:divBdr>
        </w:div>
        <w:div w:id="177090044">
          <w:marLeft w:val="1166"/>
          <w:marRight w:val="0"/>
          <w:marTop w:val="0"/>
          <w:marBottom w:val="0"/>
          <w:divBdr>
            <w:top w:val="none" w:sz="0" w:space="0" w:color="auto"/>
            <w:left w:val="none" w:sz="0" w:space="0" w:color="auto"/>
            <w:bottom w:val="none" w:sz="0" w:space="0" w:color="auto"/>
            <w:right w:val="none" w:sz="0" w:space="0" w:color="auto"/>
          </w:divBdr>
        </w:div>
      </w:divsChild>
    </w:div>
    <w:div w:id="606084816">
      <w:bodyDiv w:val="1"/>
      <w:marLeft w:val="0"/>
      <w:marRight w:val="0"/>
      <w:marTop w:val="0"/>
      <w:marBottom w:val="0"/>
      <w:divBdr>
        <w:top w:val="none" w:sz="0" w:space="0" w:color="auto"/>
        <w:left w:val="none" w:sz="0" w:space="0" w:color="auto"/>
        <w:bottom w:val="none" w:sz="0" w:space="0" w:color="auto"/>
        <w:right w:val="none" w:sz="0" w:space="0" w:color="auto"/>
      </w:divBdr>
    </w:div>
    <w:div w:id="612904363">
      <w:bodyDiv w:val="1"/>
      <w:marLeft w:val="0"/>
      <w:marRight w:val="0"/>
      <w:marTop w:val="0"/>
      <w:marBottom w:val="0"/>
      <w:divBdr>
        <w:top w:val="none" w:sz="0" w:space="0" w:color="auto"/>
        <w:left w:val="none" w:sz="0" w:space="0" w:color="auto"/>
        <w:bottom w:val="none" w:sz="0" w:space="0" w:color="auto"/>
        <w:right w:val="none" w:sz="0" w:space="0" w:color="auto"/>
      </w:divBdr>
      <w:divsChild>
        <w:div w:id="204757746">
          <w:marLeft w:val="1166"/>
          <w:marRight w:val="0"/>
          <w:marTop w:val="0"/>
          <w:marBottom w:val="0"/>
          <w:divBdr>
            <w:top w:val="none" w:sz="0" w:space="0" w:color="auto"/>
            <w:left w:val="none" w:sz="0" w:space="0" w:color="auto"/>
            <w:bottom w:val="none" w:sz="0" w:space="0" w:color="auto"/>
            <w:right w:val="none" w:sz="0" w:space="0" w:color="auto"/>
          </w:divBdr>
        </w:div>
      </w:divsChild>
    </w:div>
    <w:div w:id="630408081">
      <w:bodyDiv w:val="1"/>
      <w:marLeft w:val="0"/>
      <w:marRight w:val="0"/>
      <w:marTop w:val="0"/>
      <w:marBottom w:val="0"/>
      <w:divBdr>
        <w:top w:val="none" w:sz="0" w:space="0" w:color="auto"/>
        <w:left w:val="none" w:sz="0" w:space="0" w:color="auto"/>
        <w:bottom w:val="none" w:sz="0" w:space="0" w:color="auto"/>
        <w:right w:val="none" w:sz="0" w:space="0" w:color="auto"/>
      </w:divBdr>
      <w:divsChild>
        <w:div w:id="43414458">
          <w:marLeft w:val="1800"/>
          <w:marRight w:val="0"/>
          <w:marTop w:val="0"/>
          <w:marBottom w:val="0"/>
          <w:divBdr>
            <w:top w:val="none" w:sz="0" w:space="0" w:color="auto"/>
            <w:left w:val="none" w:sz="0" w:space="0" w:color="auto"/>
            <w:bottom w:val="none" w:sz="0" w:space="0" w:color="auto"/>
            <w:right w:val="none" w:sz="0" w:space="0" w:color="auto"/>
          </w:divBdr>
        </w:div>
        <w:div w:id="310214434">
          <w:marLeft w:val="1800"/>
          <w:marRight w:val="0"/>
          <w:marTop w:val="0"/>
          <w:marBottom w:val="0"/>
          <w:divBdr>
            <w:top w:val="none" w:sz="0" w:space="0" w:color="auto"/>
            <w:left w:val="none" w:sz="0" w:space="0" w:color="auto"/>
            <w:bottom w:val="none" w:sz="0" w:space="0" w:color="auto"/>
            <w:right w:val="none" w:sz="0" w:space="0" w:color="auto"/>
          </w:divBdr>
        </w:div>
        <w:div w:id="457648307">
          <w:marLeft w:val="1800"/>
          <w:marRight w:val="0"/>
          <w:marTop w:val="0"/>
          <w:marBottom w:val="0"/>
          <w:divBdr>
            <w:top w:val="none" w:sz="0" w:space="0" w:color="auto"/>
            <w:left w:val="none" w:sz="0" w:space="0" w:color="auto"/>
            <w:bottom w:val="none" w:sz="0" w:space="0" w:color="auto"/>
            <w:right w:val="none" w:sz="0" w:space="0" w:color="auto"/>
          </w:divBdr>
        </w:div>
        <w:div w:id="660541685">
          <w:marLeft w:val="1166"/>
          <w:marRight w:val="0"/>
          <w:marTop w:val="0"/>
          <w:marBottom w:val="0"/>
          <w:divBdr>
            <w:top w:val="none" w:sz="0" w:space="0" w:color="auto"/>
            <w:left w:val="none" w:sz="0" w:space="0" w:color="auto"/>
            <w:bottom w:val="none" w:sz="0" w:space="0" w:color="auto"/>
            <w:right w:val="none" w:sz="0" w:space="0" w:color="auto"/>
          </w:divBdr>
        </w:div>
        <w:div w:id="713188988">
          <w:marLeft w:val="2520"/>
          <w:marRight w:val="0"/>
          <w:marTop w:val="0"/>
          <w:marBottom w:val="0"/>
          <w:divBdr>
            <w:top w:val="none" w:sz="0" w:space="0" w:color="auto"/>
            <w:left w:val="none" w:sz="0" w:space="0" w:color="auto"/>
            <w:bottom w:val="none" w:sz="0" w:space="0" w:color="auto"/>
            <w:right w:val="none" w:sz="0" w:space="0" w:color="auto"/>
          </w:divBdr>
        </w:div>
        <w:div w:id="725909437">
          <w:marLeft w:val="1800"/>
          <w:marRight w:val="0"/>
          <w:marTop w:val="0"/>
          <w:marBottom w:val="0"/>
          <w:divBdr>
            <w:top w:val="none" w:sz="0" w:space="0" w:color="auto"/>
            <w:left w:val="none" w:sz="0" w:space="0" w:color="auto"/>
            <w:bottom w:val="none" w:sz="0" w:space="0" w:color="auto"/>
            <w:right w:val="none" w:sz="0" w:space="0" w:color="auto"/>
          </w:divBdr>
        </w:div>
        <w:div w:id="1180510485">
          <w:marLeft w:val="2520"/>
          <w:marRight w:val="0"/>
          <w:marTop w:val="0"/>
          <w:marBottom w:val="0"/>
          <w:divBdr>
            <w:top w:val="none" w:sz="0" w:space="0" w:color="auto"/>
            <w:left w:val="none" w:sz="0" w:space="0" w:color="auto"/>
            <w:bottom w:val="none" w:sz="0" w:space="0" w:color="auto"/>
            <w:right w:val="none" w:sz="0" w:space="0" w:color="auto"/>
          </w:divBdr>
        </w:div>
        <w:div w:id="1306007329">
          <w:marLeft w:val="2520"/>
          <w:marRight w:val="0"/>
          <w:marTop w:val="0"/>
          <w:marBottom w:val="0"/>
          <w:divBdr>
            <w:top w:val="none" w:sz="0" w:space="0" w:color="auto"/>
            <w:left w:val="none" w:sz="0" w:space="0" w:color="auto"/>
            <w:bottom w:val="none" w:sz="0" w:space="0" w:color="auto"/>
            <w:right w:val="none" w:sz="0" w:space="0" w:color="auto"/>
          </w:divBdr>
        </w:div>
        <w:div w:id="1429035541">
          <w:marLeft w:val="2520"/>
          <w:marRight w:val="0"/>
          <w:marTop w:val="0"/>
          <w:marBottom w:val="0"/>
          <w:divBdr>
            <w:top w:val="none" w:sz="0" w:space="0" w:color="auto"/>
            <w:left w:val="none" w:sz="0" w:space="0" w:color="auto"/>
            <w:bottom w:val="none" w:sz="0" w:space="0" w:color="auto"/>
            <w:right w:val="none" w:sz="0" w:space="0" w:color="auto"/>
          </w:divBdr>
        </w:div>
        <w:div w:id="1461846052">
          <w:marLeft w:val="2520"/>
          <w:marRight w:val="0"/>
          <w:marTop w:val="0"/>
          <w:marBottom w:val="0"/>
          <w:divBdr>
            <w:top w:val="none" w:sz="0" w:space="0" w:color="auto"/>
            <w:left w:val="none" w:sz="0" w:space="0" w:color="auto"/>
            <w:bottom w:val="none" w:sz="0" w:space="0" w:color="auto"/>
            <w:right w:val="none" w:sz="0" w:space="0" w:color="auto"/>
          </w:divBdr>
        </w:div>
        <w:div w:id="1537503192">
          <w:marLeft w:val="1800"/>
          <w:marRight w:val="0"/>
          <w:marTop w:val="0"/>
          <w:marBottom w:val="0"/>
          <w:divBdr>
            <w:top w:val="none" w:sz="0" w:space="0" w:color="auto"/>
            <w:left w:val="none" w:sz="0" w:space="0" w:color="auto"/>
            <w:bottom w:val="none" w:sz="0" w:space="0" w:color="auto"/>
            <w:right w:val="none" w:sz="0" w:space="0" w:color="auto"/>
          </w:divBdr>
        </w:div>
        <w:div w:id="1682244552">
          <w:marLeft w:val="547"/>
          <w:marRight w:val="0"/>
          <w:marTop w:val="240"/>
          <w:marBottom w:val="0"/>
          <w:divBdr>
            <w:top w:val="none" w:sz="0" w:space="0" w:color="auto"/>
            <w:left w:val="none" w:sz="0" w:space="0" w:color="auto"/>
            <w:bottom w:val="none" w:sz="0" w:space="0" w:color="auto"/>
            <w:right w:val="none" w:sz="0" w:space="0" w:color="auto"/>
          </w:divBdr>
        </w:div>
        <w:div w:id="1732338969">
          <w:marLeft w:val="1800"/>
          <w:marRight w:val="0"/>
          <w:marTop w:val="0"/>
          <w:marBottom w:val="0"/>
          <w:divBdr>
            <w:top w:val="none" w:sz="0" w:space="0" w:color="auto"/>
            <w:left w:val="none" w:sz="0" w:space="0" w:color="auto"/>
            <w:bottom w:val="none" w:sz="0" w:space="0" w:color="auto"/>
            <w:right w:val="none" w:sz="0" w:space="0" w:color="auto"/>
          </w:divBdr>
        </w:div>
        <w:div w:id="2018388804">
          <w:marLeft w:val="1166"/>
          <w:marRight w:val="0"/>
          <w:marTop w:val="0"/>
          <w:marBottom w:val="0"/>
          <w:divBdr>
            <w:top w:val="none" w:sz="0" w:space="0" w:color="auto"/>
            <w:left w:val="none" w:sz="0" w:space="0" w:color="auto"/>
            <w:bottom w:val="none" w:sz="0" w:space="0" w:color="auto"/>
            <w:right w:val="none" w:sz="0" w:space="0" w:color="auto"/>
          </w:divBdr>
        </w:div>
        <w:div w:id="2089301575">
          <w:marLeft w:val="1800"/>
          <w:marRight w:val="0"/>
          <w:marTop w:val="0"/>
          <w:marBottom w:val="0"/>
          <w:divBdr>
            <w:top w:val="none" w:sz="0" w:space="0" w:color="auto"/>
            <w:left w:val="none" w:sz="0" w:space="0" w:color="auto"/>
            <w:bottom w:val="none" w:sz="0" w:space="0" w:color="auto"/>
            <w:right w:val="none" w:sz="0" w:space="0" w:color="auto"/>
          </w:divBdr>
        </w:div>
      </w:divsChild>
    </w:div>
    <w:div w:id="646325274">
      <w:bodyDiv w:val="1"/>
      <w:marLeft w:val="0"/>
      <w:marRight w:val="0"/>
      <w:marTop w:val="0"/>
      <w:marBottom w:val="0"/>
      <w:divBdr>
        <w:top w:val="none" w:sz="0" w:space="0" w:color="auto"/>
        <w:left w:val="none" w:sz="0" w:space="0" w:color="auto"/>
        <w:bottom w:val="none" w:sz="0" w:space="0" w:color="auto"/>
        <w:right w:val="none" w:sz="0" w:space="0" w:color="auto"/>
      </w:divBdr>
      <w:divsChild>
        <w:div w:id="306593083">
          <w:marLeft w:val="0"/>
          <w:marRight w:val="0"/>
          <w:marTop w:val="0"/>
          <w:marBottom w:val="0"/>
          <w:divBdr>
            <w:top w:val="none" w:sz="0" w:space="0" w:color="auto"/>
            <w:left w:val="none" w:sz="0" w:space="0" w:color="auto"/>
            <w:bottom w:val="none" w:sz="0" w:space="0" w:color="auto"/>
            <w:right w:val="none" w:sz="0" w:space="0" w:color="auto"/>
          </w:divBdr>
        </w:div>
      </w:divsChild>
    </w:div>
    <w:div w:id="651257586">
      <w:bodyDiv w:val="1"/>
      <w:marLeft w:val="0"/>
      <w:marRight w:val="0"/>
      <w:marTop w:val="0"/>
      <w:marBottom w:val="0"/>
      <w:divBdr>
        <w:top w:val="none" w:sz="0" w:space="0" w:color="auto"/>
        <w:left w:val="none" w:sz="0" w:space="0" w:color="auto"/>
        <w:bottom w:val="none" w:sz="0" w:space="0" w:color="auto"/>
        <w:right w:val="none" w:sz="0" w:space="0" w:color="auto"/>
      </w:divBdr>
    </w:div>
    <w:div w:id="676158831">
      <w:marLeft w:val="0"/>
      <w:marRight w:val="0"/>
      <w:marTop w:val="0"/>
      <w:marBottom w:val="0"/>
      <w:divBdr>
        <w:top w:val="none" w:sz="0" w:space="0" w:color="auto"/>
        <w:left w:val="none" w:sz="0" w:space="0" w:color="auto"/>
        <w:bottom w:val="none" w:sz="0" w:space="0" w:color="auto"/>
        <w:right w:val="none" w:sz="0" w:space="0" w:color="auto"/>
      </w:divBdr>
      <w:divsChild>
        <w:div w:id="99185883">
          <w:marLeft w:val="0"/>
          <w:marRight w:val="0"/>
          <w:marTop w:val="0"/>
          <w:marBottom w:val="0"/>
          <w:divBdr>
            <w:top w:val="none" w:sz="0" w:space="0" w:color="auto"/>
            <w:left w:val="none" w:sz="0" w:space="0" w:color="auto"/>
            <w:bottom w:val="none" w:sz="0" w:space="0" w:color="auto"/>
            <w:right w:val="none" w:sz="0" w:space="0" w:color="auto"/>
          </w:divBdr>
          <w:divsChild>
            <w:div w:id="1009525649">
              <w:marLeft w:val="0"/>
              <w:marRight w:val="0"/>
              <w:marTop w:val="0"/>
              <w:marBottom w:val="0"/>
              <w:divBdr>
                <w:top w:val="none" w:sz="0" w:space="0" w:color="auto"/>
                <w:left w:val="none" w:sz="0" w:space="0" w:color="auto"/>
                <w:bottom w:val="none" w:sz="0" w:space="0" w:color="auto"/>
                <w:right w:val="none" w:sz="0" w:space="0" w:color="auto"/>
              </w:divBdr>
              <w:divsChild>
                <w:div w:id="909655716">
                  <w:marLeft w:val="0"/>
                  <w:marRight w:val="0"/>
                  <w:marTop w:val="0"/>
                  <w:marBottom w:val="0"/>
                  <w:divBdr>
                    <w:top w:val="none" w:sz="0" w:space="0" w:color="auto"/>
                    <w:left w:val="none" w:sz="0" w:space="0" w:color="auto"/>
                    <w:bottom w:val="none" w:sz="0" w:space="0" w:color="auto"/>
                    <w:right w:val="none" w:sz="0" w:space="0" w:color="auto"/>
                  </w:divBdr>
                </w:div>
              </w:divsChild>
            </w:div>
            <w:div w:id="18527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8009">
      <w:bodyDiv w:val="1"/>
      <w:marLeft w:val="0"/>
      <w:marRight w:val="0"/>
      <w:marTop w:val="0"/>
      <w:marBottom w:val="0"/>
      <w:divBdr>
        <w:top w:val="none" w:sz="0" w:space="0" w:color="auto"/>
        <w:left w:val="none" w:sz="0" w:space="0" w:color="auto"/>
        <w:bottom w:val="none" w:sz="0" w:space="0" w:color="auto"/>
        <w:right w:val="none" w:sz="0" w:space="0" w:color="auto"/>
      </w:divBdr>
    </w:div>
    <w:div w:id="733502906">
      <w:bodyDiv w:val="1"/>
      <w:marLeft w:val="0"/>
      <w:marRight w:val="0"/>
      <w:marTop w:val="0"/>
      <w:marBottom w:val="0"/>
      <w:divBdr>
        <w:top w:val="none" w:sz="0" w:space="0" w:color="auto"/>
        <w:left w:val="none" w:sz="0" w:space="0" w:color="auto"/>
        <w:bottom w:val="none" w:sz="0" w:space="0" w:color="auto"/>
        <w:right w:val="none" w:sz="0" w:space="0" w:color="auto"/>
      </w:divBdr>
    </w:div>
    <w:div w:id="771435156">
      <w:bodyDiv w:val="1"/>
      <w:marLeft w:val="0"/>
      <w:marRight w:val="0"/>
      <w:marTop w:val="0"/>
      <w:marBottom w:val="0"/>
      <w:divBdr>
        <w:top w:val="none" w:sz="0" w:space="0" w:color="auto"/>
        <w:left w:val="none" w:sz="0" w:space="0" w:color="auto"/>
        <w:bottom w:val="none" w:sz="0" w:space="0" w:color="auto"/>
        <w:right w:val="none" w:sz="0" w:space="0" w:color="auto"/>
      </w:divBdr>
      <w:divsChild>
        <w:div w:id="238828353">
          <w:marLeft w:val="1166"/>
          <w:marRight w:val="0"/>
          <w:marTop w:val="0"/>
          <w:marBottom w:val="0"/>
          <w:divBdr>
            <w:top w:val="none" w:sz="0" w:space="0" w:color="auto"/>
            <w:left w:val="none" w:sz="0" w:space="0" w:color="auto"/>
            <w:bottom w:val="none" w:sz="0" w:space="0" w:color="auto"/>
            <w:right w:val="none" w:sz="0" w:space="0" w:color="auto"/>
          </w:divBdr>
        </w:div>
        <w:div w:id="376704823">
          <w:marLeft w:val="547"/>
          <w:marRight w:val="0"/>
          <w:marTop w:val="240"/>
          <w:marBottom w:val="0"/>
          <w:divBdr>
            <w:top w:val="none" w:sz="0" w:space="0" w:color="auto"/>
            <w:left w:val="none" w:sz="0" w:space="0" w:color="auto"/>
            <w:bottom w:val="none" w:sz="0" w:space="0" w:color="auto"/>
            <w:right w:val="none" w:sz="0" w:space="0" w:color="auto"/>
          </w:divBdr>
        </w:div>
        <w:div w:id="1060978276">
          <w:marLeft w:val="1166"/>
          <w:marRight w:val="0"/>
          <w:marTop w:val="0"/>
          <w:marBottom w:val="0"/>
          <w:divBdr>
            <w:top w:val="none" w:sz="0" w:space="0" w:color="auto"/>
            <w:left w:val="none" w:sz="0" w:space="0" w:color="auto"/>
            <w:bottom w:val="none" w:sz="0" w:space="0" w:color="auto"/>
            <w:right w:val="none" w:sz="0" w:space="0" w:color="auto"/>
          </w:divBdr>
        </w:div>
        <w:div w:id="1705204465">
          <w:marLeft w:val="1166"/>
          <w:marRight w:val="0"/>
          <w:marTop w:val="0"/>
          <w:marBottom w:val="0"/>
          <w:divBdr>
            <w:top w:val="none" w:sz="0" w:space="0" w:color="auto"/>
            <w:left w:val="none" w:sz="0" w:space="0" w:color="auto"/>
            <w:bottom w:val="none" w:sz="0" w:space="0" w:color="auto"/>
            <w:right w:val="none" w:sz="0" w:space="0" w:color="auto"/>
          </w:divBdr>
        </w:div>
      </w:divsChild>
    </w:div>
    <w:div w:id="799231004">
      <w:bodyDiv w:val="1"/>
      <w:marLeft w:val="0"/>
      <w:marRight w:val="0"/>
      <w:marTop w:val="0"/>
      <w:marBottom w:val="0"/>
      <w:divBdr>
        <w:top w:val="none" w:sz="0" w:space="0" w:color="auto"/>
        <w:left w:val="none" w:sz="0" w:space="0" w:color="auto"/>
        <w:bottom w:val="none" w:sz="0" w:space="0" w:color="auto"/>
        <w:right w:val="none" w:sz="0" w:space="0" w:color="auto"/>
      </w:divBdr>
    </w:div>
    <w:div w:id="805509130">
      <w:bodyDiv w:val="1"/>
      <w:marLeft w:val="0"/>
      <w:marRight w:val="0"/>
      <w:marTop w:val="0"/>
      <w:marBottom w:val="0"/>
      <w:divBdr>
        <w:top w:val="none" w:sz="0" w:space="0" w:color="auto"/>
        <w:left w:val="none" w:sz="0" w:space="0" w:color="auto"/>
        <w:bottom w:val="none" w:sz="0" w:space="0" w:color="auto"/>
        <w:right w:val="none" w:sz="0" w:space="0" w:color="auto"/>
      </w:divBdr>
    </w:div>
    <w:div w:id="833304356">
      <w:bodyDiv w:val="1"/>
      <w:marLeft w:val="0"/>
      <w:marRight w:val="0"/>
      <w:marTop w:val="0"/>
      <w:marBottom w:val="0"/>
      <w:divBdr>
        <w:top w:val="none" w:sz="0" w:space="0" w:color="auto"/>
        <w:left w:val="none" w:sz="0" w:space="0" w:color="auto"/>
        <w:bottom w:val="none" w:sz="0" w:space="0" w:color="auto"/>
        <w:right w:val="none" w:sz="0" w:space="0" w:color="auto"/>
      </w:divBdr>
    </w:div>
    <w:div w:id="840461771">
      <w:bodyDiv w:val="1"/>
      <w:marLeft w:val="0"/>
      <w:marRight w:val="0"/>
      <w:marTop w:val="0"/>
      <w:marBottom w:val="0"/>
      <w:divBdr>
        <w:top w:val="none" w:sz="0" w:space="0" w:color="auto"/>
        <w:left w:val="none" w:sz="0" w:space="0" w:color="auto"/>
        <w:bottom w:val="none" w:sz="0" w:space="0" w:color="auto"/>
        <w:right w:val="none" w:sz="0" w:space="0" w:color="auto"/>
      </w:divBdr>
      <w:divsChild>
        <w:div w:id="1621381499">
          <w:marLeft w:val="547"/>
          <w:marRight w:val="0"/>
          <w:marTop w:val="240"/>
          <w:marBottom w:val="0"/>
          <w:divBdr>
            <w:top w:val="none" w:sz="0" w:space="0" w:color="auto"/>
            <w:left w:val="none" w:sz="0" w:space="0" w:color="auto"/>
            <w:bottom w:val="none" w:sz="0" w:space="0" w:color="auto"/>
            <w:right w:val="none" w:sz="0" w:space="0" w:color="auto"/>
          </w:divBdr>
        </w:div>
        <w:div w:id="1736512945">
          <w:marLeft w:val="1166"/>
          <w:marRight w:val="0"/>
          <w:marTop w:val="0"/>
          <w:marBottom w:val="0"/>
          <w:divBdr>
            <w:top w:val="none" w:sz="0" w:space="0" w:color="auto"/>
            <w:left w:val="none" w:sz="0" w:space="0" w:color="auto"/>
            <w:bottom w:val="none" w:sz="0" w:space="0" w:color="auto"/>
            <w:right w:val="none" w:sz="0" w:space="0" w:color="auto"/>
          </w:divBdr>
        </w:div>
      </w:divsChild>
    </w:div>
    <w:div w:id="863789516">
      <w:bodyDiv w:val="1"/>
      <w:marLeft w:val="0"/>
      <w:marRight w:val="0"/>
      <w:marTop w:val="0"/>
      <w:marBottom w:val="0"/>
      <w:divBdr>
        <w:top w:val="none" w:sz="0" w:space="0" w:color="auto"/>
        <w:left w:val="none" w:sz="0" w:space="0" w:color="auto"/>
        <w:bottom w:val="none" w:sz="0" w:space="0" w:color="auto"/>
        <w:right w:val="none" w:sz="0" w:space="0" w:color="auto"/>
      </w:divBdr>
    </w:div>
    <w:div w:id="884293645">
      <w:bodyDiv w:val="1"/>
      <w:marLeft w:val="0"/>
      <w:marRight w:val="0"/>
      <w:marTop w:val="0"/>
      <w:marBottom w:val="0"/>
      <w:divBdr>
        <w:top w:val="none" w:sz="0" w:space="0" w:color="auto"/>
        <w:left w:val="none" w:sz="0" w:space="0" w:color="auto"/>
        <w:bottom w:val="none" w:sz="0" w:space="0" w:color="auto"/>
        <w:right w:val="none" w:sz="0" w:space="0" w:color="auto"/>
      </w:divBdr>
    </w:div>
    <w:div w:id="891305995">
      <w:marLeft w:val="0"/>
      <w:marRight w:val="0"/>
      <w:marTop w:val="0"/>
      <w:marBottom w:val="0"/>
      <w:divBdr>
        <w:top w:val="none" w:sz="0" w:space="0" w:color="auto"/>
        <w:left w:val="none" w:sz="0" w:space="0" w:color="auto"/>
        <w:bottom w:val="none" w:sz="0" w:space="0" w:color="auto"/>
        <w:right w:val="none" w:sz="0" w:space="0" w:color="auto"/>
      </w:divBdr>
      <w:divsChild>
        <w:div w:id="143014620">
          <w:marLeft w:val="0"/>
          <w:marRight w:val="0"/>
          <w:marTop w:val="0"/>
          <w:marBottom w:val="0"/>
          <w:divBdr>
            <w:top w:val="none" w:sz="0" w:space="0" w:color="auto"/>
            <w:left w:val="none" w:sz="0" w:space="0" w:color="auto"/>
            <w:bottom w:val="none" w:sz="0" w:space="0" w:color="auto"/>
            <w:right w:val="none" w:sz="0" w:space="0" w:color="auto"/>
          </w:divBdr>
          <w:divsChild>
            <w:div w:id="1054155254">
              <w:marLeft w:val="0"/>
              <w:marRight w:val="0"/>
              <w:marTop w:val="0"/>
              <w:marBottom w:val="0"/>
              <w:divBdr>
                <w:top w:val="none" w:sz="0" w:space="0" w:color="auto"/>
                <w:left w:val="none" w:sz="0" w:space="0" w:color="auto"/>
                <w:bottom w:val="none" w:sz="0" w:space="0" w:color="auto"/>
                <w:right w:val="none" w:sz="0" w:space="0" w:color="auto"/>
              </w:divBdr>
              <w:divsChild>
                <w:div w:id="1938711550">
                  <w:marLeft w:val="0"/>
                  <w:marRight w:val="0"/>
                  <w:marTop w:val="0"/>
                  <w:marBottom w:val="0"/>
                  <w:divBdr>
                    <w:top w:val="none" w:sz="0" w:space="0" w:color="auto"/>
                    <w:left w:val="none" w:sz="0" w:space="0" w:color="auto"/>
                    <w:bottom w:val="none" w:sz="0" w:space="0" w:color="auto"/>
                    <w:right w:val="none" w:sz="0" w:space="0" w:color="auto"/>
                  </w:divBdr>
                </w:div>
              </w:divsChild>
            </w:div>
            <w:div w:id="1538935582">
              <w:marLeft w:val="0"/>
              <w:marRight w:val="0"/>
              <w:marTop w:val="0"/>
              <w:marBottom w:val="0"/>
              <w:divBdr>
                <w:top w:val="none" w:sz="0" w:space="0" w:color="auto"/>
                <w:left w:val="none" w:sz="0" w:space="0" w:color="auto"/>
                <w:bottom w:val="none" w:sz="0" w:space="0" w:color="auto"/>
                <w:right w:val="none" w:sz="0" w:space="0" w:color="auto"/>
              </w:divBdr>
            </w:div>
            <w:div w:id="2064864629">
              <w:marLeft w:val="0"/>
              <w:marRight w:val="0"/>
              <w:marTop w:val="0"/>
              <w:marBottom w:val="0"/>
              <w:divBdr>
                <w:top w:val="none" w:sz="0" w:space="0" w:color="auto"/>
                <w:left w:val="none" w:sz="0" w:space="0" w:color="auto"/>
                <w:bottom w:val="none" w:sz="0" w:space="0" w:color="auto"/>
                <w:right w:val="none" w:sz="0" w:space="0" w:color="auto"/>
              </w:divBdr>
              <w:divsChild>
                <w:div w:id="369844667">
                  <w:marLeft w:val="0"/>
                  <w:marRight w:val="0"/>
                  <w:marTop w:val="0"/>
                  <w:marBottom w:val="0"/>
                  <w:divBdr>
                    <w:top w:val="none" w:sz="0" w:space="0" w:color="auto"/>
                    <w:left w:val="none" w:sz="0" w:space="0" w:color="auto"/>
                    <w:bottom w:val="none" w:sz="0" w:space="0" w:color="auto"/>
                    <w:right w:val="none" w:sz="0" w:space="0" w:color="auto"/>
                  </w:divBdr>
                  <w:divsChild>
                    <w:div w:id="1812018173">
                      <w:marLeft w:val="0"/>
                      <w:marRight w:val="0"/>
                      <w:marTop w:val="0"/>
                      <w:marBottom w:val="0"/>
                      <w:divBdr>
                        <w:top w:val="none" w:sz="0" w:space="0" w:color="auto"/>
                        <w:left w:val="none" w:sz="0" w:space="0" w:color="auto"/>
                        <w:bottom w:val="none" w:sz="0" w:space="0" w:color="auto"/>
                        <w:right w:val="none" w:sz="0" w:space="0" w:color="auto"/>
                      </w:divBdr>
                      <w:divsChild>
                        <w:div w:id="254167075">
                          <w:marLeft w:val="0"/>
                          <w:marRight w:val="0"/>
                          <w:marTop w:val="0"/>
                          <w:marBottom w:val="0"/>
                          <w:divBdr>
                            <w:top w:val="none" w:sz="0" w:space="0" w:color="auto"/>
                            <w:left w:val="none" w:sz="0" w:space="0" w:color="auto"/>
                            <w:bottom w:val="none" w:sz="0" w:space="0" w:color="auto"/>
                            <w:right w:val="none" w:sz="0" w:space="0" w:color="auto"/>
                          </w:divBdr>
                        </w:div>
                        <w:div w:id="1532307138">
                          <w:marLeft w:val="0"/>
                          <w:marRight w:val="0"/>
                          <w:marTop w:val="0"/>
                          <w:marBottom w:val="0"/>
                          <w:divBdr>
                            <w:top w:val="none" w:sz="0" w:space="0" w:color="auto"/>
                            <w:left w:val="none" w:sz="0" w:space="0" w:color="auto"/>
                            <w:bottom w:val="none" w:sz="0" w:space="0" w:color="auto"/>
                            <w:right w:val="none" w:sz="0" w:space="0" w:color="auto"/>
                          </w:divBdr>
                        </w:div>
                        <w:div w:id="1533107092">
                          <w:marLeft w:val="0"/>
                          <w:marRight w:val="0"/>
                          <w:marTop w:val="0"/>
                          <w:marBottom w:val="0"/>
                          <w:divBdr>
                            <w:top w:val="none" w:sz="0" w:space="0" w:color="auto"/>
                            <w:left w:val="none" w:sz="0" w:space="0" w:color="auto"/>
                            <w:bottom w:val="none" w:sz="0" w:space="0" w:color="auto"/>
                            <w:right w:val="none" w:sz="0" w:space="0" w:color="auto"/>
                          </w:divBdr>
                          <w:divsChild>
                            <w:div w:id="302929632">
                              <w:marLeft w:val="0"/>
                              <w:marRight w:val="0"/>
                              <w:marTop w:val="0"/>
                              <w:marBottom w:val="0"/>
                              <w:divBdr>
                                <w:top w:val="none" w:sz="0" w:space="0" w:color="auto"/>
                                <w:left w:val="none" w:sz="0" w:space="0" w:color="auto"/>
                                <w:bottom w:val="none" w:sz="0" w:space="0" w:color="auto"/>
                                <w:right w:val="none" w:sz="0" w:space="0" w:color="auto"/>
                              </w:divBdr>
                            </w:div>
                            <w:div w:id="1849442861">
                              <w:marLeft w:val="0"/>
                              <w:marRight w:val="0"/>
                              <w:marTop w:val="0"/>
                              <w:marBottom w:val="0"/>
                              <w:divBdr>
                                <w:top w:val="none" w:sz="0" w:space="0" w:color="auto"/>
                                <w:left w:val="none" w:sz="0" w:space="0" w:color="auto"/>
                                <w:bottom w:val="none" w:sz="0" w:space="0" w:color="auto"/>
                                <w:right w:val="none" w:sz="0" w:space="0" w:color="auto"/>
                              </w:divBdr>
                            </w:div>
                          </w:divsChild>
                        </w:div>
                        <w:div w:id="1586959151">
                          <w:marLeft w:val="0"/>
                          <w:marRight w:val="0"/>
                          <w:marTop w:val="0"/>
                          <w:marBottom w:val="0"/>
                          <w:divBdr>
                            <w:top w:val="none" w:sz="0" w:space="0" w:color="auto"/>
                            <w:left w:val="none" w:sz="0" w:space="0" w:color="auto"/>
                            <w:bottom w:val="none" w:sz="0" w:space="0" w:color="auto"/>
                            <w:right w:val="none" w:sz="0" w:space="0" w:color="auto"/>
                          </w:divBdr>
                        </w:div>
                      </w:divsChild>
                    </w:div>
                    <w:div w:id="1938560761">
                      <w:marLeft w:val="0"/>
                      <w:marRight w:val="0"/>
                      <w:marTop w:val="0"/>
                      <w:marBottom w:val="0"/>
                      <w:divBdr>
                        <w:top w:val="none" w:sz="0" w:space="0" w:color="auto"/>
                        <w:left w:val="none" w:sz="0" w:space="0" w:color="auto"/>
                        <w:bottom w:val="none" w:sz="0" w:space="0" w:color="auto"/>
                        <w:right w:val="none" w:sz="0" w:space="0" w:color="auto"/>
                      </w:divBdr>
                      <w:divsChild>
                        <w:div w:id="581765281">
                          <w:marLeft w:val="0"/>
                          <w:marRight w:val="0"/>
                          <w:marTop w:val="0"/>
                          <w:marBottom w:val="0"/>
                          <w:divBdr>
                            <w:top w:val="none" w:sz="0" w:space="0" w:color="auto"/>
                            <w:left w:val="none" w:sz="0" w:space="0" w:color="auto"/>
                            <w:bottom w:val="none" w:sz="0" w:space="0" w:color="auto"/>
                            <w:right w:val="none" w:sz="0" w:space="0" w:color="auto"/>
                          </w:divBdr>
                        </w:div>
                        <w:div w:id="1575160323">
                          <w:marLeft w:val="0"/>
                          <w:marRight w:val="0"/>
                          <w:marTop w:val="0"/>
                          <w:marBottom w:val="0"/>
                          <w:divBdr>
                            <w:top w:val="none" w:sz="0" w:space="0" w:color="auto"/>
                            <w:left w:val="none" w:sz="0" w:space="0" w:color="auto"/>
                            <w:bottom w:val="none" w:sz="0" w:space="0" w:color="auto"/>
                            <w:right w:val="none" w:sz="0" w:space="0" w:color="auto"/>
                          </w:divBdr>
                          <w:divsChild>
                            <w:div w:id="109670266">
                              <w:marLeft w:val="0"/>
                              <w:marRight w:val="0"/>
                              <w:marTop w:val="0"/>
                              <w:marBottom w:val="0"/>
                              <w:divBdr>
                                <w:top w:val="none" w:sz="0" w:space="0" w:color="auto"/>
                                <w:left w:val="none" w:sz="0" w:space="0" w:color="auto"/>
                                <w:bottom w:val="none" w:sz="0" w:space="0" w:color="auto"/>
                                <w:right w:val="none" w:sz="0" w:space="0" w:color="auto"/>
                              </w:divBdr>
                            </w:div>
                            <w:div w:id="911428329">
                              <w:marLeft w:val="0"/>
                              <w:marRight w:val="0"/>
                              <w:marTop w:val="0"/>
                              <w:marBottom w:val="0"/>
                              <w:divBdr>
                                <w:top w:val="none" w:sz="0" w:space="0" w:color="auto"/>
                                <w:left w:val="none" w:sz="0" w:space="0" w:color="auto"/>
                                <w:bottom w:val="none" w:sz="0" w:space="0" w:color="auto"/>
                                <w:right w:val="none" w:sz="0" w:space="0" w:color="auto"/>
                              </w:divBdr>
                            </w:div>
                            <w:div w:id="1616517010">
                              <w:marLeft w:val="0"/>
                              <w:marRight w:val="0"/>
                              <w:marTop w:val="0"/>
                              <w:marBottom w:val="0"/>
                              <w:divBdr>
                                <w:top w:val="none" w:sz="0" w:space="0" w:color="auto"/>
                                <w:left w:val="none" w:sz="0" w:space="0" w:color="auto"/>
                                <w:bottom w:val="none" w:sz="0" w:space="0" w:color="auto"/>
                                <w:right w:val="none" w:sz="0" w:space="0" w:color="auto"/>
                              </w:divBdr>
                            </w:div>
                          </w:divsChild>
                        </w:div>
                        <w:div w:id="1872380575">
                          <w:marLeft w:val="0"/>
                          <w:marRight w:val="0"/>
                          <w:marTop w:val="0"/>
                          <w:marBottom w:val="0"/>
                          <w:divBdr>
                            <w:top w:val="none" w:sz="0" w:space="0" w:color="auto"/>
                            <w:left w:val="none" w:sz="0" w:space="0" w:color="auto"/>
                            <w:bottom w:val="none" w:sz="0" w:space="0" w:color="auto"/>
                            <w:right w:val="none" w:sz="0" w:space="0" w:color="auto"/>
                          </w:divBdr>
                          <w:divsChild>
                            <w:div w:id="328873433">
                              <w:marLeft w:val="0"/>
                              <w:marRight w:val="0"/>
                              <w:marTop w:val="0"/>
                              <w:marBottom w:val="0"/>
                              <w:divBdr>
                                <w:top w:val="none" w:sz="0" w:space="0" w:color="auto"/>
                                <w:left w:val="none" w:sz="0" w:space="0" w:color="auto"/>
                                <w:bottom w:val="none" w:sz="0" w:space="0" w:color="auto"/>
                                <w:right w:val="none" w:sz="0" w:space="0" w:color="auto"/>
                              </w:divBdr>
                            </w:div>
                            <w:div w:id="6461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82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4339827">
      <w:bodyDiv w:val="1"/>
      <w:marLeft w:val="0"/>
      <w:marRight w:val="0"/>
      <w:marTop w:val="0"/>
      <w:marBottom w:val="0"/>
      <w:divBdr>
        <w:top w:val="none" w:sz="0" w:space="0" w:color="auto"/>
        <w:left w:val="none" w:sz="0" w:space="0" w:color="auto"/>
        <w:bottom w:val="none" w:sz="0" w:space="0" w:color="auto"/>
        <w:right w:val="none" w:sz="0" w:space="0" w:color="auto"/>
      </w:divBdr>
    </w:div>
    <w:div w:id="928267856">
      <w:bodyDiv w:val="1"/>
      <w:marLeft w:val="0"/>
      <w:marRight w:val="0"/>
      <w:marTop w:val="0"/>
      <w:marBottom w:val="0"/>
      <w:divBdr>
        <w:top w:val="none" w:sz="0" w:space="0" w:color="auto"/>
        <w:left w:val="none" w:sz="0" w:space="0" w:color="auto"/>
        <w:bottom w:val="none" w:sz="0" w:space="0" w:color="auto"/>
        <w:right w:val="none" w:sz="0" w:space="0" w:color="auto"/>
      </w:divBdr>
      <w:divsChild>
        <w:div w:id="6174578">
          <w:marLeft w:val="1166"/>
          <w:marRight w:val="0"/>
          <w:marTop w:val="120"/>
          <w:marBottom w:val="0"/>
          <w:divBdr>
            <w:top w:val="none" w:sz="0" w:space="0" w:color="auto"/>
            <w:left w:val="none" w:sz="0" w:space="0" w:color="auto"/>
            <w:bottom w:val="none" w:sz="0" w:space="0" w:color="auto"/>
            <w:right w:val="none" w:sz="0" w:space="0" w:color="auto"/>
          </w:divBdr>
        </w:div>
        <w:div w:id="633559648">
          <w:marLeft w:val="1166"/>
          <w:marRight w:val="0"/>
          <w:marTop w:val="120"/>
          <w:marBottom w:val="0"/>
          <w:divBdr>
            <w:top w:val="none" w:sz="0" w:space="0" w:color="auto"/>
            <w:left w:val="none" w:sz="0" w:space="0" w:color="auto"/>
            <w:bottom w:val="none" w:sz="0" w:space="0" w:color="auto"/>
            <w:right w:val="none" w:sz="0" w:space="0" w:color="auto"/>
          </w:divBdr>
        </w:div>
        <w:div w:id="1597010906">
          <w:marLeft w:val="547"/>
          <w:marRight w:val="0"/>
          <w:marTop w:val="120"/>
          <w:marBottom w:val="0"/>
          <w:divBdr>
            <w:top w:val="none" w:sz="0" w:space="0" w:color="auto"/>
            <w:left w:val="none" w:sz="0" w:space="0" w:color="auto"/>
            <w:bottom w:val="none" w:sz="0" w:space="0" w:color="auto"/>
            <w:right w:val="none" w:sz="0" w:space="0" w:color="auto"/>
          </w:divBdr>
        </w:div>
        <w:div w:id="1620603874">
          <w:marLeft w:val="1166"/>
          <w:marRight w:val="0"/>
          <w:marTop w:val="120"/>
          <w:marBottom w:val="0"/>
          <w:divBdr>
            <w:top w:val="none" w:sz="0" w:space="0" w:color="auto"/>
            <w:left w:val="none" w:sz="0" w:space="0" w:color="auto"/>
            <w:bottom w:val="none" w:sz="0" w:space="0" w:color="auto"/>
            <w:right w:val="none" w:sz="0" w:space="0" w:color="auto"/>
          </w:divBdr>
        </w:div>
        <w:div w:id="1694384969">
          <w:marLeft w:val="1166"/>
          <w:marRight w:val="0"/>
          <w:marTop w:val="120"/>
          <w:marBottom w:val="0"/>
          <w:divBdr>
            <w:top w:val="none" w:sz="0" w:space="0" w:color="auto"/>
            <w:left w:val="none" w:sz="0" w:space="0" w:color="auto"/>
            <w:bottom w:val="none" w:sz="0" w:space="0" w:color="auto"/>
            <w:right w:val="none" w:sz="0" w:space="0" w:color="auto"/>
          </w:divBdr>
        </w:div>
        <w:div w:id="1807428751">
          <w:marLeft w:val="547"/>
          <w:marRight w:val="0"/>
          <w:marTop w:val="120"/>
          <w:marBottom w:val="0"/>
          <w:divBdr>
            <w:top w:val="none" w:sz="0" w:space="0" w:color="auto"/>
            <w:left w:val="none" w:sz="0" w:space="0" w:color="auto"/>
            <w:bottom w:val="none" w:sz="0" w:space="0" w:color="auto"/>
            <w:right w:val="none" w:sz="0" w:space="0" w:color="auto"/>
          </w:divBdr>
        </w:div>
        <w:div w:id="2089688507">
          <w:marLeft w:val="547"/>
          <w:marRight w:val="0"/>
          <w:marTop w:val="120"/>
          <w:marBottom w:val="0"/>
          <w:divBdr>
            <w:top w:val="none" w:sz="0" w:space="0" w:color="auto"/>
            <w:left w:val="none" w:sz="0" w:space="0" w:color="auto"/>
            <w:bottom w:val="none" w:sz="0" w:space="0" w:color="auto"/>
            <w:right w:val="none" w:sz="0" w:space="0" w:color="auto"/>
          </w:divBdr>
        </w:div>
      </w:divsChild>
    </w:div>
    <w:div w:id="930115875">
      <w:bodyDiv w:val="1"/>
      <w:marLeft w:val="0"/>
      <w:marRight w:val="0"/>
      <w:marTop w:val="0"/>
      <w:marBottom w:val="0"/>
      <w:divBdr>
        <w:top w:val="none" w:sz="0" w:space="0" w:color="auto"/>
        <w:left w:val="none" w:sz="0" w:space="0" w:color="auto"/>
        <w:bottom w:val="none" w:sz="0" w:space="0" w:color="auto"/>
        <w:right w:val="none" w:sz="0" w:space="0" w:color="auto"/>
      </w:divBdr>
      <w:divsChild>
        <w:div w:id="415171726">
          <w:marLeft w:val="1282"/>
          <w:marRight w:val="0"/>
          <w:marTop w:val="240"/>
          <w:marBottom w:val="0"/>
          <w:divBdr>
            <w:top w:val="none" w:sz="0" w:space="0" w:color="auto"/>
            <w:left w:val="none" w:sz="0" w:space="0" w:color="auto"/>
            <w:bottom w:val="none" w:sz="0" w:space="0" w:color="auto"/>
            <w:right w:val="none" w:sz="0" w:space="0" w:color="auto"/>
          </w:divBdr>
        </w:div>
        <w:div w:id="705520843">
          <w:marLeft w:val="1282"/>
          <w:marRight w:val="0"/>
          <w:marTop w:val="240"/>
          <w:marBottom w:val="0"/>
          <w:divBdr>
            <w:top w:val="none" w:sz="0" w:space="0" w:color="auto"/>
            <w:left w:val="none" w:sz="0" w:space="0" w:color="auto"/>
            <w:bottom w:val="none" w:sz="0" w:space="0" w:color="auto"/>
            <w:right w:val="none" w:sz="0" w:space="0" w:color="auto"/>
          </w:divBdr>
        </w:div>
        <w:div w:id="941768369">
          <w:marLeft w:val="562"/>
          <w:marRight w:val="576"/>
          <w:marTop w:val="240"/>
          <w:marBottom w:val="0"/>
          <w:divBdr>
            <w:top w:val="none" w:sz="0" w:space="0" w:color="auto"/>
            <w:left w:val="none" w:sz="0" w:space="0" w:color="auto"/>
            <w:bottom w:val="none" w:sz="0" w:space="0" w:color="auto"/>
            <w:right w:val="none" w:sz="0" w:space="0" w:color="auto"/>
          </w:divBdr>
        </w:div>
        <w:div w:id="1033841375">
          <w:marLeft w:val="1282"/>
          <w:marRight w:val="0"/>
          <w:marTop w:val="240"/>
          <w:marBottom w:val="0"/>
          <w:divBdr>
            <w:top w:val="none" w:sz="0" w:space="0" w:color="auto"/>
            <w:left w:val="none" w:sz="0" w:space="0" w:color="auto"/>
            <w:bottom w:val="none" w:sz="0" w:space="0" w:color="auto"/>
            <w:right w:val="none" w:sz="0" w:space="0" w:color="auto"/>
          </w:divBdr>
        </w:div>
        <w:div w:id="1264536603">
          <w:marLeft w:val="562"/>
          <w:marRight w:val="158"/>
          <w:marTop w:val="240"/>
          <w:marBottom w:val="0"/>
          <w:divBdr>
            <w:top w:val="none" w:sz="0" w:space="0" w:color="auto"/>
            <w:left w:val="none" w:sz="0" w:space="0" w:color="auto"/>
            <w:bottom w:val="none" w:sz="0" w:space="0" w:color="auto"/>
            <w:right w:val="none" w:sz="0" w:space="0" w:color="auto"/>
          </w:divBdr>
        </w:div>
        <w:div w:id="1754232972">
          <w:marLeft w:val="1282"/>
          <w:marRight w:val="0"/>
          <w:marTop w:val="240"/>
          <w:marBottom w:val="0"/>
          <w:divBdr>
            <w:top w:val="none" w:sz="0" w:space="0" w:color="auto"/>
            <w:left w:val="none" w:sz="0" w:space="0" w:color="auto"/>
            <w:bottom w:val="none" w:sz="0" w:space="0" w:color="auto"/>
            <w:right w:val="none" w:sz="0" w:space="0" w:color="auto"/>
          </w:divBdr>
        </w:div>
        <w:div w:id="1754667734">
          <w:marLeft w:val="1282"/>
          <w:marRight w:val="0"/>
          <w:marTop w:val="240"/>
          <w:marBottom w:val="0"/>
          <w:divBdr>
            <w:top w:val="none" w:sz="0" w:space="0" w:color="auto"/>
            <w:left w:val="none" w:sz="0" w:space="0" w:color="auto"/>
            <w:bottom w:val="none" w:sz="0" w:space="0" w:color="auto"/>
            <w:right w:val="none" w:sz="0" w:space="0" w:color="auto"/>
          </w:divBdr>
        </w:div>
        <w:div w:id="1991206912">
          <w:marLeft w:val="562"/>
          <w:marRight w:val="0"/>
          <w:marTop w:val="240"/>
          <w:marBottom w:val="0"/>
          <w:divBdr>
            <w:top w:val="none" w:sz="0" w:space="0" w:color="auto"/>
            <w:left w:val="none" w:sz="0" w:space="0" w:color="auto"/>
            <w:bottom w:val="none" w:sz="0" w:space="0" w:color="auto"/>
            <w:right w:val="none" w:sz="0" w:space="0" w:color="auto"/>
          </w:divBdr>
        </w:div>
        <w:div w:id="2049329068">
          <w:marLeft w:val="562"/>
          <w:marRight w:val="14"/>
          <w:marTop w:val="0"/>
          <w:marBottom w:val="0"/>
          <w:divBdr>
            <w:top w:val="none" w:sz="0" w:space="0" w:color="auto"/>
            <w:left w:val="none" w:sz="0" w:space="0" w:color="auto"/>
            <w:bottom w:val="none" w:sz="0" w:space="0" w:color="auto"/>
            <w:right w:val="none" w:sz="0" w:space="0" w:color="auto"/>
          </w:divBdr>
        </w:div>
      </w:divsChild>
    </w:div>
    <w:div w:id="934753916">
      <w:bodyDiv w:val="1"/>
      <w:marLeft w:val="0"/>
      <w:marRight w:val="0"/>
      <w:marTop w:val="0"/>
      <w:marBottom w:val="0"/>
      <w:divBdr>
        <w:top w:val="none" w:sz="0" w:space="0" w:color="auto"/>
        <w:left w:val="none" w:sz="0" w:space="0" w:color="auto"/>
        <w:bottom w:val="none" w:sz="0" w:space="0" w:color="auto"/>
        <w:right w:val="none" w:sz="0" w:space="0" w:color="auto"/>
      </w:divBdr>
    </w:div>
    <w:div w:id="943465201">
      <w:bodyDiv w:val="1"/>
      <w:marLeft w:val="0"/>
      <w:marRight w:val="0"/>
      <w:marTop w:val="0"/>
      <w:marBottom w:val="0"/>
      <w:divBdr>
        <w:top w:val="none" w:sz="0" w:space="0" w:color="auto"/>
        <w:left w:val="none" w:sz="0" w:space="0" w:color="auto"/>
        <w:bottom w:val="none" w:sz="0" w:space="0" w:color="auto"/>
        <w:right w:val="none" w:sz="0" w:space="0" w:color="auto"/>
      </w:divBdr>
    </w:div>
    <w:div w:id="947539913">
      <w:bodyDiv w:val="1"/>
      <w:marLeft w:val="0"/>
      <w:marRight w:val="0"/>
      <w:marTop w:val="0"/>
      <w:marBottom w:val="0"/>
      <w:divBdr>
        <w:top w:val="none" w:sz="0" w:space="0" w:color="auto"/>
        <w:left w:val="none" w:sz="0" w:space="0" w:color="auto"/>
        <w:bottom w:val="none" w:sz="0" w:space="0" w:color="auto"/>
        <w:right w:val="none" w:sz="0" w:space="0" w:color="auto"/>
      </w:divBdr>
    </w:div>
    <w:div w:id="962885802">
      <w:bodyDiv w:val="1"/>
      <w:marLeft w:val="0"/>
      <w:marRight w:val="0"/>
      <w:marTop w:val="0"/>
      <w:marBottom w:val="0"/>
      <w:divBdr>
        <w:top w:val="none" w:sz="0" w:space="0" w:color="auto"/>
        <w:left w:val="none" w:sz="0" w:space="0" w:color="auto"/>
        <w:bottom w:val="none" w:sz="0" w:space="0" w:color="auto"/>
        <w:right w:val="none" w:sz="0" w:space="0" w:color="auto"/>
      </w:divBdr>
      <w:divsChild>
        <w:div w:id="1660577587">
          <w:marLeft w:val="1166"/>
          <w:marRight w:val="0"/>
          <w:marTop w:val="0"/>
          <w:marBottom w:val="0"/>
          <w:divBdr>
            <w:top w:val="none" w:sz="0" w:space="0" w:color="auto"/>
            <w:left w:val="none" w:sz="0" w:space="0" w:color="auto"/>
            <w:bottom w:val="none" w:sz="0" w:space="0" w:color="auto"/>
            <w:right w:val="none" w:sz="0" w:space="0" w:color="auto"/>
          </w:divBdr>
        </w:div>
      </w:divsChild>
    </w:div>
    <w:div w:id="977609214">
      <w:marLeft w:val="0"/>
      <w:marRight w:val="0"/>
      <w:marTop w:val="0"/>
      <w:marBottom w:val="0"/>
      <w:divBdr>
        <w:top w:val="none" w:sz="0" w:space="0" w:color="auto"/>
        <w:left w:val="none" w:sz="0" w:space="0" w:color="auto"/>
        <w:bottom w:val="none" w:sz="0" w:space="0" w:color="auto"/>
        <w:right w:val="none" w:sz="0" w:space="0" w:color="auto"/>
      </w:divBdr>
      <w:divsChild>
        <w:div w:id="589386621">
          <w:marLeft w:val="0"/>
          <w:marRight w:val="0"/>
          <w:marTop w:val="0"/>
          <w:marBottom w:val="0"/>
          <w:divBdr>
            <w:top w:val="none" w:sz="0" w:space="0" w:color="auto"/>
            <w:left w:val="none" w:sz="0" w:space="0" w:color="auto"/>
            <w:bottom w:val="none" w:sz="0" w:space="0" w:color="auto"/>
            <w:right w:val="none" w:sz="0" w:space="0" w:color="auto"/>
          </w:divBdr>
          <w:divsChild>
            <w:div w:id="1671640123">
              <w:marLeft w:val="0"/>
              <w:marRight w:val="0"/>
              <w:marTop w:val="0"/>
              <w:marBottom w:val="0"/>
              <w:divBdr>
                <w:top w:val="none" w:sz="0" w:space="0" w:color="auto"/>
                <w:left w:val="none" w:sz="0" w:space="0" w:color="auto"/>
                <w:bottom w:val="none" w:sz="0" w:space="0" w:color="auto"/>
                <w:right w:val="none" w:sz="0" w:space="0" w:color="auto"/>
              </w:divBdr>
            </w:div>
          </w:divsChild>
        </w:div>
        <w:div w:id="1928953026">
          <w:marLeft w:val="0"/>
          <w:marRight w:val="0"/>
          <w:marTop w:val="0"/>
          <w:marBottom w:val="0"/>
          <w:divBdr>
            <w:top w:val="none" w:sz="0" w:space="0" w:color="auto"/>
            <w:left w:val="none" w:sz="0" w:space="0" w:color="auto"/>
            <w:bottom w:val="none" w:sz="0" w:space="0" w:color="auto"/>
            <w:right w:val="none" w:sz="0" w:space="0" w:color="auto"/>
          </w:divBdr>
        </w:div>
      </w:divsChild>
    </w:div>
    <w:div w:id="982002898">
      <w:bodyDiv w:val="1"/>
      <w:marLeft w:val="0"/>
      <w:marRight w:val="0"/>
      <w:marTop w:val="0"/>
      <w:marBottom w:val="0"/>
      <w:divBdr>
        <w:top w:val="none" w:sz="0" w:space="0" w:color="auto"/>
        <w:left w:val="none" w:sz="0" w:space="0" w:color="auto"/>
        <w:bottom w:val="none" w:sz="0" w:space="0" w:color="auto"/>
        <w:right w:val="none" w:sz="0" w:space="0" w:color="auto"/>
      </w:divBdr>
    </w:div>
    <w:div w:id="986283014">
      <w:bodyDiv w:val="1"/>
      <w:marLeft w:val="0"/>
      <w:marRight w:val="0"/>
      <w:marTop w:val="0"/>
      <w:marBottom w:val="0"/>
      <w:divBdr>
        <w:top w:val="none" w:sz="0" w:space="0" w:color="auto"/>
        <w:left w:val="none" w:sz="0" w:space="0" w:color="auto"/>
        <w:bottom w:val="none" w:sz="0" w:space="0" w:color="auto"/>
        <w:right w:val="none" w:sz="0" w:space="0" w:color="auto"/>
      </w:divBdr>
    </w:div>
    <w:div w:id="989286523">
      <w:bodyDiv w:val="1"/>
      <w:marLeft w:val="0"/>
      <w:marRight w:val="0"/>
      <w:marTop w:val="0"/>
      <w:marBottom w:val="0"/>
      <w:divBdr>
        <w:top w:val="none" w:sz="0" w:space="0" w:color="auto"/>
        <w:left w:val="none" w:sz="0" w:space="0" w:color="auto"/>
        <w:bottom w:val="none" w:sz="0" w:space="0" w:color="auto"/>
        <w:right w:val="none" w:sz="0" w:space="0" w:color="auto"/>
      </w:divBdr>
    </w:div>
    <w:div w:id="993489338">
      <w:bodyDiv w:val="1"/>
      <w:marLeft w:val="0"/>
      <w:marRight w:val="0"/>
      <w:marTop w:val="0"/>
      <w:marBottom w:val="0"/>
      <w:divBdr>
        <w:top w:val="none" w:sz="0" w:space="0" w:color="auto"/>
        <w:left w:val="none" w:sz="0" w:space="0" w:color="auto"/>
        <w:bottom w:val="none" w:sz="0" w:space="0" w:color="auto"/>
        <w:right w:val="none" w:sz="0" w:space="0" w:color="auto"/>
      </w:divBdr>
    </w:div>
    <w:div w:id="993605057">
      <w:bodyDiv w:val="1"/>
      <w:marLeft w:val="0"/>
      <w:marRight w:val="0"/>
      <w:marTop w:val="0"/>
      <w:marBottom w:val="0"/>
      <w:divBdr>
        <w:top w:val="none" w:sz="0" w:space="0" w:color="auto"/>
        <w:left w:val="none" w:sz="0" w:space="0" w:color="auto"/>
        <w:bottom w:val="none" w:sz="0" w:space="0" w:color="auto"/>
        <w:right w:val="none" w:sz="0" w:space="0" w:color="auto"/>
      </w:divBdr>
      <w:divsChild>
        <w:div w:id="1759400439">
          <w:marLeft w:val="547"/>
          <w:marRight w:val="0"/>
          <w:marTop w:val="240"/>
          <w:marBottom w:val="0"/>
          <w:divBdr>
            <w:top w:val="none" w:sz="0" w:space="0" w:color="auto"/>
            <w:left w:val="none" w:sz="0" w:space="0" w:color="auto"/>
            <w:bottom w:val="none" w:sz="0" w:space="0" w:color="auto"/>
            <w:right w:val="none" w:sz="0" w:space="0" w:color="auto"/>
          </w:divBdr>
        </w:div>
        <w:div w:id="1263031744">
          <w:marLeft w:val="1166"/>
          <w:marRight w:val="0"/>
          <w:marTop w:val="0"/>
          <w:marBottom w:val="0"/>
          <w:divBdr>
            <w:top w:val="none" w:sz="0" w:space="0" w:color="auto"/>
            <w:left w:val="none" w:sz="0" w:space="0" w:color="auto"/>
            <w:bottom w:val="none" w:sz="0" w:space="0" w:color="auto"/>
            <w:right w:val="none" w:sz="0" w:space="0" w:color="auto"/>
          </w:divBdr>
        </w:div>
      </w:divsChild>
    </w:div>
    <w:div w:id="1037391843">
      <w:bodyDiv w:val="1"/>
      <w:marLeft w:val="0"/>
      <w:marRight w:val="0"/>
      <w:marTop w:val="0"/>
      <w:marBottom w:val="0"/>
      <w:divBdr>
        <w:top w:val="none" w:sz="0" w:space="0" w:color="auto"/>
        <w:left w:val="none" w:sz="0" w:space="0" w:color="auto"/>
        <w:bottom w:val="none" w:sz="0" w:space="0" w:color="auto"/>
        <w:right w:val="none" w:sz="0" w:space="0" w:color="auto"/>
      </w:divBdr>
    </w:div>
    <w:div w:id="1048921283">
      <w:bodyDiv w:val="1"/>
      <w:marLeft w:val="0"/>
      <w:marRight w:val="0"/>
      <w:marTop w:val="0"/>
      <w:marBottom w:val="0"/>
      <w:divBdr>
        <w:top w:val="none" w:sz="0" w:space="0" w:color="auto"/>
        <w:left w:val="none" w:sz="0" w:space="0" w:color="auto"/>
        <w:bottom w:val="none" w:sz="0" w:space="0" w:color="auto"/>
        <w:right w:val="none" w:sz="0" w:space="0" w:color="auto"/>
      </w:divBdr>
      <w:divsChild>
        <w:div w:id="1795908933">
          <w:marLeft w:val="547"/>
          <w:marRight w:val="0"/>
          <w:marTop w:val="240"/>
          <w:marBottom w:val="0"/>
          <w:divBdr>
            <w:top w:val="none" w:sz="0" w:space="0" w:color="auto"/>
            <w:left w:val="none" w:sz="0" w:space="0" w:color="auto"/>
            <w:bottom w:val="none" w:sz="0" w:space="0" w:color="auto"/>
            <w:right w:val="none" w:sz="0" w:space="0" w:color="auto"/>
          </w:divBdr>
        </w:div>
      </w:divsChild>
    </w:div>
    <w:div w:id="1063482302">
      <w:bodyDiv w:val="1"/>
      <w:marLeft w:val="0"/>
      <w:marRight w:val="0"/>
      <w:marTop w:val="0"/>
      <w:marBottom w:val="0"/>
      <w:divBdr>
        <w:top w:val="none" w:sz="0" w:space="0" w:color="auto"/>
        <w:left w:val="none" w:sz="0" w:space="0" w:color="auto"/>
        <w:bottom w:val="none" w:sz="0" w:space="0" w:color="auto"/>
        <w:right w:val="none" w:sz="0" w:space="0" w:color="auto"/>
      </w:divBdr>
    </w:div>
    <w:div w:id="1073742037">
      <w:bodyDiv w:val="1"/>
      <w:marLeft w:val="0"/>
      <w:marRight w:val="0"/>
      <w:marTop w:val="0"/>
      <w:marBottom w:val="0"/>
      <w:divBdr>
        <w:top w:val="none" w:sz="0" w:space="0" w:color="auto"/>
        <w:left w:val="none" w:sz="0" w:space="0" w:color="auto"/>
        <w:bottom w:val="none" w:sz="0" w:space="0" w:color="auto"/>
        <w:right w:val="none" w:sz="0" w:space="0" w:color="auto"/>
      </w:divBdr>
    </w:div>
    <w:div w:id="1095781079">
      <w:marLeft w:val="0"/>
      <w:marRight w:val="0"/>
      <w:marTop w:val="0"/>
      <w:marBottom w:val="0"/>
      <w:divBdr>
        <w:top w:val="none" w:sz="0" w:space="0" w:color="auto"/>
        <w:left w:val="none" w:sz="0" w:space="0" w:color="auto"/>
        <w:bottom w:val="none" w:sz="0" w:space="0" w:color="auto"/>
        <w:right w:val="none" w:sz="0" w:space="0" w:color="auto"/>
      </w:divBdr>
    </w:div>
    <w:div w:id="1103765258">
      <w:bodyDiv w:val="1"/>
      <w:marLeft w:val="0"/>
      <w:marRight w:val="0"/>
      <w:marTop w:val="0"/>
      <w:marBottom w:val="0"/>
      <w:divBdr>
        <w:top w:val="none" w:sz="0" w:space="0" w:color="auto"/>
        <w:left w:val="none" w:sz="0" w:space="0" w:color="auto"/>
        <w:bottom w:val="none" w:sz="0" w:space="0" w:color="auto"/>
        <w:right w:val="none" w:sz="0" w:space="0" w:color="auto"/>
      </w:divBdr>
    </w:div>
    <w:div w:id="1117026115">
      <w:bodyDiv w:val="1"/>
      <w:marLeft w:val="0"/>
      <w:marRight w:val="0"/>
      <w:marTop w:val="0"/>
      <w:marBottom w:val="0"/>
      <w:divBdr>
        <w:top w:val="none" w:sz="0" w:space="0" w:color="auto"/>
        <w:left w:val="none" w:sz="0" w:space="0" w:color="auto"/>
        <w:bottom w:val="none" w:sz="0" w:space="0" w:color="auto"/>
        <w:right w:val="none" w:sz="0" w:space="0" w:color="auto"/>
      </w:divBdr>
    </w:div>
    <w:div w:id="1126389811">
      <w:bodyDiv w:val="1"/>
      <w:marLeft w:val="0"/>
      <w:marRight w:val="0"/>
      <w:marTop w:val="0"/>
      <w:marBottom w:val="0"/>
      <w:divBdr>
        <w:top w:val="none" w:sz="0" w:space="0" w:color="auto"/>
        <w:left w:val="none" w:sz="0" w:space="0" w:color="auto"/>
        <w:bottom w:val="none" w:sz="0" w:space="0" w:color="auto"/>
        <w:right w:val="none" w:sz="0" w:space="0" w:color="auto"/>
      </w:divBdr>
      <w:divsChild>
        <w:div w:id="352535478">
          <w:marLeft w:val="547"/>
          <w:marRight w:val="0"/>
          <w:marTop w:val="240"/>
          <w:marBottom w:val="0"/>
          <w:divBdr>
            <w:top w:val="none" w:sz="0" w:space="0" w:color="auto"/>
            <w:left w:val="none" w:sz="0" w:space="0" w:color="auto"/>
            <w:bottom w:val="none" w:sz="0" w:space="0" w:color="auto"/>
            <w:right w:val="none" w:sz="0" w:space="0" w:color="auto"/>
          </w:divBdr>
        </w:div>
      </w:divsChild>
    </w:div>
    <w:div w:id="1126656832">
      <w:bodyDiv w:val="1"/>
      <w:marLeft w:val="0"/>
      <w:marRight w:val="0"/>
      <w:marTop w:val="0"/>
      <w:marBottom w:val="0"/>
      <w:divBdr>
        <w:top w:val="none" w:sz="0" w:space="0" w:color="auto"/>
        <w:left w:val="none" w:sz="0" w:space="0" w:color="auto"/>
        <w:bottom w:val="none" w:sz="0" w:space="0" w:color="auto"/>
        <w:right w:val="none" w:sz="0" w:space="0" w:color="auto"/>
      </w:divBdr>
      <w:divsChild>
        <w:div w:id="261501445">
          <w:marLeft w:val="1282"/>
          <w:marRight w:val="0"/>
          <w:marTop w:val="132"/>
          <w:marBottom w:val="0"/>
          <w:divBdr>
            <w:top w:val="none" w:sz="0" w:space="0" w:color="auto"/>
            <w:left w:val="none" w:sz="0" w:space="0" w:color="auto"/>
            <w:bottom w:val="none" w:sz="0" w:space="0" w:color="auto"/>
            <w:right w:val="none" w:sz="0" w:space="0" w:color="auto"/>
          </w:divBdr>
        </w:div>
        <w:div w:id="825172215">
          <w:marLeft w:val="1282"/>
          <w:marRight w:val="0"/>
          <w:marTop w:val="132"/>
          <w:marBottom w:val="0"/>
          <w:divBdr>
            <w:top w:val="none" w:sz="0" w:space="0" w:color="auto"/>
            <w:left w:val="none" w:sz="0" w:space="0" w:color="auto"/>
            <w:bottom w:val="none" w:sz="0" w:space="0" w:color="auto"/>
            <w:right w:val="none" w:sz="0" w:space="0" w:color="auto"/>
          </w:divBdr>
        </w:div>
        <w:div w:id="2081057208">
          <w:marLeft w:val="1282"/>
          <w:marRight w:val="0"/>
          <w:marTop w:val="132"/>
          <w:marBottom w:val="0"/>
          <w:divBdr>
            <w:top w:val="none" w:sz="0" w:space="0" w:color="auto"/>
            <w:left w:val="none" w:sz="0" w:space="0" w:color="auto"/>
            <w:bottom w:val="none" w:sz="0" w:space="0" w:color="auto"/>
            <w:right w:val="none" w:sz="0" w:space="0" w:color="auto"/>
          </w:divBdr>
        </w:div>
        <w:div w:id="2106802581">
          <w:marLeft w:val="562"/>
          <w:marRight w:val="0"/>
          <w:marTop w:val="132"/>
          <w:marBottom w:val="0"/>
          <w:divBdr>
            <w:top w:val="none" w:sz="0" w:space="0" w:color="auto"/>
            <w:left w:val="none" w:sz="0" w:space="0" w:color="auto"/>
            <w:bottom w:val="none" w:sz="0" w:space="0" w:color="auto"/>
            <w:right w:val="none" w:sz="0" w:space="0" w:color="auto"/>
          </w:divBdr>
        </w:div>
      </w:divsChild>
    </w:div>
    <w:div w:id="1137068833">
      <w:bodyDiv w:val="1"/>
      <w:marLeft w:val="0"/>
      <w:marRight w:val="0"/>
      <w:marTop w:val="0"/>
      <w:marBottom w:val="0"/>
      <w:divBdr>
        <w:top w:val="none" w:sz="0" w:space="0" w:color="auto"/>
        <w:left w:val="none" w:sz="0" w:space="0" w:color="auto"/>
        <w:bottom w:val="none" w:sz="0" w:space="0" w:color="auto"/>
        <w:right w:val="none" w:sz="0" w:space="0" w:color="auto"/>
      </w:divBdr>
    </w:div>
    <w:div w:id="1164934447">
      <w:marLeft w:val="0"/>
      <w:marRight w:val="0"/>
      <w:marTop w:val="0"/>
      <w:marBottom w:val="0"/>
      <w:divBdr>
        <w:top w:val="none" w:sz="0" w:space="0" w:color="auto"/>
        <w:left w:val="none" w:sz="0" w:space="0" w:color="auto"/>
        <w:bottom w:val="none" w:sz="0" w:space="0" w:color="auto"/>
        <w:right w:val="none" w:sz="0" w:space="0" w:color="auto"/>
      </w:divBdr>
      <w:divsChild>
        <w:div w:id="45106913">
          <w:marLeft w:val="0"/>
          <w:marRight w:val="0"/>
          <w:marTop w:val="0"/>
          <w:marBottom w:val="0"/>
          <w:divBdr>
            <w:top w:val="none" w:sz="0" w:space="0" w:color="auto"/>
            <w:left w:val="none" w:sz="0" w:space="0" w:color="auto"/>
            <w:bottom w:val="none" w:sz="0" w:space="0" w:color="auto"/>
            <w:right w:val="none" w:sz="0" w:space="0" w:color="auto"/>
          </w:divBdr>
          <w:divsChild>
            <w:div w:id="39867748">
              <w:marLeft w:val="0"/>
              <w:marRight w:val="0"/>
              <w:marTop w:val="0"/>
              <w:marBottom w:val="0"/>
              <w:divBdr>
                <w:top w:val="none" w:sz="0" w:space="0" w:color="auto"/>
                <w:left w:val="none" w:sz="0" w:space="0" w:color="auto"/>
                <w:bottom w:val="none" w:sz="0" w:space="0" w:color="auto"/>
                <w:right w:val="none" w:sz="0" w:space="0" w:color="auto"/>
              </w:divBdr>
              <w:divsChild>
                <w:div w:id="1530223756">
                  <w:marLeft w:val="0"/>
                  <w:marRight w:val="0"/>
                  <w:marTop w:val="0"/>
                  <w:marBottom w:val="0"/>
                  <w:divBdr>
                    <w:top w:val="none" w:sz="0" w:space="0" w:color="auto"/>
                    <w:left w:val="none" w:sz="0" w:space="0" w:color="auto"/>
                    <w:bottom w:val="none" w:sz="0" w:space="0" w:color="auto"/>
                    <w:right w:val="none" w:sz="0" w:space="0" w:color="auto"/>
                  </w:divBdr>
                </w:div>
              </w:divsChild>
            </w:div>
            <w:div w:id="1154486849">
              <w:marLeft w:val="0"/>
              <w:marRight w:val="0"/>
              <w:marTop w:val="0"/>
              <w:marBottom w:val="0"/>
              <w:divBdr>
                <w:top w:val="none" w:sz="0" w:space="0" w:color="auto"/>
                <w:left w:val="none" w:sz="0" w:space="0" w:color="auto"/>
                <w:bottom w:val="none" w:sz="0" w:space="0" w:color="auto"/>
                <w:right w:val="none" w:sz="0" w:space="0" w:color="auto"/>
              </w:divBdr>
              <w:divsChild>
                <w:div w:id="1632053656">
                  <w:marLeft w:val="0"/>
                  <w:marRight w:val="0"/>
                  <w:marTop w:val="0"/>
                  <w:marBottom w:val="0"/>
                  <w:divBdr>
                    <w:top w:val="none" w:sz="0" w:space="0" w:color="auto"/>
                    <w:left w:val="none" w:sz="0" w:space="0" w:color="auto"/>
                    <w:bottom w:val="none" w:sz="0" w:space="0" w:color="auto"/>
                    <w:right w:val="none" w:sz="0" w:space="0" w:color="auto"/>
                  </w:divBdr>
                  <w:divsChild>
                    <w:div w:id="122962627">
                      <w:marLeft w:val="0"/>
                      <w:marRight w:val="0"/>
                      <w:marTop w:val="0"/>
                      <w:marBottom w:val="0"/>
                      <w:divBdr>
                        <w:top w:val="none" w:sz="0" w:space="0" w:color="auto"/>
                        <w:left w:val="none" w:sz="0" w:space="0" w:color="auto"/>
                        <w:bottom w:val="none" w:sz="0" w:space="0" w:color="auto"/>
                        <w:right w:val="none" w:sz="0" w:space="0" w:color="auto"/>
                      </w:divBdr>
                    </w:div>
                    <w:div w:id="14303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77436">
      <w:marLeft w:val="0"/>
      <w:marRight w:val="0"/>
      <w:marTop w:val="0"/>
      <w:marBottom w:val="0"/>
      <w:divBdr>
        <w:top w:val="none" w:sz="0" w:space="0" w:color="auto"/>
        <w:left w:val="none" w:sz="0" w:space="0" w:color="auto"/>
        <w:bottom w:val="none" w:sz="0" w:space="0" w:color="auto"/>
        <w:right w:val="none" w:sz="0" w:space="0" w:color="auto"/>
      </w:divBdr>
      <w:divsChild>
        <w:div w:id="1751538880">
          <w:marLeft w:val="0"/>
          <w:marRight w:val="0"/>
          <w:marTop w:val="0"/>
          <w:marBottom w:val="0"/>
          <w:divBdr>
            <w:top w:val="none" w:sz="0" w:space="0" w:color="auto"/>
            <w:left w:val="none" w:sz="0" w:space="0" w:color="auto"/>
            <w:bottom w:val="none" w:sz="0" w:space="0" w:color="auto"/>
            <w:right w:val="none" w:sz="0" w:space="0" w:color="auto"/>
          </w:divBdr>
          <w:divsChild>
            <w:div w:id="689530593">
              <w:marLeft w:val="0"/>
              <w:marRight w:val="0"/>
              <w:marTop w:val="0"/>
              <w:marBottom w:val="0"/>
              <w:divBdr>
                <w:top w:val="none" w:sz="0" w:space="0" w:color="auto"/>
                <w:left w:val="none" w:sz="0" w:space="0" w:color="auto"/>
                <w:bottom w:val="none" w:sz="0" w:space="0" w:color="auto"/>
                <w:right w:val="none" w:sz="0" w:space="0" w:color="auto"/>
              </w:divBdr>
              <w:divsChild>
                <w:div w:id="121003175">
                  <w:marLeft w:val="0"/>
                  <w:marRight w:val="0"/>
                  <w:marTop w:val="0"/>
                  <w:marBottom w:val="0"/>
                  <w:divBdr>
                    <w:top w:val="none" w:sz="0" w:space="0" w:color="auto"/>
                    <w:left w:val="none" w:sz="0" w:space="0" w:color="auto"/>
                    <w:bottom w:val="none" w:sz="0" w:space="0" w:color="auto"/>
                    <w:right w:val="none" w:sz="0" w:space="0" w:color="auto"/>
                  </w:divBdr>
                </w:div>
                <w:div w:id="1702902121">
                  <w:marLeft w:val="0"/>
                  <w:marRight w:val="0"/>
                  <w:marTop w:val="0"/>
                  <w:marBottom w:val="0"/>
                  <w:divBdr>
                    <w:top w:val="none" w:sz="0" w:space="0" w:color="auto"/>
                    <w:left w:val="none" w:sz="0" w:space="0" w:color="auto"/>
                    <w:bottom w:val="none" w:sz="0" w:space="0" w:color="auto"/>
                    <w:right w:val="none" w:sz="0" w:space="0" w:color="auto"/>
                  </w:divBdr>
                  <w:divsChild>
                    <w:div w:id="10692657">
                      <w:marLeft w:val="0"/>
                      <w:marRight w:val="0"/>
                      <w:marTop w:val="0"/>
                      <w:marBottom w:val="0"/>
                      <w:divBdr>
                        <w:top w:val="none" w:sz="0" w:space="0" w:color="auto"/>
                        <w:left w:val="none" w:sz="0" w:space="0" w:color="auto"/>
                        <w:bottom w:val="none" w:sz="0" w:space="0" w:color="auto"/>
                        <w:right w:val="none" w:sz="0" w:space="0" w:color="auto"/>
                      </w:divBdr>
                    </w:div>
                    <w:div w:id="120609968">
                      <w:marLeft w:val="0"/>
                      <w:marRight w:val="0"/>
                      <w:marTop w:val="0"/>
                      <w:marBottom w:val="0"/>
                      <w:divBdr>
                        <w:top w:val="none" w:sz="0" w:space="0" w:color="auto"/>
                        <w:left w:val="none" w:sz="0" w:space="0" w:color="auto"/>
                        <w:bottom w:val="none" w:sz="0" w:space="0" w:color="auto"/>
                        <w:right w:val="none" w:sz="0" w:space="0" w:color="auto"/>
                      </w:divBdr>
                    </w:div>
                    <w:div w:id="15881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61001">
              <w:marLeft w:val="0"/>
              <w:marRight w:val="0"/>
              <w:marTop w:val="0"/>
              <w:marBottom w:val="0"/>
              <w:divBdr>
                <w:top w:val="none" w:sz="0" w:space="0" w:color="auto"/>
                <w:left w:val="none" w:sz="0" w:space="0" w:color="auto"/>
                <w:bottom w:val="none" w:sz="0" w:space="0" w:color="auto"/>
                <w:right w:val="none" w:sz="0" w:space="0" w:color="auto"/>
              </w:divBdr>
            </w:div>
            <w:div w:id="19076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0333">
      <w:bodyDiv w:val="1"/>
      <w:marLeft w:val="0"/>
      <w:marRight w:val="0"/>
      <w:marTop w:val="0"/>
      <w:marBottom w:val="0"/>
      <w:divBdr>
        <w:top w:val="none" w:sz="0" w:space="0" w:color="auto"/>
        <w:left w:val="none" w:sz="0" w:space="0" w:color="auto"/>
        <w:bottom w:val="none" w:sz="0" w:space="0" w:color="auto"/>
        <w:right w:val="none" w:sz="0" w:space="0" w:color="auto"/>
      </w:divBdr>
    </w:div>
    <w:div w:id="1167869780">
      <w:bodyDiv w:val="1"/>
      <w:marLeft w:val="0"/>
      <w:marRight w:val="0"/>
      <w:marTop w:val="0"/>
      <w:marBottom w:val="0"/>
      <w:divBdr>
        <w:top w:val="none" w:sz="0" w:space="0" w:color="auto"/>
        <w:left w:val="none" w:sz="0" w:space="0" w:color="auto"/>
        <w:bottom w:val="none" w:sz="0" w:space="0" w:color="auto"/>
        <w:right w:val="none" w:sz="0" w:space="0" w:color="auto"/>
      </w:divBdr>
    </w:div>
    <w:div w:id="1193302812">
      <w:bodyDiv w:val="1"/>
      <w:marLeft w:val="0"/>
      <w:marRight w:val="0"/>
      <w:marTop w:val="0"/>
      <w:marBottom w:val="0"/>
      <w:divBdr>
        <w:top w:val="none" w:sz="0" w:space="0" w:color="auto"/>
        <w:left w:val="none" w:sz="0" w:space="0" w:color="auto"/>
        <w:bottom w:val="none" w:sz="0" w:space="0" w:color="auto"/>
        <w:right w:val="none" w:sz="0" w:space="0" w:color="auto"/>
      </w:divBdr>
    </w:div>
    <w:div w:id="1229268057">
      <w:bodyDiv w:val="1"/>
      <w:marLeft w:val="0"/>
      <w:marRight w:val="0"/>
      <w:marTop w:val="0"/>
      <w:marBottom w:val="0"/>
      <w:divBdr>
        <w:top w:val="none" w:sz="0" w:space="0" w:color="auto"/>
        <w:left w:val="none" w:sz="0" w:space="0" w:color="auto"/>
        <w:bottom w:val="none" w:sz="0" w:space="0" w:color="auto"/>
        <w:right w:val="none" w:sz="0" w:space="0" w:color="auto"/>
      </w:divBdr>
    </w:div>
    <w:div w:id="1231503118">
      <w:bodyDiv w:val="1"/>
      <w:marLeft w:val="0"/>
      <w:marRight w:val="0"/>
      <w:marTop w:val="0"/>
      <w:marBottom w:val="0"/>
      <w:divBdr>
        <w:top w:val="none" w:sz="0" w:space="0" w:color="auto"/>
        <w:left w:val="none" w:sz="0" w:space="0" w:color="auto"/>
        <w:bottom w:val="none" w:sz="0" w:space="0" w:color="auto"/>
        <w:right w:val="none" w:sz="0" w:space="0" w:color="auto"/>
      </w:divBdr>
    </w:div>
    <w:div w:id="1231844864">
      <w:bodyDiv w:val="1"/>
      <w:marLeft w:val="0"/>
      <w:marRight w:val="0"/>
      <w:marTop w:val="0"/>
      <w:marBottom w:val="0"/>
      <w:divBdr>
        <w:top w:val="none" w:sz="0" w:space="0" w:color="auto"/>
        <w:left w:val="none" w:sz="0" w:space="0" w:color="auto"/>
        <w:bottom w:val="none" w:sz="0" w:space="0" w:color="auto"/>
        <w:right w:val="none" w:sz="0" w:space="0" w:color="auto"/>
      </w:divBdr>
    </w:div>
    <w:div w:id="1236428129">
      <w:bodyDiv w:val="1"/>
      <w:marLeft w:val="0"/>
      <w:marRight w:val="0"/>
      <w:marTop w:val="0"/>
      <w:marBottom w:val="0"/>
      <w:divBdr>
        <w:top w:val="none" w:sz="0" w:space="0" w:color="auto"/>
        <w:left w:val="none" w:sz="0" w:space="0" w:color="auto"/>
        <w:bottom w:val="none" w:sz="0" w:space="0" w:color="auto"/>
        <w:right w:val="none" w:sz="0" w:space="0" w:color="auto"/>
      </w:divBdr>
    </w:div>
    <w:div w:id="1250390117">
      <w:bodyDiv w:val="1"/>
      <w:marLeft w:val="0"/>
      <w:marRight w:val="0"/>
      <w:marTop w:val="0"/>
      <w:marBottom w:val="0"/>
      <w:divBdr>
        <w:top w:val="none" w:sz="0" w:space="0" w:color="auto"/>
        <w:left w:val="none" w:sz="0" w:space="0" w:color="auto"/>
        <w:bottom w:val="none" w:sz="0" w:space="0" w:color="auto"/>
        <w:right w:val="none" w:sz="0" w:space="0" w:color="auto"/>
      </w:divBdr>
      <w:divsChild>
        <w:div w:id="109670331">
          <w:marLeft w:val="1166"/>
          <w:marRight w:val="0"/>
          <w:marTop w:val="0"/>
          <w:marBottom w:val="0"/>
          <w:divBdr>
            <w:top w:val="none" w:sz="0" w:space="0" w:color="auto"/>
            <w:left w:val="none" w:sz="0" w:space="0" w:color="auto"/>
            <w:bottom w:val="none" w:sz="0" w:space="0" w:color="auto"/>
            <w:right w:val="none" w:sz="0" w:space="0" w:color="auto"/>
          </w:divBdr>
        </w:div>
        <w:div w:id="180172891">
          <w:marLeft w:val="1166"/>
          <w:marRight w:val="0"/>
          <w:marTop w:val="0"/>
          <w:marBottom w:val="0"/>
          <w:divBdr>
            <w:top w:val="none" w:sz="0" w:space="0" w:color="auto"/>
            <w:left w:val="none" w:sz="0" w:space="0" w:color="auto"/>
            <w:bottom w:val="none" w:sz="0" w:space="0" w:color="auto"/>
            <w:right w:val="none" w:sz="0" w:space="0" w:color="auto"/>
          </w:divBdr>
        </w:div>
        <w:div w:id="1089543128">
          <w:marLeft w:val="1166"/>
          <w:marRight w:val="0"/>
          <w:marTop w:val="0"/>
          <w:marBottom w:val="0"/>
          <w:divBdr>
            <w:top w:val="none" w:sz="0" w:space="0" w:color="auto"/>
            <w:left w:val="none" w:sz="0" w:space="0" w:color="auto"/>
            <w:bottom w:val="none" w:sz="0" w:space="0" w:color="auto"/>
            <w:right w:val="none" w:sz="0" w:space="0" w:color="auto"/>
          </w:divBdr>
        </w:div>
        <w:div w:id="1819833862">
          <w:marLeft w:val="547"/>
          <w:marRight w:val="0"/>
          <w:marTop w:val="240"/>
          <w:marBottom w:val="0"/>
          <w:divBdr>
            <w:top w:val="none" w:sz="0" w:space="0" w:color="auto"/>
            <w:left w:val="none" w:sz="0" w:space="0" w:color="auto"/>
            <w:bottom w:val="none" w:sz="0" w:space="0" w:color="auto"/>
            <w:right w:val="none" w:sz="0" w:space="0" w:color="auto"/>
          </w:divBdr>
        </w:div>
        <w:div w:id="1929850878">
          <w:marLeft w:val="1166"/>
          <w:marRight w:val="0"/>
          <w:marTop w:val="0"/>
          <w:marBottom w:val="0"/>
          <w:divBdr>
            <w:top w:val="none" w:sz="0" w:space="0" w:color="auto"/>
            <w:left w:val="none" w:sz="0" w:space="0" w:color="auto"/>
            <w:bottom w:val="none" w:sz="0" w:space="0" w:color="auto"/>
            <w:right w:val="none" w:sz="0" w:space="0" w:color="auto"/>
          </w:divBdr>
        </w:div>
      </w:divsChild>
    </w:div>
    <w:div w:id="1252857760">
      <w:bodyDiv w:val="1"/>
      <w:marLeft w:val="0"/>
      <w:marRight w:val="0"/>
      <w:marTop w:val="0"/>
      <w:marBottom w:val="0"/>
      <w:divBdr>
        <w:top w:val="none" w:sz="0" w:space="0" w:color="auto"/>
        <w:left w:val="none" w:sz="0" w:space="0" w:color="auto"/>
        <w:bottom w:val="none" w:sz="0" w:space="0" w:color="auto"/>
        <w:right w:val="none" w:sz="0" w:space="0" w:color="auto"/>
      </w:divBdr>
    </w:div>
    <w:div w:id="1257711214">
      <w:bodyDiv w:val="1"/>
      <w:marLeft w:val="0"/>
      <w:marRight w:val="0"/>
      <w:marTop w:val="0"/>
      <w:marBottom w:val="0"/>
      <w:divBdr>
        <w:top w:val="none" w:sz="0" w:space="0" w:color="auto"/>
        <w:left w:val="none" w:sz="0" w:space="0" w:color="auto"/>
        <w:bottom w:val="none" w:sz="0" w:space="0" w:color="auto"/>
        <w:right w:val="none" w:sz="0" w:space="0" w:color="auto"/>
      </w:divBdr>
    </w:div>
    <w:div w:id="1268469497">
      <w:bodyDiv w:val="1"/>
      <w:marLeft w:val="0"/>
      <w:marRight w:val="0"/>
      <w:marTop w:val="0"/>
      <w:marBottom w:val="0"/>
      <w:divBdr>
        <w:top w:val="none" w:sz="0" w:space="0" w:color="auto"/>
        <w:left w:val="none" w:sz="0" w:space="0" w:color="auto"/>
        <w:bottom w:val="none" w:sz="0" w:space="0" w:color="auto"/>
        <w:right w:val="none" w:sz="0" w:space="0" w:color="auto"/>
      </w:divBdr>
    </w:div>
    <w:div w:id="1271398767">
      <w:bodyDiv w:val="1"/>
      <w:marLeft w:val="0"/>
      <w:marRight w:val="0"/>
      <w:marTop w:val="0"/>
      <w:marBottom w:val="0"/>
      <w:divBdr>
        <w:top w:val="none" w:sz="0" w:space="0" w:color="auto"/>
        <w:left w:val="none" w:sz="0" w:space="0" w:color="auto"/>
        <w:bottom w:val="none" w:sz="0" w:space="0" w:color="auto"/>
        <w:right w:val="none" w:sz="0" w:space="0" w:color="auto"/>
      </w:divBdr>
    </w:div>
    <w:div w:id="1278828545">
      <w:bodyDiv w:val="1"/>
      <w:marLeft w:val="0"/>
      <w:marRight w:val="0"/>
      <w:marTop w:val="0"/>
      <w:marBottom w:val="0"/>
      <w:divBdr>
        <w:top w:val="none" w:sz="0" w:space="0" w:color="auto"/>
        <w:left w:val="none" w:sz="0" w:space="0" w:color="auto"/>
        <w:bottom w:val="none" w:sz="0" w:space="0" w:color="auto"/>
        <w:right w:val="none" w:sz="0" w:space="0" w:color="auto"/>
      </w:divBdr>
    </w:div>
    <w:div w:id="1325204941">
      <w:bodyDiv w:val="1"/>
      <w:marLeft w:val="0"/>
      <w:marRight w:val="0"/>
      <w:marTop w:val="0"/>
      <w:marBottom w:val="0"/>
      <w:divBdr>
        <w:top w:val="none" w:sz="0" w:space="0" w:color="auto"/>
        <w:left w:val="none" w:sz="0" w:space="0" w:color="auto"/>
        <w:bottom w:val="none" w:sz="0" w:space="0" w:color="auto"/>
        <w:right w:val="none" w:sz="0" w:space="0" w:color="auto"/>
      </w:divBdr>
    </w:div>
    <w:div w:id="1351108575">
      <w:bodyDiv w:val="1"/>
      <w:marLeft w:val="0"/>
      <w:marRight w:val="0"/>
      <w:marTop w:val="0"/>
      <w:marBottom w:val="0"/>
      <w:divBdr>
        <w:top w:val="none" w:sz="0" w:space="0" w:color="auto"/>
        <w:left w:val="none" w:sz="0" w:space="0" w:color="auto"/>
        <w:bottom w:val="none" w:sz="0" w:space="0" w:color="auto"/>
        <w:right w:val="none" w:sz="0" w:space="0" w:color="auto"/>
      </w:divBdr>
    </w:div>
    <w:div w:id="1352683930">
      <w:bodyDiv w:val="1"/>
      <w:marLeft w:val="0"/>
      <w:marRight w:val="0"/>
      <w:marTop w:val="0"/>
      <w:marBottom w:val="0"/>
      <w:divBdr>
        <w:top w:val="none" w:sz="0" w:space="0" w:color="auto"/>
        <w:left w:val="none" w:sz="0" w:space="0" w:color="auto"/>
        <w:bottom w:val="none" w:sz="0" w:space="0" w:color="auto"/>
        <w:right w:val="none" w:sz="0" w:space="0" w:color="auto"/>
      </w:divBdr>
    </w:div>
    <w:div w:id="1372145073">
      <w:bodyDiv w:val="1"/>
      <w:marLeft w:val="0"/>
      <w:marRight w:val="0"/>
      <w:marTop w:val="0"/>
      <w:marBottom w:val="0"/>
      <w:divBdr>
        <w:top w:val="none" w:sz="0" w:space="0" w:color="auto"/>
        <w:left w:val="none" w:sz="0" w:space="0" w:color="auto"/>
        <w:bottom w:val="none" w:sz="0" w:space="0" w:color="auto"/>
        <w:right w:val="none" w:sz="0" w:space="0" w:color="auto"/>
      </w:divBdr>
      <w:divsChild>
        <w:div w:id="359092870">
          <w:marLeft w:val="1166"/>
          <w:marRight w:val="0"/>
          <w:marTop w:val="0"/>
          <w:marBottom w:val="0"/>
          <w:divBdr>
            <w:top w:val="none" w:sz="0" w:space="0" w:color="auto"/>
            <w:left w:val="none" w:sz="0" w:space="0" w:color="auto"/>
            <w:bottom w:val="none" w:sz="0" w:space="0" w:color="auto"/>
            <w:right w:val="none" w:sz="0" w:space="0" w:color="auto"/>
          </w:divBdr>
        </w:div>
        <w:div w:id="656030319">
          <w:marLeft w:val="1166"/>
          <w:marRight w:val="0"/>
          <w:marTop w:val="0"/>
          <w:marBottom w:val="0"/>
          <w:divBdr>
            <w:top w:val="none" w:sz="0" w:space="0" w:color="auto"/>
            <w:left w:val="none" w:sz="0" w:space="0" w:color="auto"/>
            <w:bottom w:val="none" w:sz="0" w:space="0" w:color="auto"/>
            <w:right w:val="none" w:sz="0" w:space="0" w:color="auto"/>
          </w:divBdr>
        </w:div>
        <w:div w:id="882984212">
          <w:marLeft w:val="1166"/>
          <w:marRight w:val="0"/>
          <w:marTop w:val="0"/>
          <w:marBottom w:val="0"/>
          <w:divBdr>
            <w:top w:val="none" w:sz="0" w:space="0" w:color="auto"/>
            <w:left w:val="none" w:sz="0" w:space="0" w:color="auto"/>
            <w:bottom w:val="none" w:sz="0" w:space="0" w:color="auto"/>
            <w:right w:val="none" w:sz="0" w:space="0" w:color="auto"/>
          </w:divBdr>
        </w:div>
      </w:divsChild>
    </w:div>
    <w:div w:id="1395469440">
      <w:bodyDiv w:val="1"/>
      <w:marLeft w:val="0"/>
      <w:marRight w:val="0"/>
      <w:marTop w:val="0"/>
      <w:marBottom w:val="0"/>
      <w:divBdr>
        <w:top w:val="none" w:sz="0" w:space="0" w:color="auto"/>
        <w:left w:val="none" w:sz="0" w:space="0" w:color="auto"/>
        <w:bottom w:val="none" w:sz="0" w:space="0" w:color="auto"/>
        <w:right w:val="none" w:sz="0" w:space="0" w:color="auto"/>
      </w:divBdr>
      <w:divsChild>
        <w:div w:id="669795515">
          <w:marLeft w:val="0"/>
          <w:marRight w:val="0"/>
          <w:marTop w:val="0"/>
          <w:marBottom w:val="0"/>
          <w:divBdr>
            <w:top w:val="none" w:sz="0" w:space="0" w:color="auto"/>
            <w:left w:val="none" w:sz="0" w:space="0" w:color="auto"/>
            <w:bottom w:val="none" w:sz="0" w:space="0" w:color="auto"/>
            <w:right w:val="none" w:sz="0" w:space="0" w:color="auto"/>
          </w:divBdr>
          <w:divsChild>
            <w:div w:id="100957494">
              <w:marLeft w:val="0"/>
              <w:marRight w:val="0"/>
              <w:marTop w:val="0"/>
              <w:marBottom w:val="0"/>
              <w:divBdr>
                <w:top w:val="none" w:sz="0" w:space="0" w:color="auto"/>
                <w:left w:val="none" w:sz="0" w:space="0" w:color="auto"/>
                <w:bottom w:val="none" w:sz="0" w:space="0" w:color="auto"/>
                <w:right w:val="none" w:sz="0" w:space="0" w:color="auto"/>
              </w:divBdr>
            </w:div>
            <w:div w:id="1498614788">
              <w:marLeft w:val="0"/>
              <w:marRight w:val="0"/>
              <w:marTop w:val="0"/>
              <w:marBottom w:val="0"/>
              <w:divBdr>
                <w:top w:val="none" w:sz="0" w:space="0" w:color="auto"/>
                <w:left w:val="none" w:sz="0" w:space="0" w:color="auto"/>
                <w:bottom w:val="none" w:sz="0" w:space="0" w:color="auto"/>
                <w:right w:val="none" w:sz="0" w:space="0" w:color="auto"/>
              </w:divBdr>
            </w:div>
            <w:div w:id="1963535207">
              <w:marLeft w:val="0"/>
              <w:marRight w:val="0"/>
              <w:marTop w:val="0"/>
              <w:marBottom w:val="0"/>
              <w:divBdr>
                <w:top w:val="none" w:sz="0" w:space="0" w:color="auto"/>
                <w:left w:val="none" w:sz="0" w:space="0" w:color="auto"/>
                <w:bottom w:val="none" w:sz="0" w:space="0" w:color="auto"/>
                <w:right w:val="none" w:sz="0" w:space="0" w:color="auto"/>
              </w:divBdr>
              <w:divsChild>
                <w:div w:id="8867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4783">
          <w:marLeft w:val="0"/>
          <w:marRight w:val="0"/>
          <w:marTop w:val="0"/>
          <w:marBottom w:val="0"/>
          <w:divBdr>
            <w:top w:val="none" w:sz="0" w:space="0" w:color="auto"/>
            <w:left w:val="none" w:sz="0" w:space="0" w:color="auto"/>
            <w:bottom w:val="none" w:sz="0" w:space="0" w:color="auto"/>
            <w:right w:val="none" w:sz="0" w:space="0" w:color="auto"/>
          </w:divBdr>
          <w:divsChild>
            <w:div w:id="278411284">
              <w:marLeft w:val="0"/>
              <w:marRight w:val="0"/>
              <w:marTop w:val="0"/>
              <w:marBottom w:val="0"/>
              <w:divBdr>
                <w:top w:val="none" w:sz="0" w:space="0" w:color="auto"/>
                <w:left w:val="none" w:sz="0" w:space="0" w:color="auto"/>
                <w:bottom w:val="none" w:sz="0" w:space="0" w:color="auto"/>
                <w:right w:val="none" w:sz="0" w:space="0" w:color="auto"/>
              </w:divBdr>
              <w:divsChild>
                <w:div w:id="873928936">
                  <w:marLeft w:val="0"/>
                  <w:marRight w:val="0"/>
                  <w:marTop w:val="0"/>
                  <w:marBottom w:val="0"/>
                  <w:divBdr>
                    <w:top w:val="none" w:sz="0" w:space="0" w:color="auto"/>
                    <w:left w:val="none" w:sz="0" w:space="0" w:color="auto"/>
                    <w:bottom w:val="none" w:sz="0" w:space="0" w:color="auto"/>
                    <w:right w:val="none" w:sz="0" w:space="0" w:color="auto"/>
                  </w:divBdr>
                  <w:divsChild>
                    <w:div w:id="1476407821">
                      <w:marLeft w:val="0"/>
                      <w:marRight w:val="0"/>
                      <w:marTop w:val="0"/>
                      <w:marBottom w:val="0"/>
                      <w:divBdr>
                        <w:top w:val="none" w:sz="0" w:space="0" w:color="auto"/>
                        <w:left w:val="none" w:sz="0" w:space="0" w:color="auto"/>
                        <w:bottom w:val="none" w:sz="0" w:space="0" w:color="auto"/>
                        <w:right w:val="none" w:sz="0" w:space="0" w:color="auto"/>
                      </w:divBdr>
                      <w:divsChild>
                        <w:div w:id="1855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2403">
                  <w:marLeft w:val="0"/>
                  <w:marRight w:val="0"/>
                  <w:marTop w:val="0"/>
                  <w:marBottom w:val="0"/>
                  <w:divBdr>
                    <w:top w:val="none" w:sz="0" w:space="0" w:color="auto"/>
                    <w:left w:val="none" w:sz="0" w:space="0" w:color="auto"/>
                    <w:bottom w:val="none" w:sz="0" w:space="0" w:color="auto"/>
                    <w:right w:val="none" w:sz="0" w:space="0" w:color="auto"/>
                  </w:divBdr>
                </w:div>
              </w:divsChild>
            </w:div>
            <w:div w:id="486363114">
              <w:marLeft w:val="0"/>
              <w:marRight w:val="0"/>
              <w:marTop w:val="0"/>
              <w:marBottom w:val="0"/>
              <w:divBdr>
                <w:top w:val="none" w:sz="0" w:space="0" w:color="auto"/>
                <w:left w:val="none" w:sz="0" w:space="0" w:color="auto"/>
                <w:bottom w:val="none" w:sz="0" w:space="0" w:color="auto"/>
                <w:right w:val="none" w:sz="0" w:space="0" w:color="auto"/>
              </w:divBdr>
            </w:div>
            <w:div w:id="1017275653">
              <w:marLeft w:val="0"/>
              <w:marRight w:val="0"/>
              <w:marTop w:val="0"/>
              <w:marBottom w:val="0"/>
              <w:divBdr>
                <w:top w:val="none" w:sz="0" w:space="0" w:color="auto"/>
                <w:left w:val="none" w:sz="0" w:space="0" w:color="auto"/>
                <w:bottom w:val="none" w:sz="0" w:space="0" w:color="auto"/>
                <w:right w:val="none" w:sz="0" w:space="0" w:color="auto"/>
              </w:divBdr>
              <w:divsChild>
                <w:div w:id="20950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18329">
      <w:bodyDiv w:val="1"/>
      <w:marLeft w:val="0"/>
      <w:marRight w:val="0"/>
      <w:marTop w:val="0"/>
      <w:marBottom w:val="0"/>
      <w:divBdr>
        <w:top w:val="none" w:sz="0" w:space="0" w:color="auto"/>
        <w:left w:val="none" w:sz="0" w:space="0" w:color="auto"/>
        <w:bottom w:val="none" w:sz="0" w:space="0" w:color="auto"/>
        <w:right w:val="none" w:sz="0" w:space="0" w:color="auto"/>
      </w:divBdr>
    </w:div>
    <w:div w:id="1442722663">
      <w:bodyDiv w:val="1"/>
      <w:marLeft w:val="0"/>
      <w:marRight w:val="0"/>
      <w:marTop w:val="0"/>
      <w:marBottom w:val="0"/>
      <w:divBdr>
        <w:top w:val="none" w:sz="0" w:space="0" w:color="auto"/>
        <w:left w:val="none" w:sz="0" w:space="0" w:color="auto"/>
        <w:bottom w:val="none" w:sz="0" w:space="0" w:color="auto"/>
        <w:right w:val="none" w:sz="0" w:space="0" w:color="auto"/>
      </w:divBdr>
    </w:div>
    <w:div w:id="1452016922">
      <w:bodyDiv w:val="1"/>
      <w:marLeft w:val="0"/>
      <w:marRight w:val="0"/>
      <w:marTop w:val="0"/>
      <w:marBottom w:val="0"/>
      <w:divBdr>
        <w:top w:val="none" w:sz="0" w:space="0" w:color="auto"/>
        <w:left w:val="none" w:sz="0" w:space="0" w:color="auto"/>
        <w:bottom w:val="none" w:sz="0" w:space="0" w:color="auto"/>
        <w:right w:val="none" w:sz="0" w:space="0" w:color="auto"/>
      </w:divBdr>
    </w:div>
    <w:div w:id="1455975845">
      <w:marLeft w:val="0"/>
      <w:marRight w:val="0"/>
      <w:marTop w:val="0"/>
      <w:marBottom w:val="0"/>
      <w:divBdr>
        <w:top w:val="none" w:sz="0" w:space="0" w:color="auto"/>
        <w:left w:val="none" w:sz="0" w:space="0" w:color="auto"/>
        <w:bottom w:val="none" w:sz="0" w:space="0" w:color="auto"/>
        <w:right w:val="none" w:sz="0" w:space="0" w:color="auto"/>
      </w:divBdr>
      <w:divsChild>
        <w:div w:id="185868462">
          <w:marLeft w:val="0"/>
          <w:marRight w:val="0"/>
          <w:marTop w:val="0"/>
          <w:marBottom w:val="0"/>
          <w:divBdr>
            <w:top w:val="none" w:sz="0" w:space="0" w:color="auto"/>
            <w:left w:val="none" w:sz="0" w:space="0" w:color="auto"/>
            <w:bottom w:val="none" w:sz="0" w:space="0" w:color="auto"/>
            <w:right w:val="none" w:sz="0" w:space="0" w:color="auto"/>
          </w:divBdr>
          <w:divsChild>
            <w:div w:id="1884126991">
              <w:marLeft w:val="0"/>
              <w:marRight w:val="0"/>
              <w:marTop w:val="0"/>
              <w:marBottom w:val="0"/>
              <w:divBdr>
                <w:top w:val="none" w:sz="0" w:space="0" w:color="auto"/>
                <w:left w:val="none" w:sz="0" w:space="0" w:color="auto"/>
                <w:bottom w:val="none" w:sz="0" w:space="0" w:color="auto"/>
                <w:right w:val="none" w:sz="0" w:space="0" w:color="auto"/>
              </w:divBdr>
              <w:divsChild>
                <w:div w:id="191042371">
                  <w:marLeft w:val="0"/>
                  <w:marRight w:val="0"/>
                  <w:marTop w:val="0"/>
                  <w:marBottom w:val="0"/>
                  <w:divBdr>
                    <w:top w:val="none" w:sz="0" w:space="0" w:color="auto"/>
                    <w:left w:val="none" w:sz="0" w:space="0" w:color="auto"/>
                    <w:bottom w:val="none" w:sz="0" w:space="0" w:color="auto"/>
                    <w:right w:val="none" w:sz="0" w:space="0" w:color="auto"/>
                  </w:divBdr>
                  <w:divsChild>
                    <w:div w:id="207377780">
                      <w:marLeft w:val="0"/>
                      <w:marRight w:val="0"/>
                      <w:marTop w:val="0"/>
                      <w:marBottom w:val="0"/>
                      <w:divBdr>
                        <w:top w:val="none" w:sz="0" w:space="0" w:color="auto"/>
                        <w:left w:val="none" w:sz="0" w:space="0" w:color="auto"/>
                        <w:bottom w:val="none" w:sz="0" w:space="0" w:color="auto"/>
                        <w:right w:val="none" w:sz="0" w:space="0" w:color="auto"/>
                      </w:divBdr>
                      <w:divsChild>
                        <w:div w:id="784235546">
                          <w:marLeft w:val="0"/>
                          <w:marRight w:val="0"/>
                          <w:marTop w:val="0"/>
                          <w:marBottom w:val="0"/>
                          <w:divBdr>
                            <w:top w:val="none" w:sz="0" w:space="0" w:color="auto"/>
                            <w:left w:val="none" w:sz="0" w:space="0" w:color="auto"/>
                            <w:bottom w:val="none" w:sz="0" w:space="0" w:color="auto"/>
                            <w:right w:val="none" w:sz="0" w:space="0" w:color="auto"/>
                          </w:divBdr>
                          <w:divsChild>
                            <w:div w:id="39941530">
                              <w:marLeft w:val="0"/>
                              <w:marRight w:val="-150"/>
                              <w:marTop w:val="0"/>
                              <w:marBottom w:val="0"/>
                              <w:divBdr>
                                <w:top w:val="none" w:sz="0" w:space="0" w:color="auto"/>
                                <w:left w:val="none" w:sz="0" w:space="0" w:color="auto"/>
                                <w:bottom w:val="none" w:sz="0" w:space="0" w:color="auto"/>
                                <w:right w:val="none" w:sz="0" w:space="0" w:color="auto"/>
                              </w:divBdr>
                              <w:divsChild>
                                <w:div w:id="1760323243">
                                  <w:marLeft w:val="0"/>
                                  <w:marRight w:val="0"/>
                                  <w:marTop w:val="0"/>
                                  <w:marBottom w:val="0"/>
                                  <w:divBdr>
                                    <w:top w:val="none" w:sz="0" w:space="0" w:color="auto"/>
                                    <w:left w:val="none" w:sz="0" w:space="0" w:color="auto"/>
                                    <w:bottom w:val="none" w:sz="0" w:space="0" w:color="auto"/>
                                    <w:right w:val="none" w:sz="0" w:space="0" w:color="auto"/>
                                  </w:divBdr>
                                  <w:divsChild>
                                    <w:div w:id="496308688">
                                      <w:marLeft w:val="0"/>
                                      <w:marRight w:val="0"/>
                                      <w:marTop w:val="0"/>
                                      <w:marBottom w:val="0"/>
                                      <w:divBdr>
                                        <w:top w:val="none" w:sz="0" w:space="0" w:color="auto"/>
                                        <w:left w:val="none" w:sz="0" w:space="0" w:color="auto"/>
                                        <w:bottom w:val="none" w:sz="0" w:space="0" w:color="auto"/>
                                        <w:right w:val="none" w:sz="0" w:space="0" w:color="auto"/>
                                      </w:divBdr>
                                      <w:divsChild>
                                        <w:div w:id="3002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1827">
                                  <w:marLeft w:val="0"/>
                                  <w:marRight w:val="0"/>
                                  <w:marTop w:val="0"/>
                                  <w:marBottom w:val="0"/>
                                  <w:divBdr>
                                    <w:top w:val="none" w:sz="0" w:space="0" w:color="auto"/>
                                    <w:left w:val="none" w:sz="0" w:space="0" w:color="auto"/>
                                    <w:bottom w:val="none" w:sz="0" w:space="0" w:color="auto"/>
                                    <w:right w:val="none" w:sz="0" w:space="0" w:color="auto"/>
                                  </w:divBdr>
                                  <w:divsChild>
                                    <w:div w:id="386032244">
                                      <w:marLeft w:val="0"/>
                                      <w:marRight w:val="0"/>
                                      <w:marTop w:val="0"/>
                                      <w:marBottom w:val="0"/>
                                      <w:divBdr>
                                        <w:top w:val="none" w:sz="0" w:space="0" w:color="auto"/>
                                        <w:left w:val="none" w:sz="0" w:space="0" w:color="auto"/>
                                        <w:bottom w:val="none" w:sz="0" w:space="0" w:color="auto"/>
                                        <w:right w:val="none" w:sz="0" w:space="0" w:color="auto"/>
                                      </w:divBdr>
                                    </w:div>
                                    <w:div w:id="623116304">
                                      <w:marLeft w:val="0"/>
                                      <w:marRight w:val="0"/>
                                      <w:marTop w:val="0"/>
                                      <w:marBottom w:val="0"/>
                                      <w:divBdr>
                                        <w:top w:val="none" w:sz="0" w:space="0" w:color="auto"/>
                                        <w:left w:val="none" w:sz="0" w:space="0" w:color="auto"/>
                                        <w:bottom w:val="none" w:sz="0" w:space="0" w:color="auto"/>
                                        <w:right w:val="none" w:sz="0" w:space="0" w:color="auto"/>
                                      </w:divBdr>
                                    </w:div>
                                    <w:div w:id="813303373">
                                      <w:marLeft w:val="0"/>
                                      <w:marRight w:val="0"/>
                                      <w:marTop w:val="0"/>
                                      <w:marBottom w:val="0"/>
                                      <w:divBdr>
                                        <w:top w:val="none" w:sz="0" w:space="0" w:color="auto"/>
                                        <w:left w:val="none" w:sz="0" w:space="0" w:color="auto"/>
                                        <w:bottom w:val="none" w:sz="0" w:space="0" w:color="auto"/>
                                        <w:right w:val="none" w:sz="0" w:space="0" w:color="auto"/>
                                      </w:divBdr>
                                      <w:divsChild>
                                        <w:div w:id="1200388159">
                                          <w:marLeft w:val="0"/>
                                          <w:marRight w:val="0"/>
                                          <w:marTop w:val="0"/>
                                          <w:marBottom w:val="0"/>
                                          <w:divBdr>
                                            <w:top w:val="none" w:sz="0" w:space="0" w:color="auto"/>
                                            <w:left w:val="none" w:sz="0" w:space="0" w:color="auto"/>
                                            <w:bottom w:val="none" w:sz="0" w:space="0" w:color="auto"/>
                                            <w:right w:val="none" w:sz="0" w:space="0" w:color="auto"/>
                                          </w:divBdr>
                                        </w:div>
                                      </w:divsChild>
                                    </w:div>
                                    <w:div w:id="9918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2282">
                      <w:marLeft w:val="0"/>
                      <w:marRight w:val="0"/>
                      <w:marTop w:val="0"/>
                      <w:marBottom w:val="0"/>
                      <w:divBdr>
                        <w:top w:val="none" w:sz="0" w:space="0" w:color="auto"/>
                        <w:left w:val="none" w:sz="0" w:space="0" w:color="auto"/>
                        <w:bottom w:val="none" w:sz="0" w:space="0" w:color="auto"/>
                        <w:right w:val="none" w:sz="0" w:space="0" w:color="auto"/>
                      </w:divBdr>
                      <w:divsChild>
                        <w:div w:id="2035614797">
                          <w:marLeft w:val="0"/>
                          <w:marRight w:val="0"/>
                          <w:marTop w:val="0"/>
                          <w:marBottom w:val="0"/>
                          <w:divBdr>
                            <w:top w:val="none" w:sz="0" w:space="0" w:color="auto"/>
                            <w:left w:val="none" w:sz="0" w:space="0" w:color="auto"/>
                            <w:bottom w:val="none" w:sz="0" w:space="0" w:color="auto"/>
                            <w:right w:val="none" w:sz="0" w:space="0" w:color="auto"/>
                          </w:divBdr>
                          <w:divsChild>
                            <w:div w:id="1526094981">
                              <w:marLeft w:val="0"/>
                              <w:marRight w:val="-150"/>
                              <w:marTop w:val="0"/>
                              <w:marBottom w:val="0"/>
                              <w:divBdr>
                                <w:top w:val="none" w:sz="0" w:space="0" w:color="auto"/>
                                <w:left w:val="none" w:sz="0" w:space="0" w:color="auto"/>
                                <w:bottom w:val="none" w:sz="0" w:space="0" w:color="auto"/>
                                <w:right w:val="none" w:sz="0" w:space="0" w:color="auto"/>
                              </w:divBdr>
                              <w:divsChild>
                                <w:div w:id="176698534">
                                  <w:marLeft w:val="0"/>
                                  <w:marRight w:val="0"/>
                                  <w:marTop w:val="0"/>
                                  <w:marBottom w:val="0"/>
                                  <w:divBdr>
                                    <w:top w:val="none" w:sz="0" w:space="0" w:color="auto"/>
                                    <w:left w:val="none" w:sz="0" w:space="0" w:color="auto"/>
                                    <w:bottom w:val="none" w:sz="0" w:space="0" w:color="auto"/>
                                    <w:right w:val="none" w:sz="0" w:space="0" w:color="auto"/>
                                  </w:divBdr>
                                  <w:divsChild>
                                    <w:div w:id="842207259">
                                      <w:marLeft w:val="0"/>
                                      <w:marRight w:val="0"/>
                                      <w:marTop w:val="0"/>
                                      <w:marBottom w:val="0"/>
                                      <w:divBdr>
                                        <w:top w:val="none" w:sz="0" w:space="0" w:color="auto"/>
                                        <w:left w:val="none" w:sz="0" w:space="0" w:color="auto"/>
                                        <w:bottom w:val="none" w:sz="0" w:space="0" w:color="auto"/>
                                        <w:right w:val="none" w:sz="0" w:space="0" w:color="auto"/>
                                      </w:divBdr>
                                    </w:div>
                                    <w:div w:id="1284312028">
                                      <w:marLeft w:val="0"/>
                                      <w:marRight w:val="0"/>
                                      <w:marTop w:val="0"/>
                                      <w:marBottom w:val="0"/>
                                      <w:divBdr>
                                        <w:top w:val="none" w:sz="0" w:space="0" w:color="auto"/>
                                        <w:left w:val="none" w:sz="0" w:space="0" w:color="auto"/>
                                        <w:bottom w:val="none" w:sz="0" w:space="0" w:color="auto"/>
                                        <w:right w:val="none" w:sz="0" w:space="0" w:color="auto"/>
                                      </w:divBdr>
                                    </w:div>
                                    <w:div w:id="1878467555">
                                      <w:marLeft w:val="0"/>
                                      <w:marRight w:val="0"/>
                                      <w:marTop w:val="0"/>
                                      <w:marBottom w:val="0"/>
                                      <w:divBdr>
                                        <w:top w:val="none" w:sz="0" w:space="0" w:color="auto"/>
                                        <w:left w:val="none" w:sz="0" w:space="0" w:color="auto"/>
                                        <w:bottom w:val="none" w:sz="0" w:space="0" w:color="auto"/>
                                        <w:right w:val="none" w:sz="0" w:space="0" w:color="auto"/>
                                      </w:divBdr>
                                    </w:div>
                                  </w:divsChild>
                                </w:div>
                                <w:div w:id="1728842177">
                                  <w:marLeft w:val="0"/>
                                  <w:marRight w:val="0"/>
                                  <w:marTop w:val="0"/>
                                  <w:marBottom w:val="0"/>
                                  <w:divBdr>
                                    <w:top w:val="none" w:sz="0" w:space="0" w:color="auto"/>
                                    <w:left w:val="none" w:sz="0" w:space="0" w:color="auto"/>
                                    <w:bottom w:val="none" w:sz="0" w:space="0" w:color="auto"/>
                                    <w:right w:val="none" w:sz="0" w:space="0" w:color="auto"/>
                                  </w:divBdr>
                                  <w:divsChild>
                                    <w:div w:id="350225457">
                                      <w:marLeft w:val="0"/>
                                      <w:marRight w:val="0"/>
                                      <w:marTop w:val="0"/>
                                      <w:marBottom w:val="0"/>
                                      <w:divBdr>
                                        <w:top w:val="none" w:sz="0" w:space="0" w:color="auto"/>
                                        <w:left w:val="none" w:sz="0" w:space="0" w:color="auto"/>
                                        <w:bottom w:val="none" w:sz="0" w:space="0" w:color="auto"/>
                                        <w:right w:val="none" w:sz="0" w:space="0" w:color="auto"/>
                                      </w:divBdr>
                                      <w:divsChild>
                                        <w:div w:id="18722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126393">
                      <w:marLeft w:val="0"/>
                      <w:marRight w:val="0"/>
                      <w:marTop w:val="0"/>
                      <w:marBottom w:val="0"/>
                      <w:divBdr>
                        <w:top w:val="none" w:sz="0" w:space="0" w:color="auto"/>
                        <w:left w:val="none" w:sz="0" w:space="0" w:color="auto"/>
                        <w:bottom w:val="none" w:sz="0" w:space="0" w:color="auto"/>
                        <w:right w:val="none" w:sz="0" w:space="0" w:color="auto"/>
                      </w:divBdr>
                    </w:div>
                    <w:div w:id="1887059055">
                      <w:marLeft w:val="0"/>
                      <w:marRight w:val="0"/>
                      <w:marTop w:val="0"/>
                      <w:marBottom w:val="0"/>
                      <w:divBdr>
                        <w:top w:val="none" w:sz="0" w:space="0" w:color="auto"/>
                        <w:left w:val="none" w:sz="0" w:space="0" w:color="auto"/>
                        <w:bottom w:val="none" w:sz="0" w:space="0" w:color="auto"/>
                        <w:right w:val="none" w:sz="0" w:space="0" w:color="auto"/>
                      </w:divBdr>
                      <w:divsChild>
                        <w:div w:id="512232355">
                          <w:marLeft w:val="0"/>
                          <w:marRight w:val="0"/>
                          <w:marTop w:val="0"/>
                          <w:marBottom w:val="0"/>
                          <w:divBdr>
                            <w:top w:val="none" w:sz="0" w:space="0" w:color="auto"/>
                            <w:left w:val="none" w:sz="0" w:space="0" w:color="auto"/>
                            <w:bottom w:val="none" w:sz="0" w:space="0" w:color="auto"/>
                            <w:right w:val="none" w:sz="0" w:space="0" w:color="auto"/>
                          </w:divBdr>
                          <w:divsChild>
                            <w:div w:id="303775432">
                              <w:marLeft w:val="0"/>
                              <w:marRight w:val="-150"/>
                              <w:marTop w:val="0"/>
                              <w:marBottom w:val="0"/>
                              <w:divBdr>
                                <w:top w:val="none" w:sz="0" w:space="0" w:color="auto"/>
                                <w:left w:val="none" w:sz="0" w:space="0" w:color="auto"/>
                                <w:bottom w:val="none" w:sz="0" w:space="0" w:color="auto"/>
                                <w:right w:val="none" w:sz="0" w:space="0" w:color="auto"/>
                              </w:divBdr>
                              <w:divsChild>
                                <w:div w:id="265239294">
                                  <w:marLeft w:val="0"/>
                                  <w:marRight w:val="0"/>
                                  <w:marTop w:val="0"/>
                                  <w:marBottom w:val="0"/>
                                  <w:divBdr>
                                    <w:top w:val="none" w:sz="0" w:space="0" w:color="auto"/>
                                    <w:left w:val="none" w:sz="0" w:space="0" w:color="auto"/>
                                    <w:bottom w:val="none" w:sz="0" w:space="0" w:color="auto"/>
                                    <w:right w:val="none" w:sz="0" w:space="0" w:color="auto"/>
                                  </w:divBdr>
                                  <w:divsChild>
                                    <w:div w:id="166792266">
                                      <w:marLeft w:val="0"/>
                                      <w:marRight w:val="0"/>
                                      <w:marTop w:val="0"/>
                                      <w:marBottom w:val="0"/>
                                      <w:divBdr>
                                        <w:top w:val="none" w:sz="0" w:space="0" w:color="auto"/>
                                        <w:left w:val="none" w:sz="0" w:space="0" w:color="auto"/>
                                        <w:bottom w:val="none" w:sz="0" w:space="0" w:color="auto"/>
                                        <w:right w:val="none" w:sz="0" w:space="0" w:color="auto"/>
                                      </w:divBdr>
                                      <w:divsChild>
                                        <w:div w:id="6737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5018">
                                  <w:marLeft w:val="0"/>
                                  <w:marRight w:val="0"/>
                                  <w:marTop w:val="0"/>
                                  <w:marBottom w:val="0"/>
                                  <w:divBdr>
                                    <w:top w:val="none" w:sz="0" w:space="0" w:color="auto"/>
                                    <w:left w:val="none" w:sz="0" w:space="0" w:color="auto"/>
                                    <w:bottom w:val="none" w:sz="0" w:space="0" w:color="auto"/>
                                    <w:right w:val="none" w:sz="0" w:space="0" w:color="auto"/>
                                  </w:divBdr>
                                  <w:divsChild>
                                    <w:div w:id="1171720378">
                                      <w:marLeft w:val="0"/>
                                      <w:marRight w:val="0"/>
                                      <w:marTop w:val="0"/>
                                      <w:marBottom w:val="0"/>
                                      <w:divBdr>
                                        <w:top w:val="none" w:sz="0" w:space="0" w:color="auto"/>
                                        <w:left w:val="none" w:sz="0" w:space="0" w:color="auto"/>
                                        <w:bottom w:val="none" w:sz="0" w:space="0" w:color="auto"/>
                                        <w:right w:val="none" w:sz="0" w:space="0" w:color="auto"/>
                                      </w:divBdr>
                                    </w:div>
                                    <w:div w:id="1604806402">
                                      <w:marLeft w:val="0"/>
                                      <w:marRight w:val="0"/>
                                      <w:marTop w:val="0"/>
                                      <w:marBottom w:val="0"/>
                                      <w:divBdr>
                                        <w:top w:val="none" w:sz="0" w:space="0" w:color="auto"/>
                                        <w:left w:val="none" w:sz="0" w:space="0" w:color="auto"/>
                                        <w:bottom w:val="none" w:sz="0" w:space="0" w:color="auto"/>
                                        <w:right w:val="none" w:sz="0" w:space="0" w:color="auto"/>
                                      </w:divBdr>
                                    </w:div>
                                    <w:div w:id="187900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679480">
      <w:bodyDiv w:val="1"/>
      <w:marLeft w:val="0"/>
      <w:marRight w:val="0"/>
      <w:marTop w:val="0"/>
      <w:marBottom w:val="0"/>
      <w:divBdr>
        <w:top w:val="none" w:sz="0" w:space="0" w:color="auto"/>
        <w:left w:val="none" w:sz="0" w:space="0" w:color="auto"/>
        <w:bottom w:val="none" w:sz="0" w:space="0" w:color="auto"/>
        <w:right w:val="none" w:sz="0" w:space="0" w:color="auto"/>
      </w:divBdr>
    </w:div>
    <w:div w:id="1478452460">
      <w:bodyDiv w:val="1"/>
      <w:marLeft w:val="0"/>
      <w:marRight w:val="0"/>
      <w:marTop w:val="0"/>
      <w:marBottom w:val="0"/>
      <w:divBdr>
        <w:top w:val="none" w:sz="0" w:space="0" w:color="auto"/>
        <w:left w:val="none" w:sz="0" w:space="0" w:color="auto"/>
        <w:bottom w:val="none" w:sz="0" w:space="0" w:color="auto"/>
        <w:right w:val="none" w:sz="0" w:space="0" w:color="auto"/>
      </w:divBdr>
    </w:div>
    <w:div w:id="1487012531">
      <w:bodyDiv w:val="1"/>
      <w:marLeft w:val="0"/>
      <w:marRight w:val="0"/>
      <w:marTop w:val="0"/>
      <w:marBottom w:val="0"/>
      <w:divBdr>
        <w:top w:val="none" w:sz="0" w:space="0" w:color="auto"/>
        <w:left w:val="none" w:sz="0" w:space="0" w:color="auto"/>
        <w:bottom w:val="none" w:sz="0" w:space="0" w:color="auto"/>
        <w:right w:val="none" w:sz="0" w:space="0" w:color="auto"/>
      </w:divBdr>
    </w:div>
    <w:div w:id="1502549025">
      <w:bodyDiv w:val="1"/>
      <w:marLeft w:val="0"/>
      <w:marRight w:val="0"/>
      <w:marTop w:val="0"/>
      <w:marBottom w:val="0"/>
      <w:divBdr>
        <w:top w:val="none" w:sz="0" w:space="0" w:color="auto"/>
        <w:left w:val="none" w:sz="0" w:space="0" w:color="auto"/>
        <w:bottom w:val="none" w:sz="0" w:space="0" w:color="auto"/>
        <w:right w:val="none" w:sz="0" w:space="0" w:color="auto"/>
      </w:divBdr>
      <w:divsChild>
        <w:div w:id="950165453">
          <w:marLeft w:val="547"/>
          <w:marRight w:val="0"/>
          <w:marTop w:val="240"/>
          <w:marBottom w:val="0"/>
          <w:divBdr>
            <w:top w:val="none" w:sz="0" w:space="0" w:color="auto"/>
            <w:left w:val="none" w:sz="0" w:space="0" w:color="auto"/>
            <w:bottom w:val="none" w:sz="0" w:space="0" w:color="auto"/>
            <w:right w:val="none" w:sz="0" w:space="0" w:color="auto"/>
          </w:divBdr>
        </w:div>
        <w:div w:id="1854958702">
          <w:marLeft w:val="1166"/>
          <w:marRight w:val="0"/>
          <w:marTop w:val="0"/>
          <w:marBottom w:val="0"/>
          <w:divBdr>
            <w:top w:val="none" w:sz="0" w:space="0" w:color="auto"/>
            <w:left w:val="none" w:sz="0" w:space="0" w:color="auto"/>
            <w:bottom w:val="none" w:sz="0" w:space="0" w:color="auto"/>
            <w:right w:val="none" w:sz="0" w:space="0" w:color="auto"/>
          </w:divBdr>
        </w:div>
      </w:divsChild>
    </w:div>
    <w:div w:id="1503008026">
      <w:bodyDiv w:val="1"/>
      <w:marLeft w:val="0"/>
      <w:marRight w:val="0"/>
      <w:marTop w:val="0"/>
      <w:marBottom w:val="0"/>
      <w:divBdr>
        <w:top w:val="none" w:sz="0" w:space="0" w:color="auto"/>
        <w:left w:val="none" w:sz="0" w:space="0" w:color="auto"/>
        <w:bottom w:val="none" w:sz="0" w:space="0" w:color="auto"/>
        <w:right w:val="none" w:sz="0" w:space="0" w:color="auto"/>
      </w:divBdr>
    </w:div>
    <w:div w:id="1512062244">
      <w:bodyDiv w:val="1"/>
      <w:marLeft w:val="0"/>
      <w:marRight w:val="0"/>
      <w:marTop w:val="0"/>
      <w:marBottom w:val="0"/>
      <w:divBdr>
        <w:top w:val="none" w:sz="0" w:space="0" w:color="auto"/>
        <w:left w:val="none" w:sz="0" w:space="0" w:color="auto"/>
        <w:bottom w:val="none" w:sz="0" w:space="0" w:color="auto"/>
        <w:right w:val="none" w:sz="0" w:space="0" w:color="auto"/>
      </w:divBdr>
    </w:div>
    <w:div w:id="1516965102">
      <w:bodyDiv w:val="1"/>
      <w:marLeft w:val="0"/>
      <w:marRight w:val="0"/>
      <w:marTop w:val="0"/>
      <w:marBottom w:val="0"/>
      <w:divBdr>
        <w:top w:val="none" w:sz="0" w:space="0" w:color="auto"/>
        <w:left w:val="none" w:sz="0" w:space="0" w:color="auto"/>
        <w:bottom w:val="none" w:sz="0" w:space="0" w:color="auto"/>
        <w:right w:val="none" w:sz="0" w:space="0" w:color="auto"/>
      </w:divBdr>
    </w:div>
    <w:div w:id="1525555870">
      <w:bodyDiv w:val="1"/>
      <w:marLeft w:val="0"/>
      <w:marRight w:val="0"/>
      <w:marTop w:val="0"/>
      <w:marBottom w:val="0"/>
      <w:divBdr>
        <w:top w:val="none" w:sz="0" w:space="0" w:color="auto"/>
        <w:left w:val="none" w:sz="0" w:space="0" w:color="auto"/>
        <w:bottom w:val="none" w:sz="0" w:space="0" w:color="auto"/>
        <w:right w:val="none" w:sz="0" w:space="0" w:color="auto"/>
      </w:divBdr>
    </w:div>
    <w:div w:id="1581518540">
      <w:bodyDiv w:val="1"/>
      <w:marLeft w:val="0"/>
      <w:marRight w:val="0"/>
      <w:marTop w:val="0"/>
      <w:marBottom w:val="0"/>
      <w:divBdr>
        <w:top w:val="none" w:sz="0" w:space="0" w:color="auto"/>
        <w:left w:val="none" w:sz="0" w:space="0" w:color="auto"/>
        <w:bottom w:val="none" w:sz="0" w:space="0" w:color="auto"/>
        <w:right w:val="none" w:sz="0" w:space="0" w:color="auto"/>
      </w:divBdr>
    </w:div>
    <w:div w:id="1584535129">
      <w:marLeft w:val="0"/>
      <w:marRight w:val="0"/>
      <w:marTop w:val="0"/>
      <w:marBottom w:val="0"/>
      <w:divBdr>
        <w:top w:val="none" w:sz="0" w:space="0" w:color="auto"/>
        <w:left w:val="none" w:sz="0" w:space="0" w:color="auto"/>
        <w:bottom w:val="none" w:sz="0" w:space="0" w:color="auto"/>
        <w:right w:val="none" w:sz="0" w:space="0" w:color="auto"/>
      </w:divBdr>
      <w:divsChild>
        <w:div w:id="1116214422">
          <w:marLeft w:val="0"/>
          <w:marRight w:val="0"/>
          <w:marTop w:val="0"/>
          <w:marBottom w:val="0"/>
          <w:divBdr>
            <w:top w:val="none" w:sz="0" w:space="0" w:color="auto"/>
            <w:left w:val="none" w:sz="0" w:space="0" w:color="auto"/>
            <w:bottom w:val="none" w:sz="0" w:space="0" w:color="auto"/>
            <w:right w:val="none" w:sz="0" w:space="0" w:color="auto"/>
          </w:divBdr>
          <w:divsChild>
            <w:div w:id="395128987">
              <w:marLeft w:val="0"/>
              <w:marRight w:val="0"/>
              <w:marTop w:val="0"/>
              <w:marBottom w:val="0"/>
              <w:divBdr>
                <w:top w:val="none" w:sz="0" w:space="0" w:color="auto"/>
                <w:left w:val="none" w:sz="0" w:space="0" w:color="auto"/>
                <w:bottom w:val="none" w:sz="0" w:space="0" w:color="auto"/>
                <w:right w:val="none" w:sz="0" w:space="0" w:color="auto"/>
              </w:divBdr>
              <w:divsChild>
                <w:div w:id="1464077030">
                  <w:marLeft w:val="0"/>
                  <w:marRight w:val="0"/>
                  <w:marTop w:val="0"/>
                  <w:marBottom w:val="0"/>
                  <w:divBdr>
                    <w:top w:val="none" w:sz="0" w:space="0" w:color="auto"/>
                    <w:left w:val="none" w:sz="0" w:space="0" w:color="auto"/>
                    <w:bottom w:val="none" w:sz="0" w:space="0" w:color="auto"/>
                    <w:right w:val="none" w:sz="0" w:space="0" w:color="auto"/>
                  </w:divBdr>
                  <w:divsChild>
                    <w:div w:id="287008661">
                      <w:marLeft w:val="0"/>
                      <w:marRight w:val="0"/>
                      <w:marTop w:val="0"/>
                      <w:marBottom w:val="0"/>
                      <w:divBdr>
                        <w:top w:val="none" w:sz="0" w:space="0" w:color="auto"/>
                        <w:left w:val="none" w:sz="0" w:space="0" w:color="auto"/>
                        <w:bottom w:val="none" w:sz="0" w:space="0" w:color="auto"/>
                        <w:right w:val="none" w:sz="0" w:space="0" w:color="auto"/>
                      </w:divBdr>
                      <w:divsChild>
                        <w:div w:id="1351223731">
                          <w:marLeft w:val="0"/>
                          <w:marRight w:val="0"/>
                          <w:marTop w:val="0"/>
                          <w:marBottom w:val="0"/>
                          <w:divBdr>
                            <w:top w:val="none" w:sz="0" w:space="0" w:color="auto"/>
                            <w:left w:val="none" w:sz="0" w:space="0" w:color="auto"/>
                            <w:bottom w:val="none" w:sz="0" w:space="0" w:color="auto"/>
                            <w:right w:val="none" w:sz="0" w:space="0" w:color="auto"/>
                          </w:divBdr>
                          <w:divsChild>
                            <w:div w:id="1356884895">
                              <w:marLeft w:val="0"/>
                              <w:marRight w:val="0"/>
                              <w:marTop w:val="0"/>
                              <w:marBottom w:val="0"/>
                              <w:divBdr>
                                <w:top w:val="none" w:sz="0" w:space="0" w:color="auto"/>
                                <w:left w:val="none" w:sz="0" w:space="0" w:color="auto"/>
                                <w:bottom w:val="none" w:sz="0" w:space="0" w:color="auto"/>
                                <w:right w:val="none" w:sz="0" w:space="0" w:color="auto"/>
                              </w:divBdr>
                              <w:divsChild>
                                <w:div w:id="1079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41">
                          <w:marLeft w:val="0"/>
                          <w:marRight w:val="0"/>
                          <w:marTop w:val="0"/>
                          <w:marBottom w:val="0"/>
                          <w:divBdr>
                            <w:top w:val="none" w:sz="0" w:space="0" w:color="auto"/>
                            <w:left w:val="none" w:sz="0" w:space="0" w:color="auto"/>
                            <w:bottom w:val="none" w:sz="0" w:space="0" w:color="auto"/>
                            <w:right w:val="none" w:sz="0" w:space="0" w:color="auto"/>
                          </w:divBdr>
                          <w:divsChild>
                            <w:div w:id="5740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05517">
                      <w:marLeft w:val="0"/>
                      <w:marRight w:val="0"/>
                      <w:marTop w:val="0"/>
                      <w:marBottom w:val="0"/>
                      <w:divBdr>
                        <w:top w:val="none" w:sz="0" w:space="0" w:color="auto"/>
                        <w:left w:val="none" w:sz="0" w:space="0" w:color="auto"/>
                        <w:bottom w:val="none" w:sz="0" w:space="0" w:color="auto"/>
                        <w:right w:val="none" w:sz="0" w:space="0" w:color="auto"/>
                      </w:divBdr>
                      <w:divsChild>
                        <w:div w:id="1521892087">
                          <w:marLeft w:val="0"/>
                          <w:marRight w:val="0"/>
                          <w:marTop w:val="0"/>
                          <w:marBottom w:val="0"/>
                          <w:divBdr>
                            <w:top w:val="none" w:sz="0" w:space="0" w:color="auto"/>
                            <w:left w:val="none" w:sz="0" w:space="0" w:color="auto"/>
                            <w:bottom w:val="none" w:sz="0" w:space="0" w:color="auto"/>
                            <w:right w:val="none" w:sz="0" w:space="0" w:color="auto"/>
                          </w:divBdr>
                          <w:divsChild>
                            <w:div w:id="445076928">
                              <w:marLeft w:val="0"/>
                              <w:marRight w:val="0"/>
                              <w:marTop w:val="0"/>
                              <w:marBottom w:val="0"/>
                              <w:divBdr>
                                <w:top w:val="none" w:sz="0" w:space="0" w:color="auto"/>
                                <w:left w:val="none" w:sz="0" w:space="0" w:color="auto"/>
                                <w:bottom w:val="none" w:sz="0" w:space="0" w:color="auto"/>
                                <w:right w:val="none" w:sz="0" w:space="0" w:color="auto"/>
                              </w:divBdr>
                            </w:div>
                            <w:div w:id="1845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8500">
                      <w:marLeft w:val="0"/>
                      <w:marRight w:val="0"/>
                      <w:marTop w:val="0"/>
                      <w:marBottom w:val="0"/>
                      <w:divBdr>
                        <w:top w:val="none" w:sz="0" w:space="0" w:color="auto"/>
                        <w:left w:val="none" w:sz="0" w:space="0" w:color="auto"/>
                        <w:bottom w:val="none" w:sz="0" w:space="0" w:color="auto"/>
                        <w:right w:val="none" w:sz="0" w:space="0" w:color="auto"/>
                      </w:divBdr>
                      <w:divsChild>
                        <w:div w:id="1908489973">
                          <w:marLeft w:val="0"/>
                          <w:marRight w:val="0"/>
                          <w:marTop w:val="0"/>
                          <w:marBottom w:val="0"/>
                          <w:divBdr>
                            <w:top w:val="none" w:sz="0" w:space="0" w:color="auto"/>
                            <w:left w:val="none" w:sz="0" w:space="0" w:color="auto"/>
                            <w:bottom w:val="none" w:sz="0" w:space="0" w:color="auto"/>
                            <w:right w:val="none" w:sz="0" w:space="0" w:color="auto"/>
                          </w:divBdr>
                          <w:divsChild>
                            <w:div w:id="1609435296">
                              <w:marLeft w:val="0"/>
                              <w:marRight w:val="0"/>
                              <w:marTop w:val="0"/>
                              <w:marBottom w:val="0"/>
                              <w:divBdr>
                                <w:top w:val="none" w:sz="0" w:space="0" w:color="auto"/>
                                <w:left w:val="none" w:sz="0" w:space="0" w:color="auto"/>
                                <w:bottom w:val="none" w:sz="0" w:space="0" w:color="auto"/>
                                <w:right w:val="none" w:sz="0" w:space="0" w:color="auto"/>
                              </w:divBdr>
                              <w:divsChild>
                                <w:div w:id="407659423">
                                  <w:marLeft w:val="0"/>
                                  <w:marRight w:val="0"/>
                                  <w:marTop w:val="0"/>
                                  <w:marBottom w:val="0"/>
                                  <w:divBdr>
                                    <w:top w:val="none" w:sz="0" w:space="0" w:color="auto"/>
                                    <w:left w:val="none" w:sz="0" w:space="0" w:color="auto"/>
                                    <w:bottom w:val="none" w:sz="0" w:space="0" w:color="auto"/>
                                    <w:right w:val="none" w:sz="0" w:space="0" w:color="auto"/>
                                  </w:divBdr>
                                  <w:divsChild>
                                    <w:div w:id="724571542">
                                      <w:marLeft w:val="0"/>
                                      <w:marRight w:val="0"/>
                                      <w:marTop w:val="0"/>
                                      <w:marBottom w:val="0"/>
                                      <w:divBdr>
                                        <w:top w:val="none" w:sz="0" w:space="0" w:color="auto"/>
                                        <w:left w:val="none" w:sz="0" w:space="0" w:color="auto"/>
                                        <w:bottom w:val="none" w:sz="0" w:space="0" w:color="auto"/>
                                        <w:right w:val="none" w:sz="0" w:space="0" w:color="auto"/>
                                      </w:divBdr>
                                      <w:divsChild>
                                        <w:div w:id="819888121">
                                          <w:marLeft w:val="0"/>
                                          <w:marRight w:val="0"/>
                                          <w:marTop w:val="0"/>
                                          <w:marBottom w:val="0"/>
                                          <w:divBdr>
                                            <w:top w:val="none" w:sz="0" w:space="0" w:color="auto"/>
                                            <w:left w:val="none" w:sz="0" w:space="0" w:color="auto"/>
                                            <w:bottom w:val="none" w:sz="0" w:space="0" w:color="auto"/>
                                            <w:right w:val="none" w:sz="0" w:space="0" w:color="auto"/>
                                          </w:divBdr>
                                        </w:div>
                                        <w:div w:id="19189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12244">
                      <w:marLeft w:val="0"/>
                      <w:marRight w:val="0"/>
                      <w:marTop w:val="0"/>
                      <w:marBottom w:val="0"/>
                      <w:divBdr>
                        <w:top w:val="none" w:sz="0" w:space="0" w:color="auto"/>
                        <w:left w:val="none" w:sz="0" w:space="0" w:color="auto"/>
                        <w:bottom w:val="none" w:sz="0" w:space="0" w:color="auto"/>
                        <w:right w:val="none" w:sz="0" w:space="0" w:color="auto"/>
                      </w:divBdr>
                      <w:divsChild>
                        <w:div w:id="20471012">
                          <w:marLeft w:val="0"/>
                          <w:marRight w:val="0"/>
                          <w:marTop w:val="0"/>
                          <w:marBottom w:val="0"/>
                          <w:divBdr>
                            <w:top w:val="none" w:sz="0" w:space="0" w:color="auto"/>
                            <w:left w:val="none" w:sz="0" w:space="0" w:color="auto"/>
                            <w:bottom w:val="none" w:sz="0" w:space="0" w:color="auto"/>
                            <w:right w:val="none" w:sz="0" w:space="0" w:color="auto"/>
                          </w:divBdr>
                        </w:div>
                        <w:div w:id="58215471">
                          <w:marLeft w:val="0"/>
                          <w:marRight w:val="0"/>
                          <w:marTop w:val="0"/>
                          <w:marBottom w:val="0"/>
                          <w:divBdr>
                            <w:top w:val="none" w:sz="0" w:space="0" w:color="auto"/>
                            <w:left w:val="none" w:sz="0" w:space="0" w:color="auto"/>
                            <w:bottom w:val="none" w:sz="0" w:space="0" w:color="auto"/>
                            <w:right w:val="none" w:sz="0" w:space="0" w:color="auto"/>
                          </w:divBdr>
                          <w:divsChild>
                            <w:div w:id="1057053058">
                              <w:marLeft w:val="0"/>
                              <w:marRight w:val="0"/>
                              <w:marTop w:val="0"/>
                              <w:marBottom w:val="0"/>
                              <w:divBdr>
                                <w:top w:val="none" w:sz="0" w:space="0" w:color="auto"/>
                                <w:left w:val="none" w:sz="0" w:space="0" w:color="auto"/>
                                <w:bottom w:val="none" w:sz="0" w:space="0" w:color="auto"/>
                                <w:right w:val="none" w:sz="0" w:space="0" w:color="auto"/>
                              </w:divBdr>
                            </w:div>
                          </w:divsChild>
                        </w:div>
                        <w:div w:id="74669379">
                          <w:marLeft w:val="0"/>
                          <w:marRight w:val="0"/>
                          <w:marTop w:val="0"/>
                          <w:marBottom w:val="0"/>
                          <w:divBdr>
                            <w:top w:val="none" w:sz="0" w:space="0" w:color="auto"/>
                            <w:left w:val="none" w:sz="0" w:space="0" w:color="auto"/>
                            <w:bottom w:val="none" w:sz="0" w:space="0" w:color="auto"/>
                            <w:right w:val="none" w:sz="0" w:space="0" w:color="auto"/>
                          </w:divBdr>
                        </w:div>
                        <w:div w:id="156000913">
                          <w:marLeft w:val="0"/>
                          <w:marRight w:val="0"/>
                          <w:marTop w:val="0"/>
                          <w:marBottom w:val="0"/>
                          <w:divBdr>
                            <w:top w:val="none" w:sz="0" w:space="0" w:color="auto"/>
                            <w:left w:val="none" w:sz="0" w:space="0" w:color="auto"/>
                            <w:bottom w:val="none" w:sz="0" w:space="0" w:color="auto"/>
                            <w:right w:val="none" w:sz="0" w:space="0" w:color="auto"/>
                          </w:divBdr>
                        </w:div>
                        <w:div w:id="274942064">
                          <w:marLeft w:val="0"/>
                          <w:marRight w:val="0"/>
                          <w:marTop w:val="0"/>
                          <w:marBottom w:val="0"/>
                          <w:divBdr>
                            <w:top w:val="none" w:sz="0" w:space="0" w:color="auto"/>
                            <w:left w:val="none" w:sz="0" w:space="0" w:color="auto"/>
                            <w:bottom w:val="none" w:sz="0" w:space="0" w:color="auto"/>
                            <w:right w:val="none" w:sz="0" w:space="0" w:color="auto"/>
                          </w:divBdr>
                          <w:divsChild>
                            <w:div w:id="753085909">
                              <w:marLeft w:val="0"/>
                              <w:marRight w:val="0"/>
                              <w:marTop w:val="0"/>
                              <w:marBottom w:val="0"/>
                              <w:divBdr>
                                <w:top w:val="none" w:sz="0" w:space="0" w:color="auto"/>
                                <w:left w:val="none" w:sz="0" w:space="0" w:color="auto"/>
                                <w:bottom w:val="none" w:sz="0" w:space="0" w:color="auto"/>
                                <w:right w:val="none" w:sz="0" w:space="0" w:color="auto"/>
                              </w:divBdr>
                            </w:div>
                            <w:div w:id="964505281">
                              <w:marLeft w:val="0"/>
                              <w:marRight w:val="0"/>
                              <w:marTop w:val="0"/>
                              <w:marBottom w:val="0"/>
                              <w:divBdr>
                                <w:top w:val="none" w:sz="0" w:space="0" w:color="auto"/>
                                <w:left w:val="none" w:sz="0" w:space="0" w:color="auto"/>
                                <w:bottom w:val="none" w:sz="0" w:space="0" w:color="auto"/>
                                <w:right w:val="none" w:sz="0" w:space="0" w:color="auto"/>
                              </w:divBdr>
                            </w:div>
                            <w:div w:id="1688677580">
                              <w:marLeft w:val="0"/>
                              <w:marRight w:val="0"/>
                              <w:marTop w:val="0"/>
                              <w:marBottom w:val="0"/>
                              <w:divBdr>
                                <w:top w:val="none" w:sz="0" w:space="0" w:color="auto"/>
                                <w:left w:val="none" w:sz="0" w:space="0" w:color="auto"/>
                                <w:bottom w:val="none" w:sz="0" w:space="0" w:color="auto"/>
                                <w:right w:val="none" w:sz="0" w:space="0" w:color="auto"/>
                              </w:divBdr>
                            </w:div>
                          </w:divsChild>
                        </w:div>
                        <w:div w:id="620846190">
                          <w:marLeft w:val="0"/>
                          <w:marRight w:val="0"/>
                          <w:marTop w:val="0"/>
                          <w:marBottom w:val="0"/>
                          <w:divBdr>
                            <w:top w:val="none" w:sz="0" w:space="0" w:color="auto"/>
                            <w:left w:val="none" w:sz="0" w:space="0" w:color="auto"/>
                            <w:bottom w:val="none" w:sz="0" w:space="0" w:color="auto"/>
                            <w:right w:val="none" w:sz="0" w:space="0" w:color="auto"/>
                          </w:divBdr>
                        </w:div>
                        <w:div w:id="883372615">
                          <w:marLeft w:val="0"/>
                          <w:marRight w:val="0"/>
                          <w:marTop w:val="0"/>
                          <w:marBottom w:val="0"/>
                          <w:divBdr>
                            <w:top w:val="none" w:sz="0" w:space="0" w:color="auto"/>
                            <w:left w:val="none" w:sz="0" w:space="0" w:color="auto"/>
                            <w:bottom w:val="none" w:sz="0" w:space="0" w:color="auto"/>
                            <w:right w:val="none" w:sz="0" w:space="0" w:color="auto"/>
                          </w:divBdr>
                        </w:div>
                        <w:div w:id="890308907">
                          <w:marLeft w:val="0"/>
                          <w:marRight w:val="0"/>
                          <w:marTop w:val="0"/>
                          <w:marBottom w:val="0"/>
                          <w:divBdr>
                            <w:top w:val="none" w:sz="0" w:space="0" w:color="auto"/>
                            <w:left w:val="none" w:sz="0" w:space="0" w:color="auto"/>
                            <w:bottom w:val="none" w:sz="0" w:space="0" w:color="auto"/>
                            <w:right w:val="none" w:sz="0" w:space="0" w:color="auto"/>
                          </w:divBdr>
                          <w:divsChild>
                            <w:div w:id="1501699629">
                              <w:marLeft w:val="0"/>
                              <w:marRight w:val="0"/>
                              <w:marTop w:val="0"/>
                              <w:marBottom w:val="0"/>
                              <w:divBdr>
                                <w:top w:val="none" w:sz="0" w:space="0" w:color="auto"/>
                                <w:left w:val="none" w:sz="0" w:space="0" w:color="auto"/>
                                <w:bottom w:val="none" w:sz="0" w:space="0" w:color="auto"/>
                                <w:right w:val="none" w:sz="0" w:space="0" w:color="auto"/>
                              </w:divBdr>
                            </w:div>
                          </w:divsChild>
                        </w:div>
                        <w:div w:id="1437559834">
                          <w:marLeft w:val="0"/>
                          <w:marRight w:val="0"/>
                          <w:marTop w:val="0"/>
                          <w:marBottom w:val="0"/>
                          <w:divBdr>
                            <w:top w:val="none" w:sz="0" w:space="0" w:color="auto"/>
                            <w:left w:val="none" w:sz="0" w:space="0" w:color="auto"/>
                            <w:bottom w:val="none" w:sz="0" w:space="0" w:color="auto"/>
                            <w:right w:val="none" w:sz="0" w:space="0" w:color="auto"/>
                          </w:divBdr>
                        </w:div>
                        <w:div w:id="1440904339">
                          <w:marLeft w:val="0"/>
                          <w:marRight w:val="0"/>
                          <w:marTop w:val="0"/>
                          <w:marBottom w:val="0"/>
                          <w:divBdr>
                            <w:top w:val="none" w:sz="0" w:space="0" w:color="auto"/>
                            <w:left w:val="none" w:sz="0" w:space="0" w:color="auto"/>
                            <w:bottom w:val="none" w:sz="0" w:space="0" w:color="auto"/>
                            <w:right w:val="none" w:sz="0" w:space="0" w:color="auto"/>
                          </w:divBdr>
                        </w:div>
                        <w:div w:id="1560751403">
                          <w:marLeft w:val="0"/>
                          <w:marRight w:val="0"/>
                          <w:marTop w:val="0"/>
                          <w:marBottom w:val="0"/>
                          <w:divBdr>
                            <w:top w:val="none" w:sz="0" w:space="0" w:color="auto"/>
                            <w:left w:val="none" w:sz="0" w:space="0" w:color="auto"/>
                            <w:bottom w:val="none" w:sz="0" w:space="0" w:color="auto"/>
                            <w:right w:val="none" w:sz="0" w:space="0" w:color="auto"/>
                          </w:divBdr>
                        </w:div>
                        <w:div w:id="1833058878">
                          <w:marLeft w:val="0"/>
                          <w:marRight w:val="0"/>
                          <w:marTop w:val="0"/>
                          <w:marBottom w:val="0"/>
                          <w:divBdr>
                            <w:top w:val="none" w:sz="0" w:space="0" w:color="auto"/>
                            <w:left w:val="none" w:sz="0" w:space="0" w:color="auto"/>
                            <w:bottom w:val="none" w:sz="0" w:space="0" w:color="auto"/>
                            <w:right w:val="none" w:sz="0" w:space="0" w:color="auto"/>
                          </w:divBdr>
                          <w:divsChild>
                            <w:div w:id="303896540">
                              <w:marLeft w:val="0"/>
                              <w:marRight w:val="0"/>
                              <w:marTop w:val="0"/>
                              <w:marBottom w:val="0"/>
                              <w:divBdr>
                                <w:top w:val="none" w:sz="0" w:space="0" w:color="auto"/>
                                <w:left w:val="none" w:sz="0" w:space="0" w:color="auto"/>
                                <w:bottom w:val="none" w:sz="0" w:space="0" w:color="auto"/>
                                <w:right w:val="none" w:sz="0" w:space="0" w:color="auto"/>
                              </w:divBdr>
                            </w:div>
                          </w:divsChild>
                        </w:div>
                        <w:div w:id="1885213906">
                          <w:marLeft w:val="0"/>
                          <w:marRight w:val="0"/>
                          <w:marTop w:val="0"/>
                          <w:marBottom w:val="0"/>
                          <w:divBdr>
                            <w:top w:val="none" w:sz="0" w:space="0" w:color="auto"/>
                            <w:left w:val="none" w:sz="0" w:space="0" w:color="auto"/>
                            <w:bottom w:val="none" w:sz="0" w:space="0" w:color="auto"/>
                            <w:right w:val="none" w:sz="0" w:space="0" w:color="auto"/>
                          </w:divBdr>
                        </w:div>
                        <w:div w:id="20954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82182">
              <w:marLeft w:val="0"/>
              <w:marRight w:val="0"/>
              <w:marTop w:val="0"/>
              <w:marBottom w:val="0"/>
              <w:divBdr>
                <w:top w:val="none" w:sz="0" w:space="0" w:color="auto"/>
                <w:left w:val="none" w:sz="0" w:space="0" w:color="auto"/>
                <w:bottom w:val="none" w:sz="0" w:space="0" w:color="auto"/>
                <w:right w:val="none" w:sz="0" w:space="0" w:color="auto"/>
              </w:divBdr>
              <w:divsChild>
                <w:div w:id="567108475">
                  <w:marLeft w:val="0"/>
                  <w:marRight w:val="0"/>
                  <w:marTop w:val="0"/>
                  <w:marBottom w:val="0"/>
                  <w:divBdr>
                    <w:top w:val="none" w:sz="0" w:space="0" w:color="auto"/>
                    <w:left w:val="none" w:sz="0" w:space="0" w:color="auto"/>
                    <w:bottom w:val="none" w:sz="0" w:space="0" w:color="auto"/>
                    <w:right w:val="none" w:sz="0" w:space="0" w:color="auto"/>
                  </w:divBdr>
                </w:div>
                <w:div w:id="20292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1548">
      <w:bodyDiv w:val="1"/>
      <w:marLeft w:val="0"/>
      <w:marRight w:val="0"/>
      <w:marTop w:val="0"/>
      <w:marBottom w:val="0"/>
      <w:divBdr>
        <w:top w:val="none" w:sz="0" w:space="0" w:color="auto"/>
        <w:left w:val="none" w:sz="0" w:space="0" w:color="auto"/>
        <w:bottom w:val="none" w:sz="0" w:space="0" w:color="auto"/>
        <w:right w:val="none" w:sz="0" w:space="0" w:color="auto"/>
      </w:divBdr>
    </w:div>
    <w:div w:id="1589852457">
      <w:bodyDiv w:val="1"/>
      <w:marLeft w:val="0"/>
      <w:marRight w:val="0"/>
      <w:marTop w:val="0"/>
      <w:marBottom w:val="0"/>
      <w:divBdr>
        <w:top w:val="none" w:sz="0" w:space="0" w:color="auto"/>
        <w:left w:val="none" w:sz="0" w:space="0" w:color="auto"/>
        <w:bottom w:val="none" w:sz="0" w:space="0" w:color="auto"/>
        <w:right w:val="none" w:sz="0" w:space="0" w:color="auto"/>
      </w:divBdr>
    </w:div>
    <w:div w:id="1593781382">
      <w:bodyDiv w:val="1"/>
      <w:marLeft w:val="0"/>
      <w:marRight w:val="0"/>
      <w:marTop w:val="0"/>
      <w:marBottom w:val="0"/>
      <w:divBdr>
        <w:top w:val="none" w:sz="0" w:space="0" w:color="auto"/>
        <w:left w:val="none" w:sz="0" w:space="0" w:color="auto"/>
        <w:bottom w:val="none" w:sz="0" w:space="0" w:color="auto"/>
        <w:right w:val="none" w:sz="0" w:space="0" w:color="auto"/>
      </w:divBdr>
    </w:div>
    <w:div w:id="1607541711">
      <w:bodyDiv w:val="1"/>
      <w:marLeft w:val="0"/>
      <w:marRight w:val="0"/>
      <w:marTop w:val="0"/>
      <w:marBottom w:val="0"/>
      <w:divBdr>
        <w:top w:val="none" w:sz="0" w:space="0" w:color="auto"/>
        <w:left w:val="none" w:sz="0" w:space="0" w:color="auto"/>
        <w:bottom w:val="none" w:sz="0" w:space="0" w:color="auto"/>
        <w:right w:val="none" w:sz="0" w:space="0" w:color="auto"/>
      </w:divBdr>
      <w:divsChild>
        <w:div w:id="91904429">
          <w:marLeft w:val="1166"/>
          <w:marRight w:val="0"/>
          <w:marTop w:val="0"/>
          <w:marBottom w:val="0"/>
          <w:divBdr>
            <w:top w:val="none" w:sz="0" w:space="0" w:color="auto"/>
            <w:left w:val="none" w:sz="0" w:space="0" w:color="auto"/>
            <w:bottom w:val="none" w:sz="0" w:space="0" w:color="auto"/>
            <w:right w:val="none" w:sz="0" w:space="0" w:color="auto"/>
          </w:divBdr>
        </w:div>
      </w:divsChild>
    </w:div>
    <w:div w:id="1614899636">
      <w:bodyDiv w:val="1"/>
      <w:marLeft w:val="0"/>
      <w:marRight w:val="0"/>
      <w:marTop w:val="0"/>
      <w:marBottom w:val="0"/>
      <w:divBdr>
        <w:top w:val="none" w:sz="0" w:space="0" w:color="auto"/>
        <w:left w:val="none" w:sz="0" w:space="0" w:color="auto"/>
        <w:bottom w:val="none" w:sz="0" w:space="0" w:color="auto"/>
        <w:right w:val="none" w:sz="0" w:space="0" w:color="auto"/>
      </w:divBdr>
    </w:div>
    <w:div w:id="1615941028">
      <w:bodyDiv w:val="1"/>
      <w:marLeft w:val="0"/>
      <w:marRight w:val="0"/>
      <w:marTop w:val="0"/>
      <w:marBottom w:val="0"/>
      <w:divBdr>
        <w:top w:val="none" w:sz="0" w:space="0" w:color="auto"/>
        <w:left w:val="none" w:sz="0" w:space="0" w:color="auto"/>
        <w:bottom w:val="none" w:sz="0" w:space="0" w:color="auto"/>
        <w:right w:val="none" w:sz="0" w:space="0" w:color="auto"/>
      </w:divBdr>
    </w:div>
    <w:div w:id="1620335227">
      <w:bodyDiv w:val="1"/>
      <w:marLeft w:val="0"/>
      <w:marRight w:val="0"/>
      <w:marTop w:val="0"/>
      <w:marBottom w:val="0"/>
      <w:divBdr>
        <w:top w:val="none" w:sz="0" w:space="0" w:color="auto"/>
        <w:left w:val="none" w:sz="0" w:space="0" w:color="auto"/>
        <w:bottom w:val="none" w:sz="0" w:space="0" w:color="auto"/>
        <w:right w:val="none" w:sz="0" w:space="0" w:color="auto"/>
      </w:divBdr>
      <w:divsChild>
        <w:div w:id="599879010">
          <w:marLeft w:val="547"/>
          <w:marRight w:val="0"/>
          <w:marTop w:val="240"/>
          <w:marBottom w:val="0"/>
          <w:divBdr>
            <w:top w:val="none" w:sz="0" w:space="0" w:color="auto"/>
            <w:left w:val="none" w:sz="0" w:space="0" w:color="auto"/>
            <w:bottom w:val="none" w:sz="0" w:space="0" w:color="auto"/>
            <w:right w:val="none" w:sz="0" w:space="0" w:color="auto"/>
          </w:divBdr>
        </w:div>
      </w:divsChild>
    </w:div>
    <w:div w:id="1646163347">
      <w:bodyDiv w:val="1"/>
      <w:marLeft w:val="0"/>
      <w:marRight w:val="0"/>
      <w:marTop w:val="0"/>
      <w:marBottom w:val="0"/>
      <w:divBdr>
        <w:top w:val="none" w:sz="0" w:space="0" w:color="auto"/>
        <w:left w:val="none" w:sz="0" w:space="0" w:color="auto"/>
        <w:bottom w:val="none" w:sz="0" w:space="0" w:color="auto"/>
        <w:right w:val="none" w:sz="0" w:space="0" w:color="auto"/>
      </w:divBdr>
    </w:div>
    <w:div w:id="1653673798">
      <w:marLeft w:val="0"/>
      <w:marRight w:val="0"/>
      <w:marTop w:val="0"/>
      <w:marBottom w:val="0"/>
      <w:divBdr>
        <w:top w:val="none" w:sz="0" w:space="0" w:color="auto"/>
        <w:left w:val="none" w:sz="0" w:space="0" w:color="auto"/>
        <w:bottom w:val="none" w:sz="0" w:space="0" w:color="auto"/>
        <w:right w:val="none" w:sz="0" w:space="0" w:color="auto"/>
      </w:divBdr>
      <w:divsChild>
        <w:div w:id="1303584886">
          <w:marLeft w:val="0"/>
          <w:marRight w:val="0"/>
          <w:marTop w:val="0"/>
          <w:marBottom w:val="0"/>
          <w:divBdr>
            <w:top w:val="none" w:sz="0" w:space="0" w:color="auto"/>
            <w:left w:val="none" w:sz="0" w:space="0" w:color="auto"/>
            <w:bottom w:val="none" w:sz="0" w:space="0" w:color="auto"/>
            <w:right w:val="none" w:sz="0" w:space="0" w:color="auto"/>
          </w:divBdr>
          <w:divsChild>
            <w:div w:id="127476574">
              <w:marLeft w:val="0"/>
              <w:marRight w:val="0"/>
              <w:marTop w:val="0"/>
              <w:marBottom w:val="0"/>
              <w:divBdr>
                <w:top w:val="none" w:sz="0" w:space="0" w:color="auto"/>
                <w:left w:val="none" w:sz="0" w:space="0" w:color="auto"/>
                <w:bottom w:val="none" w:sz="0" w:space="0" w:color="auto"/>
                <w:right w:val="none" w:sz="0" w:space="0" w:color="auto"/>
              </w:divBdr>
              <w:divsChild>
                <w:div w:id="313265750">
                  <w:marLeft w:val="0"/>
                  <w:marRight w:val="0"/>
                  <w:marTop w:val="0"/>
                  <w:marBottom w:val="0"/>
                  <w:divBdr>
                    <w:top w:val="none" w:sz="0" w:space="0" w:color="auto"/>
                    <w:left w:val="none" w:sz="0" w:space="0" w:color="auto"/>
                    <w:bottom w:val="none" w:sz="0" w:space="0" w:color="auto"/>
                    <w:right w:val="none" w:sz="0" w:space="0" w:color="auto"/>
                  </w:divBdr>
                  <w:divsChild>
                    <w:div w:id="838082268">
                      <w:marLeft w:val="0"/>
                      <w:marRight w:val="0"/>
                      <w:marTop w:val="0"/>
                      <w:marBottom w:val="0"/>
                      <w:divBdr>
                        <w:top w:val="none" w:sz="0" w:space="0" w:color="auto"/>
                        <w:left w:val="none" w:sz="0" w:space="0" w:color="auto"/>
                        <w:bottom w:val="none" w:sz="0" w:space="0" w:color="auto"/>
                        <w:right w:val="none" w:sz="0" w:space="0" w:color="auto"/>
                      </w:divBdr>
                    </w:div>
                    <w:div w:id="1662811375">
                      <w:marLeft w:val="0"/>
                      <w:marRight w:val="0"/>
                      <w:marTop w:val="0"/>
                      <w:marBottom w:val="0"/>
                      <w:divBdr>
                        <w:top w:val="none" w:sz="0" w:space="0" w:color="auto"/>
                        <w:left w:val="none" w:sz="0" w:space="0" w:color="auto"/>
                        <w:bottom w:val="none" w:sz="0" w:space="0" w:color="auto"/>
                        <w:right w:val="none" w:sz="0" w:space="0" w:color="auto"/>
                      </w:divBdr>
                      <w:divsChild>
                        <w:div w:id="594745955">
                          <w:marLeft w:val="0"/>
                          <w:marRight w:val="0"/>
                          <w:marTop w:val="0"/>
                          <w:marBottom w:val="0"/>
                          <w:divBdr>
                            <w:top w:val="none" w:sz="0" w:space="0" w:color="auto"/>
                            <w:left w:val="none" w:sz="0" w:space="0" w:color="auto"/>
                            <w:bottom w:val="none" w:sz="0" w:space="0" w:color="auto"/>
                            <w:right w:val="none" w:sz="0" w:space="0" w:color="auto"/>
                          </w:divBdr>
                        </w:div>
                        <w:div w:id="1394503940">
                          <w:marLeft w:val="0"/>
                          <w:marRight w:val="0"/>
                          <w:marTop w:val="0"/>
                          <w:marBottom w:val="0"/>
                          <w:divBdr>
                            <w:top w:val="none" w:sz="0" w:space="0" w:color="auto"/>
                            <w:left w:val="none" w:sz="0" w:space="0" w:color="auto"/>
                            <w:bottom w:val="none" w:sz="0" w:space="0" w:color="auto"/>
                            <w:right w:val="none" w:sz="0" w:space="0" w:color="auto"/>
                          </w:divBdr>
                        </w:div>
                      </w:divsChild>
                    </w:div>
                    <w:div w:id="1820488943">
                      <w:marLeft w:val="0"/>
                      <w:marRight w:val="0"/>
                      <w:marTop w:val="0"/>
                      <w:marBottom w:val="0"/>
                      <w:divBdr>
                        <w:top w:val="none" w:sz="0" w:space="0" w:color="auto"/>
                        <w:left w:val="none" w:sz="0" w:space="0" w:color="auto"/>
                        <w:bottom w:val="none" w:sz="0" w:space="0" w:color="auto"/>
                        <w:right w:val="none" w:sz="0" w:space="0" w:color="auto"/>
                      </w:divBdr>
                      <w:divsChild>
                        <w:div w:id="107815354">
                          <w:marLeft w:val="0"/>
                          <w:marRight w:val="0"/>
                          <w:marTop w:val="0"/>
                          <w:marBottom w:val="0"/>
                          <w:divBdr>
                            <w:top w:val="none" w:sz="0" w:space="0" w:color="auto"/>
                            <w:left w:val="none" w:sz="0" w:space="0" w:color="auto"/>
                            <w:bottom w:val="none" w:sz="0" w:space="0" w:color="auto"/>
                            <w:right w:val="none" w:sz="0" w:space="0" w:color="auto"/>
                          </w:divBdr>
                        </w:div>
                        <w:div w:id="737896862">
                          <w:marLeft w:val="0"/>
                          <w:marRight w:val="0"/>
                          <w:marTop w:val="0"/>
                          <w:marBottom w:val="0"/>
                          <w:divBdr>
                            <w:top w:val="none" w:sz="0" w:space="0" w:color="auto"/>
                            <w:left w:val="none" w:sz="0" w:space="0" w:color="auto"/>
                            <w:bottom w:val="none" w:sz="0" w:space="0" w:color="auto"/>
                            <w:right w:val="none" w:sz="0" w:space="0" w:color="auto"/>
                          </w:divBdr>
                        </w:div>
                        <w:div w:id="17890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2074">
                  <w:marLeft w:val="0"/>
                  <w:marRight w:val="0"/>
                  <w:marTop w:val="0"/>
                  <w:marBottom w:val="0"/>
                  <w:divBdr>
                    <w:top w:val="none" w:sz="0" w:space="0" w:color="auto"/>
                    <w:left w:val="none" w:sz="0" w:space="0" w:color="auto"/>
                    <w:bottom w:val="none" w:sz="0" w:space="0" w:color="auto"/>
                    <w:right w:val="none" w:sz="0" w:space="0" w:color="auto"/>
                  </w:divBdr>
                  <w:divsChild>
                    <w:div w:id="240607378">
                      <w:marLeft w:val="0"/>
                      <w:marRight w:val="0"/>
                      <w:marTop w:val="0"/>
                      <w:marBottom w:val="0"/>
                      <w:divBdr>
                        <w:top w:val="none" w:sz="0" w:space="0" w:color="auto"/>
                        <w:left w:val="none" w:sz="0" w:space="0" w:color="auto"/>
                        <w:bottom w:val="none" w:sz="0" w:space="0" w:color="auto"/>
                        <w:right w:val="none" w:sz="0" w:space="0" w:color="auto"/>
                      </w:divBdr>
                    </w:div>
                    <w:div w:id="766313420">
                      <w:marLeft w:val="0"/>
                      <w:marRight w:val="0"/>
                      <w:marTop w:val="0"/>
                      <w:marBottom w:val="0"/>
                      <w:divBdr>
                        <w:top w:val="none" w:sz="0" w:space="0" w:color="auto"/>
                        <w:left w:val="none" w:sz="0" w:space="0" w:color="auto"/>
                        <w:bottom w:val="none" w:sz="0" w:space="0" w:color="auto"/>
                        <w:right w:val="none" w:sz="0" w:space="0" w:color="auto"/>
                      </w:divBdr>
                    </w:div>
                    <w:div w:id="1490289875">
                      <w:marLeft w:val="0"/>
                      <w:marRight w:val="0"/>
                      <w:marTop w:val="0"/>
                      <w:marBottom w:val="0"/>
                      <w:divBdr>
                        <w:top w:val="none" w:sz="0" w:space="0" w:color="auto"/>
                        <w:left w:val="none" w:sz="0" w:space="0" w:color="auto"/>
                        <w:bottom w:val="none" w:sz="0" w:space="0" w:color="auto"/>
                        <w:right w:val="none" w:sz="0" w:space="0" w:color="auto"/>
                      </w:divBdr>
                      <w:divsChild>
                        <w:div w:id="164899445">
                          <w:marLeft w:val="0"/>
                          <w:marRight w:val="0"/>
                          <w:marTop w:val="0"/>
                          <w:marBottom w:val="0"/>
                          <w:divBdr>
                            <w:top w:val="none" w:sz="0" w:space="0" w:color="auto"/>
                            <w:left w:val="none" w:sz="0" w:space="0" w:color="auto"/>
                            <w:bottom w:val="none" w:sz="0" w:space="0" w:color="auto"/>
                            <w:right w:val="none" w:sz="0" w:space="0" w:color="auto"/>
                          </w:divBdr>
                        </w:div>
                        <w:div w:id="1693990939">
                          <w:marLeft w:val="0"/>
                          <w:marRight w:val="0"/>
                          <w:marTop w:val="0"/>
                          <w:marBottom w:val="0"/>
                          <w:divBdr>
                            <w:top w:val="none" w:sz="0" w:space="0" w:color="auto"/>
                            <w:left w:val="none" w:sz="0" w:space="0" w:color="auto"/>
                            <w:bottom w:val="none" w:sz="0" w:space="0" w:color="auto"/>
                            <w:right w:val="none" w:sz="0" w:space="0" w:color="auto"/>
                          </w:divBdr>
                        </w:div>
                      </w:divsChild>
                    </w:div>
                    <w:div w:id="15121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2514">
      <w:bodyDiv w:val="1"/>
      <w:marLeft w:val="0"/>
      <w:marRight w:val="0"/>
      <w:marTop w:val="0"/>
      <w:marBottom w:val="0"/>
      <w:divBdr>
        <w:top w:val="none" w:sz="0" w:space="0" w:color="auto"/>
        <w:left w:val="none" w:sz="0" w:space="0" w:color="auto"/>
        <w:bottom w:val="none" w:sz="0" w:space="0" w:color="auto"/>
        <w:right w:val="none" w:sz="0" w:space="0" w:color="auto"/>
      </w:divBdr>
    </w:div>
    <w:div w:id="1662351582">
      <w:bodyDiv w:val="1"/>
      <w:marLeft w:val="0"/>
      <w:marRight w:val="0"/>
      <w:marTop w:val="0"/>
      <w:marBottom w:val="0"/>
      <w:divBdr>
        <w:top w:val="none" w:sz="0" w:space="0" w:color="auto"/>
        <w:left w:val="none" w:sz="0" w:space="0" w:color="auto"/>
        <w:bottom w:val="none" w:sz="0" w:space="0" w:color="auto"/>
        <w:right w:val="none" w:sz="0" w:space="0" w:color="auto"/>
      </w:divBdr>
    </w:div>
    <w:div w:id="1668442957">
      <w:bodyDiv w:val="1"/>
      <w:marLeft w:val="0"/>
      <w:marRight w:val="0"/>
      <w:marTop w:val="0"/>
      <w:marBottom w:val="0"/>
      <w:divBdr>
        <w:top w:val="none" w:sz="0" w:space="0" w:color="auto"/>
        <w:left w:val="none" w:sz="0" w:space="0" w:color="auto"/>
        <w:bottom w:val="none" w:sz="0" w:space="0" w:color="auto"/>
        <w:right w:val="none" w:sz="0" w:space="0" w:color="auto"/>
      </w:divBdr>
    </w:div>
    <w:div w:id="1673945268">
      <w:bodyDiv w:val="1"/>
      <w:marLeft w:val="0"/>
      <w:marRight w:val="0"/>
      <w:marTop w:val="0"/>
      <w:marBottom w:val="0"/>
      <w:divBdr>
        <w:top w:val="none" w:sz="0" w:space="0" w:color="auto"/>
        <w:left w:val="none" w:sz="0" w:space="0" w:color="auto"/>
        <w:bottom w:val="none" w:sz="0" w:space="0" w:color="auto"/>
        <w:right w:val="none" w:sz="0" w:space="0" w:color="auto"/>
      </w:divBdr>
    </w:div>
    <w:div w:id="1694648180">
      <w:bodyDiv w:val="1"/>
      <w:marLeft w:val="0"/>
      <w:marRight w:val="0"/>
      <w:marTop w:val="0"/>
      <w:marBottom w:val="0"/>
      <w:divBdr>
        <w:top w:val="none" w:sz="0" w:space="0" w:color="auto"/>
        <w:left w:val="none" w:sz="0" w:space="0" w:color="auto"/>
        <w:bottom w:val="none" w:sz="0" w:space="0" w:color="auto"/>
        <w:right w:val="none" w:sz="0" w:space="0" w:color="auto"/>
      </w:divBdr>
    </w:div>
    <w:div w:id="1716464588">
      <w:bodyDiv w:val="1"/>
      <w:marLeft w:val="0"/>
      <w:marRight w:val="0"/>
      <w:marTop w:val="0"/>
      <w:marBottom w:val="0"/>
      <w:divBdr>
        <w:top w:val="none" w:sz="0" w:space="0" w:color="auto"/>
        <w:left w:val="none" w:sz="0" w:space="0" w:color="auto"/>
        <w:bottom w:val="none" w:sz="0" w:space="0" w:color="auto"/>
        <w:right w:val="none" w:sz="0" w:space="0" w:color="auto"/>
      </w:divBdr>
      <w:divsChild>
        <w:div w:id="105126680">
          <w:marLeft w:val="1166"/>
          <w:marRight w:val="0"/>
          <w:marTop w:val="0"/>
          <w:marBottom w:val="0"/>
          <w:divBdr>
            <w:top w:val="none" w:sz="0" w:space="0" w:color="auto"/>
            <w:left w:val="none" w:sz="0" w:space="0" w:color="auto"/>
            <w:bottom w:val="none" w:sz="0" w:space="0" w:color="auto"/>
            <w:right w:val="none" w:sz="0" w:space="0" w:color="auto"/>
          </w:divBdr>
        </w:div>
        <w:div w:id="125271937">
          <w:marLeft w:val="547"/>
          <w:marRight w:val="0"/>
          <w:marTop w:val="240"/>
          <w:marBottom w:val="0"/>
          <w:divBdr>
            <w:top w:val="none" w:sz="0" w:space="0" w:color="auto"/>
            <w:left w:val="none" w:sz="0" w:space="0" w:color="auto"/>
            <w:bottom w:val="none" w:sz="0" w:space="0" w:color="auto"/>
            <w:right w:val="none" w:sz="0" w:space="0" w:color="auto"/>
          </w:divBdr>
        </w:div>
      </w:divsChild>
    </w:div>
    <w:div w:id="1717776897">
      <w:bodyDiv w:val="1"/>
      <w:marLeft w:val="0"/>
      <w:marRight w:val="0"/>
      <w:marTop w:val="0"/>
      <w:marBottom w:val="0"/>
      <w:divBdr>
        <w:top w:val="none" w:sz="0" w:space="0" w:color="auto"/>
        <w:left w:val="none" w:sz="0" w:space="0" w:color="auto"/>
        <w:bottom w:val="none" w:sz="0" w:space="0" w:color="auto"/>
        <w:right w:val="none" w:sz="0" w:space="0" w:color="auto"/>
      </w:divBdr>
    </w:div>
    <w:div w:id="1723752916">
      <w:bodyDiv w:val="1"/>
      <w:marLeft w:val="0"/>
      <w:marRight w:val="0"/>
      <w:marTop w:val="0"/>
      <w:marBottom w:val="0"/>
      <w:divBdr>
        <w:top w:val="none" w:sz="0" w:space="0" w:color="auto"/>
        <w:left w:val="none" w:sz="0" w:space="0" w:color="auto"/>
        <w:bottom w:val="none" w:sz="0" w:space="0" w:color="auto"/>
        <w:right w:val="none" w:sz="0" w:space="0" w:color="auto"/>
      </w:divBdr>
    </w:div>
    <w:div w:id="1726677847">
      <w:bodyDiv w:val="1"/>
      <w:marLeft w:val="0"/>
      <w:marRight w:val="0"/>
      <w:marTop w:val="0"/>
      <w:marBottom w:val="0"/>
      <w:divBdr>
        <w:top w:val="none" w:sz="0" w:space="0" w:color="auto"/>
        <w:left w:val="none" w:sz="0" w:space="0" w:color="auto"/>
        <w:bottom w:val="none" w:sz="0" w:space="0" w:color="auto"/>
        <w:right w:val="none" w:sz="0" w:space="0" w:color="auto"/>
      </w:divBdr>
    </w:div>
    <w:div w:id="1775051741">
      <w:bodyDiv w:val="1"/>
      <w:marLeft w:val="0"/>
      <w:marRight w:val="0"/>
      <w:marTop w:val="0"/>
      <w:marBottom w:val="0"/>
      <w:divBdr>
        <w:top w:val="none" w:sz="0" w:space="0" w:color="auto"/>
        <w:left w:val="none" w:sz="0" w:space="0" w:color="auto"/>
        <w:bottom w:val="none" w:sz="0" w:space="0" w:color="auto"/>
        <w:right w:val="none" w:sz="0" w:space="0" w:color="auto"/>
      </w:divBdr>
    </w:div>
    <w:div w:id="1784300841">
      <w:bodyDiv w:val="1"/>
      <w:marLeft w:val="0"/>
      <w:marRight w:val="0"/>
      <w:marTop w:val="0"/>
      <w:marBottom w:val="0"/>
      <w:divBdr>
        <w:top w:val="none" w:sz="0" w:space="0" w:color="auto"/>
        <w:left w:val="none" w:sz="0" w:space="0" w:color="auto"/>
        <w:bottom w:val="none" w:sz="0" w:space="0" w:color="auto"/>
        <w:right w:val="none" w:sz="0" w:space="0" w:color="auto"/>
      </w:divBdr>
    </w:div>
    <w:div w:id="1800226392">
      <w:bodyDiv w:val="1"/>
      <w:marLeft w:val="0"/>
      <w:marRight w:val="0"/>
      <w:marTop w:val="0"/>
      <w:marBottom w:val="0"/>
      <w:divBdr>
        <w:top w:val="none" w:sz="0" w:space="0" w:color="auto"/>
        <w:left w:val="none" w:sz="0" w:space="0" w:color="auto"/>
        <w:bottom w:val="none" w:sz="0" w:space="0" w:color="auto"/>
        <w:right w:val="none" w:sz="0" w:space="0" w:color="auto"/>
      </w:divBdr>
    </w:div>
    <w:div w:id="1800417076">
      <w:marLeft w:val="0"/>
      <w:marRight w:val="0"/>
      <w:marTop w:val="0"/>
      <w:marBottom w:val="0"/>
      <w:divBdr>
        <w:top w:val="none" w:sz="0" w:space="0" w:color="auto"/>
        <w:left w:val="none" w:sz="0" w:space="0" w:color="auto"/>
        <w:bottom w:val="none" w:sz="0" w:space="0" w:color="auto"/>
        <w:right w:val="none" w:sz="0" w:space="0" w:color="auto"/>
      </w:divBdr>
      <w:divsChild>
        <w:div w:id="69500515">
          <w:marLeft w:val="0"/>
          <w:marRight w:val="0"/>
          <w:marTop w:val="0"/>
          <w:marBottom w:val="0"/>
          <w:divBdr>
            <w:top w:val="none" w:sz="0" w:space="0" w:color="auto"/>
            <w:left w:val="none" w:sz="0" w:space="0" w:color="auto"/>
            <w:bottom w:val="none" w:sz="0" w:space="0" w:color="auto"/>
            <w:right w:val="none" w:sz="0" w:space="0" w:color="auto"/>
          </w:divBdr>
        </w:div>
        <w:div w:id="674529145">
          <w:marLeft w:val="0"/>
          <w:marRight w:val="0"/>
          <w:marTop w:val="0"/>
          <w:marBottom w:val="0"/>
          <w:divBdr>
            <w:top w:val="none" w:sz="0" w:space="0" w:color="auto"/>
            <w:left w:val="none" w:sz="0" w:space="0" w:color="auto"/>
            <w:bottom w:val="none" w:sz="0" w:space="0" w:color="auto"/>
            <w:right w:val="none" w:sz="0" w:space="0" w:color="auto"/>
          </w:divBdr>
          <w:divsChild>
            <w:div w:id="153109033">
              <w:marLeft w:val="0"/>
              <w:marRight w:val="0"/>
              <w:marTop w:val="0"/>
              <w:marBottom w:val="0"/>
              <w:divBdr>
                <w:top w:val="none" w:sz="0" w:space="0" w:color="auto"/>
                <w:left w:val="none" w:sz="0" w:space="0" w:color="auto"/>
                <w:bottom w:val="none" w:sz="0" w:space="0" w:color="auto"/>
                <w:right w:val="none" w:sz="0" w:space="0" w:color="auto"/>
              </w:divBdr>
            </w:div>
            <w:div w:id="870454737">
              <w:marLeft w:val="0"/>
              <w:marRight w:val="0"/>
              <w:marTop w:val="0"/>
              <w:marBottom w:val="0"/>
              <w:divBdr>
                <w:top w:val="none" w:sz="0" w:space="0" w:color="auto"/>
                <w:left w:val="none" w:sz="0" w:space="0" w:color="auto"/>
                <w:bottom w:val="none" w:sz="0" w:space="0" w:color="auto"/>
                <w:right w:val="none" w:sz="0" w:space="0" w:color="auto"/>
              </w:divBdr>
            </w:div>
            <w:div w:id="1778333174">
              <w:marLeft w:val="0"/>
              <w:marRight w:val="0"/>
              <w:marTop w:val="0"/>
              <w:marBottom w:val="0"/>
              <w:divBdr>
                <w:top w:val="none" w:sz="0" w:space="0" w:color="auto"/>
                <w:left w:val="none" w:sz="0" w:space="0" w:color="auto"/>
                <w:bottom w:val="none" w:sz="0" w:space="0" w:color="auto"/>
                <w:right w:val="none" w:sz="0" w:space="0" w:color="auto"/>
              </w:divBdr>
              <w:divsChild>
                <w:div w:id="10889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39913">
          <w:marLeft w:val="0"/>
          <w:marRight w:val="0"/>
          <w:marTop w:val="0"/>
          <w:marBottom w:val="0"/>
          <w:divBdr>
            <w:top w:val="none" w:sz="0" w:space="0" w:color="auto"/>
            <w:left w:val="none" w:sz="0" w:space="0" w:color="auto"/>
            <w:bottom w:val="none" w:sz="0" w:space="0" w:color="auto"/>
            <w:right w:val="none" w:sz="0" w:space="0" w:color="auto"/>
          </w:divBdr>
          <w:divsChild>
            <w:div w:id="958605517">
              <w:marLeft w:val="0"/>
              <w:marRight w:val="0"/>
              <w:marTop w:val="0"/>
              <w:marBottom w:val="0"/>
              <w:divBdr>
                <w:top w:val="none" w:sz="0" w:space="0" w:color="auto"/>
                <w:left w:val="none" w:sz="0" w:space="0" w:color="auto"/>
                <w:bottom w:val="none" w:sz="0" w:space="0" w:color="auto"/>
                <w:right w:val="none" w:sz="0" w:space="0" w:color="auto"/>
              </w:divBdr>
            </w:div>
            <w:div w:id="1520238594">
              <w:marLeft w:val="0"/>
              <w:marRight w:val="0"/>
              <w:marTop w:val="0"/>
              <w:marBottom w:val="0"/>
              <w:divBdr>
                <w:top w:val="none" w:sz="0" w:space="0" w:color="auto"/>
                <w:left w:val="none" w:sz="0" w:space="0" w:color="auto"/>
                <w:bottom w:val="none" w:sz="0" w:space="0" w:color="auto"/>
                <w:right w:val="none" w:sz="0" w:space="0" w:color="auto"/>
              </w:divBdr>
            </w:div>
            <w:div w:id="15278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881">
      <w:bodyDiv w:val="1"/>
      <w:marLeft w:val="0"/>
      <w:marRight w:val="0"/>
      <w:marTop w:val="0"/>
      <w:marBottom w:val="0"/>
      <w:divBdr>
        <w:top w:val="none" w:sz="0" w:space="0" w:color="auto"/>
        <w:left w:val="none" w:sz="0" w:space="0" w:color="auto"/>
        <w:bottom w:val="none" w:sz="0" w:space="0" w:color="auto"/>
        <w:right w:val="none" w:sz="0" w:space="0" w:color="auto"/>
      </w:divBdr>
    </w:div>
    <w:div w:id="1854684256">
      <w:bodyDiv w:val="1"/>
      <w:marLeft w:val="0"/>
      <w:marRight w:val="0"/>
      <w:marTop w:val="0"/>
      <w:marBottom w:val="0"/>
      <w:divBdr>
        <w:top w:val="none" w:sz="0" w:space="0" w:color="auto"/>
        <w:left w:val="none" w:sz="0" w:space="0" w:color="auto"/>
        <w:bottom w:val="none" w:sz="0" w:space="0" w:color="auto"/>
        <w:right w:val="none" w:sz="0" w:space="0" w:color="auto"/>
      </w:divBdr>
    </w:div>
    <w:div w:id="1858301648">
      <w:bodyDiv w:val="1"/>
      <w:marLeft w:val="0"/>
      <w:marRight w:val="0"/>
      <w:marTop w:val="0"/>
      <w:marBottom w:val="0"/>
      <w:divBdr>
        <w:top w:val="none" w:sz="0" w:space="0" w:color="auto"/>
        <w:left w:val="none" w:sz="0" w:space="0" w:color="auto"/>
        <w:bottom w:val="none" w:sz="0" w:space="0" w:color="auto"/>
        <w:right w:val="none" w:sz="0" w:space="0" w:color="auto"/>
      </w:divBdr>
    </w:div>
    <w:div w:id="1859342953">
      <w:bodyDiv w:val="1"/>
      <w:marLeft w:val="0"/>
      <w:marRight w:val="0"/>
      <w:marTop w:val="0"/>
      <w:marBottom w:val="0"/>
      <w:divBdr>
        <w:top w:val="none" w:sz="0" w:space="0" w:color="auto"/>
        <w:left w:val="none" w:sz="0" w:space="0" w:color="auto"/>
        <w:bottom w:val="none" w:sz="0" w:space="0" w:color="auto"/>
        <w:right w:val="none" w:sz="0" w:space="0" w:color="auto"/>
      </w:divBdr>
    </w:div>
    <w:div w:id="1865626995">
      <w:bodyDiv w:val="1"/>
      <w:marLeft w:val="0"/>
      <w:marRight w:val="0"/>
      <w:marTop w:val="0"/>
      <w:marBottom w:val="0"/>
      <w:divBdr>
        <w:top w:val="none" w:sz="0" w:space="0" w:color="auto"/>
        <w:left w:val="none" w:sz="0" w:space="0" w:color="auto"/>
        <w:bottom w:val="none" w:sz="0" w:space="0" w:color="auto"/>
        <w:right w:val="none" w:sz="0" w:space="0" w:color="auto"/>
      </w:divBdr>
    </w:div>
    <w:div w:id="1890266420">
      <w:bodyDiv w:val="1"/>
      <w:marLeft w:val="0"/>
      <w:marRight w:val="0"/>
      <w:marTop w:val="0"/>
      <w:marBottom w:val="0"/>
      <w:divBdr>
        <w:top w:val="none" w:sz="0" w:space="0" w:color="auto"/>
        <w:left w:val="none" w:sz="0" w:space="0" w:color="auto"/>
        <w:bottom w:val="none" w:sz="0" w:space="0" w:color="auto"/>
        <w:right w:val="none" w:sz="0" w:space="0" w:color="auto"/>
      </w:divBdr>
      <w:divsChild>
        <w:div w:id="390155520">
          <w:marLeft w:val="1166"/>
          <w:marRight w:val="0"/>
          <w:marTop w:val="0"/>
          <w:marBottom w:val="0"/>
          <w:divBdr>
            <w:top w:val="none" w:sz="0" w:space="0" w:color="auto"/>
            <w:left w:val="none" w:sz="0" w:space="0" w:color="auto"/>
            <w:bottom w:val="none" w:sz="0" w:space="0" w:color="auto"/>
            <w:right w:val="none" w:sz="0" w:space="0" w:color="auto"/>
          </w:divBdr>
        </w:div>
        <w:div w:id="747700725">
          <w:marLeft w:val="1166"/>
          <w:marRight w:val="0"/>
          <w:marTop w:val="0"/>
          <w:marBottom w:val="0"/>
          <w:divBdr>
            <w:top w:val="none" w:sz="0" w:space="0" w:color="auto"/>
            <w:left w:val="none" w:sz="0" w:space="0" w:color="auto"/>
            <w:bottom w:val="none" w:sz="0" w:space="0" w:color="auto"/>
            <w:right w:val="none" w:sz="0" w:space="0" w:color="auto"/>
          </w:divBdr>
        </w:div>
        <w:div w:id="1389650030">
          <w:marLeft w:val="1166"/>
          <w:marRight w:val="0"/>
          <w:marTop w:val="0"/>
          <w:marBottom w:val="0"/>
          <w:divBdr>
            <w:top w:val="none" w:sz="0" w:space="0" w:color="auto"/>
            <w:left w:val="none" w:sz="0" w:space="0" w:color="auto"/>
            <w:bottom w:val="none" w:sz="0" w:space="0" w:color="auto"/>
            <w:right w:val="none" w:sz="0" w:space="0" w:color="auto"/>
          </w:divBdr>
        </w:div>
        <w:div w:id="1971933932">
          <w:marLeft w:val="547"/>
          <w:marRight w:val="0"/>
          <w:marTop w:val="240"/>
          <w:marBottom w:val="0"/>
          <w:divBdr>
            <w:top w:val="none" w:sz="0" w:space="0" w:color="auto"/>
            <w:left w:val="none" w:sz="0" w:space="0" w:color="auto"/>
            <w:bottom w:val="none" w:sz="0" w:space="0" w:color="auto"/>
            <w:right w:val="none" w:sz="0" w:space="0" w:color="auto"/>
          </w:divBdr>
        </w:div>
      </w:divsChild>
    </w:div>
    <w:div w:id="1893619208">
      <w:bodyDiv w:val="1"/>
      <w:marLeft w:val="0"/>
      <w:marRight w:val="0"/>
      <w:marTop w:val="0"/>
      <w:marBottom w:val="0"/>
      <w:divBdr>
        <w:top w:val="none" w:sz="0" w:space="0" w:color="auto"/>
        <w:left w:val="none" w:sz="0" w:space="0" w:color="auto"/>
        <w:bottom w:val="none" w:sz="0" w:space="0" w:color="auto"/>
        <w:right w:val="none" w:sz="0" w:space="0" w:color="auto"/>
      </w:divBdr>
      <w:divsChild>
        <w:div w:id="1192302138">
          <w:marLeft w:val="547"/>
          <w:marRight w:val="0"/>
          <w:marTop w:val="0"/>
          <w:marBottom w:val="0"/>
          <w:divBdr>
            <w:top w:val="none" w:sz="0" w:space="0" w:color="auto"/>
            <w:left w:val="none" w:sz="0" w:space="0" w:color="auto"/>
            <w:bottom w:val="none" w:sz="0" w:space="0" w:color="auto"/>
            <w:right w:val="none" w:sz="0" w:space="0" w:color="auto"/>
          </w:divBdr>
        </w:div>
        <w:div w:id="1377315449">
          <w:marLeft w:val="547"/>
          <w:marRight w:val="0"/>
          <w:marTop w:val="0"/>
          <w:marBottom w:val="0"/>
          <w:divBdr>
            <w:top w:val="none" w:sz="0" w:space="0" w:color="auto"/>
            <w:left w:val="none" w:sz="0" w:space="0" w:color="auto"/>
            <w:bottom w:val="none" w:sz="0" w:space="0" w:color="auto"/>
            <w:right w:val="none" w:sz="0" w:space="0" w:color="auto"/>
          </w:divBdr>
        </w:div>
      </w:divsChild>
    </w:div>
    <w:div w:id="1896893760">
      <w:marLeft w:val="0"/>
      <w:marRight w:val="0"/>
      <w:marTop w:val="0"/>
      <w:marBottom w:val="0"/>
      <w:divBdr>
        <w:top w:val="none" w:sz="0" w:space="0" w:color="auto"/>
        <w:left w:val="none" w:sz="0" w:space="0" w:color="auto"/>
        <w:bottom w:val="none" w:sz="0" w:space="0" w:color="auto"/>
        <w:right w:val="none" w:sz="0" w:space="0" w:color="auto"/>
      </w:divBdr>
    </w:div>
    <w:div w:id="1901475609">
      <w:bodyDiv w:val="1"/>
      <w:marLeft w:val="0"/>
      <w:marRight w:val="0"/>
      <w:marTop w:val="0"/>
      <w:marBottom w:val="0"/>
      <w:divBdr>
        <w:top w:val="none" w:sz="0" w:space="0" w:color="auto"/>
        <w:left w:val="none" w:sz="0" w:space="0" w:color="auto"/>
        <w:bottom w:val="none" w:sz="0" w:space="0" w:color="auto"/>
        <w:right w:val="none" w:sz="0" w:space="0" w:color="auto"/>
      </w:divBdr>
      <w:divsChild>
        <w:div w:id="901983204">
          <w:marLeft w:val="547"/>
          <w:marRight w:val="0"/>
          <w:marTop w:val="120"/>
          <w:marBottom w:val="0"/>
          <w:divBdr>
            <w:top w:val="none" w:sz="0" w:space="0" w:color="auto"/>
            <w:left w:val="none" w:sz="0" w:space="0" w:color="auto"/>
            <w:bottom w:val="none" w:sz="0" w:space="0" w:color="auto"/>
            <w:right w:val="none" w:sz="0" w:space="0" w:color="auto"/>
          </w:divBdr>
        </w:div>
      </w:divsChild>
    </w:div>
    <w:div w:id="1909683223">
      <w:bodyDiv w:val="1"/>
      <w:marLeft w:val="0"/>
      <w:marRight w:val="0"/>
      <w:marTop w:val="0"/>
      <w:marBottom w:val="0"/>
      <w:divBdr>
        <w:top w:val="none" w:sz="0" w:space="0" w:color="auto"/>
        <w:left w:val="none" w:sz="0" w:space="0" w:color="auto"/>
        <w:bottom w:val="none" w:sz="0" w:space="0" w:color="auto"/>
        <w:right w:val="none" w:sz="0" w:space="0" w:color="auto"/>
      </w:divBdr>
      <w:divsChild>
        <w:div w:id="248126112">
          <w:marLeft w:val="1166"/>
          <w:marRight w:val="0"/>
          <w:marTop w:val="0"/>
          <w:marBottom w:val="0"/>
          <w:divBdr>
            <w:top w:val="none" w:sz="0" w:space="0" w:color="auto"/>
            <w:left w:val="none" w:sz="0" w:space="0" w:color="auto"/>
            <w:bottom w:val="none" w:sz="0" w:space="0" w:color="auto"/>
            <w:right w:val="none" w:sz="0" w:space="0" w:color="auto"/>
          </w:divBdr>
        </w:div>
        <w:div w:id="367143205">
          <w:marLeft w:val="547"/>
          <w:marRight w:val="0"/>
          <w:marTop w:val="240"/>
          <w:marBottom w:val="0"/>
          <w:divBdr>
            <w:top w:val="none" w:sz="0" w:space="0" w:color="auto"/>
            <w:left w:val="none" w:sz="0" w:space="0" w:color="auto"/>
            <w:bottom w:val="none" w:sz="0" w:space="0" w:color="auto"/>
            <w:right w:val="none" w:sz="0" w:space="0" w:color="auto"/>
          </w:divBdr>
        </w:div>
        <w:div w:id="1133795160">
          <w:marLeft w:val="1166"/>
          <w:marRight w:val="0"/>
          <w:marTop w:val="0"/>
          <w:marBottom w:val="0"/>
          <w:divBdr>
            <w:top w:val="none" w:sz="0" w:space="0" w:color="auto"/>
            <w:left w:val="none" w:sz="0" w:space="0" w:color="auto"/>
            <w:bottom w:val="none" w:sz="0" w:space="0" w:color="auto"/>
            <w:right w:val="none" w:sz="0" w:space="0" w:color="auto"/>
          </w:divBdr>
        </w:div>
        <w:div w:id="1567372917">
          <w:marLeft w:val="547"/>
          <w:marRight w:val="0"/>
          <w:marTop w:val="240"/>
          <w:marBottom w:val="0"/>
          <w:divBdr>
            <w:top w:val="none" w:sz="0" w:space="0" w:color="auto"/>
            <w:left w:val="none" w:sz="0" w:space="0" w:color="auto"/>
            <w:bottom w:val="none" w:sz="0" w:space="0" w:color="auto"/>
            <w:right w:val="none" w:sz="0" w:space="0" w:color="auto"/>
          </w:divBdr>
        </w:div>
        <w:div w:id="1920865791">
          <w:marLeft w:val="547"/>
          <w:marRight w:val="0"/>
          <w:marTop w:val="240"/>
          <w:marBottom w:val="0"/>
          <w:divBdr>
            <w:top w:val="none" w:sz="0" w:space="0" w:color="auto"/>
            <w:left w:val="none" w:sz="0" w:space="0" w:color="auto"/>
            <w:bottom w:val="none" w:sz="0" w:space="0" w:color="auto"/>
            <w:right w:val="none" w:sz="0" w:space="0" w:color="auto"/>
          </w:divBdr>
        </w:div>
      </w:divsChild>
    </w:div>
    <w:div w:id="1913275857">
      <w:bodyDiv w:val="1"/>
      <w:marLeft w:val="0"/>
      <w:marRight w:val="0"/>
      <w:marTop w:val="0"/>
      <w:marBottom w:val="0"/>
      <w:divBdr>
        <w:top w:val="none" w:sz="0" w:space="0" w:color="auto"/>
        <w:left w:val="none" w:sz="0" w:space="0" w:color="auto"/>
        <w:bottom w:val="none" w:sz="0" w:space="0" w:color="auto"/>
        <w:right w:val="none" w:sz="0" w:space="0" w:color="auto"/>
      </w:divBdr>
    </w:div>
    <w:div w:id="1936088325">
      <w:bodyDiv w:val="1"/>
      <w:marLeft w:val="0"/>
      <w:marRight w:val="0"/>
      <w:marTop w:val="0"/>
      <w:marBottom w:val="0"/>
      <w:divBdr>
        <w:top w:val="none" w:sz="0" w:space="0" w:color="auto"/>
        <w:left w:val="none" w:sz="0" w:space="0" w:color="auto"/>
        <w:bottom w:val="none" w:sz="0" w:space="0" w:color="auto"/>
        <w:right w:val="none" w:sz="0" w:space="0" w:color="auto"/>
      </w:divBdr>
    </w:div>
    <w:div w:id="1937328523">
      <w:bodyDiv w:val="1"/>
      <w:marLeft w:val="0"/>
      <w:marRight w:val="0"/>
      <w:marTop w:val="0"/>
      <w:marBottom w:val="0"/>
      <w:divBdr>
        <w:top w:val="none" w:sz="0" w:space="0" w:color="auto"/>
        <w:left w:val="none" w:sz="0" w:space="0" w:color="auto"/>
        <w:bottom w:val="none" w:sz="0" w:space="0" w:color="auto"/>
        <w:right w:val="none" w:sz="0" w:space="0" w:color="auto"/>
      </w:divBdr>
      <w:divsChild>
        <w:div w:id="479271276">
          <w:marLeft w:val="547"/>
          <w:marRight w:val="0"/>
          <w:marTop w:val="240"/>
          <w:marBottom w:val="0"/>
          <w:divBdr>
            <w:top w:val="none" w:sz="0" w:space="0" w:color="auto"/>
            <w:left w:val="none" w:sz="0" w:space="0" w:color="auto"/>
            <w:bottom w:val="none" w:sz="0" w:space="0" w:color="auto"/>
            <w:right w:val="none" w:sz="0" w:space="0" w:color="auto"/>
          </w:divBdr>
        </w:div>
        <w:div w:id="964507248">
          <w:marLeft w:val="547"/>
          <w:marRight w:val="0"/>
          <w:marTop w:val="240"/>
          <w:marBottom w:val="0"/>
          <w:divBdr>
            <w:top w:val="none" w:sz="0" w:space="0" w:color="auto"/>
            <w:left w:val="none" w:sz="0" w:space="0" w:color="auto"/>
            <w:bottom w:val="none" w:sz="0" w:space="0" w:color="auto"/>
            <w:right w:val="none" w:sz="0" w:space="0" w:color="auto"/>
          </w:divBdr>
        </w:div>
        <w:div w:id="1409620086">
          <w:marLeft w:val="547"/>
          <w:marRight w:val="0"/>
          <w:marTop w:val="240"/>
          <w:marBottom w:val="0"/>
          <w:divBdr>
            <w:top w:val="none" w:sz="0" w:space="0" w:color="auto"/>
            <w:left w:val="none" w:sz="0" w:space="0" w:color="auto"/>
            <w:bottom w:val="none" w:sz="0" w:space="0" w:color="auto"/>
            <w:right w:val="none" w:sz="0" w:space="0" w:color="auto"/>
          </w:divBdr>
        </w:div>
        <w:div w:id="1779062408">
          <w:marLeft w:val="547"/>
          <w:marRight w:val="0"/>
          <w:marTop w:val="240"/>
          <w:marBottom w:val="0"/>
          <w:divBdr>
            <w:top w:val="none" w:sz="0" w:space="0" w:color="auto"/>
            <w:left w:val="none" w:sz="0" w:space="0" w:color="auto"/>
            <w:bottom w:val="none" w:sz="0" w:space="0" w:color="auto"/>
            <w:right w:val="none" w:sz="0" w:space="0" w:color="auto"/>
          </w:divBdr>
        </w:div>
      </w:divsChild>
    </w:div>
    <w:div w:id="1954823887">
      <w:bodyDiv w:val="1"/>
      <w:marLeft w:val="0"/>
      <w:marRight w:val="0"/>
      <w:marTop w:val="0"/>
      <w:marBottom w:val="0"/>
      <w:divBdr>
        <w:top w:val="none" w:sz="0" w:space="0" w:color="auto"/>
        <w:left w:val="none" w:sz="0" w:space="0" w:color="auto"/>
        <w:bottom w:val="none" w:sz="0" w:space="0" w:color="auto"/>
        <w:right w:val="none" w:sz="0" w:space="0" w:color="auto"/>
      </w:divBdr>
      <w:divsChild>
        <w:div w:id="1088766256">
          <w:marLeft w:val="274"/>
          <w:marRight w:val="0"/>
          <w:marTop w:val="0"/>
          <w:marBottom w:val="0"/>
          <w:divBdr>
            <w:top w:val="none" w:sz="0" w:space="0" w:color="auto"/>
            <w:left w:val="none" w:sz="0" w:space="0" w:color="auto"/>
            <w:bottom w:val="none" w:sz="0" w:space="0" w:color="auto"/>
            <w:right w:val="none" w:sz="0" w:space="0" w:color="auto"/>
          </w:divBdr>
        </w:div>
      </w:divsChild>
    </w:div>
    <w:div w:id="1956329809">
      <w:marLeft w:val="0"/>
      <w:marRight w:val="0"/>
      <w:marTop w:val="0"/>
      <w:marBottom w:val="0"/>
      <w:divBdr>
        <w:top w:val="none" w:sz="0" w:space="0" w:color="auto"/>
        <w:left w:val="none" w:sz="0" w:space="0" w:color="auto"/>
        <w:bottom w:val="none" w:sz="0" w:space="0" w:color="auto"/>
        <w:right w:val="none" w:sz="0" w:space="0" w:color="auto"/>
      </w:divBdr>
      <w:divsChild>
        <w:div w:id="1783841532">
          <w:marLeft w:val="0"/>
          <w:marRight w:val="0"/>
          <w:marTop w:val="0"/>
          <w:marBottom w:val="0"/>
          <w:divBdr>
            <w:top w:val="none" w:sz="0" w:space="0" w:color="auto"/>
            <w:left w:val="none" w:sz="0" w:space="0" w:color="auto"/>
            <w:bottom w:val="none" w:sz="0" w:space="0" w:color="auto"/>
            <w:right w:val="none" w:sz="0" w:space="0" w:color="auto"/>
          </w:divBdr>
          <w:divsChild>
            <w:div w:id="1854805466">
              <w:marLeft w:val="0"/>
              <w:marRight w:val="0"/>
              <w:marTop w:val="0"/>
              <w:marBottom w:val="0"/>
              <w:divBdr>
                <w:top w:val="none" w:sz="0" w:space="0" w:color="auto"/>
                <w:left w:val="none" w:sz="0" w:space="0" w:color="auto"/>
                <w:bottom w:val="none" w:sz="0" w:space="0" w:color="auto"/>
                <w:right w:val="none" w:sz="0" w:space="0" w:color="auto"/>
              </w:divBdr>
              <w:divsChild>
                <w:div w:id="801264491">
                  <w:marLeft w:val="0"/>
                  <w:marRight w:val="0"/>
                  <w:marTop w:val="0"/>
                  <w:marBottom w:val="0"/>
                  <w:divBdr>
                    <w:top w:val="none" w:sz="0" w:space="0" w:color="auto"/>
                    <w:left w:val="none" w:sz="0" w:space="0" w:color="auto"/>
                    <w:bottom w:val="none" w:sz="0" w:space="0" w:color="auto"/>
                    <w:right w:val="none" w:sz="0" w:space="0" w:color="auto"/>
                  </w:divBdr>
                </w:div>
                <w:div w:id="1030303835">
                  <w:marLeft w:val="0"/>
                  <w:marRight w:val="0"/>
                  <w:marTop w:val="0"/>
                  <w:marBottom w:val="0"/>
                  <w:divBdr>
                    <w:top w:val="none" w:sz="0" w:space="0" w:color="auto"/>
                    <w:left w:val="none" w:sz="0" w:space="0" w:color="auto"/>
                    <w:bottom w:val="none" w:sz="0" w:space="0" w:color="auto"/>
                    <w:right w:val="none" w:sz="0" w:space="0" w:color="auto"/>
                  </w:divBdr>
                </w:div>
                <w:div w:id="1107651554">
                  <w:marLeft w:val="0"/>
                  <w:marRight w:val="0"/>
                  <w:marTop w:val="0"/>
                  <w:marBottom w:val="0"/>
                  <w:divBdr>
                    <w:top w:val="none" w:sz="0" w:space="0" w:color="auto"/>
                    <w:left w:val="none" w:sz="0" w:space="0" w:color="auto"/>
                    <w:bottom w:val="none" w:sz="0" w:space="0" w:color="auto"/>
                    <w:right w:val="none" w:sz="0" w:space="0" w:color="auto"/>
                  </w:divBdr>
                </w:div>
                <w:div w:id="1238321136">
                  <w:marLeft w:val="0"/>
                  <w:marRight w:val="0"/>
                  <w:marTop w:val="0"/>
                  <w:marBottom w:val="0"/>
                  <w:divBdr>
                    <w:top w:val="none" w:sz="0" w:space="0" w:color="auto"/>
                    <w:left w:val="none" w:sz="0" w:space="0" w:color="auto"/>
                    <w:bottom w:val="none" w:sz="0" w:space="0" w:color="auto"/>
                    <w:right w:val="none" w:sz="0" w:space="0" w:color="auto"/>
                  </w:divBdr>
                </w:div>
                <w:div w:id="1317759343">
                  <w:marLeft w:val="0"/>
                  <w:marRight w:val="0"/>
                  <w:marTop w:val="0"/>
                  <w:marBottom w:val="0"/>
                  <w:divBdr>
                    <w:top w:val="none" w:sz="0" w:space="0" w:color="auto"/>
                    <w:left w:val="none" w:sz="0" w:space="0" w:color="auto"/>
                    <w:bottom w:val="none" w:sz="0" w:space="0" w:color="auto"/>
                    <w:right w:val="none" w:sz="0" w:space="0" w:color="auto"/>
                  </w:divBdr>
                </w:div>
                <w:div w:id="1637024000">
                  <w:marLeft w:val="0"/>
                  <w:marRight w:val="0"/>
                  <w:marTop w:val="0"/>
                  <w:marBottom w:val="0"/>
                  <w:divBdr>
                    <w:top w:val="none" w:sz="0" w:space="0" w:color="auto"/>
                    <w:left w:val="none" w:sz="0" w:space="0" w:color="auto"/>
                    <w:bottom w:val="none" w:sz="0" w:space="0" w:color="auto"/>
                    <w:right w:val="none" w:sz="0" w:space="0" w:color="auto"/>
                  </w:divBdr>
                </w:div>
                <w:div w:id="19355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7354">
          <w:marLeft w:val="0"/>
          <w:marRight w:val="0"/>
          <w:marTop w:val="0"/>
          <w:marBottom w:val="0"/>
          <w:divBdr>
            <w:top w:val="none" w:sz="0" w:space="0" w:color="auto"/>
            <w:left w:val="none" w:sz="0" w:space="0" w:color="auto"/>
            <w:bottom w:val="none" w:sz="0" w:space="0" w:color="auto"/>
            <w:right w:val="none" w:sz="0" w:space="0" w:color="auto"/>
          </w:divBdr>
          <w:divsChild>
            <w:div w:id="1250042715">
              <w:marLeft w:val="0"/>
              <w:marRight w:val="0"/>
              <w:marTop w:val="0"/>
              <w:marBottom w:val="0"/>
              <w:divBdr>
                <w:top w:val="none" w:sz="0" w:space="0" w:color="auto"/>
                <w:left w:val="none" w:sz="0" w:space="0" w:color="auto"/>
                <w:bottom w:val="none" w:sz="0" w:space="0" w:color="auto"/>
                <w:right w:val="none" w:sz="0" w:space="0" w:color="auto"/>
              </w:divBdr>
              <w:divsChild>
                <w:div w:id="1795631012">
                  <w:marLeft w:val="0"/>
                  <w:marRight w:val="0"/>
                  <w:marTop w:val="0"/>
                  <w:marBottom w:val="0"/>
                  <w:divBdr>
                    <w:top w:val="none" w:sz="0" w:space="0" w:color="auto"/>
                    <w:left w:val="none" w:sz="0" w:space="0" w:color="auto"/>
                    <w:bottom w:val="none" w:sz="0" w:space="0" w:color="auto"/>
                    <w:right w:val="none" w:sz="0" w:space="0" w:color="auto"/>
                  </w:divBdr>
                  <w:divsChild>
                    <w:div w:id="253977773">
                      <w:marLeft w:val="0"/>
                      <w:marRight w:val="0"/>
                      <w:marTop w:val="0"/>
                      <w:marBottom w:val="0"/>
                      <w:divBdr>
                        <w:top w:val="none" w:sz="0" w:space="0" w:color="auto"/>
                        <w:left w:val="none" w:sz="0" w:space="0" w:color="auto"/>
                        <w:bottom w:val="none" w:sz="0" w:space="0" w:color="auto"/>
                        <w:right w:val="none" w:sz="0" w:space="0" w:color="auto"/>
                      </w:divBdr>
                    </w:div>
                    <w:div w:id="517085595">
                      <w:marLeft w:val="0"/>
                      <w:marRight w:val="0"/>
                      <w:marTop w:val="0"/>
                      <w:marBottom w:val="0"/>
                      <w:divBdr>
                        <w:top w:val="none" w:sz="0" w:space="0" w:color="auto"/>
                        <w:left w:val="none" w:sz="0" w:space="0" w:color="auto"/>
                        <w:bottom w:val="none" w:sz="0" w:space="0" w:color="auto"/>
                        <w:right w:val="none" w:sz="0" w:space="0" w:color="auto"/>
                      </w:divBdr>
                    </w:div>
                    <w:div w:id="12347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72234">
      <w:bodyDiv w:val="1"/>
      <w:marLeft w:val="0"/>
      <w:marRight w:val="0"/>
      <w:marTop w:val="0"/>
      <w:marBottom w:val="0"/>
      <w:divBdr>
        <w:top w:val="none" w:sz="0" w:space="0" w:color="auto"/>
        <w:left w:val="none" w:sz="0" w:space="0" w:color="auto"/>
        <w:bottom w:val="none" w:sz="0" w:space="0" w:color="auto"/>
        <w:right w:val="none" w:sz="0" w:space="0" w:color="auto"/>
      </w:divBdr>
    </w:div>
    <w:div w:id="1962104554">
      <w:bodyDiv w:val="1"/>
      <w:marLeft w:val="0"/>
      <w:marRight w:val="0"/>
      <w:marTop w:val="0"/>
      <w:marBottom w:val="0"/>
      <w:divBdr>
        <w:top w:val="none" w:sz="0" w:space="0" w:color="auto"/>
        <w:left w:val="none" w:sz="0" w:space="0" w:color="auto"/>
        <w:bottom w:val="none" w:sz="0" w:space="0" w:color="auto"/>
        <w:right w:val="none" w:sz="0" w:space="0" w:color="auto"/>
      </w:divBdr>
    </w:div>
    <w:div w:id="1963686445">
      <w:bodyDiv w:val="1"/>
      <w:marLeft w:val="0"/>
      <w:marRight w:val="0"/>
      <w:marTop w:val="0"/>
      <w:marBottom w:val="0"/>
      <w:divBdr>
        <w:top w:val="none" w:sz="0" w:space="0" w:color="auto"/>
        <w:left w:val="none" w:sz="0" w:space="0" w:color="auto"/>
        <w:bottom w:val="none" w:sz="0" w:space="0" w:color="auto"/>
        <w:right w:val="none" w:sz="0" w:space="0" w:color="auto"/>
      </w:divBdr>
      <w:divsChild>
        <w:div w:id="2142458046">
          <w:marLeft w:val="547"/>
          <w:marRight w:val="0"/>
          <w:marTop w:val="240"/>
          <w:marBottom w:val="0"/>
          <w:divBdr>
            <w:top w:val="none" w:sz="0" w:space="0" w:color="auto"/>
            <w:left w:val="none" w:sz="0" w:space="0" w:color="auto"/>
            <w:bottom w:val="none" w:sz="0" w:space="0" w:color="auto"/>
            <w:right w:val="none" w:sz="0" w:space="0" w:color="auto"/>
          </w:divBdr>
        </w:div>
        <w:div w:id="1250045901">
          <w:marLeft w:val="547"/>
          <w:marRight w:val="0"/>
          <w:marTop w:val="240"/>
          <w:marBottom w:val="0"/>
          <w:divBdr>
            <w:top w:val="none" w:sz="0" w:space="0" w:color="auto"/>
            <w:left w:val="none" w:sz="0" w:space="0" w:color="auto"/>
            <w:bottom w:val="none" w:sz="0" w:space="0" w:color="auto"/>
            <w:right w:val="none" w:sz="0" w:space="0" w:color="auto"/>
          </w:divBdr>
        </w:div>
        <w:div w:id="609163098">
          <w:marLeft w:val="1166"/>
          <w:marRight w:val="0"/>
          <w:marTop w:val="0"/>
          <w:marBottom w:val="0"/>
          <w:divBdr>
            <w:top w:val="none" w:sz="0" w:space="0" w:color="auto"/>
            <w:left w:val="none" w:sz="0" w:space="0" w:color="auto"/>
            <w:bottom w:val="none" w:sz="0" w:space="0" w:color="auto"/>
            <w:right w:val="none" w:sz="0" w:space="0" w:color="auto"/>
          </w:divBdr>
        </w:div>
        <w:div w:id="594830339">
          <w:marLeft w:val="547"/>
          <w:marRight w:val="0"/>
          <w:marTop w:val="240"/>
          <w:marBottom w:val="0"/>
          <w:divBdr>
            <w:top w:val="none" w:sz="0" w:space="0" w:color="auto"/>
            <w:left w:val="none" w:sz="0" w:space="0" w:color="auto"/>
            <w:bottom w:val="none" w:sz="0" w:space="0" w:color="auto"/>
            <w:right w:val="none" w:sz="0" w:space="0" w:color="auto"/>
          </w:divBdr>
        </w:div>
        <w:div w:id="395132835">
          <w:marLeft w:val="1166"/>
          <w:marRight w:val="0"/>
          <w:marTop w:val="0"/>
          <w:marBottom w:val="0"/>
          <w:divBdr>
            <w:top w:val="none" w:sz="0" w:space="0" w:color="auto"/>
            <w:left w:val="none" w:sz="0" w:space="0" w:color="auto"/>
            <w:bottom w:val="none" w:sz="0" w:space="0" w:color="auto"/>
            <w:right w:val="none" w:sz="0" w:space="0" w:color="auto"/>
          </w:divBdr>
        </w:div>
      </w:divsChild>
    </w:div>
    <w:div w:id="1965651681">
      <w:bodyDiv w:val="1"/>
      <w:marLeft w:val="0"/>
      <w:marRight w:val="0"/>
      <w:marTop w:val="0"/>
      <w:marBottom w:val="0"/>
      <w:divBdr>
        <w:top w:val="none" w:sz="0" w:space="0" w:color="auto"/>
        <w:left w:val="none" w:sz="0" w:space="0" w:color="auto"/>
        <w:bottom w:val="none" w:sz="0" w:space="0" w:color="auto"/>
        <w:right w:val="none" w:sz="0" w:space="0" w:color="auto"/>
      </w:divBdr>
      <w:divsChild>
        <w:div w:id="966861066">
          <w:marLeft w:val="1166"/>
          <w:marRight w:val="0"/>
          <w:marTop w:val="0"/>
          <w:marBottom w:val="0"/>
          <w:divBdr>
            <w:top w:val="none" w:sz="0" w:space="0" w:color="auto"/>
            <w:left w:val="none" w:sz="0" w:space="0" w:color="auto"/>
            <w:bottom w:val="none" w:sz="0" w:space="0" w:color="auto"/>
            <w:right w:val="none" w:sz="0" w:space="0" w:color="auto"/>
          </w:divBdr>
        </w:div>
        <w:div w:id="1008286157">
          <w:marLeft w:val="1166"/>
          <w:marRight w:val="0"/>
          <w:marTop w:val="0"/>
          <w:marBottom w:val="0"/>
          <w:divBdr>
            <w:top w:val="none" w:sz="0" w:space="0" w:color="auto"/>
            <w:left w:val="none" w:sz="0" w:space="0" w:color="auto"/>
            <w:bottom w:val="none" w:sz="0" w:space="0" w:color="auto"/>
            <w:right w:val="none" w:sz="0" w:space="0" w:color="auto"/>
          </w:divBdr>
        </w:div>
        <w:div w:id="1423455842">
          <w:marLeft w:val="1166"/>
          <w:marRight w:val="0"/>
          <w:marTop w:val="0"/>
          <w:marBottom w:val="0"/>
          <w:divBdr>
            <w:top w:val="none" w:sz="0" w:space="0" w:color="auto"/>
            <w:left w:val="none" w:sz="0" w:space="0" w:color="auto"/>
            <w:bottom w:val="none" w:sz="0" w:space="0" w:color="auto"/>
            <w:right w:val="none" w:sz="0" w:space="0" w:color="auto"/>
          </w:divBdr>
        </w:div>
      </w:divsChild>
    </w:div>
    <w:div w:id="1975981030">
      <w:bodyDiv w:val="1"/>
      <w:marLeft w:val="0"/>
      <w:marRight w:val="0"/>
      <w:marTop w:val="0"/>
      <w:marBottom w:val="0"/>
      <w:divBdr>
        <w:top w:val="none" w:sz="0" w:space="0" w:color="auto"/>
        <w:left w:val="none" w:sz="0" w:space="0" w:color="auto"/>
        <w:bottom w:val="none" w:sz="0" w:space="0" w:color="auto"/>
        <w:right w:val="none" w:sz="0" w:space="0" w:color="auto"/>
      </w:divBdr>
    </w:div>
    <w:div w:id="1976135547">
      <w:bodyDiv w:val="1"/>
      <w:marLeft w:val="0"/>
      <w:marRight w:val="0"/>
      <w:marTop w:val="0"/>
      <w:marBottom w:val="0"/>
      <w:divBdr>
        <w:top w:val="none" w:sz="0" w:space="0" w:color="auto"/>
        <w:left w:val="none" w:sz="0" w:space="0" w:color="auto"/>
        <w:bottom w:val="none" w:sz="0" w:space="0" w:color="auto"/>
        <w:right w:val="none" w:sz="0" w:space="0" w:color="auto"/>
      </w:divBdr>
    </w:div>
    <w:div w:id="2008291738">
      <w:marLeft w:val="0"/>
      <w:marRight w:val="0"/>
      <w:marTop w:val="0"/>
      <w:marBottom w:val="0"/>
      <w:divBdr>
        <w:top w:val="none" w:sz="0" w:space="0" w:color="auto"/>
        <w:left w:val="none" w:sz="0" w:space="0" w:color="auto"/>
        <w:bottom w:val="none" w:sz="0" w:space="0" w:color="auto"/>
        <w:right w:val="none" w:sz="0" w:space="0" w:color="auto"/>
      </w:divBdr>
    </w:div>
    <w:div w:id="2047293219">
      <w:bodyDiv w:val="1"/>
      <w:marLeft w:val="0"/>
      <w:marRight w:val="0"/>
      <w:marTop w:val="0"/>
      <w:marBottom w:val="0"/>
      <w:divBdr>
        <w:top w:val="none" w:sz="0" w:space="0" w:color="auto"/>
        <w:left w:val="none" w:sz="0" w:space="0" w:color="auto"/>
        <w:bottom w:val="none" w:sz="0" w:space="0" w:color="auto"/>
        <w:right w:val="none" w:sz="0" w:space="0" w:color="auto"/>
      </w:divBdr>
    </w:div>
    <w:div w:id="2064794847">
      <w:bodyDiv w:val="1"/>
      <w:marLeft w:val="0"/>
      <w:marRight w:val="0"/>
      <w:marTop w:val="0"/>
      <w:marBottom w:val="0"/>
      <w:divBdr>
        <w:top w:val="none" w:sz="0" w:space="0" w:color="auto"/>
        <w:left w:val="none" w:sz="0" w:space="0" w:color="auto"/>
        <w:bottom w:val="none" w:sz="0" w:space="0" w:color="auto"/>
        <w:right w:val="none" w:sz="0" w:space="0" w:color="auto"/>
      </w:divBdr>
      <w:divsChild>
        <w:div w:id="1495760074">
          <w:marLeft w:val="547"/>
          <w:marRight w:val="0"/>
          <w:marTop w:val="240"/>
          <w:marBottom w:val="0"/>
          <w:divBdr>
            <w:top w:val="none" w:sz="0" w:space="0" w:color="auto"/>
            <w:left w:val="none" w:sz="0" w:space="0" w:color="auto"/>
            <w:bottom w:val="none" w:sz="0" w:space="0" w:color="auto"/>
            <w:right w:val="none" w:sz="0" w:space="0" w:color="auto"/>
          </w:divBdr>
        </w:div>
      </w:divsChild>
    </w:div>
    <w:div w:id="2100980364">
      <w:bodyDiv w:val="1"/>
      <w:marLeft w:val="0"/>
      <w:marRight w:val="0"/>
      <w:marTop w:val="0"/>
      <w:marBottom w:val="0"/>
      <w:divBdr>
        <w:top w:val="none" w:sz="0" w:space="0" w:color="auto"/>
        <w:left w:val="none" w:sz="0" w:space="0" w:color="auto"/>
        <w:bottom w:val="none" w:sz="0" w:space="0" w:color="auto"/>
        <w:right w:val="none" w:sz="0" w:space="0" w:color="auto"/>
      </w:divBdr>
    </w:div>
    <w:div w:id="2107262778">
      <w:marLeft w:val="0"/>
      <w:marRight w:val="0"/>
      <w:marTop w:val="0"/>
      <w:marBottom w:val="0"/>
      <w:divBdr>
        <w:top w:val="none" w:sz="0" w:space="0" w:color="auto"/>
        <w:left w:val="none" w:sz="0" w:space="0" w:color="auto"/>
        <w:bottom w:val="none" w:sz="0" w:space="0" w:color="auto"/>
        <w:right w:val="none" w:sz="0" w:space="0" w:color="auto"/>
      </w:divBdr>
      <w:divsChild>
        <w:div w:id="661854386">
          <w:marLeft w:val="0"/>
          <w:marRight w:val="0"/>
          <w:marTop w:val="0"/>
          <w:marBottom w:val="0"/>
          <w:divBdr>
            <w:top w:val="none" w:sz="0" w:space="0" w:color="auto"/>
            <w:left w:val="none" w:sz="0" w:space="0" w:color="auto"/>
            <w:bottom w:val="none" w:sz="0" w:space="0" w:color="auto"/>
            <w:right w:val="none" w:sz="0" w:space="0" w:color="auto"/>
          </w:divBdr>
          <w:divsChild>
            <w:div w:id="1359699682">
              <w:marLeft w:val="0"/>
              <w:marRight w:val="0"/>
              <w:marTop w:val="0"/>
              <w:marBottom w:val="0"/>
              <w:divBdr>
                <w:top w:val="none" w:sz="0" w:space="0" w:color="auto"/>
                <w:left w:val="none" w:sz="0" w:space="0" w:color="auto"/>
                <w:bottom w:val="none" w:sz="0" w:space="0" w:color="auto"/>
                <w:right w:val="none" w:sz="0" w:space="0" w:color="auto"/>
              </w:divBdr>
              <w:divsChild>
                <w:div w:id="630400188">
                  <w:marLeft w:val="0"/>
                  <w:marRight w:val="0"/>
                  <w:marTop w:val="0"/>
                  <w:marBottom w:val="0"/>
                  <w:divBdr>
                    <w:top w:val="none" w:sz="0" w:space="0" w:color="auto"/>
                    <w:left w:val="none" w:sz="0" w:space="0" w:color="auto"/>
                    <w:bottom w:val="none" w:sz="0" w:space="0" w:color="auto"/>
                    <w:right w:val="none" w:sz="0" w:space="0" w:color="auto"/>
                  </w:divBdr>
                  <w:divsChild>
                    <w:div w:id="173961738">
                      <w:marLeft w:val="0"/>
                      <w:marRight w:val="0"/>
                      <w:marTop w:val="0"/>
                      <w:marBottom w:val="0"/>
                      <w:divBdr>
                        <w:top w:val="none" w:sz="0" w:space="0" w:color="auto"/>
                        <w:left w:val="none" w:sz="0" w:space="0" w:color="auto"/>
                        <w:bottom w:val="none" w:sz="0" w:space="0" w:color="auto"/>
                        <w:right w:val="none" w:sz="0" w:space="0" w:color="auto"/>
                      </w:divBdr>
                      <w:divsChild>
                        <w:div w:id="1894610586">
                          <w:marLeft w:val="0"/>
                          <w:marRight w:val="0"/>
                          <w:marTop w:val="0"/>
                          <w:marBottom w:val="0"/>
                          <w:divBdr>
                            <w:top w:val="none" w:sz="0" w:space="0" w:color="auto"/>
                            <w:left w:val="none" w:sz="0" w:space="0" w:color="auto"/>
                            <w:bottom w:val="none" w:sz="0" w:space="0" w:color="auto"/>
                            <w:right w:val="none" w:sz="0" w:space="0" w:color="auto"/>
                          </w:divBdr>
                        </w:div>
                      </w:divsChild>
                    </w:div>
                    <w:div w:id="284847720">
                      <w:marLeft w:val="0"/>
                      <w:marRight w:val="0"/>
                      <w:marTop w:val="0"/>
                      <w:marBottom w:val="0"/>
                      <w:divBdr>
                        <w:top w:val="none" w:sz="0" w:space="0" w:color="auto"/>
                        <w:left w:val="none" w:sz="0" w:space="0" w:color="auto"/>
                        <w:bottom w:val="none" w:sz="0" w:space="0" w:color="auto"/>
                        <w:right w:val="none" w:sz="0" w:space="0" w:color="auto"/>
                      </w:divBdr>
                    </w:div>
                  </w:divsChild>
                </w:div>
                <w:div w:id="1340431576">
                  <w:marLeft w:val="0"/>
                  <w:marRight w:val="0"/>
                  <w:marTop w:val="0"/>
                  <w:marBottom w:val="0"/>
                  <w:divBdr>
                    <w:top w:val="none" w:sz="0" w:space="0" w:color="auto"/>
                    <w:left w:val="none" w:sz="0" w:space="0" w:color="auto"/>
                    <w:bottom w:val="none" w:sz="0" w:space="0" w:color="auto"/>
                    <w:right w:val="none" w:sz="0" w:space="0" w:color="auto"/>
                  </w:divBdr>
                  <w:divsChild>
                    <w:div w:id="1278949502">
                      <w:marLeft w:val="0"/>
                      <w:marRight w:val="0"/>
                      <w:marTop w:val="0"/>
                      <w:marBottom w:val="0"/>
                      <w:divBdr>
                        <w:top w:val="none" w:sz="0" w:space="0" w:color="auto"/>
                        <w:left w:val="none" w:sz="0" w:space="0" w:color="auto"/>
                        <w:bottom w:val="none" w:sz="0" w:space="0" w:color="auto"/>
                        <w:right w:val="none" w:sz="0" w:space="0" w:color="auto"/>
                      </w:divBdr>
                    </w:div>
                  </w:divsChild>
                </w:div>
                <w:div w:id="19061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79550">
      <w:bodyDiv w:val="1"/>
      <w:marLeft w:val="0"/>
      <w:marRight w:val="0"/>
      <w:marTop w:val="0"/>
      <w:marBottom w:val="0"/>
      <w:divBdr>
        <w:top w:val="none" w:sz="0" w:space="0" w:color="auto"/>
        <w:left w:val="none" w:sz="0" w:space="0" w:color="auto"/>
        <w:bottom w:val="none" w:sz="0" w:space="0" w:color="auto"/>
        <w:right w:val="none" w:sz="0" w:space="0" w:color="auto"/>
      </w:divBdr>
    </w:div>
    <w:div w:id="2140609695">
      <w:bodyDiv w:val="1"/>
      <w:marLeft w:val="0"/>
      <w:marRight w:val="0"/>
      <w:marTop w:val="0"/>
      <w:marBottom w:val="0"/>
      <w:divBdr>
        <w:top w:val="none" w:sz="0" w:space="0" w:color="auto"/>
        <w:left w:val="none" w:sz="0" w:space="0" w:color="auto"/>
        <w:bottom w:val="none" w:sz="0" w:space="0" w:color="auto"/>
        <w:right w:val="none" w:sz="0" w:space="0" w:color="auto"/>
      </w:divBdr>
    </w:div>
    <w:div w:id="214526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iso-ne.com/about/key-stats/maps-and-diagrams/" TargetMode="External"/><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image" Target="media/image7.w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6.wmf"/><Relationship Id="rId30" Type="http://schemas.openxmlformats.org/officeDocument/2006/relationships/image" Target="media/image9.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so-ne.com/static-assets/documents/regulatory/tariff/sect_2/oatt/sect_ii.pdf" TargetMode="External"/><Relationship Id="rId13" Type="http://schemas.openxmlformats.org/officeDocument/2006/relationships/hyperlink" Target="https://www.iso-ne.com/system-planning/system-plans-studies/metu" TargetMode="External"/><Relationship Id="rId18" Type="http://schemas.openxmlformats.org/officeDocument/2006/relationships/hyperlink" Target="https://www.iso-ne.com/static-assets/documents/2019/02/fca_13_results_filing.pdf" TargetMode="External"/><Relationship Id="rId3" Type="http://schemas.openxmlformats.org/officeDocument/2006/relationships/hyperlink" Target="https://www.iso-ne.com/static-assets/documents/2019/04/a2_renew_2019_economic_study_request_presentation.pdf" TargetMode="External"/><Relationship Id="rId21" Type="http://schemas.openxmlformats.org/officeDocument/2006/relationships/hyperlink" Target="https://fileservice.eea.comacloud.net/FileService.Api/file/FileRoom/9946888" TargetMode="External"/><Relationship Id="rId7" Type="http://schemas.openxmlformats.org/officeDocument/2006/relationships/hyperlink" Target="https://www.iso-ne.com/static-assets/documents/2020/10/2019-anbaric-economic-study-final.docx" TargetMode="External"/><Relationship Id="rId12" Type="http://schemas.openxmlformats.org/officeDocument/2006/relationships/hyperlink" Target="https://www.iso-ne.com/static-assets/documents/regulatory/tariff/sect_2/oatt/sect_ii.pdf" TargetMode="External"/><Relationship Id="rId17" Type="http://schemas.openxmlformats.org/officeDocument/2006/relationships/hyperlink" Target="https://www.iso-ne.com/static-assets/documents/2019/04/2019_celt_report.xls" TargetMode="External"/><Relationship Id="rId2" Type="http://schemas.openxmlformats.org/officeDocument/2006/relationships/hyperlink" Target="https://www.iso-ne.com/system-planning/system-plans-studies/metu" TargetMode="External"/><Relationship Id="rId16" Type="http://schemas.openxmlformats.org/officeDocument/2006/relationships/hyperlink" Target="https://www.iso-ne.com/system-planning/system-plans-studies/rsp/" TargetMode="External"/><Relationship Id="rId20" Type="http://schemas.openxmlformats.org/officeDocument/2006/relationships/hyperlink" Target="https://www.iso-ne.com/static-assets/documents/2017/11/final_2016_phase1_nepool_scenario_analysis_economic_study.docx" TargetMode="External"/><Relationship Id="rId1" Type="http://schemas.openxmlformats.org/officeDocument/2006/relationships/hyperlink" Target="https://www.sec.gov/Archives/edgar/data/1634997/000156459018018891/agr-ex106_142.htm" TargetMode="External"/><Relationship Id="rId6" Type="http://schemas.openxmlformats.org/officeDocument/2006/relationships/hyperlink" Target="https://www.iso-ne.com/static-assets/documents/2019/04/anbaric_2019_economic_study_request.pdf" TargetMode="External"/><Relationship Id="rId11" Type="http://schemas.openxmlformats.org/officeDocument/2006/relationships/hyperlink" Target="https://www.iso-ne.com/static-assets/documents/2019/04/renew_2019_economic_study_request.pdf" TargetMode="External"/><Relationship Id="rId5" Type="http://schemas.openxmlformats.org/officeDocument/2006/relationships/hyperlink" Target="https://www.iso-ne.com/static-assets/documents/2020/06/2019_nescoe_economic_study_final.docx" TargetMode="External"/><Relationship Id="rId15" Type="http://schemas.openxmlformats.org/officeDocument/2006/relationships/hyperlink" Target="https://www.iso-ne.com/about/key-stats/maps-and-diagrams/" TargetMode="External"/><Relationship Id="rId23" Type="http://schemas.openxmlformats.org/officeDocument/2006/relationships/hyperlink" Target="https://fileservice.eea.comacloud.net/FileService.Api/file/FileRoom/9946890" TargetMode="External"/><Relationship Id="rId10" Type="http://schemas.openxmlformats.org/officeDocument/2006/relationships/hyperlink" Target="https://www.iso-ne.com/participate/support/request-information" TargetMode="External"/><Relationship Id="rId19" Type="http://schemas.openxmlformats.org/officeDocument/2006/relationships/hyperlink" Target="https://www.eia.gov/outlooks/archive/aeo19/" TargetMode="External"/><Relationship Id="rId4" Type="http://schemas.openxmlformats.org/officeDocument/2006/relationships/hyperlink" Target="https://www.iso-ne.com/static-assets/documents/2019/04/a2_nescoe_2019_economic_study_request_presentation.pptx" TargetMode="External"/><Relationship Id="rId9" Type="http://schemas.openxmlformats.org/officeDocument/2006/relationships/hyperlink" Target="https://www.iso-ne.com/static-assets/documents/2020/04/a6-2019-economic-studies-renew-prelim-results.pdf" TargetMode="External"/><Relationship Id="rId14" Type="http://schemas.openxmlformats.org/officeDocument/2006/relationships/hyperlink" Target="https://www.iso-ne.com/static-assets/documents/2019/03/a8_fca14_transmission_transfer_capabilities_and_capacity_zone_development.pdf" TargetMode="External"/><Relationship Id="rId22" Type="http://schemas.openxmlformats.org/officeDocument/2006/relationships/hyperlink" Target="https://fileservice.eea.comacloud.net/FileService.Api/file/FileRoom/9946889" TargetMode="External"/></Relationships>
</file>

<file path=word/theme/theme1.xml><?xml version="1.0" encoding="utf-8"?>
<a:theme xmlns:a="http://schemas.openxmlformats.org/drawingml/2006/main" name="ISONE2015">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A7F6F-FBD2-4A15-AA53-ABB4B4D9A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4582</Words>
  <Characters>29908</Characters>
  <Application>Microsoft Office Word</Application>
  <DocSecurity>0</DocSecurity>
  <Lines>249</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34422</CharactersWithSpaces>
  <SharedDoc>false</SharedDoc>
  <HLinks>
    <vt:vector size="180" baseType="variant">
      <vt:variant>
        <vt:i4>5832765</vt:i4>
      </vt:variant>
      <vt:variant>
        <vt:i4>312</vt:i4>
      </vt:variant>
      <vt:variant>
        <vt:i4>0</vt:i4>
      </vt:variant>
      <vt:variant>
        <vt:i4>5</vt:i4>
      </vt:variant>
      <vt:variant>
        <vt:lpwstr>../../../AppData/Local/Microsoft/AppData/Local/Microsoft/Windows/Temporary Internet Files/Content.Outlook/L3G0JW5V/),  https:/iso-ne.com/static-assets/documents/2016/08/a5_generic_and_region_specific_costs_of_new_generating_technologies.pdf</vt:lpwstr>
      </vt:variant>
      <vt:variant>
        <vt:lpwstr/>
      </vt:variant>
      <vt:variant>
        <vt:i4>3932270</vt:i4>
      </vt:variant>
      <vt:variant>
        <vt:i4>273</vt:i4>
      </vt:variant>
      <vt:variant>
        <vt:i4>0</vt:i4>
      </vt:variant>
      <vt:variant>
        <vt:i4>5</vt:i4>
      </vt:variant>
      <vt:variant>
        <vt:lpwstr>http://www.eia.gov/forecasts/aeo/index.cfm</vt:lpwstr>
      </vt:variant>
      <vt:variant>
        <vt:lpwstr/>
      </vt:variant>
      <vt:variant>
        <vt:i4>6619234</vt:i4>
      </vt:variant>
      <vt:variant>
        <vt:i4>240</vt:i4>
      </vt:variant>
      <vt:variant>
        <vt:i4>0</vt:i4>
      </vt:variant>
      <vt:variant>
        <vt:i4>5</vt:i4>
      </vt:variant>
      <vt:variant>
        <vt:lpwstr>http://www.iso-ne.com/static-assets/documents/2016/03/a2_fca11_zonal_boundary_determinations.pdf</vt:lpwstr>
      </vt:variant>
      <vt:variant>
        <vt:lpwstr/>
      </vt:variant>
      <vt:variant>
        <vt:i4>6619234</vt:i4>
      </vt:variant>
      <vt:variant>
        <vt:i4>237</vt:i4>
      </vt:variant>
      <vt:variant>
        <vt:i4>0</vt:i4>
      </vt:variant>
      <vt:variant>
        <vt:i4>5</vt:i4>
      </vt:variant>
      <vt:variant>
        <vt:lpwstr>http://www.iso-ne.com/static-assets/documents/2016/03/a2_fca11_zonal_boundary_determinations.pdf</vt:lpwstr>
      </vt:variant>
      <vt:variant>
        <vt:lpwstr/>
      </vt:variant>
      <vt:variant>
        <vt:i4>6619234</vt:i4>
      </vt:variant>
      <vt:variant>
        <vt:i4>234</vt:i4>
      </vt:variant>
      <vt:variant>
        <vt:i4>0</vt:i4>
      </vt:variant>
      <vt:variant>
        <vt:i4>5</vt:i4>
      </vt:variant>
      <vt:variant>
        <vt:lpwstr>http://www.iso-ne.com/static-assets/documents/2016/03/a2_fca11_zonal_boundary_determinations.pdf</vt:lpwstr>
      </vt:variant>
      <vt:variant>
        <vt:lpwstr/>
      </vt:variant>
      <vt:variant>
        <vt:i4>6619234</vt:i4>
      </vt:variant>
      <vt:variant>
        <vt:i4>231</vt:i4>
      </vt:variant>
      <vt:variant>
        <vt:i4>0</vt:i4>
      </vt:variant>
      <vt:variant>
        <vt:i4>5</vt:i4>
      </vt:variant>
      <vt:variant>
        <vt:lpwstr>http://www.iso-ne.com/static-assets/documents/2016/03/a2_fca11_zonal_boundary_determinations.pdf</vt:lpwstr>
      </vt:variant>
      <vt:variant>
        <vt:lpwstr/>
      </vt:variant>
      <vt:variant>
        <vt:i4>6619234</vt:i4>
      </vt:variant>
      <vt:variant>
        <vt:i4>228</vt:i4>
      </vt:variant>
      <vt:variant>
        <vt:i4>0</vt:i4>
      </vt:variant>
      <vt:variant>
        <vt:i4>5</vt:i4>
      </vt:variant>
      <vt:variant>
        <vt:lpwstr>http://www.iso-ne.com/static-assets/documents/2016/03/a2_fca11_zonal_boundary_determinations.pdf</vt:lpwstr>
      </vt:variant>
      <vt:variant>
        <vt:lpwstr/>
      </vt:variant>
      <vt:variant>
        <vt:i4>6619234</vt:i4>
      </vt:variant>
      <vt:variant>
        <vt:i4>225</vt:i4>
      </vt:variant>
      <vt:variant>
        <vt:i4>0</vt:i4>
      </vt:variant>
      <vt:variant>
        <vt:i4>5</vt:i4>
      </vt:variant>
      <vt:variant>
        <vt:lpwstr>http://www.iso-ne.com/static-assets/documents/2016/03/a2_fca11_zonal_boundary_determinations.pdf</vt:lpwstr>
      </vt:variant>
      <vt:variant>
        <vt:lpwstr/>
      </vt:variant>
      <vt:variant>
        <vt:i4>1114190</vt:i4>
      </vt:variant>
      <vt:variant>
        <vt:i4>216</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213</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210</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207</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204</vt:i4>
      </vt:variant>
      <vt:variant>
        <vt:i4>0</vt:i4>
      </vt:variant>
      <vt:variant>
        <vt:i4>5</vt:i4>
      </vt:variant>
      <vt:variant>
        <vt:lpwstr>https://smd.iso-ne.com/operations-services/ceii/pac/2016/06/a3_transmission_transfer_capabilities_update.pdf</vt:lpwstr>
      </vt:variant>
      <vt:variant>
        <vt:lpwstr/>
      </vt:variant>
      <vt:variant>
        <vt:i4>524395</vt:i4>
      </vt:variant>
      <vt:variant>
        <vt:i4>48</vt:i4>
      </vt:variant>
      <vt:variant>
        <vt:i4>0</vt:i4>
      </vt:variant>
      <vt:variant>
        <vt:i4>5</vt:i4>
      </vt:variant>
      <vt:variant>
        <vt:lpwstr>http://www.iso-ne.com/static- assets/documents/2016/03/a2_maine_resource_integration_study_scope_of_  work.pdf</vt:lpwstr>
      </vt:variant>
      <vt:variant>
        <vt:lpwstr/>
      </vt:variant>
      <vt:variant>
        <vt:i4>6684788</vt:i4>
      </vt:variant>
      <vt:variant>
        <vt:i4>45</vt:i4>
      </vt:variant>
      <vt:variant>
        <vt:i4>0</vt:i4>
      </vt:variant>
      <vt:variant>
        <vt:i4>5</vt:i4>
      </vt:variant>
      <vt:variant>
        <vt:lpwstr>https://www.iso-ne.com/static-assets/documents/2016/08/a6_2016_economic_study_draft_results_appendix.pdf</vt:lpwstr>
      </vt:variant>
      <vt:variant>
        <vt:lpwstr/>
      </vt:variant>
      <vt:variant>
        <vt:i4>7077976</vt:i4>
      </vt:variant>
      <vt:variant>
        <vt:i4>42</vt:i4>
      </vt:variant>
      <vt:variant>
        <vt:i4>0</vt:i4>
      </vt:variant>
      <vt:variant>
        <vt:i4>5</vt:i4>
      </vt:variant>
      <vt:variant>
        <vt:lpwstr>https://www.iso-ne.com/static-assets/documents/2016/08/a6_2016_economic_study_draft_results.pdf</vt:lpwstr>
      </vt:variant>
      <vt:variant>
        <vt:lpwstr/>
      </vt:variant>
      <vt:variant>
        <vt:i4>2752573</vt:i4>
      </vt:variant>
      <vt:variant>
        <vt:i4>39</vt:i4>
      </vt:variant>
      <vt:variant>
        <vt:i4>0</vt:i4>
      </vt:variant>
      <vt:variant>
        <vt:i4>5</vt:i4>
      </vt:variant>
      <vt:variant>
        <vt:lpwstr>https://iso-ne.com/static-assets/documents/2016/09/a7_2016_economic_study_part_2_appendix.pdf</vt:lpwstr>
      </vt:variant>
      <vt:variant>
        <vt:lpwstr/>
      </vt:variant>
      <vt:variant>
        <vt:i4>1048639</vt:i4>
      </vt:variant>
      <vt:variant>
        <vt:i4>36</vt:i4>
      </vt:variant>
      <vt:variant>
        <vt:i4>0</vt:i4>
      </vt:variant>
      <vt:variant>
        <vt:i4>5</vt:i4>
      </vt:variant>
      <vt:variant>
        <vt:lpwstr>https://iso-ne.com/static-assets/documents/2016/09/a6_2016_economic_study_draft_results_part_2.pdf</vt:lpwstr>
      </vt:variant>
      <vt:variant>
        <vt:lpwstr/>
      </vt:variant>
      <vt:variant>
        <vt:i4>3932270</vt:i4>
      </vt:variant>
      <vt:variant>
        <vt:i4>33</vt:i4>
      </vt:variant>
      <vt:variant>
        <vt:i4>0</vt:i4>
      </vt:variant>
      <vt:variant>
        <vt:i4>5</vt:i4>
      </vt:variant>
      <vt:variant>
        <vt:lpwstr>http://www.eia.gov/forecasts/aeo/index.cfm</vt:lpwstr>
      </vt:variant>
      <vt:variant>
        <vt:lpwstr/>
      </vt:variant>
      <vt:variant>
        <vt:i4>7078013</vt:i4>
      </vt:variant>
      <vt:variant>
        <vt:i4>30</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27</vt:i4>
      </vt:variant>
      <vt:variant>
        <vt:i4>0</vt:i4>
      </vt:variant>
      <vt:variant>
        <vt:i4>5</vt:i4>
      </vt:variant>
      <vt:variant>
        <vt:lpwstr>http://www.iso-ne.com/static-assets/documents/2016/07/a6_2016_economic_study_update.pdf</vt:lpwstr>
      </vt:variant>
      <vt:variant>
        <vt:lpwstr/>
      </vt:variant>
      <vt:variant>
        <vt:i4>2228260</vt:i4>
      </vt:variant>
      <vt:variant>
        <vt:i4>24</vt:i4>
      </vt:variant>
      <vt:variant>
        <vt:i4>0</vt:i4>
      </vt:variant>
      <vt:variant>
        <vt:i4>5</vt:i4>
      </vt:variant>
      <vt:variant>
        <vt:lpwstr>http://www.iso-ne.com/static-assets/documents/2016/06/a9_2016_economic_study_assumptions.pdf</vt:lpwstr>
      </vt:variant>
      <vt:variant>
        <vt:lpwstr/>
      </vt:variant>
      <vt:variant>
        <vt:i4>1441896</vt:i4>
      </vt:variant>
      <vt:variant>
        <vt:i4>21</vt:i4>
      </vt:variant>
      <vt:variant>
        <vt:i4>0</vt:i4>
      </vt:variant>
      <vt:variant>
        <vt:i4>5</vt:i4>
      </vt:variant>
      <vt:variant>
        <vt:lpwstr>https://iso-ne.com/static-assets/documents/2016/05/a3_2016_economic_study_scope_of_work_assumptions.pdf</vt:lpwstr>
      </vt:variant>
      <vt:variant>
        <vt:lpwstr/>
      </vt:variant>
      <vt:variant>
        <vt:i4>7078013</vt:i4>
      </vt:variant>
      <vt:variant>
        <vt:i4>18</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15</vt:i4>
      </vt:variant>
      <vt:variant>
        <vt:i4>0</vt:i4>
      </vt:variant>
      <vt:variant>
        <vt:i4>5</vt:i4>
      </vt:variant>
      <vt:variant>
        <vt:lpwstr>http://www.iso-ne.com/static-assets/documents/2016/07/a6_2016_economic_study_update.pdf</vt:lpwstr>
      </vt:variant>
      <vt:variant>
        <vt:lpwstr/>
      </vt:variant>
      <vt:variant>
        <vt:i4>2228260</vt:i4>
      </vt:variant>
      <vt:variant>
        <vt:i4>12</vt:i4>
      </vt:variant>
      <vt:variant>
        <vt:i4>0</vt:i4>
      </vt:variant>
      <vt:variant>
        <vt:i4>5</vt:i4>
      </vt:variant>
      <vt:variant>
        <vt:lpwstr>http://www.iso-ne.com/static-assets/documents/2016/06/a9_2016_economic_study_assumptions.pdf</vt:lpwstr>
      </vt:variant>
      <vt:variant>
        <vt:lpwstr/>
      </vt:variant>
      <vt:variant>
        <vt:i4>1769541</vt:i4>
      </vt:variant>
      <vt:variant>
        <vt:i4>9</vt:i4>
      </vt:variant>
      <vt:variant>
        <vt:i4>0</vt:i4>
      </vt:variant>
      <vt:variant>
        <vt:i4>5</vt:i4>
      </vt:variant>
      <vt:variant>
        <vt:lpwstr>https://iso-ne.com/static-assets/documents/regulatory/tariff/sect_2/oatt/sect_ii.pdf</vt:lpwstr>
      </vt:variant>
      <vt:variant>
        <vt:lpwstr/>
      </vt:variant>
      <vt:variant>
        <vt:i4>196634</vt:i4>
      </vt:variant>
      <vt:variant>
        <vt:i4>6</vt:i4>
      </vt:variant>
      <vt:variant>
        <vt:i4>0</vt:i4>
      </vt:variant>
      <vt:variant>
        <vt:i4>5</vt:i4>
      </vt:variant>
      <vt:variant>
        <vt:lpwstr>http://www.iso-ne.com/static-assets/documents/2016/07/a6_2016_economic_study_update.pdf</vt:lpwstr>
      </vt:variant>
      <vt:variant>
        <vt:lpwstr/>
      </vt:variant>
      <vt:variant>
        <vt:i4>2228260</vt:i4>
      </vt:variant>
      <vt:variant>
        <vt:i4>3</vt:i4>
      </vt:variant>
      <vt:variant>
        <vt:i4>0</vt:i4>
      </vt:variant>
      <vt:variant>
        <vt:i4>5</vt:i4>
      </vt:variant>
      <vt:variant>
        <vt:lpwstr>http://www.iso-ne.com/static-assets/documents/2016/06/a9_2016_economic_study_assumptions.pdf</vt:lpwstr>
      </vt:variant>
      <vt:variant>
        <vt:lpwstr/>
      </vt:variant>
      <vt:variant>
        <vt:i4>2097272</vt:i4>
      </vt:variant>
      <vt:variant>
        <vt:i4>0</vt:i4>
      </vt:variant>
      <vt:variant>
        <vt:i4>0</vt:i4>
      </vt:variant>
      <vt:variant>
        <vt:i4>5</vt:i4>
      </vt:variant>
      <vt:variant>
        <vt:lpwstr>http://www.iso-ne.com/regulatory/tariff/sect_2/oatt/sect_ii.pdf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2020-10-29T11:28:00Z</dcterms:created>
  <dcterms:modified xsi:type="dcterms:W3CDTF">2020-12-04T18:12:00Z</dcterms:modified>
  <cp:contentStatus/>
</cp:coreProperties>
</file>