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44E5B" w14:textId="20BCAFFC" w:rsidR="00F85C42" w:rsidRDefault="007F421E">
      <w:r>
        <w:t xml:space="preserve">The New England Power Pool (NEPOOL) has worked for </w:t>
      </w:r>
      <w:r w:rsidR="008838BF">
        <w:t xml:space="preserve">the past </w:t>
      </w:r>
      <w:r>
        <w:t xml:space="preserve">several months to develop a framework for </w:t>
      </w:r>
      <w:r w:rsidR="00882FE7">
        <w:t>a</w:t>
      </w:r>
      <w:r>
        <w:t xml:space="preserve"> </w:t>
      </w:r>
      <w:r w:rsidR="00882FE7">
        <w:t>Future Grid Reliability S</w:t>
      </w:r>
      <w:r w:rsidR="008838BF">
        <w:t>tudy</w:t>
      </w:r>
      <w:r w:rsidR="00882FE7">
        <w:t>. The</w:t>
      </w:r>
      <w:r w:rsidR="008838BF">
        <w:t xml:space="preserve"> framework has been developed through the stakeholder process at joint meetings of the NEPOOL Markets and Reliability Committees (MC/RC) with support from the New England States Committee on Electricity </w:t>
      </w:r>
      <w:r w:rsidR="004C17ED">
        <w:t xml:space="preserve">(NESCOE) </w:t>
      </w:r>
      <w:r w:rsidR="008838BF">
        <w:t>and Independent System Operator – New England, Inc. (ISO-NE).</w:t>
      </w:r>
    </w:p>
    <w:p w14:paraId="67EEF7CF" w14:textId="77777777" w:rsidR="00F85C42" w:rsidRDefault="00F85C42"/>
    <w:p w14:paraId="3DE9E242" w14:textId="703FAC63" w:rsidR="00F85C42" w:rsidRDefault="008838BF">
      <w:r>
        <w:t xml:space="preserve">The </w:t>
      </w:r>
      <w:r w:rsidR="00882FE7">
        <w:t xml:space="preserve">Future Grid Reliability Study </w:t>
      </w:r>
      <w:r w:rsidR="001F5ACD">
        <w:t>will</w:t>
      </w:r>
      <w:r>
        <w:t xml:space="preserve"> </w:t>
      </w:r>
      <w:r w:rsidR="00882FE7">
        <w:t>proceed</w:t>
      </w:r>
      <w:r>
        <w:t xml:space="preserve"> in two phases</w:t>
      </w:r>
      <w:r w:rsidR="00A31DF4">
        <w:t xml:space="preserve"> (Phase 1 and Phase 2)</w:t>
      </w:r>
      <w:r w:rsidR="00F85C42">
        <w:t xml:space="preserve">. Phase 1 consists of a production cost simulation, </w:t>
      </w:r>
      <w:r w:rsidR="000D4555">
        <w:t xml:space="preserve">ancillary services simulation, </w:t>
      </w:r>
      <w:r w:rsidR="00F85C42">
        <w:t xml:space="preserve">resource adequacy screen and probabilistic resource </w:t>
      </w:r>
      <w:r w:rsidR="000D4555">
        <w:t xml:space="preserve">availability </w:t>
      </w:r>
      <w:r w:rsidR="00F85C42">
        <w:t>analysis. On March 1</w:t>
      </w:r>
      <w:r w:rsidR="006A4157">
        <w:t>2</w:t>
      </w:r>
      <w:r w:rsidR="00F85C42">
        <w:t xml:space="preserve">, 2021 NEPOOL submitted the framework for </w:t>
      </w:r>
      <w:r w:rsidR="00A31DF4">
        <w:t>P</w:t>
      </w:r>
      <w:r w:rsidR="00F85C42">
        <w:t xml:space="preserve">hase 1 to ISO-NE as an </w:t>
      </w:r>
      <w:r w:rsidR="00A31DF4">
        <w:t>E</w:t>
      </w:r>
      <w:r w:rsidR="00F85C42">
        <w:t xml:space="preserve">conomic </w:t>
      </w:r>
      <w:r w:rsidR="00A31DF4">
        <w:t>S</w:t>
      </w:r>
      <w:r w:rsidR="00F85C42">
        <w:t>tudy request</w:t>
      </w:r>
      <w:r w:rsidR="00A31DF4">
        <w:t xml:space="preserve"> pursuant to the ISO-NE Tariff</w:t>
      </w:r>
      <w:r w:rsidR="00F85C42">
        <w:t>.</w:t>
      </w:r>
      <w:r w:rsidR="00A31DF4">
        <w:t xml:space="preserve">  Based on input from ISO-NE, the MC/RC has decided to pause further work on Phase 2 until later in 2021 or 2022.  </w:t>
      </w:r>
    </w:p>
    <w:p w14:paraId="38FEFE57" w14:textId="77777777" w:rsidR="00F85C42" w:rsidRDefault="00F85C42"/>
    <w:p w14:paraId="34D8C01B" w14:textId="6DA70C4F" w:rsidR="00ED484B" w:rsidRDefault="00F85C42">
      <w:r>
        <w:t>The MC/RC expects that Phase 2 will include revenue sufficiency and system security analyses</w:t>
      </w:r>
      <w:r w:rsidR="00882FE7">
        <w:t>, and perhaps some other analyses.</w:t>
      </w:r>
      <w:r>
        <w:t xml:space="preserve"> </w:t>
      </w:r>
      <w:r w:rsidR="00DC1BA3">
        <w:t xml:space="preserve">Work has been done to develop a </w:t>
      </w:r>
      <w:r w:rsidR="00A31DF4">
        <w:t xml:space="preserve">partial </w:t>
      </w:r>
      <w:r w:rsidR="00DC1BA3">
        <w:t xml:space="preserve">draft framework for Phase 2. However, </w:t>
      </w:r>
      <w:r w:rsidR="00A31DF4">
        <w:t xml:space="preserve">as noted above, </w:t>
      </w:r>
      <w:r w:rsidR="00DC1BA3">
        <w:t xml:space="preserve">the MC/RC has decided to pause on </w:t>
      </w:r>
      <w:r w:rsidR="00A31DF4">
        <w:t>P</w:t>
      </w:r>
      <w:r w:rsidR="00DC1BA3">
        <w:t xml:space="preserve">hase 2 to allow ISO-NE and the region to focus on </w:t>
      </w:r>
      <w:r w:rsidR="00A31DF4">
        <w:t>P</w:t>
      </w:r>
      <w:r w:rsidR="00DC1BA3">
        <w:t xml:space="preserve">hase 1 and </w:t>
      </w:r>
      <w:r w:rsidR="00882FE7">
        <w:t xml:space="preserve">certain </w:t>
      </w:r>
      <w:r w:rsidR="00DC1BA3">
        <w:t xml:space="preserve">other 2021 </w:t>
      </w:r>
      <w:r w:rsidR="00A31DF4">
        <w:t xml:space="preserve">related </w:t>
      </w:r>
      <w:r w:rsidR="00DC1BA3">
        <w:t xml:space="preserve">studies. </w:t>
      </w:r>
    </w:p>
    <w:p w14:paraId="22BDB47B" w14:textId="62C1A208" w:rsidR="00DC1BA3" w:rsidRDefault="00DC1BA3"/>
    <w:p w14:paraId="3971F475" w14:textId="01F76C87" w:rsidR="00DC1BA3" w:rsidRDefault="00DC1BA3">
      <w:r>
        <w:t>This paper document</w:t>
      </w:r>
      <w:r w:rsidR="004C17ED">
        <w:t>s</w:t>
      </w:r>
      <w:r>
        <w:t xml:space="preserve"> th</w:t>
      </w:r>
      <w:r w:rsidR="004C17ED">
        <w:t>e</w:t>
      </w:r>
      <w:r>
        <w:t xml:space="preserve"> work that </w:t>
      </w:r>
      <w:r w:rsidR="004C17ED">
        <w:t>the MC/RC</w:t>
      </w:r>
      <w:r w:rsidR="00093DB9">
        <w:t xml:space="preserve">, NESCOE and ISO-NE </w:t>
      </w:r>
      <w:r w:rsidR="004C17ED">
        <w:t xml:space="preserve">have done </w:t>
      </w:r>
      <w:r w:rsidR="005F0C41">
        <w:t xml:space="preserve">through </w:t>
      </w:r>
      <w:r w:rsidR="00A31DF4">
        <w:t xml:space="preserve">March 2021 </w:t>
      </w:r>
      <w:r>
        <w:t xml:space="preserve">to develop a </w:t>
      </w:r>
      <w:r w:rsidR="005F0C41">
        <w:t xml:space="preserve">partial </w:t>
      </w:r>
      <w:r>
        <w:t xml:space="preserve">draft framework for </w:t>
      </w:r>
      <w:r w:rsidR="00A31DF4">
        <w:t>P</w:t>
      </w:r>
      <w:r>
        <w:t xml:space="preserve">hase 2. </w:t>
      </w:r>
      <w:r w:rsidR="004C17ED">
        <w:t>Although t</w:t>
      </w:r>
      <w:r>
        <w:t>he</w:t>
      </w:r>
      <w:r w:rsidR="004C17ED">
        <w:t xml:space="preserve"> </w:t>
      </w:r>
      <w:r w:rsidR="001F5ACD">
        <w:t xml:space="preserve">MC/RC believes that the </w:t>
      </w:r>
      <w:r w:rsidR="004C17ED">
        <w:t xml:space="preserve">details and timing of the phase 2 analyses require further consideration, </w:t>
      </w:r>
      <w:r w:rsidR="00882FE7">
        <w:t>th</w:t>
      </w:r>
      <w:r w:rsidR="001F5ACD">
        <w:t>is</w:t>
      </w:r>
      <w:r w:rsidR="004C17ED">
        <w:t xml:space="preserve"> paper </w:t>
      </w:r>
      <w:r w:rsidR="001F5ACD">
        <w:t xml:space="preserve">is intended to </w:t>
      </w:r>
      <w:r w:rsidR="00882FE7">
        <w:t>serve as a refresher and starting point when the MC/RC recommence</w:t>
      </w:r>
      <w:r w:rsidR="00212BC2">
        <w:t>s</w:t>
      </w:r>
      <w:r w:rsidR="00882FE7">
        <w:t xml:space="preserve"> work on </w:t>
      </w:r>
      <w:r w:rsidR="00A31DF4">
        <w:t>P</w:t>
      </w:r>
      <w:r w:rsidR="00882FE7">
        <w:t>hase 2.</w:t>
      </w:r>
    </w:p>
    <w:p w14:paraId="2520A3AD" w14:textId="7033EA21" w:rsidR="00124A58" w:rsidRDefault="00124A58"/>
    <w:p w14:paraId="12A9DC5E" w14:textId="1098158B" w:rsidR="00124A58" w:rsidRDefault="00124A58">
      <w:r>
        <w:rPr>
          <w:b/>
          <w:bCs/>
        </w:rPr>
        <w:t>Areas for Analysis</w:t>
      </w:r>
    </w:p>
    <w:p w14:paraId="357F272D" w14:textId="6A0EAD3B" w:rsidR="00124A58" w:rsidRDefault="00124A58"/>
    <w:p w14:paraId="5018A000" w14:textId="6B671671" w:rsidR="00124A58" w:rsidRDefault="00124A58">
      <w:r>
        <w:t xml:space="preserve">The MC/RC expects that revenue sufficiency and system security analyses will be included in Phase 2. </w:t>
      </w:r>
      <w:r w:rsidR="009F6E21">
        <w:t xml:space="preserve">Although </w:t>
      </w:r>
      <w:r w:rsidR="00504073">
        <w:t xml:space="preserve">the </w:t>
      </w:r>
      <w:r>
        <w:t>MC/RC ha</w:t>
      </w:r>
      <w:r w:rsidR="009F6E21">
        <w:t>s</w:t>
      </w:r>
      <w:r>
        <w:t xml:space="preserve"> not completed its work in developing the details of those analyses, </w:t>
      </w:r>
      <w:r w:rsidR="009F6E21">
        <w:t>the paragraphs below reflect the work that has been done to date. I</w:t>
      </w:r>
      <w:r>
        <w:t xml:space="preserve">t </w:t>
      </w:r>
      <w:r w:rsidR="009F6E21">
        <w:t xml:space="preserve">is </w:t>
      </w:r>
      <w:r>
        <w:t>generally acknowledged that the details require further consideration</w:t>
      </w:r>
      <w:r w:rsidR="009F6E21">
        <w:t xml:space="preserve"> when the MC/RC recommences work on </w:t>
      </w:r>
      <w:r w:rsidR="00A31DF4">
        <w:t>P</w:t>
      </w:r>
      <w:r w:rsidR="009F6E21">
        <w:t>hase 2.</w:t>
      </w:r>
    </w:p>
    <w:p w14:paraId="6356118B" w14:textId="77EBF735" w:rsidR="00124A58" w:rsidRDefault="00124A58"/>
    <w:p w14:paraId="327793CE" w14:textId="4524E302" w:rsidR="00124A58" w:rsidRDefault="00124A58" w:rsidP="00A6504C">
      <w:pPr>
        <w:pStyle w:val="ListParagraph"/>
        <w:numPr>
          <w:ilvl w:val="0"/>
          <w:numId w:val="1"/>
        </w:numPr>
        <w:rPr>
          <w:b/>
          <w:bCs/>
        </w:rPr>
      </w:pPr>
      <w:r w:rsidRPr="00A6504C">
        <w:rPr>
          <w:b/>
          <w:bCs/>
        </w:rPr>
        <w:t xml:space="preserve">Revenue Sufficiency Analysis – </w:t>
      </w:r>
      <w:r w:rsidR="00093DB9">
        <w:rPr>
          <w:b/>
          <w:bCs/>
        </w:rPr>
        <w:t>To be p</w:t>
      </w:r>
      <w:r w:rsidRPr="00A6504C">
        <w:rPr>
          <w:b/>
          <w:bCs/>
        </w:rPr>
        <w:t>erformed by a consultant using consultant-based software</w:t>
      </w:r>
    </w:p>
    <w:p w14:paraId="3376212F" w14:textId="77777777" w:rsidR="00A6504C" w:rsidRPr="00A6504C" w:rsidRDefault="00A6504C" w:rsidP="00A6504C">
      <w:pPr>
        <w:pStyle w:val="ListParagraph"/>
        <w:rPr>
          <w:b/>
          <w:bCs/>
        </w:rPr>
      </w:pPr>
    </w:p>
    <w:p w14:paraId="64C2D9C7" w14:textId="77777777" w:rsidR="00A6504C" w:rsidRPr="000D4555" w:rsidRDefault="00A6504C" w:rsidP="000D4555">
      <w:pPr>
        <w:pStyle w:val="BodyA"/>
        <w:spacing w:after="120"/>
        <w:ind w:left="720"/>
        <w:rPr>
          <w:rStyle w:val="None"/>
          <w:rFonts w:asciiTheme="minorHAnsi" w:hAnsiTheme="minorHAnsi"/>
          <w:b/>
          <w:bCs/>
        </w:rPr>
      </w:pPr>
      <w:r w:rsidRPr="000D4555">
        <w:rPr>
          <w:rStyle w:val="None"/>
          <w:rFonts w:asciiTheme="minorHAnsi" w:hAnsiTheme="minorHAnsi"/>
          <w:b/>
          <w:bCs/>
          <w:lang w:val="fr-FR"/>
        </w:rPr>
        <w:t>Objective:</w:t>
      </w:r>
      <w:r w:rsidRPr="000D4555">
        <w:rPr>
          <w:rStyle w:val="None"/>
          <w:rFonts w:asciiTheme="minorHAnsi" w:hAnsiTheme="minorHAnsi"/>
        </w:rPr>
        <w:t xml:space="preserve"> Compare revenues from the existing markets to resource costs by technology type.</w:t>
      </w:r>
    </w:p>
    <w:p w14:paraId="22298601" w14:textId="74A234A0" w:rsidR="00A6504C" w:rsidRPr="000D4555" w:rsidRDefault="00A6504C" w:rsidP="000D4555">
      <w:pPr>
        <w:pStyle w:val="BodyA"/>
        <w:spacing w:after="120"/>
        <w:ind w:left="720"/>
        <w:rPr>
          <w:rStyle w:val="None"/>
          <w:rFonts w:asciiTheme="minorHAnsi" w:hAnsiTheme="minorHAnsi"/>
          <w:b/>
          <w:bCs/>
        </w:rPr>
      </w:pPr>
      <w:r w:rsidRPr="000D4555">
        <w:rPr>
          <w:rStyle w:val="None"/>
          <w:rFonts w:asciiTheme="minorHAnsi" w:hAnsiTheme="minorHAnsi"/>
          <w:b/>
          <w:bCs/>
          <w:lang w:val="it-IT"/>
        </w:rPr>
        <w:t>Scope:</w:t>
      </w:r>
      <w:r w:rsidRPr="000D4555">
        <w:rPr>
          <w:rStyle w:val="None"/>
          <w:rFonts w:asciiTheme="minorHAnsi" w:hAnsiTheme="minorHAnsi"/>
        </w:rPr>
        <w:t xml:space="preserve">  Resources located in New England only; assume an unconstrained internal transmission system but interfaces at the R</w:t>
      </w:r>
      <w:r w:rsidR="00093DB9" w:rsidRPr="000D4555">
        <w:rPr>
          <w:rStyle w:val="None"/>
          <w:rFonts w:asciiTheme="minorHAnsi" w:hAnsiTheme="minorHAnsi"/>
        </w:rPr>
        <w:t xml:space="preserve">egional </w:t>
      </w:r>
      <w:r w:rsidRPr="000D4555">
        <w:rPr>
          <w:rStyle w:val="None"/>
          <w:rFonts w:asciiTheme="minorHAnsi" w:hAnsiTheme="minorHAnsi"/>
        </w:rPr>
        <w:t>S</w:t>
      </w:r>
      <w:r w:rsidR="00093DB9" w:rsidRPr="000D4555">
        <w:rPr>
          <w:rStyle w:val="None"/>
          <w:rFonts w:asciiTheme="minorHAnsi" w:hAnsiTheme="minorHAnsi"/>
        </w:rPr>
        <w:t xml:space="preserve">ystem </w:t>
      </w:r>
      <w:r w:rsidRPr="000D4555">
        <w:rPr>
          <w:rStyle w:val="None"/>
          <w:rFonts w:asciiTheme="minorHAnsi" w:hAnsiTheme="minorHAnsi"/>
        </w:rPr>
        <w:t>P</w:t>
      </w:r>
      <w:r w:rsidR="00093DB9" w:rsidRPr="000D4555">
        <w:rPr>
          <w:rStyle w:val="None"/>
          <w:rFonts w:asciiTheme="minorHAnsi" w:hAnsiTheme="minorHAnsi"/>
        </w:rPr>
        <w:t>lan</w:t>
      </w:r>
      <w:r w:rsidRPr="000D4555">
        <w:rPr>
          <w:rStyle w:val="None"/>
          <w:rFonts w:asciiTheme="minorHAnsi" w:hAnsiTheme="minorHAnsi"/>
        </w:rPr>
        <w:t xml:space="preserve"> bubbles will be monitored. Some sensitivities that recognize constraints may be run. </w:t>
      </w:r>
    </w:p>
    <w:p w14:paraId="2E069E9E" w14:textId="149B8330" w:rsidR="00A6504C" w:rsidRPr="000D4555" w:rsidRDefault="00A6504C" w:rsidP="000D4555">
      <w:pPr>
        <w:pStyle w:val="BodyA"/>
        <w:spacing w:after="120"/>
        <w:ind w:left="720"/>
        <w:rPr>
          <w:rFonts w:asciiTheme="minorHAnsi" w:hAnsiTheme="minorHAnsi"/>
        </w:rPr>
      </w:pPr>
      <w:r w:rsidRPr="000D4555">
        <w:rPr>
          <w:rStyle w:val="None"/>
          <w:rFonts w:asciiTheme="minorHAnsi" w:hAnsiTheme="minorHAnsi"/>
          <w:b/>
          <w:bCs/>
        </w:rPr>
        <w:t>Methods:</w:t>
      </w:r>
      <w:r w:rsidRPr="000D4555">
        <w:rPr>
          <w:rStyle w:val="None"/>
          <w:rFonts w:asciiTheme="minorHAnsi" w:hAnsiTheme="minorHAnsi"/>
        </w:rPr>
        <w:t xml:space="preserve"> For some matrix and alternative scenarios selected by the MC/RC, conduct a Forward Capacity Market simulation for a few </w:t>
      </w:r>
      <w:r w:rsidRPr="000D4555">
        <w:rPr>
          <w:rStyle w:val="None"/>
          <w:rFonts w:asciiTheme="minorHAnsi" w:hAnsiTheme="minorHAnsi"/>
          <w:rtl/>
          <w:lang w:val="ar-SA"/>
        </w:rPr>
        <w:t>“</w:t>
      </w:r>
      <w:r w:rsidRPr="000D4555">
        <w:rPr>
          <w:rStyle w:val="None"/>
          <w:rFonts w:asciiTheme="minorHAnsi" w:hAnsiTheme="minorHAnsi"/>
        </w:rPr>
        <w:t xml:space="preserve">bookend” prices. Add the resultant </w:t>
      </w:r>
      <w:r w:rsidRPr="000D4555">
        <w:rPr>
          <w:rStyle w:val="None"/>
          <w:rFonts w:asciiTheme="minorHAnsi" w:hAnsiTheme="minorHAnsi"/>
        </w:rPr>
        <w:lastRenderedPageBreak/>
        <w:t xml:space="preserve">revenues to the revenues from the </w:t>
      </w:r>
      <w:r w:rsidR="005F0C41" w:rsidRPr="000D4555">
        <w:rPr>
          <w:rStyle w:val="None"/>
          <w:rFonts w:asciiTheme="minorHAnsi" w:hAnsiTheme="minorHAnsi"/>
        </w:rPr>
        <w:t>P</w:t>
      </w:r>
      <w:r w:rsidR="001F5ACD" w:rsidRPr="000D4555">
        <w:rPr>
          <w:rStyle w:val="None"/>
          <w:rFonts w:asciiTheme="minorHAnsi" w:hAnsiTheme="minorHAnsi"/>
        </w:rPr>
        <w:t xml:space="preserve">hase </w:t>
      </w:r>
      <w:r w:rsidR="00202632" w:rsidRPr="000D4555">
        <w:rPr>
          <w:rStyle w:val="None"/>
          <w:rFonts w:asciiTheme="minorHAnsi" w:hAnsiTheme="minorHAnsi"/>
        </w:rPr>
        <w:t>1</w:t>
      </w:r>
      <w:r w:rsidR="001F5ACD" w:rsidRPr="000D4555">
        <w:rPr>
          <w:rStyle w:val="None"/>
          <w:rFonts w:asciiTheme="minorHAnsi" w:hAnsiTheme="minorHAnsi"/>
        </w:rPr>
        <w:t xml:space="preserve"> </w:t>
      </w:r>
      <w:r w:rsidRPr="000D4555">
        <w:rPr>
          <w:rStyle w:val="None"/>
          <w:rFonts w:asciiTheme="minorHAnsi" w:hAnsiTheme="minorHAnsi"/>
        </w:rPr>
        <w:t>energy and ancillary services market analyses results. Compare the revenues from these existing markets to resource going-forward cost estimates. Present results in appropriate metrics for a technology type (e.g., $/kilowatt-month, $/year)</w:t>
      </w:r>
    </w:p>
    <w:p w14:paraId="4EFFED76" w14:textId="63F6A7B6" w:rsidR="00A6504C" w:rsidRPr="000D4555" w:rsidRDefault="00A6504C" w:rsidP="000D4555">
      <w:pPr>
        <w:pStyle w:val="BodyA"/>
        <w:spacing w:after="120"/>
        <w:ind w:left="720"/>
        <w:rPr>
          <w:rFonts w:asciiTheme="minorHAnsi" w:hAnsiTheme="minorHAnsi"/>
        </w:rPr>
      </w:pPr>
      <w:r w:rsidRPr="000D4555">
        <w:rPr>
          <w:rStyle w:val="None"/>
          <w:rFonts w:asciiTheme="minorHAnsi" w:hAnsiTheme="minorHAnsi"/>
          <w:b/>
          <w:bCs/>
        </w:rPr>
        <w:t>Learning points</w:t>
      </w:r>
      <w:r w:rsidRPr="000D4555">
        <w:rPr>
          <w:rStyle w:val="None"/>
          <w:rFonts w:asciiTheme="minorHAnsi" w:hAnsiTheme="minorHAnsi"/>
        </w:rPr>
        <w:t>: High-level observations of whether revenues will be sufficient to attract and retain different types of resources</w:t>
      </w:r>
    </w:p>
    <w:p w14:paraId="1C768C04" w14:textId="5B505228" w:rsidR="00070B25" w:rsidRDefault="00A6504C" w:rsidP="00070B25">
      <w:pPr>
        <w:pStyle w:val="ListParagraph"/>
        <w:rPr>
          <w:rStyle w:val="None"/>
        </w:rPr>
      </w:pPr>
      <w:r w:rsidRPr="00A6504C">
        <w:rPr>
          <w:rStyle w:val="None"/>
          <w:b/>
          <w:bCs/>
        </w:rPr>
        <w:t xml:space="preserve">[Placeholder: </w:t>
      </w:r>
      <w:r>
        <w:rPr>
          <w:rStyle w:val="None"/>
        </w:rPr>
        <w:t>Further thought is required on how to develop resource going-forward cost estimates.]</w:t>
      </w:r>
    </w:p>
    <w:p w14:paraId="336CB4BB" w14:textId="6C5E287F" w:rsidR="00070B25" w:rsidRDefault="00070B25" w:rsidP="00070B25">
      <w:pPr>
        <w:pStyle w:val="ListParagraph"/>
        <w:rPr>
          <w:rStyle w:val="None"/>
        </w:rPr>
      </w:pPr>
    </w:p>
    <w:p w14:paraId="734483AC" w14:textId="7953A994" w:rsidR="00070B25" w:rsidRDefault="00070B25" w:rsidP="00070B25">
      <w:pPr>
        <w:pStyle w:val="ListParagraph"/>
        <w:rPr>
          <w:rStyle w:val="None"/>
        </w:rPr>
      </w:pPr>
      <w:r>
        <w:rPr>
          <w:rStyle w:val="None"/>
        </w:rPr>
        <w:t>A draft scope of work for the revenue sufficiency analysis is attached as Appendix A. The MC/RC ha</w:t>
      </w:r>
      <w:r w:rsidR="00DE09FE">
        <w:rPr>
          <w:rStyle w:val="None"/>
        </w:rPr>
        <w:t>d</w:t>
      </w:r>
      <w:r>
        <w:rPr>
          <w:rStyle w:val="None"/>
        </w:rPr>
        <w:t xml:space="preserve"> not yet reviewed Appendix A</w:t>
      </w:r>
      <w:r w:rsidR="00DE09FE">
        <w:rPr>
          <w:rStyle w:val="None"/>
        </w:rPr>
        <w:t xml:space="preserve"> when work on phase 2 was paused.</w:t>
      </w:r>
    </w:p>
    <w:p w14:paraId="51B6DA51" w14:textId="77777777" w:rsidR="00070B25" w:rsidRDefault="00070B25" w:rsidP="00070B25">
      <w:pPr>
        <w:pStyle w:val="ListParagraph"/>
        <w:rPr>
          <w:rStyle w:val="None"/>
        </w:rPr>
      </w:pPr>
    </w:p>
    <w:p w14:paraId="6A6CD172" w14:textId="12476413" w:rsidR="00A6504C" w:rsidRDefault="00A6504C" w:rsidP="00A6504C">
      <w:pPr>
        <w:pStyle w:val="ListParagraph"/>
        <w:numPr>
          <w:ilvl w:val="0"/>
          <w:numId w:val="1"/>
        </w:numPr>
        <w:rPr>
          <w:b/>
          <w:bCs/>
        </w:rPr>
      </w:pPr>
      <w:r>
        <w:rPr>
          <w:b/>
          <w:bCs/>
        </w:rPr>
        <w:t>System Security Analyses – Performed by a consultant using PSS/E or similar software</w:t>
      </w:r>
    </w:p>
    <w:p w14:paraId="434251F8" w14:textId="77777777" w:rsidR="00A6504C" w:rsidRDefault="00A6504C" w:rsidP="00A6504C">
      <w:pPr>
        <w:pStyle w:val="ListParagraph"/>
        <w:rPr>
          <w:b/>
          <w:bCs/>
        </w:rPr>
      </w:pPr>
    </w:p>
    <w:p w14:paraId="20770125" w14:textId="57D6E1E0" w:rsidR="00A6504C" w:rsidRDefault="00A6504C" w:rsidP="00A6504C">
      <w:pPr>
        <w:pStyle w:val="ListParagraph"/>
        <w:numPr>
          <w:ilvl w:val="0"/>
          <w:numId w:val="2"/>
        </w:numPr>
        <w:rPr>
          <w:b/>
          <w:bCs/>
        </w:rPr>
      </w:pPr>
      <w:r>
        <w:rPr>
          <w:b/>
          <w:bCs/>
        </w:rPr>
        <w:t>Transmission Thermal and Voltage Analysis</w:t>
      </w:r>
    </w:p>
    <w:p w14:paraId="7B6FD9E2" w14:textId="77777777" w:rsidR="00A6504C" w:rsidRDefault="00A6504C" w:rsidP="00A6504C">
      <w:pPr>
        <w:pStyle w:val="ListParagraph"/>
        <w:ind w:left="1080"/>
        <w:rPr>
          <w:b/>
          <w:bCs/>
        </w:rPr>
      </w:pPr>
    </w:p>
    <w:p w14:paraId="12CDE651" w14:textId="77777777" w:rsidR="00A6504C" w:rsidRPr="000D4555" w:rsidRDefault="00A6504C" w:rsidP="00A6504C">
      <w:pPr>
        <w:pStyle w:val="BodyA"/>
        <w:spacing w:after="120"/>
        <w:ind w:left="1080"/>
        <w:rPr>
          <w:rStyle w:val="None"/>
          <w:rFonts w:asciiTheme="minorHAnsi" w:hAnsiTheme="minorHAnsi"/>
          <w:b/>
          <w:bCs/>
        </w:rPr>
      </w:pPr>
      <w:r w:rsidRPr="000D4555">
        <w:rPr>
          <w:rStyle w:val="None"/>
          <w:rFonts w:asciiTheme="minorHAnsi" w:hAnsiTheme="minorHAnsi"/>
          <w:b/>
          <w:bCs/>
          <w:lang w:val="fr-FR"/>
        </w:rPr>
        <w:t>Objectives:</w:t>
      </w:r>
      <w:r w:rsidRPr="000D4555">
        <w:rPr>
          <w:rStyle w:val="None"/>
          <w:rFonts w:asciiTheme="minorHAnsi" w:hAnsiTheme="minorHAnsi"/>
        </w:rPr>
        <w:t xml:space="preserve">  Screen the transmission system for thermal overloads and voltage limits for representative scenarios to identify key areas that may need transmission reinforcement. Make additions of transmission and possibly other devices as needed to have secure cases on which to conduct the stability analysis.  </w:t>
      </w:r>
    </w:p>
    <w:p w14:paraId="00097E75" w14:textId="77777777" w:rsidR="00A6504C" w:rsidRPr="000D4555" w:rsidRDefault="00A6504C" w:rsidP="00A6504C">
      <w:pPr>
        <w:pStyle w:val="BodyA"/>
        <w:spacing w:after="120"/>
        <w:ind w:left="1080"/>
        <w:rPr>
          <w:rFonts w:asciiTheme="minorHAnsi" w:hAnsiTheme="minorHAnsi"/>
        </w:rPr>
      </w:pPr>
      <w:r w:rsidRPr="000D4555">
        <w:rPr>
          <w:rStyle w:val="None"/>
          <w:rFonts w:asciiTheme="minorHAnsi" w:hAnsiTheme="minorHAnsi"/>
          <w:b/>
          <w:bCs/>
          <w:lang w:val="it-IT"/>
        </w:rPr>
        <w:t>Scope:</w:t>
      </w:r>
      <w:r w:rsidRPr="000D4555">
        <w:rPr>
          <w:rStyle w:val="None"/>
          <w:rFonts w:asciiTheme="minorHAnsi" w:hAnsiTheme="minorHAnsi"/>
        </w:rPr>
        <w:t xml:space="preserve">  High level review identifying the need for additional transmission and possibly other devices to develop secure cases for stability analysis</w:t>
      </w:r>
    </w:p>
    <w:p w14:paraId="0744F77E" w14:textId="08FF5271" w:rsidR="00A6504C" w:rsidRPr="000D4555" w:rsidRDefault="00A6504C" w:rsidP="00A6504C">
      <w:pPr>
        <w:pStyle w:val="BodyA"/>
        <w:spacing w:after="120"/>
        <w:ind w:left="1080"/>
        <w:rPr>
          <w:rFonts w:asciiTheme="minorHAnsi" w:hAnsiTheme="minorHAnsi"/>
        </w:rPr>
      </w:pPr>
      <w:r w:rsidRPr="000D4555">
        <w:rPr>
          <w:rStyle w:val="None"/>
          <w:rFonts w:asciiTheme="minorHAnsi" w:hAnsiTheme="minorHAnsi"/>
          <w:b/>
          <w:bCs/>
        </w:rPr>
        <w:t>Methods:</w:t>
      </w:r>
      <w:r w:rsidRPr="000D4555">
        <w:rPr>
          <w:rStyle w:val="None"/>
          <w:rFonts w:asciiTheme="minorHAnsi" w:hAnsiTheme="minorHAnsi"/>
        </w:rPr>
        <w:t xml:space="preserve"> The MC/RC selects a few representative scenarios to do a high-level screen for the purpose of identifying and then relieving transmission constraints before performing the stability analysis. The level of detail is less than what is typically modeled in a transmission reliability study. Assumptions will be made by the consultant to relieve constraints without optimizing potential solutions. There will be some flexibility to iterate model simulations with greater or lesser amounts of </w:t>
      </w:r>
      <w:r w:rsidR="00202632" w:rsidRPr="000D4555">
        <w:rPr>
          <w:rStyle w:val="None"/>
          <w:rFonts w:asciiTheme="minorHAnsi" w:hAnsiTheme="minorHAnsi"/>
        </w:rPr>
        <w:t>variable energy resources</w:t>
      </w:r>
      <w:r w:rsidRPr="000D4555">
        <w:rPr>
          <w:rStyle w:val="None"/>
          <w:rFonts w:asciiTheme="minorHAnsi" w:hAnsiTheme="minorHAnsi"/>
        </w:rPr>
        <w:t xml:space="preserve"> informed by the results of prior model runs and other areas of analysis.</w:t>
      </w:r>
      <w:r w:rsidR="00A31DF4" w:rsidRPr="000D4555">
        <w:rPr>
          <w:rStyle w:val="None"/>
          <w:rFonts w:asciiTheme="minorHAnsi" w:hAnsiTheme="minorHAnsi"/>
        </w:rPr>
        <w:t xml:space="preserve">  Take into account results of other relevant studies, including those to be conducted by ISO-NE in 2021.</w:t>
      </w:r>
    </w:p>
    <w:p w14:paraId="55198915" w14:textId="1CE6B4F6" w:rsidR="00A6504C" w:rsidRPr="000D4555" w:rsidRDefault="00A6504C" w:rsidP="00A6504C">
      <w:pPr>
        <w:pStyle w:val="BodyA"/>
        <w:spacing w:after="120"/>
        <w:ind w:left="1080"/>
        <w:rPr>
          <w:rStyle w:val="None"/>
          <w:rFonts w:asciiTheme="minorHAnsi" w:hAnsiTheme="minorHAnsi"/>
        </w:rPr>
      </w:pPr>
      <w:r w:rsidRPr="000D4555">
        <w:rPr>
          <w:rStyle w:val="None"/>
          <w:rFonts w:asciiTheme="minorHAnsi" w:hAnsiTheme="minorHAnsi"/>
          <w:b/>
          <w:bCs/>
        </w:rPr>
        <w:t xml:space="preserve">Metrics: </w:t>
      </w:r>
      <w:r w:rsidRPr="000D4555">
        <w:rPr>
          <w:rStyle w:val="None"/>
          <w:rFonts w:asciiTheme="minorHAnsi" w:hAnsiTheme="minorHAnsi"/>
        </w:rPr>
        <w:t>Identification of significant thermal overloads or voltage constraints for which relief should be assumed before conducting a stability analysis for the selected scenarios.</w:t>
      </w:r>
    </w:p>
    <w:p w14:paraId="59B9057A" w14:textId="4A4E8FD9" w:rsidR="00A6504C" w:rsidRPr="000D4555" w:rsidRDefault="00A6504C" w:rsidP="00A6504C">
      <w:pPr>
        <w:pStyle w:val="BodyA"/>
        <w:numPr>
          <w:ilvl w:val="0"/>
          <w:numId w:val="2"/>
        </w:numPr>
        <w:spacing w:after="120"/>
        <w:rPr>
          <w:rFonts w:asciiTheme="minorHAnsi" w:hAnsiTheme="minorHAnsi"/>
          <w:b/>
          <w:bCs/>
        </w:rPr>
      </w:pPr>
      <w:r w:rsidRPr="000D4555">
        <w:rPr>
          <w:rFonts w:asciiTheme="minorHAnsi" w:hAnsiTheme="minorHAnsi"/>
          <w:b/>
          <w:bCs/>
        </w:rPr>
        <w:t>Stability Analysis</w:t>
      </w:r>
    </w:p>
    <w:p w14:paraId="4CDB77CB" w14:textId="77777777" w:rsidR="00A6504C" w:rsidRPr="000D4555" w:rsidRDefault="00A6504C" w:rsidP="00A9729D">
      <w:pPr>
        <w:pStyle w:val="BodyA"/>
        <w:spacing w:after="120"/>
        <w:ind w:left="1080"/>
        <w:rPr>
          <w:rStyle w:val="None"/>
          <w:rFonts w:asciiTheme="minorHAnsi" w:hAnsiTheme="minorHAnsi"/>
          <w:b/>
          <w:bCs/>
        </w:rPr>
      </w:pPr>
      <w:r w:rsidRPr="000D4555">
        <w:rPr>
          <w:rStyle w:val="None"/>
          <w:rFonts w:asciiTheme="minorHAnsi" w:hAnsiTheme="minorHAnsi"/>
          <w:b/>
          <w:bCs/>
          <w:lang w:val="fr-FR"/>
        </w:rPr>
        <w:t>Objective:</w:t>
      </w:r>
      <w:r w:rsidRPr="000D4555">
        <w:rPr>
          <w:rStyle w:val="None"/>
          <w:rFonts w:asciiTheme="minorHAnsi" w:hAnsiTheme="minorHAnsi"/>
        </w:rPr>
        <w:t xml:space="preserve"> Do a high-level screen to show whether the decline in inertia from rotating machines combined with the growth of inverter-based resources will result in stability issues that may or may not be solvable with inverter capability. The change in inertia and generation with governors will change the system’s ability to </w:t>
      </w:r>
      <w:r w:rsidRPr="000D4555">
        <w:rPr>
          <w:rStyle w:val="None"/>
          <w:rFonts w:asciiTheme="minorHAnsi" w:hAnsiTheme="minorHAnsi"/>
        </w:rPr>
        <w:lastRenderedPageBreak/>
        <w:t>respond to large losses of generation through inertial pickup and increased output from conventional generators.</w:t>
      </w:r>
    </w:p>
    <w:p w14:paraId="1A8F7E57" w14:textId="77777777" w:rsidR="00A6504C" w:rsidRPr="000D4555" w:rsidRDefault="00A6504C" w:rsidP="00A9729D">
      <w:pPr>
        <w:pStyle w:val="BodyA"/>
        <w:spacing w:after="120"/>
        <w:ind w:left="1080"/>
        <w:rPr>
          <w:rStyle w:val="None"/>
          <w:rFonts w:asciiTheme="minorHAnsi" w:hAnsiTheme="minorHAnsi"/>
          <w:b/>
          <w:bCs/>
        </w:rPr>
      </w:pPr>
      <w:r w:rsidRPr="000D4555">
        <w:rPr>
          <w:rStyle w:val="None"/>
          <w:rFonts w:asciiTheme="minorHAnsi" w:hAnsiTheme="minorHAnsi"/>
          <w:b/>
          <w:bCs/>
          <w:lang w:val="it-IT"/>
        </w:rPr>
        <w:t>Scope:</w:t>
      </w:r>
      <w:r w:rsidRPr="000D4555">
        <w:rPr>
          <w:rStyle w:val="None"/>
          <w:rFonts w:asciiTheme="minorHAnsi" w:hAnsiTheme="minorHAnsi"/>
        </w:rPr>
        <w:t xml:space="preserve"> New England interconnected to New Brunswick and New York, external areas that will be modeled assuming decarbonization on the same scale as New England. Secure cases will be developed by identifying needed additions of transmission and possibly other devices based on the thermal and voltage testing described above. </w:t>
      </w:r>
    </w:p>
    <w:p w14:paraId="0DEE900C" w14:textId="53955B0B" w:rsidR="00A6504C" w:rsidRPr="000D4555" w:rsidRDefault="00A6504C" w:rsidP="00A9729D">
      <w:pPr>
        <w:pStyle w:val="BodyA"/>
        <w:spacing w:after="120"/>
        <w:ind w:left="1080"/>
        <w:rPr>
          <w:rFonts w:asciiTheme="minorHAnsi" w:hAnsiTheme="minorHAnsi"/>
        </w:rPr>
      </w:pPr>
      <w:r w:rsidRPr="000D4555">
        <w:rPr>
          <w:rStyle w:val="None"/>
          <w:rFonts w:asciiTheme="minorHAnsi" w:hAnsiTheme="minorHAnsi"/>
          <w:b/>
          <w:bCs/>
        </w:rPr>
        <w:t>Methods:</w:t>
      </w:r>
      <w:r w:rsidRPr="000D4555">
        <w:rPr>
          <w:rStyle w:val="None"/>
          <w:rFonts w:asciiTheme="minorHAnsi" w:hAnsiTheme="minorHAnsi"/>
        </w:rPr>
        <w:t xml:space="preserve">  Model the dynamic response capability of both conventional and inverter-based resources. The stability analysis will determine what, if any, devices are needed to maintain stability on the system for representative contingencies. Start with minimum load conditions (i.e. spring, weekend, mid-day) and consider also testing at peak loads. </w:t>
      </w:r>
      <w:r w:rsidR="00A31DF4" w:rsidRPr="000D4555">
        <w:rPr>
          <w:rStyle w:val="None"/>
          <w:rFonts w:asciiTheme="minorHAnsi" w:hAnsiTheme="minorHAnsi"/>
        </w:rPr>
        <w:t>Take into account results of other relevant studies, including those to be conducted by ISO-NE in 2021.</w:t>
      </w:r>
    </w:p>
    <w:p w14:paraId="1418D7EE" w14:textId="77777777" w:rsidR="00A6504C" w:rsidRPr="000D4555" w:rsidRDefault="00A6504C" w:rsidP="00A9729D">
      <w:pPr>
        <w:pStyle w:val="BodyA"/>
        <w:spacing w:after="120"/>
        <w:ind w:left="1080"/>
        <w:rPr>
          <w:rFonts w:asciiTheme="minorHAnsi" w:hAnsiTheme="minorHAnsi"/>
        </w:rPr>
      </w:pPr>
      <w:r w:rsidRPr="000D4555">
        <w:rPr>
          <w:rStyle w:val="None"/>
          <w:rFonts w:asciiTheme="minorHAnsi" w:hAnsiTheme="minorHAnsi"/>
          <w:b/>
          <w:bCs/>
        </w:rPr>
        <w:t xml:space="preserve">Metrics: </w:t>
      </w:r>
      <w:r w:rsidRPr="000D4555">
        <w:rPr>
          <w:rStyle w:val="None"/>
          <w:rFonts w:asciiTheme="minorHAnsi" w:hAnsiTheme="minorHAnsi"/>
        </w:rPr>
        <w:t>Determine if there is a gap that needs to be addressed by different operational or planning procedures or possible new market mechanisms to procure the required resources needed to maintain reliability.</w:t>
      </w:r>
    </w:p>
    <w:p w14:paraId="18208873" w14:textId="66AFFF61" w:rsidR="00A6504C" w:rsidRPr="000D4555" w:rsidRDefault="00A6504C" w:rsidP="00A9729D">
      <w:pPr>
        <w:pStyle w:val="BodyA"/>
        <w:ind w:left="1080"/>
        <w:rPr>
          <w:rStyle w:val="None"/>
          <w:rFonts w:asciiTheme="minorHAnsi" w:hAnsiTheme="minorHAnsi"/>
        </w:rPr>
      </w:pPr>
      <w:r w:rsidRPr="000D4555">
        <w:rPr>
          <w:rStyle w:val="None"/>
          <w:rFonts w:asciiTheme="minorHAnsi" w:hAnsiTheme="minorHAnsi"/>
          <w:b/>
          <w:bCs/>
        </w:rPr>
        <w:t>Learning points:</w:t>
      </w:r>
      <w:r w:rsidRPr="000D4555">
        <w:rPr>
          <w:rStyle w:val="None"/>
          <w:rFonts w:asciiTheme="minorHAnsi" w:hAnsiTheme="minorHAnsi"/>
        </w:rPr>
        <w:t xml:space="preserve"> The gap analysis will inform </w:t>
      </w:r>
      <w:r w:rsidR="00202632" w:rsidRPr="000D4555">
        <w:rPr>
          <w:rStyle w:val="None"/>
          <w:rFonts w:asciiTheme="minorHAnsi" w:hAnsiTheme="minorHAnsi"/>
        </w:rPr>
        <w:t>a</w:t>
      </w:r>
      <w:r w:rsidRPr="000D4555">
        <w:rPr>
          <w:rStyle w:val="None"/>
          <w:rFonts w:asciiTheme="minorHAnsi" w:hAnsiTheme="minorHAnsi"/>
        </w:rPr>
        <w:t xml:space="preserve"> separate discussion about potential market approaches to solutions such as resource retention, fast-frequency responsive load, primary frequency response from inverter-based resources, minimum inertial generation dispatch requirements (including operation of conventional resources as synchronous condensers), using ultra</w:t>
      </w:r>
      <w:r w:rsidR="00202632" w:rsidRPr="000D4555">
        <w:rPr>
          <w:rStyle w:val="None"/>
          <w:rFonts w:asciiTheme="minorHAnsi" w:hAnsiTheme="minorHAnsi"/>
        </w:rPr>
        <w:t>-</w:t>
      </w:r>
      <w:r w:rsidRPr="000D4555">
        <w:rPr>
          <w:rStyle w:val="None"/>
          <w:rFonts w:asciiTheme="minorHAnsi" w:hAnsiTheme="minorHAnsi"/>
        </w:rPr>
        <w:t>quick</w:t>
      </w:r>
      <w:r w:rsidR="00202632" w:rsidRPr="000D4555">
        <w:rPr>
          <w:rStyle w:val="None"/>
          <w:rFonts w:asciiTheme="minorHAnsi" w:hAnsiTheme="minorHAnsi"/>
        </w:rPr>
        <w:t>-</w:t>
      </w:r>
      <w:r w:rsidRPr="000D4555">
        <w:rPr>
          <w:rStyle w:val="None"/>
          <w:rFonts w:asciiTheme="minorHAnsi" w:hAnsiTheme="minorHAnsi"/>
        </w:rPr>
        <w:t>start inverter-based batteries to provide an increase in megawatts during a frequency decline, etc.</w:t>
      </w:r>
    </w:p>
    <w:p w14:paraId="331F6617" w14:textId="77777777" w:rsidR="00A6504C" w:rsidRPr="000D4555" w:rsidRDefault="00A6504C" w:rsidP="00A9729D">
      <w:pPr>
        <w:pStyle w:val="BodyA"/>
        <w:ind w:left="1080"/>
        <w:rPr>
          <w:rFonts w:asciiTheme="minorHAnsi" w:hAnsiTheme="minorHAnsi"/>
        </w:rPr>
      </w:pPr>
    </w:p>
    <w:p w14:paraId="42F14AED" w14:textId="21ABCA66" w:rsidR="00A6504C" w:rsidRPr="000D4555" w:rsidRDefault="00A6504C" w:rsidP="00A9729D">
      <w:pPr>
        <w:pStyle w:val="BodyA"/>
        <w:spacing w:after="120"/>
        <w:ind w:left="1080"/>
        <w:rPr>
          <w:rFonts w:asciiTheme="minorHAnsi" w:hAnsiTheme="minorHAnsi"/>
        </w:rPr>
      </w:pPr>
      <w:r w:rsidRPr="000D4555">
        <w:rPr>
          <w:rFonts w:asciiTheme="minorHAnsi" w:hAnsiTheme="minorHAnsi"/>
          <w:b/>
          <w:bCs/>
        </w:rPr>
        <w:t xml:space="preserve">[Placeholder: </w:t>
      </w:r>
      <w:r w:rsidRPr="000D4555">
        <w:rPr>
          <w:rFonts w:asciiTheme="minorHAnsi" w:hAnsiTheme="minorHAnsi"/>
        </w:rPr>
        <w:t>Ask inverter manufacturers about their capability to provide inertia and use that information to inform the modeling.]</w:t>
      </w:r>
    </w:p>
    <w:p w14:paraId="568065B9" w14:textId="75FBF81F" w:rsidR="009F6E21" w:rsidRPr="000D4555" w:rsidRDefault="00364E02" w:rsidP="00364E02">
      <w:pPr>
        <w:pStyle w:val="BodyA"/>
        <w:spacing w:after="120"/>
        <w:rPr>
          <w:rFonts w:asciiTheme="minorHAnsi" w:hAnsiTheme="minorHAnsi"/>
        </w:rPr>
      </w:pPr>
      <w:r w:rsidRPr="000D4555">
        <w:rPr>
          <w:rFonts w:asciiTheme="minorHAnsi" w:hAnsiTheme="minorHAnsi"/>
        </w:rPr>
        <w:t>The MC/RC will consider whether to revise the details of these analyses</w:t>
      </w:r>
      <w:r w:rsidR="00093DB9" w:rsidRPr="000D4555">
        <w:rPr>
          <w:rFonts w:asciiTheme="minorHAnsi" w:hAnsiTheme="minorHAnsi"/>
        </w:rPr>
        <w:t>,</w:t>
      </w:r>
      <w:r w:rsidRPr="000D4555">
        <w:rPr>
          <w:rFonts w:asciiTheme="minorHAnsi" w:hAnsiTheme="minorHAnsi"/>
        </w:rPr>
        <w:t xml:space="preserve"> and possibly add additional analyses</w:t>
      </w:r>
      <w:r w:rsidR="00093DB9" w:rsidRPr="000D4555">
        <w:rPr>
          <w:rFonts w:asciiTheme="minorHAnsi" w:hAnsiTheme="minorHAnsi"/>
        </w:rPr>
        <w:t>,</w:t>
      </w:r>
      <w:r w:rsidRPr="000D4555">
        <w:rPr>
          <w:rFonts w:asciiTheme="minorHAnsi" w:hAnsiTheme="minorHAnsi"/>
        </w:rPr>
        <w:t xml:space="preserve"> at the time of </w:t>
      </w:r>
      <w:r w:rsidR="00212BC2" w:rsidRPr="000D4555">
        <w:rPr>
          <w:rFonts w:asciiTheme="minorHAnsi" w:hAnsiTheme="minorHAnsi"/>
        </w:rPr>
        <w:t>re</w:t>
      </w:r>
      <w:r w:rsidRPr="000D4555">
        <w:rPr>
          <w:rFonts w:asciiTheme="minorHAnsi" w:hAnsiTheme="minorHAnsi"/>
        </w:rPr>
        <w:t xml:space="preserve">commencing </w:t>
      </w:r>
      <w:r w:rsidR="00CD7999" w:rsidRPr="000D4555">
        <w:rPr>
          <w:rFonts w:asciiTheme="minorHAnsi" w:hAnsiTheme="minorHAnsi"/>
        </w:rPr>
        <w:t>P</w:t>
      </w:r>
      <w:r w:rsidRPr="000D4555">
        <w:rPr>
          <w:rFonts w:asciiTheme="minorHAnsi" w:hAnsiTheme="minorHAnsi"/>
        </w:rPr>
        <w:t xml:space="preserve">hase 2. </w:t>
      </w:r>
    </w:p>
    <w:p w14:paraId="5DF3C1AC" w14:textId="77777777" w:rsidR="009F6E21" w:rsidRDefault="009F6E21">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pPr>
      <w:r>
        <w:br w:type="page"/>
      </w:r>
    </w:p>
    <w:p w14:paraId="6D4C474C" w14:textId="77777777" w:rsidR="009F6E21" w:rsidRDefault="009F6E21" w:rsidP="009F6E21">
      <w:pPr>
        <w:pStyle w:val="BodyTextIndent"/>
        <w:ind w:left="0" w:firstLine="0"/>
        <w:jc w:val="center"/>
        <w:rPr>
          <w:rStyle w:val="PageNumber"/>
          <w:sz w:val="24"/>
          <w:szCs w:val="24"/>
        </w:rPr>
      </w:pPr>
      <w:r>
        <w:rPr>
          <w:rStyle w:val="PageNumber"/>
          <w:sz w:val="24"/>
          <w:szCs w:val="24"/>
        </w:rPr>
        <w:lastRenderedPageBreak/>
        <w:t>APPENDIX A</w:t>
      </w:r>
    </w:p>
    <w:p w14:paraId="22583256" w14:textId="77777777" w:rsidR="009F6E21" w:rsidRDefault="009F6E21" w:rsidP="009F6E21">
      <w:pPr>
        <w:pStyle w:val="BodyTextIndent"/>
        <w:ind w:left="0" w:firstLine="0"/>
        <w:jc w:val="center"/>
        <w:rPr>
          <w:rStyle w:val="PageNumber"/>
          <w:sz w:val="24"/>
          <w:szCs w:val="24"/>
        </w:rPr>
      </w:pPr>
    </w:p>
    <w:p w14:paraId="2C8FCD4F" w14:textId="77777777" w:rsidR="009F6E21" w:rsidRPr="00501D75" w:rsidRDefault="009F6E21" w:rsidP="009F6E21">
      <w:pPr>
        <w:pStyle w:val="Body"/>
        <w:jc w:val="center"/>
        <w:rPr>
          <w:rFonts w:ascii="Times New Roman" w:hAnsi="Times New Roman"/>
          <w:b/>
          <w:bCs/>
          <w:u w:val="single"/>
        </w:rPr>
      </w:pPr>
      <w:r>
        <w:rPr>
          <w:rFonts w:ascii="Times New Roman" w:hAnsi="Times New Roman"/>
          <w:b/>
          <w:bCs/>
          <w:u w:val="single"/>
        </w:rPr>
        <w:t>Revenue Sufficiency Analysis Draft Scope of Work</w:t>
      </w:r>
    </w:p>
    <w:p w14:paraId="23C40ECA" w14:textId="77777777" w:rsidR="009F6E21" w:rsidRPr="00454792" w:rsidRDefault="009F6E21" w:rsidP="009F6E21">
      <w:pPr>
        <w:pStyle w:val="BodyTextIndent"/>
        <w:ind w:left="0" w:firstLine="0"/>
        <w:jc w:val="center"/>
        <w:rPr>
          <w:sz w:val="24"/>
          <w:szCs w:val="24"/>
          <w:u w:val="single"/>
        </w:rPr>
      </w:pPr>
      <w:r>
        <w:rPr>
          <w:sz w:val="24"/>
          <w:szCs w:val="24"/>
          <w:u w:val="single"/>
        </w:rPr>
        <w:t>Consultant</w:t>
      </w:r>
      <w:r w:rsidRPr="00454792">
        <w:rPr>
          <w:sz w:val="24"/>
          <w:szCs w:val="24"/>
          <w:u w:val="single"/>
        </w:rPr>
        <w:t xml:space="preserve"> -- Scope, Tasks, Deliverables, Governance and Budget</w:t>
      </w:r>
    </w:p>
    <w:p w14:paraId="337832FA" w14:textId="77777777" w:rsidR="009F6E21" w:rsidRDefault="009F6E21" w:rsidP="009F6E21"/>
    <w:p w14:paraId="25486143" w14:textId="77777777" w:rsidR="009F6E21" w:rsidRDefault="009F6E21" w:rsidP="009F6E21"/>
    <w:p w14:paraId="64C802E8" w14:textId="77777777" w:rsidR="009F6E21" w:rsidRPr="00F27479" w:rsidRDefault="009F6E21" w:rsidP="009F6E21">
      <w:pPr>
        <w:pStyle w:val="ListParagraph"/>
        <w:numPr>
          <w:ilvl w:val="0"/>
          <w:numId w:val="5"/>
        </w:numPr>
        <w:spacing w:after="240"/>
        <w:contextualSpacing w:val="0"/>
      </w:pPr>
      <w:r w:rsidRPr="00F27479">
        <w:t>Scope</w:t>
      </w:r>
    </w:p>
    <w:p w14:paraId="682467A1" w14:textId="1C0FF08E" w:rsidR="009F6E21" w:rsidRPr="00F27479" w:rsidRDefault="009F6E21" w:rsidP="009F6E21">
      <w:pPr>
        <w:pStyle w:val="ListParagraph"/>
        <w:numPr>
          <w:ilvl w:val="1"/>
          <w:numId w:val="5"/>
        </w:numPr>
        <w:spacing w:after="240"/>
        <w:contextualSpacing w:val="0"/>
      </w:pPr>
      <w:r>
        <w:t>The s</w:t>
      </w:r>
      <w:r w:rsidRPr="00F27479">
        <w:t>cope</w:t>
      </w:r>
      <w:r>
        <w:t xml:space="preserve"> of the engagement of a Consultant</w:t>
      </w:r>
      <w:r w:rsidRPr="00F27479">
        <w:t xml:space="preserve"> </w:t>
      </w:r>
      <w:r>
        <w:t xml:space="preserve">is to perform a Revenue Sufficiency Analysis (Analysis) that is one component of the Future Grid Reliability Study (Study).  The Analysis will compare estimated revenues from the existing wholesale electricity markets to resource costs by technology type.  Estimated energy and ancillary service market revenues will be provided by </w:t>
      </w:r>
      <w:r w:rsidR="00E54D90">
        <w:t>P</w:t>
      </w:r>
      <w:r>
        <w:t>hase 1 of the Study performed by ISO New England (ISO-NE).  Estimated capacity market revenues will be assumed.  The Consultant will be responsible for estimating resource costs by technology type and comparing revenues to costs.  Resource cost estimates will include both (</w:t>
      </w:r>
      <w:proofErr w:type="spellStart"/>
      <w:r>
        <w:t>i</w:t>
      </w:r>
      <w:proofErr w:type="spellEnd"/>
      <w:r>
        <w:t>) cost-of-new-entry estimates for a selection of new resource types</w:t>
      </w:r>
      <w:r w:rsidR="00E54D90">
        <w:t>;</w:t>
      </w:r>
      <w:r>
        <w:t xml:space="preserve"> and (ii) going-forward-cost estimates for existing resources in New England, grouped by resource type and masked in accordance with the ISO-NE Information Policy.  </w:t>
      </w:r>
    </w:p>
    <w:p w14:paraId="57A87429" w14:textId="77777777" w:rsidR="009F6E21" w:rsidRPr="00F27479" w:rsidRDefault="009F6E21" w:rsidP="009F6E21">
      <w:pPr>
        <w:pStyle w:val="ListParagraph"/>
        <w:numPr>
          <w:ilvl w:val="1"/>
          <w:numId w:val="5"/>
        </w:numPr>
        <w:spacing w:after="240"/>
        <w:contextualSpacing w:val="0"/>
      </w:pPr>
      <w:r>
        <w:t>The s</w:t>
      </w:r>
      <w:r w:rsidRPr="00F27479">
        <w:t>cope does not include</w:t>
      </w:r>
      <w:r>
        <w:t xml:space="preserve"> energy or capacity market simulation modeling.  The scope does not include developing electricity market revenue projections.  The scope does not include identifying measures to address any estimated revenue shortfalls that may arise in the Analysis. </w:t>
      </w:r>
    </w:p>
    <w:p w14:paraId="747D3F94" w14:textId="6333BEBE" w:rsidR="009F6E21" w:rsidRPr="00F27479" w:rsidRDefault="009F6E21" w:rsidP="009F6E21">
      <w:pPr>
        <w:pStyle w:val="ListParagraph"/>
        <w:numPr>
          <w:ilvl w:val="1"/>
          <w:numId w:val="5"/>
        </w:numPr>
        <w:spacing w:after="240"/>
        <w:contextualSpacing w:val="0"/>
      </w:pPr>
      <w:r>
        <w:t xml:space="preserve">The scope of the engagement is intended to supplement the </w:t>
      </w:r>
      <w:r w:rsidR="00E54D90">
        <w:t>P</w:t>
      </w:r>
      <w:r>
        <w:t xml:space="preserve">hase 1 analysis performed by ISO-NE and any other analyses in support of the Study.  The Analysis will inform a </w:t>
      </w:r>
      <w:r w:rsidRPr="00997276">
        <w:t xml:space="preserve">gap analysis </w:t>
      </w:r>
      <w:r>
        <w:t>designed to</w:t>
      </w:r>
      <w:r w:rsidRPr="00997276">
        <w:t xml:space="preserve"> determine whether, in the future </w:t>
      </w:r>
      <w:r>
        <w:t>scenarios analyzed</w:t>
      </w:r>
      <w:r w:rsidRPr="00997276">
        <w:t>, the markets will likely provide sufficient market revenues to attract and retain the new and existing resources that will be needed to continue to operate the system reliably</w:t>
      </w:r>
      <w:r>
        <w:t xml:space="preserve">.  </w:t>
      </w:r>
    </w:p>
    <w:p w14:paraId="03FD062F" w14:textId="77777777" w:rsidR="009F6E21" w:rsidRPr="00F27479" w:rsidRDefault="009F6E21" w:rsidP="009F6E21">
      <w:pPr>
        <w:pStyle w:val="ListParagraph"/>
        <w:numPr>
          <w:ilvl w:val="0"/>
          <w:numId w:val="5"/>
        </w:numPr>
        <w:spacing w:after="240"/>
        <w:contextualSpacing w:val="0"/>
      </w:pPr>
      <w:r w:rsidRPr="00F27479">
        <w:t>Tasks</w:t>
      </w:r>
    </w:p>
    <w:p w14:paraId="1CE2DE77" w14:textId="77777777" w:rsidR="009F6E21" w:rsidRPr="00F27479" w:rsidRDefault="009F6E21" w:rsidP="009F6E21">
      <w:pPr>
        <w:pStyle w:val="ListParagraph"/>
        <w:numPr>
          <w:ilvl w:val="1"/>
          <w:numId w:val="5"/>
        </w:numPr>
        <w:spacing w:after="240"/>
        <w:contextualSpacing w:val="0"/>
      </w:pPr>
      <w:r>
        <w:t xml:space="preserve">Coordinate with ISO-NE to receive energy and ancillary services market revenue estimates for existing and new resources in New England with appropriate confidentiality measures in place, in accordance with the ISO-NE Information Policy.  Capacity market revenues will be two, separate “bookend” values (e.g., $2/kW-month and $10/kW-month).  </w:t>
      </w:r>
    </w:p>
    <w:p w14:paraId="467D4735" w14:textId="53297350" w:rsidR="009F6E21" w:rsidRDefault="009F6E21" w:rsidP="009F6E21">
      <w:pPr>
        <w:pStyle w:val="ListParagraph"/>
        <w:numPr>
          <w:ilvl w:val="1"/>
          <w:numId w:val="5"/>
        </w:numPr>
        <w:spacing w:after="240"/>
        <w:contextualSpacing w:val="0"/>
      </w:pPr>
      <w:r>
        <w:t>Consistent with the resource type aggregation approach developed by ISO-NE, develop (</w:t>
      </w:r>
      <w:proofErr w:type="spellStart"/>
      <w:r>
        <w:t>i</w:t>
      </w:r>
      <w:proofErr w:type="spellEnd"/>
      <w:r>
        <w:t xml:space="preserve">) going forward cost estimates for existing resources in New England </w:t>
      </w:r>
      <w:r>
        <w:lastRenderedPageBreak/>
        <w:t>for a range of resource types</w:t>
      </w:r>
      <w:r w:rsidR="00E54D90">
        <w:t>;</w:t>
      </w:r>
      <w:r>
        <w:t xml:space="preserve"> and (ii) cost of entry estimates for a selection of new resources assumed in the Study’s hypothetical future scenarios.  </w:t>
      </w:r>
    </w:p>
    <w:p w14:paraId="4F219D23" w14:textId="77777777" w:rsidR="009F6E21" w:rsidRDefault="009F6E21" w:rsidP="009F6E21">
      <w:pPr>
        <w:pStyle w:val="ListParagraph"/>
        <w:numPr>
          <w:ilvl w:val="1"/>
          <w:numId w:val="5"/>
        </w:numPr>
        <w:spacing w:after="240"/>
        <w:contextualSpacing w:val="0"/>
      </w:pPr>
      <w:r>
        <w:t xml:space="preserve">For each resource type, compare estimated revenues to costs and quantify any shortfalls.  </w:t>
      </w:r>
    </w:p>
    <w:p w14:paraId="57961C3C" w14:textId="6539340B" w:rsidR="009F6E21" w:rsidRDefault="009F6E21" w:rsidP="009F6E21">
      <w:pPr>
        <w:pStyle w:val="ListParagraph"/>
        <w:numPr>
          <w:ilvl w:val="1"/>
          <w:numId w:val="5"/>
        </w:numPr>
        <w:pBdr>
          <w:top w:val="nil"/>
          <w:left w:val="nil"/>
          <w:bottom w:val="nil"/>
          <w:right w:val="nil"/>
          <w:between w:val="nil"/>
          <w:bar w:val="nil"/>
        </w:pBdr>
        <w:contextualSpacing w:val="0"/>
      </w:pPr>
      <w:r>
        <w:t xml:space="preserve">Work with designated individuals representing </w:t>
      </w:r>
      <w:r w:rsidR="00DE09FE">
        <w:t>the New England Power Pool (</w:t>
      </w:r>
      <w:r>
        <w:t>NEPOOL</w:t>
      </w:r>
      <w:r w:rsidR="00DE09FE">
        <w:t>)</w:t>
      </w:r>
      <w:r>
        <w:t xml:space="preserve">, </w:t>
      </w:r>
      <w:r w:rsidR="00DE09FE">
        <w:t>New England States Committee on Electricity (</w:t>
      </w:r>
      <w:r>
        <w:t>NESCOE</w:t>
      </w:r>
      <w:r w:rsidR="00DE09FE">
        <w:t>)</w:t>
      </w:r>
      <w:r>
        <w:t>, and ISO-NE to provide results that will inform a gap analysis to determine whether, in the future state envisioned, the current markets will provide resources what they need to continue to economically operate.</w:t>
      </w:r>
      <w:r>
        <w:rPr>
          <w:rFonts w:eastAsia="Times New Roman"/>
        </w:rPr>
        <w:br/>
      </w:r>
    </w:p>
    <w:p w14:paraId="34C5FF71" w14:textId="0DC57F20" w:rsidR="009F6E21" w:rsidRDefault="009F6E21" w:rsidP="009F6E21">
      <w:pPr>
        <w:pStyle w:val="ListParagraph"/>
        <w:numPr>
          <w:ilvl w:val="1"/>
          <w:numId w:val="5"/>
        </w:numPr>
        <w:pBdr>
          <w:top w:val="nil"/>
          <w:left w:val="nil"/>
          <w:bottom w:val="nil"/>
          <w:right w:val="nil"/>
          <w:between w:val="nil"/>
          <w:bar w:val="nil"/>
        </w:pBdr>
        <w:contextualSpacing w:val="0"/>
      </w:pPr>
      <w:r>
        <w:t xml:space="preserve">Participate in NEPOOL joint Reliability Committee and Markets Committee meetings pertaining to this topic beginning in </w:t>
      </w:r>
      <w:r w:rsidRPr="00501D75">
        <w:rPr>
          <w:highlight w:val="lightGray"/>
        </w:rPr>
        <w:t>date</w:t>
      </w:r>
      <w:r>
        <w:t xml:space="preserve"> as needed.  </w:t>
      </w:r>
      <w:r>
        <w:rPr>
          <w:rFonts w:eastAsia="Times New Roman"/>
        </w:rPr>
        <w:br/>
      </w:r>
    </w:p>
    <w:p w14:paraId="2AE55D21" w14:textId="77777777" w:rsidR="009F6E21" w:rsidRPr="00F27479" w:rsidRDefault="009F6E21" w:rsidP="009F6E21">
      <w:pPr>
        <w:pStyle w:val="ListParagraph"/>
        <w:numPr>
          <w:ilvl w:val="1"/>
          <w:numId w:val="5"/>
        </w:numPr>
        <w:spacing w:after="240"/>
        <w:contextualSpacing w:val="0"/>
      </w:pPr>
      <w:r>
        <w:t>Coordinate as appropriate with designated individuals representing NEPOOL, NESCOE and ISO-NE.</w:t>
      </w:r>
    </w:p>
    <w:p w14:paraId="3C3294FA" w14:textId="77777777" w:rsidR="009F6E21" w:rsidRPr="00F27479" w:rsidRDefault="009F6E21" w:rsidP="009F6E21">
      <w:pPr>
        <w:pStyle w:val="ListParagraph"/>
        <w:numPr>
          <w:ilvl w:val="0"/>
          <w:numId w:val="5"/>
        </w:numPr>
        <w:spacing w:after="240"/>
        <w:contextualSpacing w:val="0"/>
      </w:pPr>
      <w:r w:rsidRPr="00F27479">
        <w:t>Deliverables</w:t>
      </w:r>
    </w:p>
    <w:p w14:paraId="7B8A1A6D" w14:textId="77777777" w:rsidR="009F6E21" w:rsidRPr="00F27479" w:rsidRDefault="009F6E21" w:rsidP="009F6E21">
      <w:pPr>
        <w:pStyle w:val="ListParagraph"/>
        <w:numPr>
          <w:ilvl w:val="1"/>
          <w:numId w:val="5"/>
        </w:numPr>
        <w:spacing w:after="240"/>
        <w:contextualSpacing w:val="0"/>
      </w:pPr>
      <w:r>
        <w:t xml:space="preserve">Consulting services to receive, analyze, and compare revenue estimates for existing and new resources in New England included in the Study.  </w:t>
      </w:r>
    </w:p>
    <w:p w14:paraId="7C24BF1B" w14:textId="77777777" w:rsidR="009F6E21" w:rsidRPr="00F27479" w:rsidRDefault="009F6E21" w:rsidP="009F6E21">
      <w:pPr>
        <w:pStyle w:val="ListParagraph"/>
        <w:numPr>
          <w:ilvl w:val="1"/>
          <w:numId w:val="5"/>
        </w:numPr>
        <w:spacing w:after="240"/>
        <w:contextualSpacing w:val="0"/>
      </w:pPr>
      <w:r>
        <w:t xml:space="preserve">Consulting services to develop going forward cost estimates for existing resources and cost of new entry estimates for new resources based on reasonable assumptions that are approved by NEPOOL, NESCOE and ISO-NE.  </w:t>
      </w:r>
    </w:p>
    <w:p w14:paraId="28C46439" w14:textId="77777777" w:rsidR="009F6E21" w:rsidRDefault="009F6E21" w:rsidP="009F6E21">
      <w:pPr>
        <w:pStyle w:val="ListParagraph"/>
        <w:numPr>
          <w:ilvl w:val="1"/>
          <w:numId w:val="5"/>
        </w:numPr>
        <w:spacing w:after="240"/>
        <w:contextualSpacing w:val="0"/>
      </w:pPr>
      <w:r>
        <w:t xml:space="preserve">A memorandum containing results of the Consultant’s comparison of revenues and costs and related analysis.  </w:t>
      </w:r>
    </w:p>
    <w:p w14:paraId="1145AA76" w14:textId="77777777" w:rsidR="009F6E21" w:rsidRPr="00F27479" w:rsidRDefault="009F6E21" w:rsidP="009F6E21">
      <w:pPr>
        <w:pStyle w:val="ListParagraph"/>
        <w:numPr>
          <w:ilvl w:val="1"/>
          <w:numId w:val="5"/>
        </w:numPr>
        <w:spacing w:after="240"/>
        <w:contextualSpacing w:val="0"/>
      </w:pPr>
      <w:r>
        <w:t>A brief slide presentation including the results of the Consultant’s comparison of revenues and costs and related analysis.</w:t>
      </w:r>
    </w:p>
    <w:p w14:paraId="38A93CD8" w14:textId="77777777" w:rsidR="009F6E21" w:rsidRPr="00F27479" w:rsidRDefault="009F6E21" w:rsidP="009F6E21">
      <w:pPr>
        <w:pStyle w:val="ListParagraph"/>
        <w:numPr>
          <w:ilvl w:val="0"/>
          <w:numId w:val="5"/>
        </w:numPr>
        <w:spacing w:after="240"/>
        <w:contextualSpacing w:val="0"/>
      </w:pPr>
      <w:r w:rsidRPr="00F27479">
        <w:t>Project Governance</w:t>
      </w:r>
    </w:p>
    <w:p w14:paraId="4F900B5A" w14:textId="77777777" w:rsidR="009F6E21" w:rsidRDefault="009F6E21" w:rsidP="009F6E21">
      <w:pPr>
        <w:pStyle w:val="ListParagraph"/>
        <w:numPr>
          <w:ilvl w:val="1"/>
          <w:numId w:val="5"/>
        </w:numPr>
        <w:spacing w:after="240"/>
        <w:contextualSpacing w:val="0"/>
      </w:pPr>
      <w:r w:rsidRPr="00F27479">
        <w:t xml:space="preserve">NESCOE and NEPOOL will have ultimate management authority over the services performed by the Consultant. The Consultant will report to designated individuals representing NESCOE and NEPOOL.  NEPOOL’s designated individuals will be subject to the direction of the NEPOOL officers or the appropriate NEPOOL committee if needed and do not have authority to modify the arrangements covered by this document.  </w:t>
      </w:r>
    </w:p>
    <w:p w14:paraId="64105036" w14:textId="77777777" w:rsidR="009F6E21" w:rsidRPr="00F27479" w:rsidRDefault="009F6E21" w:rsidP="009F6E21">
      <w:pPr>
        <w:pStyle w:val="ListParagraph"/>
        <w:numPr>
          <w:ilvl w:val="1"/>
          <w:numId w:val="5"/>
        </w:numPr>
        <w:spacing w:after="240"/>
        <w:contextualSpacing w:val="0"/>
      </w:pPr>
      <w:r w:rsidRPr="00F27479">
        <w:lastRenderedPageBreak/>
        <w:t xml:space="preserve">On request, the Consultant will assist NEPOOL and NESCOE representatives to acquire the necessary guidance from the entity they represent in order to provide direction to the </w:t>
      </w:r>
      <w:r>
        <w:t>Consultant</w:t>
      </w:r>
      <w:r w:rsidRPr="00F27479">
        <w:t xml:space="preserve">. </w:t>
      </w:r>
    </w:p>
    <w:p w14:paraId="60E2239F" w14:textId="77777777" w:rsidR="009F6E21" w:rsidRPr="00F27479" w:rsidRDefault="009F6E21" w:rsidP="009F6E21">
      <w:pPr>
        <w:pStyle w:val="ListParagraph"/>
        <w:numPr>
          <w:ilvl w:val="1"/>
          <w:numId w:val="5"/>
        </w:numPr>
        <w:spacing w:after="240"/>
        <w:contextualSpacing w:val="0"/>
      </w:pPr>
      <w:r w:rsidRPr="00F27479">
        <w:t xml:space="preserve">The Consultant will report on project status and receive input at joint meetings of the NEPOOL Reliability Committee and Markets Committee, and, as requested, at meetings of the Participants Committee.  Such reports will include without limitation updates on progress towards completion of </w:t>
      </w:r>
      <w:r w:rsidRPr="00C21F97">
        <w:t>the Analysis</w:t>
      </w:r>
      <w:r w:rsidRPr="00F27479">
        <w:t>.</w:t>
      </w:r>
    </w:p>
    <w:p w14:paraId="5E7D7C34" w14:textId="77777777" w:rsidR="009F6E21" w:rsidRPr="00F27479" w:rsidRDefault="009F6E21" w:rsidP="009F6E21">
      <w:pPr>
        <w:pStyle w:val="ListParagraph"/>
        <w:keepNext/>
        <w:numPr>
          <w:ilvl w:val="0"/>
          <w:numId w:val="5"/>
        </w:numPr>
        <w:spacing w:after="240"/>
        <w:contextualSpacing w:val="0"/>
      </w:pPr>
      <w:r w:rsidRPr="00F27479">
        <w:t>Budget</w:t>
      </w:r>
    </w:p>
    <w:p w14:paraId="0F12B0E2" w14:textId="77777777" w:rsidR="009F6E21" w:rsidRPr="00F27479" w:rsidRDefault="009F6E21" w:rsidP="009F6E21">
      <w:pPr>
        <w:pStyle w:val="ListParagraph"/>
        <w:keepNext/>
        <w:numPr>
          <w:ilvl w:val="1"/>
          <w:numId w:val="5"/>
        </w:numPr>
        <w:spacing w:after="240"/>
        <w:contextualSpacing w:val="0"/>
      </w:pPr>
      <w:r w:rsidRPr="00F27479">
        <w:t xml:space="preserve">The costs for the </w:t>
      </w:r>
      <w:r>
        <w:t>Consultant</w:t>
      </w:r>
      <w:r w:rsidRPr="00F27479">
        <w:t xml:space="preserve"> from </w:t>
      </w:r>
      <w:r w:rsidRPr="00D54286">
        <w:rPr>
          <w:highlight w:val="lightGray"/>
        </w:rPr>
        <w:t>date</w:t>
      </w:r>
      <w:r w:rsidRPr="00F27479">
        <w:t xml:space="preserve"> through </w:t>
      </w:r>
      <w:r w:rsidRPr="00D54286">
        <w:rPr>
          <w:highlight w:val="lightGray"/>
        </w:rPr>
        <w:t>date</w:t>
      </w:r>
      <w:r w:rsidRPr="00F27479">
        <w:t xml:space="preserve"> shall not exceed $</w:t>
      </w:r>
      <w:r w:rsidRPr="00D54286">
        <w:rPr>
          <w:highlight w:val="lightGray"/>
        </w:rPr>
        <w:t>_____</w:t>
      </w:r>
      <w:r w:rsidRPr="00F27479">
        <w:t xml:space="preserve">, reflecting anticipation of </w:t>
      </w:r>
      <w:r w:rsidRPr="00D54286">
        <w:rPr>
          <w:highlight w:val="lightGray"/>
        </w:rPr>
        <w:t>###</w:t>
      </w:r>
      <w:r w:rsidRPr="00F27479">
        <w:t xml:space="preserve"> hours of work through </w:t>
      </w:r>
      <w:r w:rsidRPr="00D54286">
        <w:rPr>
          <w:highlight w:val="lightGray"/>
        </w:rPr>
        <w:t>date</w:t>
      </w:r>
      <w:r w:rsidRPr="00F27479">
        <w:t xml:space="preserve"> and a billing rate of $</w:t>
      </w:r>
      <w:r w:rsidRPr="00D54286">
        <w:rPr>
          <w:highlight w:val="lightGray"/>
        </w:rPr>
        <w:t>___</w:t>
      </w:r>
      <w:r w:rsidRPr="00F27479">
        <w:t xml:space="preserve">/hour.  </w:t>
      </w:r>
    </w:p>
    <w:p w14:paraId="5B188758" w14:textId="77777777" w:rsidR="009F6E21" w:rsidRPr="00F27479" w:rsidRDefault="009F6E21" w:rsidP="009F6E21">
      <w:pPr>
        <w:pStyle w:val="ListParagraph"/>
        <w:numPr>
          <w:ilvl w:val="1"/>
          <w:numId w:val="5"/>
        </w:numPr>
        <w:spacing w:after="240"/>
        <w:contextualSpacing w:val="0"/>
      </w:pPr>
      <w:r w:rsidRPr="00F27479">
        <w:t>Invoicing will be on actual hours worked, submitted monthly, subject to the $</w:t>
      </w:r>
      <w:r w:rsidRPr="006574E5">
        <w:rPr>
          <w:highlight w:val="lightGray"/>
        </w:rPr>
        <w:t>______</w:t>
      </w:r>
      <w:r w:rsidRPr="00F27479">
        <w:t xml:space="preserve"> cap through </w:t>
      </w:r>
      <w:r w:rsidRPr="006574E5">
        <w:rPr>
          <w:highlight w:val="lightGray"/>
        </w:rPr>
        <w:t>date</w:t>
      </w:r>
      <w:r w:rsidRPr="00F27479">
        <w:t>.  No travel or additional expenses are expected as part of this engagement.  If travel is required, travel expenses will be billed at cost.  Time for travel is not billed.  NESCOE and NEPOOL must pre-approve any travel or additional expenses.</w:t>
      </w:r>
    </w:p>
    <w:p w14:paraId="570D327A" w14:textId="77777777" w:rsidR="009F6E21" w:rsidRPr="00F27479" w:rsidRDefault="009F6E21" w:rsidP="009F6E21"/>
    <w:p w14:paraId="511515CE" w14:textId="77777777" w:rsidR="00364E02" w:rsidRPr="00364E02" w:rsidRDefault="00364E02" w:rsidP="00364E02">
      <w:pPr>
        <w:pStyle w:val="BodyA"/>
        <w:spacing w:after="120"/>
      </w:pPr>
    </w:p>
    <w:p w14:paraId="4497E8E1" w14:textId="77777777" w:rsidR="00A6504C" w:rsidRPr="00A6504C" w:rsidRDefault="00A6504C" w:rsidP="00A6504C">
      <w:pPr>
        <w:pStyle w:val="ListParagraph"/>
        <w:ind w:left="1080"/>
        <w:rPr>
          <w:b/>
          <w:bCs/>
        </w:rPr>
      </w:pPr>
    </w:p>
    <w:p w14:paraId="5B353F4B" w14:textId="77777777" w:rsidR="00124A58" w:rsidRPr="00124A58" w:rsidRDefault="00124A58"/>
    <w:p w14:paraId="3226C955" w14:textId="15068F5C" w:rsidR="00124A58" w:rsidRDefault="00124A58"/>
    <w:p w14:paraId="37B668DB" w14:textId="13BA9765" w:rsidR="00124A58" w:rsidRDefault="00124A58"/>
    <w:p w14:paraId="08F77F8E" w14:textId="19E52F99" w:rsidR="00DC1BA3" w:rsidRDefault="00DC1BA3"/>
    <w:p w14:paraId="085FBF3A" w14:textId="77777777" w:rsidR="00DC1BA3" w:rsidRDefault="00DC1BA3"/>
    <w:sectPr w:rsidR="00DC1B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4E24" w14:textId="77777777" w:rsidR="00972514" w:rsidRDefault="00972514" w:rsidP="007F421E">
      <w:r>
        <w:separator/>
      </w:r>
    </w:p>
  </w:endnote>
  <w:endnote w:type="continuationSeparator" w:id="0">
    <w:p w14:paraId="04733388" w14:textId="77777777" w:rsidR="00972514" w:rsidRDefault="00972514" w:rsidP="007F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7901" w14:textId="77777777" w:rsidR="00B247AC" w:rsidRDefault="00B24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785F7" w14:textId="77777777" w:rsidR="00142A8A" w:rsidRDefault="00142A8A">
    <w:pPr>
      <w:pStyle w:val="Footer"/>
    </w:pPr>
  </w:p>
  <w:p w14:paraId="69BCE751" w14:textId="0FD829DB" w:rsidR="00142A8A" w:rsidRDefault="00142A8A" w:rsidP="00142A8A">
    <w:pPr>
      <w:pStyle w:val="Footer"/>
    </w:pPr>
    <w:r>
      <w:rPr>
        <w:sz w:val="12"/>
      </w:rPr>
      <w:fldChar w:fldCharType="begin"/>
    </w:r>
    <w:r>
      <w:rPr>
        <w:sz w:val="12"/>
      </w:rPr>
      <w:instrText xml:space="preserve"> </w:instrText>
    </w:r>
    <w:r w:rsidRPr="00142A8A">
      <w:rPr>
        <w:sz w:val="12"/>
      </w:rPr>
      <w:instrText>IF "</w:instrText>
    </w:r>
    <w:r w:rsidRPr="00142A8A">
      <w:rPr>
        <w:sz w:val="12"/>
      </w:rPr>
      <w:fldChar w:fldCharType="begin"/>
    </w:r>
    <w:r w:rsidRPr="00142A8A">
      <w:rPr>
        <w:sz w:val="12"/>
      </w:rPr>
      <w:instrText xml:space="preserve"> DOCVARIABLE "SWDocIDLocation" </w:instrText>
    </w:r>
    <w:r w:rsidRPr="00142A8A">
      <w:rPr>
        <w:sz w:val="12"/>
      </w:rPr>
      <w:fldChar w:fldCharType="separate"/>
    </w:r>
    <w:r w:rsidR="0004560C">
      <w:rPr>
        <w:sz w:val="12"/>
      </w:rPr>
      <w:instrText>1</w:instrText>
    </w:r>
    <w:r w:rsidRPr="00142A8A">
      <w:rPr>
        <w:sz w:val="12"/>
      </w:rPr>
      <w:fldChar w:fldCharType="end"/>
    </w:r>
    <w:r w:rsidRPr="00142A8A">
      <w:rPr>
        <w:sz w:val="12"/>
      </w:rPr>
      <w:instrText>" = "1" "</w:instrText>
    </w:r>
    <w:r w:rsidRPr="00142A8A">
      <w:rPr>
        <w:sz w:val="12"/>
      </w:rPr>
      <w:fldChar w:fldCharType="begin"/>
    </w:r>
    <w:r w:rsidRPr="00142A8A">
      <w:rPr>
        <w:sz w:val="12"/>
      </w:rPr>
      <w:instrText xml:space="preserve"> DOCPROPERTY "SWDocID" </w:instrText>
    </w:r>
    <w:r w:rsidRPr="00142A8A">
      <w:rPr>
        <w:sz w:val="12"/>
      </w:rPr>
      <w:fldChar w:fldCharType="separate"/>
    </w:r>
    <w:r w:rsidR="0004560C">
      <w:rPr>
        <w:sz w:val="12"/>
      </w:rPr>
      <w:instrText>107978505.1</w:instrText>
    </w:r>
    <w:r w:rsidRPr="00142A8A">
      <w:rPr>
        <w:sz w:val="12"/>
      </w:rPr>
      <w:fldChar w:fldCharType="end"/>
    </w:r>
    <w:r w:rsidRPr="00142A8A">
      <w:rPr>
        <w:sz w:val="12"/>
      </w:rPr>
      <w:instrText>" ""</w:instrText>
    </w:r>
    <w:r>
      <w:rPr>
        <w:sz w:val="12"/>
      </w:rPr>
      <w:instrText xml:space="preserve"> </w:instrText>
    </w:r>
    <w:r>
      <w:rPr>
        <w:sz w:val="12"/>
      </w:rPr>
      <w:fldChar w:fldCharType="separate"/>
    </w:r>
    <w:r w:rsidR="0004560C">
      <w:rPr>
        <w:noProof/>
        <w:sz w:val="12"/>
      </w:rPr>
      <w:t>107978505.1</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31F7" w14:textId="77777777" w:rsidR="00B247AC" w:rsidRDefault="00B2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5508B" w14:textId="77777777" w:rsidR="00972514" w:rsidRDefault="00972514" w:rsidP="007F421E">
      <w:r>
        <w:separator/>
      </w:r>
    </w:p>
  </w:footnote>
  <w:footnote w:type="continuationSeparator" w:id="0">
    <w:p w14:paraId="0FB18704" w14:textId="77777777" w:rsidR="00972514" w:rsidRDefault="00972514" w:rsidP="007F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BA73" w14:textId="77777777" w:rsidR="00B247AC" w:rsidRDefault="00B2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0C23" w14:textId="356E29A2" w:rsidR="007F421E" w:rsidRPr="00124A58" w:rsidRDefault="007F421E" w:rsidP="007F421E">
    <w:pPr>
      <w:pStyle w:val="Header"/>
      <w:jc w:val="center"/>
      <w:rPr>
        <w:b/>
        <w:bCs/>
      </w:rPr>
    </w:pPr>
    <w:r w:rsidRPr="00124A58">
      <w:rPr>
        <w:b/>
        <w:bCs/>
      </w:rPr>
      <w:t>NEPOOL Future Grid Reliability Study</w:t>
    </w:r>
  </w:p>
  <w:p w14:paraId="5E3FF475" w14:textId="6659DFFB" w:rsidR="007F421E" w:rsidRPr="00124A58" w:rsidRDefault="00DC1BA3" w:rsidP="007F421E">
    <w:pPr>
      <w:pStyle w:val="Header"/>
      <w:jc w:val="center"/>
      <w:rPr>
        <w:b/>
        <w:bCs/>
      </w:rPr>
    </w:pPr>
    <w:r w:rsidRPr="00124A58">
      <w:rPr>
        <w:b/>
        <w:bCs/>
      </w:rPr>
      <w:t xml:space="preserve"> </w:t>
    </w:r>
    <w:r w:rsidR="005F0C41">
      <w:rPr>
        <w:b/>
        <w:bCs/>
      </w:rPr>
      <w:t xml:space="preserve">Partial Draft </w:t>
    </w:r>
    <w:r w:rsidR="007F421E" w:rsidRPr="00124A58">
      <w:rPr>
        <w:b/>
        <w:bCs/>
      </w:rPr>
      <w:t>Study Framework for Phase 2</w:t>
    </w:r>
  </w:p>
  <w:p w14:paraId="269AB1B4" w14:textId="5661A121" w:rsidR="007F421E" w:rsidRDefault="007F421E" w:rsidP="007F421E">
    <w:pPr>
      <w:pStyle w:val="Header"/>
      <w:jc w:val="right"/>
    </w:pPr>
    <w:bookmarkStart w:id="0" w:name="_GoBack"/>
    <w:r>
      <w:t>Draft</w:t>
    </w:r>
    <w:bookmarkEnd w:id="0"/>
    <w:r>
      <w:t xml:space="preserve"> March </w:t>
    </w:r>
    <w:r w:rsidR="006A4157">
      <w:t>1</w:t>
    </w:r>
    <w:r w:rsidR="001476B3">
      <w:t>5</w:t>
    </w:r>
    <w:r>
      <w:t>, 2021</w:t>
    </w:r>
  </w:p>
  <w:p w14:paraId="54B51D1A" w14:textId="77777777" w:rsidR="007F421E" w:rsidRDefault="007F4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68A2" w14:textId="77777777" w:rsidR="00B247AC" w:rsidRDefault="00B2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3605"/>
    <w:multiLevelType w:val="hybridMultilevel"/>
    <w:tmpl w:val="A83A5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7237D"/>
    <w:multiLevelType w:val="hybridMultilevel"/>
    <w:tmpl w:val="1562ACD2"/>
    <w:lvl w:ilvl="0" w:tplc="2078F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792E73"/>
    <w:multiLevelType w:val="hybridMultilevel"/>
    <w:tmpl w:val="0576F678"/>
    <w:numStyleLink w:val="ImportedStyle4"/>
  </w:abstractNum>
  <w:abstractNum w:abstractNumId="3" w15:restartNumberingAfterBreak="0">
    <w:nsid w:val="5FB14E1F"/>
    <w:multiLevelType w:val="hybridMultilevel"/>
    <w:tmpl w:val="6D40C3A4"/>
    <w:lvl w:ilvl="0" w:tplc="669AA938">
      <w:start w:val="1"/>
      <w:numFmt w:val="decimal"/>
      <w:lvlText w:val="%1."/>
      <w:lvlJc w:val="left"/>
      <w:pPr>
        <w:ind w:left="1080" w:hanging="360"/>
      </w:pPr>
      <w:rPr>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24B2B"/>
    <w:multiLevelType w:val="hybridMultilevel"/>
    <w:tmpl w:val="0576F678"/>
    <w:styleLink w:val="ImportedStyle4"/>
    <w:lvl w:ilvl="0" w:tplc="168C7300">
      <w:start w:val="1"/>
      <w:numFmt w:val="upperLetter"/>
      <w:pStyle w:val="N-H-2"/>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B1E26F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526E98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4C0C37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254E1B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966DF0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4E767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0E6D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F2799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ED484B"/>
    <w:rsid w:val="0004560C"/>
    <w:rsid w:val="00070B25"/>
    <w:rsid w:val="00093DB9"/>
    <w:rsid w:val="000D4555"/>
    <w:rsid w:val="00124A58"/>
    <w:rsid w:val="00142A8A"/>
    <w:rsid w:val="001476B3"/>
    <w:rsid w:val="001F5ACD"/>
    <w:rsid w:val="00202632"/>
    <w:rsid w:val="00212BC2"/>
    <w:rsid w:val="002579DD"/>
    <w:rsid w:val="002D555E"/>
    <w:rsid w:val="00364E02"/>
    <w:rsid w:val="003D6413"/>
    <w:rsid w:val="003F7919"/>
    <w:rsid w:val="004C17ED"/>
    <w:rsid w:val="00504073"/>
    <w:rsid w:val="005F0C41"/>
    <w:rsid w:val="005F3D0B"/>
    <w:rsid w:val="006A4157"/>
    <w:rsid w:val="007A4333"/>
    <w:rsid w:val="007F421E"/>
    <w:rsid w:val="00882FE7"/>
    <w:rsid w:val="008838BF"/>
    <w:rsid w:val="008E1A17"/>
    <w:rsid w:val="00972514"/>
    <w:rsid w:val="009F6E21"/>
    <w:rsid w:val="00A31DF4"/>
    <w:rsid w:val="00A437C9"/>
    <w:rsid w:val="00A6504C"/>
    <w:rsid w:val="00A9729D"/>
    <w:rsid w:val="00B247AC"/>
    <w:rsid w:val="00B42253"/>
    <w:rsid w:val="00B83CE7"/>
    <w:rsid w:val="00B85E9B"/>
    <w:rsid w:val="00C638CA"/>
    <w:rsid w:val="00CD7999"/>
    <w:rsid w:val="00D07048"/>
    <w:rsid w:val="00DC1BA3"/>
    <w:rsid w:val="00DE09FE"/>
    <w:rsid w:val="00E54D90"/>
    <w:rsid w:val="00ED484B"/>
    <w:rsid w:val="00F8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C361E"/>
  <w15:chartTrackingRefBased/>
  <w15:docId w15:val="{CE537258-EA74-5040-A2A9-D2AD41B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21E"/>
    <w:pPr>
      <w:tabs>
        <w:tab w:val="center" w:pos="4680"/>
        <w:tab w:val="right" w:pos="9360"/>
      </w:tabs>
    </w:pPr>
  </w:style>
  <w:style w:type="character" w:customStyle="1" w:styleId="HeaderChar">
    <w:name w:val="Header Char"/>
    <w:basedOn w:val="DefaultParagraphFont"/>
    <w:link w:val="Header"/>
    <w:uiPriority w:val="99"/>
    <w:rsid w:val="007F421E"/>
  </w:style>
  <w:style w:type="paragraph" w:styleId="Footer">
    <w:name w:val="footer"/>
    <w:basedOn w:val="Normal"/>
    <w:link w:val="FooterChar"/>
    <w:uiPriority w:val="99"/>
    <w:unhideWhenUsed/>
    <w:rsid w:val="007F421E"/>
    <w:pPr>
      <w:tabs>
        <w:tab w:val="center" w:pos="4680"/>
        <w:tab w:val="right" w:pos="9360"/>
      </w:tabs>
    </w:pPr>
  </w:style>
  <w:style w:type="character" w:customStyle="1" w:styleId="FooterChar">
    <w:name w:val="Footer Char"/>
    <w:basedOn w:val="DefaultParagraphFont"/>
    <w:link w:val="Footer"/>
    <w:uiPriority w:val="99"/>
    <w:rsid w:val="007F421E"/>
  </w:style>
  <w:style w:type="paragraph" w:styleId="ListParagraph">
    <w:name w:val="List Paragraph"/>
    <w:basedOn w:val="Normal"/>
    <w:qFormat/>
    <w:rsid w:val="00A6504C"/>
    <w:pPr>
      <w:ind w:left="720"/>
      <w:contextualSpacing/>
    </w:pPr>
  </w:style>
  <w:style w:type="paragraph" w:customStyle="1" w:styleId="BodyA">
    <w:name w:val="Body A"/>
    <w:rsid w:val="00A6504C"/>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A6504C"/>
  </w:style>
  <w:style w:type="paragraph" w:customStyle="1" w:styleId="N-H-2">
    <w:name w:val="N-H-2"/>
    <w:basedOn w:val="ListParagraph"/>
    <w:autoRedefine/>
    <w:qFormat/>
    <w:rsid w:val="00A6504C"/>
    <w:pPr>
      <w:numPr>
        <w:numId w:val="4"/>
      </w:numPr>
      <w:pBdr>
        <w:top w:val="nil"/>
        <w:left w:val="nil"/>
        <w:bottom w:val="nil"/>
        <w:right w:val="nil"/>
        <w:between w:val="nil"/>
        <w:bar w:val="nil"/>
      </w:pBdr>
      <w:spacing w:after="120"/>
      <w:contextualSpacing w:val="0"/>
    </w:pPr>
    <w:rPr>
      <w:rFonts w:ascii="Times New Roman" w:eastAsiaTheme="minorEastAsia" w:hAnsi="Times New Roman" w:cs="Times New Roman"/>
      <w:b/>
      <w:bdr w:val="nil"/>
    </w:rPr>
  </w:style>
  <w:style w:type="numbering" w:customStyle="1" w:styleId="ImportedStyle4">
    <w:name w:val="Imported Style 4"/>
    <w:rsid w:val="00A6504C"/>
    <w:pPr>
      <w:numPr>
        <w:numId w:val="3"/>
      </w:numPr>
    </w:pPr>
  </w:style>
  <w:style w:type="character" w:styleId="PageNumber">
    <w:name w:val="page number"/>
    <w:rsid w:val="009F6E21"/>
  </w:style>
  <w:style w:type="paragraph" w:styleId="BodyTextIndent">
    <w:name w:val="Body Text Indent"/>
    <w:link w:val="BodyTextIndentChar"/>
    <w:rsid w:val="009F6E21"/>
    <w:pPr>
      <w:pBdr>
        <w:top w:val="nil"/>
        <w:left w:val="nil"/>
        <w:bottom w:val="nil"/>
        <w:right w:val="nil"/>
        <w:between w:val="nil"/>
        <w:bar w:val="nil"/>
      </w:pBdr>
      <w:ind w:left="720" w:hanging="720"/>
      <w:jc w:val="both"/>
    </w:pPr>
    <w:rPr>
      <w:rFonts w:ascii="Times New Roman" w:eastAsia="Arial Unicode MS" w:hAnsi="Times New Roman" w:cs="Arial Unicode MS"/>
      <w:b/>
      <w:bCs/>
      <w:color w:val="000000"/>
      <w:sz w:val="28"/>
      <w:szCs w:val="28"/>
      <w:u w:color="000000"/>
      <w:bdr w:val="nil"/>
    </w:rPr>
  </w:style>
  <w:style w:type="character" w:customStyle="1" w:styleId="BodyTextIndentChar">
    <w:name w:val="Body Text Indent Char"/>
    <w:basedOn w:val="DefaultParagraphFont"/>
    <w:link w:val="BodyTextIndent"/>
    <w:rsid w:val="009F6E21"/>
    <w:rPr>
      <w:rFonts w:ascii="Times New Roman" w:eastAsia="Arial Unicode MS" w:hAnsi="Times New Roman" w:cs="Arial Unicode MS"/>
      <w:b/>
      <w:bCs/>
      <w:color w:val="000000"/>
      <w:sz w:val="28"/>
      <w:szCs w:val="28"/>
      <w:u w:color="000000"/>
      <w:bdr w:val="nil"/>
    </w:rPr>
  </w:style>
  <w:style w:type="paragraph" w:customStyle="1" w:styleId="Body">
    <w:name w:val="Body"/>
    <w:rsid w:val="009F6E2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4E82-06A1-4810-ACC8-B34455C0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Runge, Eric K.</dc:creator>
  <cp:keywords/>
  <dc:description/>
  <cp:lastModifiedBy>Laine, Emily</cp:lastModifiedBy>
  <cp:revision>2</cp:revision>
  <dcterms:created xsi:type="dcterms:W3CDTF">2021-03-31T22:43:00Z</dcterms:created>
  <dcterms:modified xsi:type="dcterms:W3CDTF">2021-03-31T22:43:00Z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107978505.1</vt:lpwstr>
  </property>
</Properties>
</file>